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5EA12">
      <w:pPr>
        <w:keepNext w:val="0"/>
        <w:keepLines w:val="0"/>
        <w:pageBreakBefore w:val="0"/>
        <w:kinsoku/>
        <w:overflowPunct/>
        <w:topLinePunct w:val="0"/>
        <w:bidi w:val="0"/>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497DF557">
      <w:pPr>
        <w:pStyle w:val="17"/>
        <w:keepNext w:val="0"/>
        <w:keepLines w:val="0"/>
        <w:pageBreakBefore w:val="0"/>
        <w:kinsoku/>
        <w:overflowPunct/>
        <w:topLinePunct w:val="0"/>
        <w:bidi w:val="0"/>
        <w:spacing w:line="360" w:lineRule="auto"/>
        <w:ind w:firstLine="480"/>
        <w:jc w:val="center"/>
        <w:rPr>
          <w:rFonts w:ascii="宋体" w:hAnsi="宋体"/>
          <w:color w:val="000000" w:themeColor="text1"/>
          <w:highlight w:val="none"/>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南京邮电大学通达学院学生公寓消防无线报警装置采购项目</w:t>
      </w:r>
    </w:p>
    <w:p w14:paraId="21769EF6">
      <w:pPr>
        <w:pStyle w:val="17"/>
        <w:keepNext w:val="0"/>
        <w:keepLines w:val="0"/>
        <w:pageBreakBefore w:val="0"/>
        <w:kinsoku/>
        <w:overflowPunct/>
        <w:topLinePunct w:val="0"/>
        <w:bidi w:val="0"/>
        <w:spacing w:line="360" w:lineRule="auto"/>
        <w:ind w:firstLine="480"/>
        <w:jc w:val="center"/>
        <w:rPr>
          <w:rFonts w:ascii="宋体" w:hAnsi="宋体"/>
          <w:color w:val="000000" w:themeColor="text1"/>
          <w:highlight w:val="none"/>
          <w14:textFill>
            <w14:solidFill>
              <w14:schemeClr w14:val="tx1"/>
            </w14:solidFill>
          </w14:textFill>
        </w:rPr>
      </w:pPr>
    </w:p>
    <w:p w14:paraId="162B79CC">
      <w:pPr>
        <w:pStyle w:val="17"/>
        <w:keepNext w:val="0"/>
        <w:keepLines w:val="0"/>
        <w:pageBreakBefore w:val="0"/>
        <w:kinsoku/>
        <w:overflowPunct/>
        <w:topLinePunct w:val="0"/>
        <w:bidi w:val="0"/>
        <w:spacing w:line="360" w:lineRule="auto"/>
        <w:ind w:firstLine="480"/>
        <w:jc w:val="center"/>
        <w:rPr>
          <w:rFonts w:ascii="宋体" w:hAnsi="宋体"/>
          <w:color w:val="000000" w:themeColor="text1"/>
          <w:highlight w:val="none"/>
          <w14:textFill>
            <w14:solidFill>
              <w14:schemeClr w14:val="tx1"/>
            </w14:solidFill>
          </w14:textFill>
        </w:rPr>
      </w:pPr>
    </w:p>
    <w:p w14:paraId="4437C2D5">
      <w:pPr>
        <w:keepNext w:val="0"/>
        <w:keepLines w:val="0"/>
        <w:pageBreakBefore w:val="0"/>
        <w:kinsoku/>
        <w:overflowPunct/>
        <w:topLinePunct w:val="0"/>
        <w:bidi w:val="0"/>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17144004">
      <w:pPr>
        <w:keepNext w:val="0"/>
        <w:keepLines w:val="0"/>
        <w:pageBreakBefore w:val="0"/>
        <w:kinsoku/>
        <w:overflowPunct/>
        <w:topLinePunct w:val="0"/>
        <w:bidi w:val="0"/>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44D37042">
      <w:pPr>
        <w:keepNext w:val="0"/>
        <w:keepLines w:val="0"/>
        <w:pageBreakBefore w:val="0"/>
        <w:kinsoku/>
        <w:overflowPunct/>
        <w:topLinePunct w:val="0"/>
        <w:bidi w:val="0"/>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6C891006">
      <w:pPr>
        <w:pStyle w:val="256"/>
        <w:keepNext w:val="0"/>
        <w:keepLines w:val="0"/>
        <w:pageBreakBefore w:val="0"/>
        <w:kinsoku/>
        <w:overflowPunct/>
        <w:topLinePunct w:val="0"/>
        <w:bidi w:val="0"/>
        <w:spacing w:line="360" w:lineRule="auto"/>
        <w:ind w:firstLine="0"/>
        <w:jc w:val="center"/>
        <w:rPr>
          <w:rFonts w:hint="eastAsia" w:asciiTheme="majorEastAsia" w:hAnsiTheme="majorEastAsia" w:eastAsiaTheme="majorEastAsia"/>
          <w:b/>
          <w:sz w:val="36"/>
          <w:szCs w:val="36"/>
          <w:highlight w:val="none"/>
          <w:lang w:eastAsia="zh-CN"/>
        </w:rPr>
      </w:pPr>
      <w:r>
        <w:rPr>
          <w:rFonts w:ascii="宋体" w:hAnsi="宋体" w:cs="宋体"/>
          <w:b/>
          <w:color w:val="000000" w:themeColor="text1"/>
          <w:sz w:val="28"/>
          <w:highlight w:val="none"/>
          <w14:textFill>
            <w14:solidFill>
              <w14:schemeClr w14:val="tx1"/>
            </w14:solidFill>
          </w14:textFill>
        </w:rPr>
        <w:t>项目编号：</w:t>
      </w:r>
      <w:r>
        <w:rPr>
          <w:rFonts w:asciiTheme="majorEastAsia" w:hAnsiTheme="majorEastAsia" w:eastAsiaTheme="majorEastAsia"/>
          <w:b/>
          <w:sz w:val="36"/>
          <w:szCs w:val="36"/>
          <w:highlight w:val="none"/>
        </w:rPr>
        <w:t>NYCG2025-H0</w:t>
      </w:r>
      <w:r>
        <w:rPr>
          <w:rFonts w:hint="eastAsia" w:asciiTheme="majorEastAsia" w:hAnsiTheme="majorEastAsia" w:eastAsiaTheme="majorEastAsia"/>
          <w:b/>
          <w:sz w:val="36"/>
          <w:szCs w:val="36"/>
          <w:highlight w:val="none"/>
          <w:lang w:val="en-US" w:eastAsia="zh-CN"/>
        </w:rPr>
        <w:t>86</w:t>
      </w:r>
      <w:r>
        <w:rPr>
          <w:rFonts w:asciiTheme="majorEastAsia" w:hAnsiTheme="majorEastAsia" w:eastAsiaTheme="majorEastAsia"/>
          <w:b/>
          <w:sz w:val="36"/>
          <w:szCs w:val="36"/>
          <w:highlight w:val="none"/>
        </w:rPr>
        <w:t>/</w:t>
      </w:r>
      <w:r>
        <w:rPr>
          <w:rFonts w:hint="eastAsia" w:asciiTheme="majorEastAsia" w:hAnsiTheme="majorEastAsia" w:eastAsiaTheme="majorEastAsia"/>
          <w:b/>
          <w:sz w:val="36"/>
          <w:szCs w:val="36"/>
          <w:highlight w:val="none"/>
        </w:rPr>
        <w:t>GPDI-NJ-2025-</w:t>
      </w:r>
      <w:r>
        <w:rPr>
          <w:rFonts w:hint="eastAsia" w:asciiTheme="majorEastAsia" w:hAnsiTheme="majorEastAsia" w:eastAsiaTheme="majorEastAsia"/>
          <w:b/>
          <w:sz w:val="36"/>
          <w:szCs w:val="36"/>
          <w:highlight w:val="none"/>
          <w:lang w:val="en-US" w:eastAsia="zh-CN"/>
        </w:rPr>
        <w:t>03376</w:t>
      </w:r>
    </w:p>
    <w:p w14:paraId="6D82F91C">
      <w:pPr>
        <w:keepNext w:val="0"/>
        <w:keepLines w:val="0"/>
        <w:pageBreakBefore w:val="0"/>
        <w:kinsoku/>
        <w:overflowPunct/>
        <w:topLinePunct w:val="0"/>
        <w:bidi w:val="0"/>
        <w:spacing w:line="360" w:lineRule="auto"/>
        <w:jc w:val="center"/>
        <w:rPr>
          <w:rFonts w:ascii="宋体" w:hAnsi="宋体" w:cs="宋体"/>
          <w:b/>
          <w:color w:val="000000" w:themeColor="text1"/>
          <w:sz w:val="36"/>
          <w:highlight w:val="none"/>
          <w14:textFill>
            <w14:solidFill>
              <w14:schemeClr w14:val="tx1"/>
            </w14:solidFill>
          </w14:textFill>
        </w:rPr>
      </w:pPr>
      <w:bookmarkStart w:id="18" w:name="_GoBack"/>
      <w:bookmarkEnd w:id="18"/>
    </w:p>
    <w:p w14:paraId="6FB94393">
      <w:pPr>
        <w:keepNext w:val="0"/>
        <w:keepLines w:val="0"/>
        <w:pageBreakBefore w:val="0"/>
        <w:kinsoku/>
        <w:overflowPunct/>
        <w:topLinePunct w:val="0"/>
        <w:bidi w:val="0"/>
        <w:spacing w:line="360" w:lineRule="auto"/>
        <w:jc w:val="center"/>
        <w:rPr>
          <w:rFonts w:ascii="宋体" w:hAnsi="宋体" w:cs="宋体"/>
          <w:b/>
          <w:color w:val="000000" w:themeColor="text1"/>
          <w:sz w:val="36"/>
          <w:highlight w:val="none"/>
          <w14:textFill>
            <w14:solidFill>
              <w14:schemeClr w14:val="tx1"/>
            </w14:solidFill>
          </w14:textFill>
        </w:rPr>
      </w:pPr>
    </w:p>
    <w:p w14:paraId="2CA9D1A5">
      <w:pPr>
        <w:keepNext w:val="0"/>
        <w:keepLines w:val="0"/>
        <w:pageBreakBefore w:val="0"/>
        <w:kinsoku/>
        <w:overflowPunct/>
        <w:topLinePunct w:val="0"/>
        <w:bidi w:val="0"/>
        <w:spacing w:line="360" w:lineRule="auto"/>
        <w:jc w:val="center"/>
        <w:rPr>
          <w:rFonts w:ascii="宋体" w:hAnsi="宋体" w:cs="宋体"/>
          <w:b/>
          <w:color w:val="000000" w:themeColor="text1"/>
          <w:sz w:val="36"/>
          <w:highlight w:val="none"/>
          <w14:textFill>
            <w14:solidFill>
              <w14:schemeClr w14:val="tx1"/>
            </w14:solidFill>
          </w14:textFill>
        </w:rPr>
      </w:pPr>
    </w:p>
    <w:p w14:paraId="6F392E51">
      <w:pPr>
        <w:pStyle w:val="17"/>
        <w:keepNext w:val="0"/>
        <w:keepLines w:val="0"/>
        <w:pageBreakBefore w:val="0"/>
        <w:kinsoku/>
        <w:overflowPunct/>
        <w:topLinePunct w:val="0"/>
        <w:bidi w:val="0"/>
        <w:spacing w:line="360" w:lineRule="auto"/>
        <w:ind w:firstLine="480"/>
        <w:jc w:val="center"/>
        <w:rPr>
          <w:rFonts w:ascii="宋体" w:hAnsi="宋体"/>
          <w:color w:val="000000" w:themeColor="text1"/>
          <w:highlight w:val="none"/>
          <w14:textFill>
            <w14:solidFill>
              <w14:schemeClr w14:val="tx1"/>
            </w14:solidFill>
          </w14:textFill>
        </w:rPr>
      </w:pPr>
    </w:p>
    <w:p w14:paraId="0A2897BB">
      <w:pPr>
        <w:keepNext w:val="0"/>
        <w:keepLines w:val="0"/>
        <w:pageBreakBefore w:val="0"/>
        <w:kinsoku/>
        <w:overflowPunct/>
        <w:topLinePunct w:val="0"/>
        <w:bidi w:val="0"/>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5CBB07DC">
      <w:pPr>
        <w:keepNext w:val="0"/>
        <w:keepLines w:val="0"/>
        <w:pageBreakBefore w:val="0"/>
        <w:kinsoku/>
        <w:overflowPunct/>
        <w:topLinePunct w:val="0"/>
        <w:bidi w:val="0"/>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7DEF58A5">
      <w:pPr>
        <w:keepNext w:val="0"/>
        <w:keepLines w:val="0"/>
        <w:pageBreakBefore w:val="0"/>
        <w:kinsoku/>
        <w:overflowPunct/>
        <w:topLinePunct w:val="0"/>
        <w:bidi w:val="0"/>
        <w:spacing w:line="360" w:lineRule="auto"/>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五</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lang w:val="en-US" w:eastAsia="zh-CN"/>
          <w14:textFill>
            <w14:solidFill>
              <w14:schemeClr w14:val="tx1"/>
            </w14:solidFill>
          </w14:textFill>
        </w:rPr>
        <w:t>十一</w:t>
      </w:r>
      <w:r>
        <w:rPr>
          <w:rFonts w:ascii="宋体" w:hAnsi="宋体" w:cs="宋体"/>
          <w:b/>
          <w:color w:val="000000" w:themeColor="text1"/>
          <w:sz w:val="36"/>
          <w:highlight w:val="none"/>
          <w14:textFill>
            <w14:solidFill>
              <w14:schemeClr w14:val="tx1"/>
            </w14:solidFill>
          </w14:textFill>
        </w:rPr>
        <w:t>月</w:t>
      </w:r>
    </w:p>
    <w:p w14:paraId="0ADA0CE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719279F2">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5EADB36F">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b/>
          <w:bCs/>
          <w:sz w:val="24"/>
          <w:szCs w:val="24"/>
          <w:highlight w:val="none"/>
          <w:u w:val="single"/>
        </w:rPr>
        <w:t>NYCG2025-H0</w:t>
      </w:r>
      <w:r>
        <w:rPr>
          <w:rFonts w:hint="eastAsia" w:asciiTheme="majorEastAsia" w:hAnsiTheme="majorEastAsia" w:eastAsiaTheme="majorEastAsia"/>
          <w:b/>
          <w:bCs/>
          <w:sz w:val="24"/>
          <w:szCs w:val="24"/>
          <w:highlight w:val="none"/>
          <w:u w:val="single"/>
          <w:lang w:val="en-US" w:eastAsia="zh-CN"/>
        </w:rPr>
        <w:t>86</w:t>
      </w:r>
      <w:r>
        <w:rPr>
          <w:rFonts w:hint="eastAsia" w:asciiTheme="majorEastAsia" w:hAnsiTheme="majorEastAsia" w:eastAsiaTheme="majorEastAsia"/>
          <w:b/>
          <w:bCs/>
          <w:sz w:val="24"/>
          <w:szCs w:val="24"/>
          <w:highlight w:val="none"/>
          <w:u w:val="single"/>
        </w:rPr>
        <w:t>/GPDI-NJ-2025-</w:t>
      </w:r>
      <w:r>
        <w:rPr>
          <w:rFonts w:hint="eastAsia" w:asciiTheme="majorEastAsia" w:hAnsiTheme="majorEastAsia" w:eastAsiaTheme="majorEastAsia"/>
          <w:b/>
          <w:bCs/>
          <w:sz w:val="24"/>
          <w:szCs w:val="24"/>
          <w:highlight w:val="none"/>
          <w:u w:val="single"/>
          <w:lang w:val="en-US" w:eastAsia="zh-CN"/>
        </w:rPr>
        <w:t>03376</w:t>
      </w:r>
      <w:r>
        <w:rPr>
          <w:color w:val="000000" w:themeColor="text1"/>
          <w:highlight w:val="none"/>
          <w14:textFill>
            <w14:solidFill>
              <w14:schemeClr w14:val="tx1"/>
            </w14:solidFill>
          </w14:textFill>
        </w:rPr>
        <w:t>；</w:t>
      </w:r>
    </w:p>
    <w:p w14:paraId="3F593A53">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b/>
          <w:bCs/>
          <w:sz w:val="24"/>
          <w:szCs w:val="24"/>
          <w:highlight w:val="none"/>
          <w:u w:val="single"/>
          <w:lang w:eastAsia="zh-CN"/>
        </w:rPr>
        <w:t>南京邮电大学通达学院学生公寓消防无线报警装置采购项目</w:t>
      </w:r>
      <w:r>
        <w:rPr>
          <w:color w:val="000000" w:themeColor="text1"/>
          <w:highlight w:val="none"/>
          <w14:textFill>
            <w14:solidFill>
              <w14:schemeClr w14:val="tx1"/>
            </w14:solidFill>
          </w14:textFill>
        </w:rPr>
        <w:t>；</w:t>
      </w:r>
    </w:p>
    <w:p w14:paraId="11A55869">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85</w:t>
      </w:r>
      <w:r>
        <w:rPr>
          <w:color w:val="000000" w:themeColor="text1"/>
          <w:highlight w:val="none"/>
          <w14:textFill>
            <w14:solidFill>
              <w14:schemeClr w14:val="tx1"/>
            </w14:solidFill>
          </w14:textFill>
        </w:rPr>
        <w:t>万元；</w:t>
      </w:r>
    </w:p>
    <w:p w14:paraId="156409F0">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85</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2458729F">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3866A0CC">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 w:val="24"/>
          <w:szCs w:val="24"/>
          <w:highlight w:val="none"/>
          <w:lang w:eastAsia="zh-CN"/>
        </w:rPr>
        <w:t>南京邮电大学通达学院学生公寓消防无线报警装置采购项目</w:t>
      </w:r>
      <w:r>
        <w:rPr>
          <w:color w:val="000000" w:themeColor="text1"/>
          <w:highlight w:val="none"/>
          <w14:textFill>
            <w14:solidFill>
              <w14:schemeClr w14:val="tx1"/>
            </w14:solidFill>
          </w14:textFill>
        </w:rPr>
        <w:t>，具体详见采购文件。</w:t>
      </w:r>
    </w:p>
    <w:p w14:paraId="5990FAEC">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合同履行期限：</w:t>
      </w:r>
      <w:r>
        <w:rPr>
          <w:rFonts w:hint="eastAsia"/>
          <w:color w:val="000000" w:themeColor="text1"/>
          <w:highlight w:val="none"/>
          <w:u w:val="none"/>
          <w14:textFill>
            <w14:solidFill>
              <w14:schemeClr w14:val="tx1"/>
            </w14:solidFill>
          </w14:textFill>
        </w:rPr>
        <w:t>自合同签订之日起3个月内全部供货、安装、调试完成。</w:t>
      </w:r>
    </w:p>
    <w:p w14:paraId="26959294">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18524AE7">
      <w:pPr>
        <w:pStyle w:val="17"/>
        <w:keepNext w:val="0"/>
        <w:keepLines w:val="0"/>
        <w:pageBreakBefore w:val="0"/>
        <w:numPr>
          <w:ilvl w:val="0"/>
          <w:numId w:val="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7A71188F">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496F458A">
      <w:pPr>
        <w:pStyle w:val="17"/>
        <w:keepNext w:val="0"/>
        <w:keepLines w:val="0"/>
        <w:pageBreakBefore w:val="0"/>
        <w:numPr>
          <w:ilvl w:val="0"/>
          <w:numId w:val="4"/>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6C306C4E">
      <w:pPr>
        <w:pStyle w:val="17"/>
        <w:keepNext w:val="0"/>
        <w:keepLines w:val="0"/>
        <w:pageBreakBefore w:val="0"/>
        <w:numPr>
          <w:ilvl w:val="0"/>
          <w:numId w:val="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4D277922">
      <w:pPr>
        <w:pStyle w:val="17"/>
        <w:keepNext w:val="0"/>
        <w:keepLines w:val="0"/>
        <w:pageBreakBefore w:val="0"/>
        <w:numPr>
          <w:ilvl w:val="0"/>
          <w:numId w:val="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lang w:eastAsia="zh-CN"/>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10</w:t>
      </w:r>
      <w:r>
        <w:rPr>
          <w:rFonts w:hint="eastAsia"/>
          <w:color w:val="000000" w:themeColor="text1"/>
          <w:szCs w:val="24"/>
          <w:highlight w:val="none"/>
          <w:lang w:eastAsia="zh-CN"/>
          <w14:textFill>
            <w14:solidFill>
              <w14:schemeClr w14:val="tx1"/>
            </w14:solidFill>
          </w14:textFill>
        </w:rPr>
        <w:t>月</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中</w:t>
      </w:r>
      <w:r>
        <w:rPr>
          <w:color w:val="000000" w:themeColor="text1"/>
          <w:highlight w:val="none"/>
          <w14:textFill>
            <w14:solidFill>
              <w14:schemeClr w14:val="tx1"/>
            </w14:solidFill>
          </w14:textFill>
        </w:rPr>
        <w:t>至少一个月的财务状况报告</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B1A82E3">
      <w:pPr>
        <w:pStyle w:val="17"/>
        <w:keepNext w:val="0"/>
        <w:keepLines w:val="0"/>
        <w:pageBreakBefore w:val="0"/>
        <w:numPr>
          <w:ilvl w:val="0"/>
          <w:numId w:val="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9A0CB36">
      <w:pPr>
        <w:pStyle w:val="17"/>
        <w:keepNext w:val="0"/>
        <w:keepLines w:val="0"/>
        <w:pageBreakBefore w:val="0"/>
        <w:numPr>
          <w:ilvl w:val="0"/>
          <w:numId w:val="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lang w:eastAsia="zh-CN"/>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10</w:t>
      </w:r>
      <w:r>
        <w:rPr>
          <w:rFonts w:hint="eastAsia"/>
          <w:color w:val="000000" w:themeColor="text1"/>
          <w:szCs w:val="24"/>
          <w:highlight w:val="none"/>
          <w:lang w:eastAsia="zh-CN"/>
          <w14:textFill>
            <w14:solidFill>
              <w14:schemeClr w14:val="tx1"/>
            </w14:solidFill>
          </w14:textFill>
        </w:rPr>
        <w:t>月</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中</w:t>
      </w:r>
      <w:r>
        <w:rPr>
          <w:color w:val="000000" w:themeColor="text1"/>
          <w:highlight w:val="none"/>
          <w14:textFill>
            <w14:solidFill>
              <w14:schemeClr w14:val="tx1"/>
            </w14:solidFill>
          </w14:textFill>
        </w:rPr>
        <w:t>至少一个月缴纳税收（企业代缴的个人所得税除外）的凭据复印件加盖公章，并提供缴纳社会保险的凭据</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专用收据或社会保险缴纳清单）复印件加盖公章，根据国家相关政策免缴或迟缴的需提供相关证明材料）；</w:t>
      </w:r>
    </w:p>
    <w:p w14:paraId="1117F2A1">
      <w:pPr>
        <w:pStyle w:val="17"/>
        <w:keepNext w:val="0"/>
        <w:keepLines w:val="0"/>
        <w:pageBreakBefore w:val="0"/>
        <w:numPr>
          <w:ilvl w:val="0"/>
          <w:numId w:val="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37491A81">
      <w:pPr>
        <w:pStyle w:val="17"/>
        <w:keepNext w:val="0"/>
        <w:keepLines w:val="0"/>
        <w:pageBreakBefore w:val="0"/>
        <w:numPr>
          <w:ilvl w:val="0"/>
          <w:numId w:val="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0FF5D271">
      <w:pPr>
        <w:pStyle w:val="17"/>
        <w:keepNext w:val="0"/>
        <w:keepLines w:val="0"/>
        <w:pageBreakBefore w:val="0"/>
        <w:numPr>
          <w:ilvl w:val="0"/>
          <w:numId w:val="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34EDB5DD">
      <w:pPr>
        <w:pStyle w:val="17"/>
        <w:keepNext w:val="0"/>
        <w:keepLines w:val="0"/>
        <w:pageBreakBefore w:val="0"/>
        <w:numPr>
          <w:ilvl w:val="0"/>
          <w:numId w:val="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30FCD915">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147333FE">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DAF8526">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29C6CE50">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7F8D75CC">
      <w:pPr>
        <w:pStyle w:val="17"/>
        <w:keepNext w:val="0"/>
        <w:keepLines w:val="0"/>
        <w:pageBreakBefore w:val="0"/>
        <w:numPr>
          <w:ilvl w:val="0"/>
          <w:numId w:val="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lang w:val="en-US" w:eastAsia="zh-CN"/>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14</w:t>
      </w:r>
      <w:r>
        <w:rPr>
          <w:color w:val="000000" w:themeColor="text1"/>
          <w:highlight w:val="none"/>
          <w14:textFill>
            <w14:solidFill>
              <w14:schemeClr w14:val="tx1"/>
            </w14:solidFill>
          </w14:textFill>
        </w:rPr>
        <w:t>日上午09:00至2025年</w:t>
      </w:r>
      <w:r>
        <w:rPr>
          <w:rFonts w:hint="eastAsia"/>
          <w:color w:val="000000" w:themeColor="text1"/>
          <w:highlight w:val="none"/>
          <w:lang w:val="en-US" w:eastAsia="zh-CN"/>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color w:val="000000" w:themeColor="text1"/>
          <w:highlight w:val="none"/>
          <w14:textFill>
            <w14:solidFill>
              <w14:schemeClr w14:val="tx1"/>
            </w14:solidFill>
          </w14:textFill>
        </w:rPr>
        <w:t>日17:00（北京时间）</w:t>
      </w:r>
    </w:p>
    <w:p w14:paraId="15804C34">
      <w:pPr>
        <w:pStyle w:val="17"/>
        <w:keepNext w:val="0"/>
        <w:keepLines w:val="0"/>
        <w:pageBreakBefore w:val="0"/>
        <w:numPr>
          <w:ilvl w:val="0"/>
          <w:numId w:val="6"/>
        </w:numPr>
        <w:kinsoku/>
        <w:overflowPunct/>
        <w:topLinePunct w:val="0"/>
        <w:bidi w:val="0"/>
        <w:spacing w:line="360" w:lineRule="auto"/>
        <w:ind w:firstLineChars="0"/>
        <w:rPr>
          <w:rFonts w:hint="eastAsia" w:asciiTheme="majorEastAsia" w:hAnsiTheme="majorEastAsia" w:eastAsiaTheme="majorEastAsia"/>
          <w:sz w:val="24"/>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 w:val="24"/>
          <w:szCs w:val="24"/>
          <w:highlight w:val="none"/>
        </w:rPr>
        <w:t>通过“招标代理机构”的电子平台获取</w:t>
      </w:r>
      <w:r>
        <w:rPr>
          <w:rFonts w:hint="eastAsia" w:asciiTheme="majorEastAsia" w:hAnsiTheme="majorEastAsia" w:eastAsiaTheme="majorEastAsia"/>
          <w:sz w:val="24"/>
          <w:szCs w:val="24"/>
          <w:highlight w:val="none"/>
          <w:lang w:eastAsia="zh-CN"/>
        </w:rPr>
        <w:t>比选文件</w:t>
      </w:r>
      <w:r>
        <w:rPr>
          <w:rFonts w:asciiTheme="majorEastAsia" w:hAnsiTheme="majorEastAsia" w:eastAsiaTheme="majorEastAsia"/>
          <w:sz w:val="24"/>
          <w:szCs w:val="24"/>
          <w:highlight w:val="none"/>
        </w:rPr>
        <w:t>。</w:t>
      </w:r>
    </w:p>
    <w:p w14:paraId="69A5BEAC">
      <w:pPr>
        <w:keepNext w:val="0"/>
        <w:keepLines w:val="0"/>
        <w:pageBreakBefore w:val="0"/>
        <w:kinsoku/>
        <w:overflowPunct/>
        <w:topLinePunct w:val="0"/>
        <w:bidi w:val="0"/>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元（人民币），售后不退。通过“招标代理机构”的电子平台进行文件费支付及网上获取比选文件。通过以下两种方式之一（a或b）即可进行费用支付。</w:t>
      </w:r>
    </w:p>
    <w:p w14:paraId="70032A0C">
      <w:pPr>
        <w:keepNext w:val="0"/>
        <w:keepLines w:val="0"/>
        <w:pageBreakBefore w:val="0"/>
        <w:kinsoku/>
        <w:overflowPunct/>
        <w:topLinePunct w:val="0"/>
        <w:bidi w:val="0"/>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获取时间内关注微信公众号“采易招”点击“公共服务”-“投标登记”-“公开项目/邀请项目”找到相应的项目进行登记，并进行报名材料上传及支付。</w:t>
      </w:r>
    </w:p>
    <w:p w14:paraId="0F4C93C2">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https://www.gpdi.com/homepage/)，注册登录</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步骤详细操作指引见“采易招”电子采购与招标</w:t>
      </w:r>
      <w:r>
        <w:rPr>
          <w:rFonts w:hint="eastAsia" w:asciiTheme="majorEastAsia" w:hAnsiTheme="majorEastAsia" w:eastAsiaTheme="majorEastAsia"/>
          <w:sz w:val="24"/>
          <w:szCs w:val="24"/>
          <w:highlight w:val="none"/>
          <w:lang w:eastAsia="zh-CN"/>
        </w:rPr>
        <w:t>平台(</w:t>
      </w:r>
      <w:r>
        <w:rPr>
          <w:rFonts w:hint="eastAsia" w:asciiTheme="majorEastAsia" w:hAnsiTheme="majorEastAsia" w:eastAsiaTheme="majorEastAsia"/>
          <w:sz w:val="24"/>
          <w:szCs w:val="24"/>
          <w:highlight w:val="none"/>
        </w:rPr>
        <w:t>https://www.gpdi.com/homepage/)--服务指南--供应商操作手册</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后，点击“我要报名”找到相应的项目进行登记，并进行报名材料上传及支付</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文件的自助获取。</w:t>
      </w:r>
      <w:r>
        <w:rPr>
          <w:rFonts w:asciiTheme="majorEastAsia" w:hAnsiTheme="majorEastAsia" w:eastAsiaTheme="majorEastAsia"/>
          <w:sz w:val="24"/>
          <w:szCs w:val="24"/>
          <w:highlight w:val="none"/>
        </w:rPr>
        <w:t xml:space="preserve"> </w:t>
      </w:r>
    </w:p>
    <w:p w14:paraId="409264CB">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“采易招”报名审核的说明：</w:t>
      </w:r>
    </w:p>
    <w:p w14:paraId="3F7DA594">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①报名审核报名材料：（1）单位营业执照扫描件（加盖公章）；（2）法人代表证明书扫描件（加盖公章）；（3）法定代表人授权委托书扫描件（加盖公章）（按顺序上即可）；</w:t>
      </w:r>
    </w:p>
    <w:p w14:paraId="14D99C92">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②“采易招”客服支撑QQ：2604586483（工作日8:30-12:00，下午2:30-5:30）。</w:t>
      </w:r>
      <w:r>
        <w:rPr>
          <w:rFonts w:hint="eastAsia" w:ascii="宋体" w:hAnsi="宋体" w:cs="宋体"/>
          <w:color w:val="000000"/>
          <w:sz w:val="24"/>
          <w:highlight w:val="none"/>
        </w:rPr>
        <w:t>该QQ仅解决“采易招”系统问题，业务相关问题请详询公告“</w:t>
      </w:r>
      <w:r>
        <w:rPr>
          <w:rFonts w:hint="eastAsia" w:ascii="宋体" w:hAnsi="宋体" w:cs="宋体"/>
          <w:b/>
          <w:bCs/>
          <w:color w:val="000000"/>
          <w:sz w:val="24"/>
          <w:szCs w:val="24"/>
          <w:highlight w:val="none"/>
          <w:lang w:val="en-US" w:eastAsia="zh-CN"/>
        </w:rPr>
        <w:t>八、</w:t>
      </w:r>
      <w:r>
        <w:rPr>
          <w:b/>
          <w:bCs/>
          <w:color w:val="000000" w:themeColor="text1"/>
          <w:sz w:val="24"/>
          <w:szCs w:val="24"/>
          <w:highlight w:val="none"/>
          <w14:textFill>
            <w14:solidFill>
              <w14:schemeClr w14:val="tx1"/>
            </w14:solidFill>
          </w14:textFill>
        </w:rPr>
        <w:t>对本次采购提出询问，请按以下方式联系</w:t>
      </w:r>
      <w:r>
        <w:rPr>
          <w:rFonts w:hint="eastAsia" w:ascii="宋体" w:hAnsi="宋体" w:cs="宋体"/>
          <w:color w:val="000000"/>
          <w:sz w:val="24"/>
          <w:highlight w:val="none"/>
        </w:rPr>
        <w:t>”中的联系</w:t>
      </w:r>
      <w:r>
        <w:rPr>
          <w:rFonts w:hint="eastAsia" w:ascii="宋体" w:hAnsi="宋体" w:cs="宋体"/>
          <w:color w:val="000000"/>
          <w:sz w:val="24"/>
          <w:highlight w:val="none"/>
          <w:lang w:val="en-US" w:eastAsia="zh-CN"/>
        </w:rPr>
        <w:t>人。</w:t>
      </w:r>
    </w:p>
    <w:p w14:paraId="413CC87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507627C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4084BEE1">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651A8DA">
      <w:pPr>
        <w:pStyle w:val="17"/>
        <w:keepNext w:val="0"/>
        <w:keepLines w:val="0"/>
        <w:pageBreakBefore w:val="0"/>
        <w:kinsoku/>
        <w:overflowPunct/>
        <w:topLinePunct w:val="0"/>
        <w:bidi w:val="0"/>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21</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79848DC9">
      <w:pPr>
        <w:pStyle w:val="17"/>
        <w:keepNext w:val="0"/>
        <w:keepLines w:val="0"/>
        <w:pageBreakBefore w:val="0"/>
        <w:kinsoku/>
        <w:overflowPunct/>
        <w:topLinePunct w:val="0"/>
        <w:bidi w:val="0"/>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21</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0062F654">
      <w:pPr>
        <w:pStyle w:val="17"/>
        <w:keepNext w:val="0"/>
        <w:keepLines w:val="0"/>
        <w:pageBreakBefore w:val="0"/>
        <w:kinsoku/>
        <w:overflowPunct/>
        <w:topLinePunct w:val="0"/>
        <w:bidi w:val="0"/>
        <w:spacing w:line="360" w:lineRule="auto"/>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地点：南京市</w:t>
      </w:r>
      <w:r>
        <w:rPr>
          <w:rFonts w:hint="eastAsia"/>
          <w:color w:val="000000" w:themeColor="text1"/>
          <w:highlight w:val="none"/>
          <w:lang w:val="en-US" w:eastAsia="zh-CN"/>
          <w14:textFill>
            <w14:solidFill>
              <w14:schemeClr w14:val="tx1"/>
            </w14:solidFill>
          </w14:textFill>
        </w:rPr>
        <w:t>浦口区万寿路149号万象企业中心B 12栋9楼会议室一</w:t>
      </w:r>
    </w:p>
    <w:p w14:paraId="0343EF26">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18E21F87">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4DBFCB03">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76640B7B">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7B6F8BD1">
      <w:pPr>
        <w:pStyle w:val="17"/>
        <w:keepNext w:val="0"/>
        <w:keepLines w:val="0"/>
        <w:pageBreakBefore w:val="0"/>
        <w:numPr>
          <w:ilvl w:val="0"/>
          <w:numId w:val="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含视频演示（如有））</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响应文件</w:t>
      </w:r>
      <w:r>
        <w:rPr>
          <w:color w:val="000000" w:themeColor="text1"/>
          <w:highlight w:val="none"/>
          <w14:textFill>
            <w14:solidFill>
              <w14:schemeClr w14:val="tx1"/>
            </w14:solidFill>
          </w14:textFill>
        </w:rPr>
        <w:t>一般应为PDF格式、</w:t>
      </w:r>
      <w:r>
        <w:rPr>
          <w:rFonts w:hint="eastAsia"/>
          <w:color w:val="000000" w:themeColor="text1"/>
          <w:highlight w:val="none"/>
          <w:lang w:val="en-US" w:eastAsia="zh-CN"/>
          <w14:textFill>
            <w14:solidFill>
              <w14:schemeClr w14:val="tx1"/>
            </w14:solidFill>
          </w14:textFill>
        </w:rPr>
        <w:t>视频须为MP4等格式的视频，</w:t>
      </w:r>
      <w:r>
        <w:rPr>
          <w:color w:val="000000" w:themeColor="text1"/>
          <w:highlight w:val="none"/>
          <w14:textFill>
            <w14:solidFill>
              <w14:schemeClr w14:val="tx1"/>
            </w14:solidFill>
          </w14:textFill>
        </w:rPr>
        <w:t>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3E0C1853">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045B6EE1">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11496FDF">
      <w:pPr>
        <w:pStyle w:val="17"/>
        <w:keepNext w:val="0"/>
        <w:keepLines w:val="0"/>
        <w:pageBreakBefore w:val="0"/>
        <w:numPr>
          <w:ilvl w:val="0"/>
          <w:numId w:val="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36D3007E">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1.</w:t>
      </w:r>
      <w:r>
        <w:rPr>
          <w:color w:val="000000" w:themeColor="text1"/>
          <w:highlight w:val="none"/>
          <w14:textFill>
            <w14:solidFill>
              <w14:schemeClr w14:val="tx1"/>
            </w14:solidFill>
          </w14:textFill>
        </w:rPr>
        <w:t>采购人信息</w:t>
      </w:r>
    </w:p>
    <w:p w14:paraId="4F905B15">
      <w:pPr>
        <w:pStyle w:val="17"/>
        <w:keepNext w:val="0"/>
        <w:keepLines w:val="0"/>
        <w:pageBreakBefore w:val="0"/>
        <w:kinsoku/>
        <w:overflowPunct/>
        <w:topLinePunct w:val="0"/>
        <w:bidi w:val="0"/>
        <w:spacing w:line="360" w:lineRule="auto"/>
        <w:ind w:firstLine="480"/>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名称：南京邮电大学</w:t>
      </w:r>
      <w:r>
        <w:rPr>
          <w:rFonts w:hint="eastAsia"/>
          <w:color w:val="000000" w:themeColor="text1"/>
          <w:highlight w:val="none"/>
          <w:lang w:val="en-US" w:eastAsia="zh-CN"/>
          <w14:textFill>
            <w14:solidFill>
              <w14:schemeClr w14:val="tx1"/>
            </w14:solidFill>
          </w14:textFill>
        </w:rPr>
        <w:t>通达学院</w:t>
      </w:r>
    </w:p>
    <w:p w14:paraId="10CE9D5F">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江苏省扬州市润扬南路33号</w:t>
      </w:r>
    </w:p>
    <w:p w14:paraId="616D4C76">
      <w:pPr>
        <w:pStyle w:val="17"/>
        <w:keepNext w:val="0"/>
        <w:keepLines w:val="0"/>
        <w:pageBreakBefore w:val="0"/>
        <w:kinsoku/>
        <w:overflowPunct/>
        <w:topLinePunct w:val="0"/>
        <w:bidi w:val="0"/>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518E3FD1">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568D09C6">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2.</w:t>
      </w:r>
      <w:r>
        <w:rPr>
          <w:color w:val="000000" w:themeColor="text1"/>
          <w:highlight w:val="none"/>
          <w14:textFill>
            <w14:solidFill>
              <w14:schemeClr w14:val="tx1"/>
            </w14:solidFill>
          </w14:textFill>
        </w:rPr>
        <w:t>采购代理机构信息</w:t>
      </w:r>
    </w:p>
    <w:p w14:paraId="1BD0BA00">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 </w:t>
      </w:r>
      <w:r>
        <w:rPr>
          <w:rFonts w:asciiTheme="majorEastAsia" w:hAnsiTheme="majorEastAsia" w:eastAsiaTheme="majorEastAsia"/>
          <w:sz w:val="24"/>
          <w:szCs w:val="24"/>
          <w:highlight w:val="none"/>
        </w:rPr>
        <w:t>广东省电信规划设计院有限公司</w:t>
      </w:r>
    </w:p>
    <w:p w14:paraId="33CDAE4F">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asciiTheme="majorEastAsia" w:hAnsiTheme="majorEastAsia" w:eastAsiaTheme="majorEastAsia"/>
          <w:sz w:val="24"/>
          <w:szCs w:val="24"/>
          <w:highlight w:val="none"/>
        </w:rPr>
        <w:t>南京市浦口区万寿路149号万象企业中心B12栋9楼</w:t>
      </w:r>
    </w:p>
    <w:p w14:paraId="10B2449D">
      <w:pPr>
        <w:keepNext w:val="0"/>
        <w:keepLines w:val="0"/>
        <w:pageBreakBefore w:val="0"/>
        <w:kinsoku/>
        <w:overflowPunct/>
        <w:topLinePunct w:val="0"/>
        <w:bidi w:val="0"/>
        <w:adjustRightInd w:val="0"/>
        <w:snapToGrid w:val="0"/>
        <w:spacing w:line="360" w:lineRule="auto"/>
        <w:ind w:firstLine="420" w:firstLineChars="2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asciiTheme="majorEastAsia" w:hAnsiTheme="majorEastAsia" w:eastAsiaTheme="majorEastAsia"/>
          <w:sz w:val="24"/>
          <w:szCs w:val="24"/>
          <w:highlight w:val="none"/>
        </w:rPr>
        <w:t>13901582163</w:t>
      </w:r>
    </w:p>
    <w:p w14:paraId="29723266">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3.</w:t>
      </w:r>
      <w:r>
        <w:rPr>
          <w:color w:val="000000" w:themeColor="text1"/>
          <w:highlight w:val="none"/>
          <w14:textFill>
            <w14:solidFill>
              <w14:schemeClr w14:val="tx1"/>
            </w14:solidFill>
          </w14:textFill>
        </w:rPr>
        <w:t>项目联系方式</w:t>
      </w:r>
    </w:p>
    <w:p w14:paraId="62540CF7">
      <w:pPr>
        <w:keepNext w:val="0"/>
        <w:keepLines w:val="0"/>
        <w:pageBreakBefore w:val="0"/>
        <w:kinsoku/>
        <w:overflowPunct/>
        <w:topLinePunct w:val="0"/>
        <w:bidi w:val="0"/>
        <w:adjustRightInd w:val="0"/>
        <w:snapToGrid w:val="0"/>
        <w:spacing w:line="360" w:lineRule="auto"/>
        <w:ind w:firstLine="420" w:firstLineChars="2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项目联系人： </w:t>
      </w:r>
      <w:r>
        <w:rPr>
          <w:rFonts w:asciiTheme="majorEastAsia" w:hAnsiTheme="majorEastAsia" w:eastAsiaTheme="majorEastAsia"/>
          <w:sz w:val="24"/>
          <w:szCs w:val="24"/>
          <w:highlight w:val="none"/>
        </w:rPr>
        <w:t>卜彩霞</w:t>
      </w:r>
      <w:r>
        <w:rPr>
          <w:rFonts w:hint="eastAsia" w:asciiTheme="majorEastAsia" w:hAnsiTheme="majorEastAsia" w:eastAsiaTheme="majorEastAsia"/>
          <w:sz w:val="24"/>
          <w:szCs w:val="24"/>
          <w:highlight w:val="none"/>
        </w:rPr>
        <w:t>、王永琰、</w:t>
      </w:r>
      <w:r>
        <w:rPr>
          <w:rFonts w:asciiTheme="majorEastAsia" w:hAnsiTheme="majorEastAsia" w:eastAsiaTheme="majorEastAsia"/>
          <w:sz w:val="24"/>
          <w:szCs w:val="24"/>
          <w:highlight w:val="none"/>
        </w:rPr>
        <w:t>蒋卫林</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徐康康</w:t>
      </w:r>
    </w:p>
    <w:p w14:paraId="089ED94D">
      <w:pPr>
        <w:keepNext w:val="0"/>
        <w:keepLines w:val="0"/>
        <w:pageBreakBefore w:val="0"/>
        <w:kinsoku/>
        <w:overflowPunct/>
        <w:topLinePunct w:val="0"/>
        <w:bidi w:val="0"/>
        <w:adjustRightInd w:val="0"/>
        <w:snapToGrid w:val="0"/>
        <w:spacing w:line="360" w:lineRule="auto"/>
        <w:ind w:firstLine="420" w:firstLineChars="2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asciiTheme="majorEastAsia" w:hAnsiTheme="majorEastAsia" w:eastAsiaTheme="majorEastAsia"/>
          <w:sz w:val="24"/>
          <w:szCs w:val="24"/>
          <w:highlight w:val="none"/>
        </w:rPr>
        <w:t>13901582163</w:t>
      </w:r>
    </w:p>
    <w:p w14:paraId="7B789698">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85"/>
      <w:bookmarkStart w:id="3" w:name="_Toc35393796"/>
      <w:bookmarkStart w:id="4" w:name="_Toc28359008"/>
      <w:bookmarkStart w:id="5" w:name="_Toc35393627"/>
    </w:p>
    <w:bookmarkEnd w:id="2"/>
    <w:bookmarkEnd w:id="3"/>
    <w:bookmarkEnd w:id="4"/>
    <w:bookmarkEnd w:id="5"/>
    <w:p w14:paraId="364180B1">
      <w:pPr>
        <w:keepNext w:val="0"/>
        <w:keepLines w:val="0"/>
        <w:pageBreakBefore w:val="0"/>
        <w:kinsoku/>
        <w:overflowPunct/>
        <w:topLinePunct w:val="0"/>
        <w:bidi w:val="0"/>
        <w:spacing w:line="360" w:lineRule="auto"/>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5FAEBBF8">
      <w:pPr>
        <w:pStyle w:val="264"/>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6381D506">
      <w:pPr>
        <w:pStyle w:val="17"/>
        <w:keepNext w:val="0"/>
        <w:keepLines w:val="0"/>
        <w:pageBreakBefore w:val="0"/>
        <w:numPr>
          <w:ilvl w:val="0"/>
          <w:numId w:val="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5EB513CA">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330E7DDC">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15C94447">
      <w:pPr>
        <w:pStyle w:val="17"/>
        <w:keepNext w:val="0"/>
        <w:keepLines w:val="0"/>
        <w:pageBreakBefore w:val="0"/>
        <w:kinsoku/>
        <w:overflowPunct/>
        <w:topLinePunct w:val="0"/>
        <w:bidi w:val="0"/>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463E09A3">
      <w:pPr>
        <w:pStyle w:val="17"/>
        <w:keepNext w:val="0"/>
        <w:keepLines w:val="0"/>
        <w:pageBreakBefore w:val="0"/>
        <w:numPr>
          <w:ilvl w:val="0"/>
          <w:numId w:val="9"/>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3E533173">
      <w:pPr>
        <w:pStyle w:val="17"/>
        <w:keepNext w:val="0"/>
        <w:keepLines w:val="0"/>
        <w:pageBreakBefore w:val="0"/>
        <w:numPr>
          <w:ilvl w:val="0"/>
          <w:numId w:val="9"/>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66DAF307">
      <w:pPr>
        <w:pStyle w:val="17"/>
        <w:keepNext w:val="0"/>
        <w:keepLines w:val="0"/>
        <w:pageBreakBefore w:val="0"/>
        <w:numPr>
          <w:ilvl w:val="0"/>
          <w:numId w:val="9"/>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4CC69399">
      <w:pPr>
        <w:pStyle w:val="17"/>
        <w:keepNext w:val="0"/>
        <w:keepLines w:val="0"/>
        <w:pageBreakBefore w:val="0"/>
        <w:numPr>
          <w:ilvl w:val="0"/>
          <w:numId w:val="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00F00798">
      <w:pPr>
        <w:pStyle w:val="17"/>
        <w:keepNext w:val="0"/>
        <w:keepLines w:val="0"/>
        <w:pageBreakBefore w:val="0"/>
        <w:kinsoku/>
        <w:overflowPunct/>
        <w:topLinePunct w:val="0"/>
        <w:bidi w:val="0"/>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7AE2731F">
      <w:pPr>
        <w:pStyle w:val="17"/>
        <w:keepNext w:val="0"/>
        <w:keepLines w:val="0"/>
        <w:pageBreakBefore w:val="0"/>
        <w:numPr>
          <w:ilvl w:val="0"/>
          <w:numId w:val="1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1F0932A4">
      <w:pPr>
        <w:pStyle w:val="17"/>
        <w:keepNext w:val="0"/>
        <w:keepLines w:val="0"/>
        <w:pageBreakBefore w:val="0"/>
        <w:numPr>
          <w:ilvl w:val="0"/>
          <w:numId w:val="1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08AFA53E">
      <w:pPr>
        <w:pStyle w:val="17"/>
        <w:keepNext w:val="0"/>
        <w:keepLines w:val="0"/>
        <w:pageBreakBefore w:val="0"/>
        <w:widowControl/>
        <w:numPr>
          <w:ilvl w:val="0"/>
          <w:numId w:val="1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2BDBA9C6">
      <w:pPr>
        <w:pStyle w:val="17"/>
        <w:keepNext w:val="0"/>
        <w:keepLines w:val="0"/>
        <w:pageBreakBefore w:val="0"/>
        <w:kinsoku/>
        <w:overflowPunct/>
        <w:topLinePunct w:val="0"/>
        <w:bidi w:val="0"/>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4072AB75">
      <w:pPr>
        <w:pStyle w:val="17"/>
        <w:keepNext w:val="0"/>
        <w:keepLines w:val="0"/>
        <w:pageBreakBefore w:val="0"/>
        <w:numPr>
          <w:ilvl w:val="0"/>
          <w:numId w:val="1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0879666D">
      <w:pPr>
        <w:pStyle w:val="17"/>
        <w:keepNext w:val="0"/>
        <w:keepLines w:val="0"/>
        <w:pageBreakBefore w:val="0"/>
        <w:numPr>
          <w:ilvl w:val="0"/>
          <w:numId w:val="1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263EEBED">
      <w:pPr>
        <w:pStyle w:val="17"/>
        <w:keepNext w:val="0"/>
        <w:keepLines w:val="0"/>
        <w:pageBreakBefore w:val="0"/>
        <w:numPr>
          <w:ilvl w:val="0"/>
          <w:numId w:val="1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7F18E1EC">
      <w:pPr>
        <w:pStyle w:val="17"/>
        <w:keepNext w:val="0"/>
        <w:keepLines w:val="0"/>
        <w:pageBreakBefore w:val="0"/>
        <w:numPr>
          <w:ilvl w:val="0"/>
          <w:numId w:val="8"/>
        </w:numPr>
        <w:kinsoku/>
        <w:overflowPunct/>
        <w:topLinePunct w:val="0"/>
        <w:bidi w:val="0"/>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7A789580">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5850A806">
      <w:pPr>
        <w:pStyle w:val="17"/>
        <w:keepNext w:val="0"/>
        <w:keepLines w:val="0"/>
        <w:pageBreakBefore w:val="0"/>
        <w:numPr>
          <w:ilvl w:val="0"/>
          <w:numId w:val="1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3C5703F2">
      <w:pPr>
        <w:pStyle w:val="17"/>
        <w:keepNext w:val="0"/>
        <w:keepLines w:val="0"/>
        <w:pageBreakBefore w:val="0"/>
        <w:numPr>
          <w:ilvl w:val="0"/>
          <w:numId w:val="1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25B934B3">
      <w:pPr>
        <w:pStyle w:val="17"/>
        <w:keepNext w:val="0"/>
        <w:keepLines w:val="0"/>
        <w:pageBreakBefore w:val="0"/>
        <w:numPr>
          <w:ilvl w:val="0"/>
          <w:numId w:val="1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7C24CAEB">
      <w:pPr>
        <w:pStyle w:val="17"/>
        <w:keepNext w:val="0"/>
        <w:keepLines w:val="0"/>
        <w:pageBreakBefore w:val="0"/>
        <w:numPr>
          <w:ilvl w:val="0"/>
          <w:numId w:val="1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07D9EC35">
      <w:pPr>
        <w:pStyle w:val="17"/>
        <w:keepNext w:val="0"/>
        <w:keepLines w:val="0"/>
        <w:pageBreakBefore w:val="0"/>
        <w:numPr>
          <w:ilvl w:val="0"/>
          <w:numId w:val="1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2A771921">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64DAD80F">
      <w:pPr>
        <w:pStyle w:val="17"/>
        <w:keepNext w:val="0"/>
        <w:keepLines w:val="0"/>
        <w:pageBreakBefore w:val="0"/>
        <w:numPr>
          <w:ilvl w:val="0"/>
          <w:numId w:val="1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0A89E70">
      <w:pPr>
        <w:pStyle w:val="17"/>
        <w:keepNext w:val="0"/>
        <w:keepLines w:val="0"/>
        <w:pageBreakBefore w:val="0"/>
        <w:numPr>
          <w:ilvl w:val="0"/>
          <w:numId w:val="1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136BAE66">
      <w:pPr>
        <w:pStyle w:val="17"/>
        <w:keepNext w:val="0"/>
        <w:keepLines w:val="0"/>
        <w:pageBreakBefore w:val="0"/>
        <w:numPr>
          <w:ilvl w:val="0"/>
          <w:numId w:val="1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22515D9F">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0B5A4F40">
      <w:pPr>
        <w:pStyle w:val="17"/>
        <w:keepNext w:val="0"/>
        <w:keepLines w:val="0"/>
        <w:pageBreakBefore w:val="0"/>
        <w:numPr>
          <w:ilvl w:val="0"/>
          <w:numId w:val="1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504B3EA3">
      <w:pPr>
        <w:pStyle w:val="17"/>
        <w:keepNext w:val="0"/>
        <w:keepLines w:val="0"/>
        <w:pageBreakBefore w:val="0"/>
        <w:numPr>
          <w:ilvl w:val="0"/>
          <w:numId w:val="1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lang w:eastAsia="zh-CN"/>
          <w14:textFill>
            <w14:solidFill>
              <w14:schemeClr w14:val="tx1"/>
            </w14:solidFill>
          </w14:textFill>
        </w:rPr>
        <w:t>〔2011〕</w:t>
      </w:r>
      <w:r>
        <w:rPr>
          <w:color w:val="000000" w:themeColor="text1"/>
          <w:highlight w:val="none"/>
          <w14:textFill>
            <w14:solidFill>
              <w14:schemeClr w14:val="tx1"/>
            </w14:solidFill>
          </w14:textFill>
        </w:rPr>
        <w:t>534 号）所列采购代理服务费收费标准下浮</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58</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%（优惠率）收取。代理服务费包括所供服务相关的所有费用，工程类采购代理项目报价包含编制工程量清单、确定招标控制价等所有费用。</w:t>
      </w:r>
    </w:p>
    <w:p w14:paraId="5ECEB15A">
      <w:pPr>
        <w:pStyle w:val="17"/>
        <w:keepNext w:val="0"/>
        <w:keepLines w:val="0"/>
        <w:pageBreakBefore w:val="0"/>
        <w:numPr>
          <w:ilvl w:val="0"/>
          <w:numId w:val="1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FC51FB1">
      <w:pPr>
        <w:pStyle w:val="17"/>
        <w:keepNext w:val="0"/>
        <w:keepLines w:val="0"/>
        <w:pageBreakBefore w:val="0"/>
        <w:numPr>
          <w:ilvl w:val="0"/>
          <w:numId w:val="1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4FFE8391">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79AD2FC4">
      <w:pPr>
        <w:pStyle w:val="17"/>
        <w:keepNext w:val="0"/>
        <w:keepLines w:val="0"/>
        <w:pageBreakBefore w:val="0"/>
        <w:numPr>
          <w:ilvl w:val="0"/>
          <w:numId w:val="1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5B558B6">
      <w:pPr>
        <w:pStyle w:val="17"/>
        <w:keepNext w:val="0"/>
        <w:keepLines w:val="0"/>
        <w:pageBreakBefore w:val="0"/>
        <w:numPr>
          <w:ilvl w:val="0"/>
          <w:numId w:val="1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1E372226">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0D871033">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2D626F37">
      <w:pPr>
        <w:pStyle w:val="17"/>
        <w:keepNext w:val="0"/>
        <w:keepLines w:val="0"/>
        <w:pageBreakBefore w:val="0"/>
        <w:widowControl/>
        <w:numPr>
          <w:ilvl w:val="0"/>
          <w:numId w:val="1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5253761F">
      <w:pPr>
        <w:pStyle w:val="17"/>
        <w:keepNext w:val="0"/>
        <w:keepLines w:val="0"/>
        <w:pageBreakBefore w:val="0"/>
        <w:widowControl/>
        <w:numPr>
          <w:ilvl w:val="0"/>
          <w:numId w:val="1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4341B033">
      <w:pPr>
        <w:pStyle w:val="17"/>
        <w:keepNext w:val="0"/>
        <w:keepLines w:val="0"/>
        <w:pageBreakBefore w:val="0"/>
        <w:widowControl/>
        <w:numPr>
          <w:ilvl w:val="0"/>
          <w:numId w:val="1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6CFA2DD5">
      <w:pPr>
        <w:pStyle w:val="17"/>
        <w:keepNext w:val="0"/>
        <w:keepLines w:val="0"/>
        <w:pageBreakBefore w:val="0"/>
        <w:widowControl/>
        <w:numPr>
          <w:ilvl w:val="0"/>
          <w:numId w:val="1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1150C880">
      <w:pPr>
        <w:pStyle w:val="17"/>
        <w:keepNext w:val="0"/>
        <w:keepLines w:val="0"/>
        <w:pageBreakBefore w:val="0"/>
        <w:numPr>
          <w:ilvl w:val="0"/>
          <w:numId w:val="1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4B708E80">
      <w:pPr>
        <w:pStyle w:val="17"/>
        <w:keepNext w:val="0"/>
        <w:keepLines w:val="0"/>
        <w:pageBreakBefore w:val="0"/>
        <w:numPr>
          <w:ilvl w:val="0"/>
          <w:numId w:val="1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6D0A3948">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1B463A68">
      <w:pPr>
        <w:pStyle w:val="17"/>
        <w:keepNext w:val="0"/>
        <w:keepLines w:val="0"/>
        <w:pageBreakBefore w:val="0"/>
        <w:numPr>
          <w:ilvl w:val="0"/>
          <w:numId w:val="1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7ED8FE56">
      <w:pPr>
        <w:pStyle w:val="17"/>
        <w:keepNext w:val="0"/>
        <w:keepLines w:val="0"/>
        <w:pageBreakBefore w:val="0"/>
        <w:numPr>
          <w:ilvl w:val="0"/>
          <w:numId w:val="1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3CE7C581">
      <w:pPr>
        <w:pStyle w:val="17"/>
        <w:keepNext w:val="0"/>
        <w:keepLines w:val="0"/>
        <w:pageBreakBefore w:val="0"/>
        <w:numPr>
          <w:ilvl w:val="0"/>
          <w:numId w:val="1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588BB5D7">
      <w:pPr>
        <w:pStyle w:val="17"/>
        <w:keepNext w:val="0"/>
        <w:keepLines w:val="0"/>
        <w:pageBreakBefore w:val="0"/>
        <w:numPr>
          <w:ilvl w:val="0"/>
          <w:numId w:val="1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607CB482">
      <w:pPr>
        <w:pStyle w:val="17"/>
        <w:keepNext w:val="0"/>
        <w:keepLines w:val="0"/>
        <w:pageBreakBefore w:val="0"/>
        <w:numPr>
          <w:ilvl w:val="0"/>
          <w:numId w:val="1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496D88E3">
      <w:pPr>
        <w:pStyle w:val="17"/>
        <w:keepNext w:val="0"/>
        <w:keepLines w:val="0"/>
        <w:pageBreakBefore w:val="0"/>
        <w:numPr>
          <w:ilvl w:val="0"/>
          <w:numId w:val="1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2EDD0254">
      <w:pPr>
        <w:pStyle w:val="17"/>
        <w:keepNext w:val="0"/>
        <w:keepLines w:val="0"/>
        <w:pageBreakBefore w:val="0"/>
        <w:numPr>
          <w:ilvl w:val="0"/>
          <w:numId w:val="1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7D9813AA">
      <w:pPr>
        <w:pStyle w:val="17"/>
        <w:keepNext w:val="0"/>
        <w:keepLines w:val="0"/>
        <w:pageBreakBefore w:val="0"/>
        <w:widowControl/>
        <w:numPr>
          <w:ilvl w:val="0"/>
          <w:numId w:val="1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1F851143">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58105EC4">
      <w:pPr>
        <w:pStyle w:val="17"/>
        <w:keepNext w:val="0"/>
        <w:keepLines w:val="0"/>
        <w:pageBreakBefore w:val="0"/>
        <w:numPr>
          <w:ilvl w:val="0"/>
          <w:numId w:val="2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4FF014B9">
      <w:pPr>
        <w:pStyle w:val="17"/>
        <w:keepNext w:val="0"/>
        <w:keepLines w:val="0"/>
        <w:pageBreakBefore w:val="0"/>
        <w:numPr>
          <w:ilvl w:val="0"/>
          <w:numId w:val="2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11011097">
      <w:pPr>
        <w:pStyle w:val="17"/>
        <w:keepNext w:val="0"/>
        <w:keepLines w:val="0"/>
        <w:pageBreakBefore w:val="0"/>
        <w:numPr>
          <w:ilvl w:val="0"/>
          <w:numId w:val="2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283AED99">
      <w:pPr>
        <w:pStyle w:val="17"/>
        <w:keepNext w:val="0"/>
        <w:keepLines w:val="0"/>
        <w:pageBreakBefore w:val="0"/>
        <w:numPr>
          <w:ilvl w:val="0"/>
          <w:numId w:val="2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26D80A5B">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26259B39">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0984DACB">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51F661E1">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729C136C">
      <w:pPr>
        <w:pStyle w:val="17"/>
        <w:keepNext w:val="0"/>
        <w:keepLines w:val="0"/>
        <w:pageBreakBefore w:val="0"/>
        <w:numPr>
          <w:ilvl w:val="0"/>
          <w:numId w:val="2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0FD2E6B8">
      <w:pPr>
        <w:pStyle w:val="17"/>
        <w:keepNext w:val="0"/>
        <w:keepLines w:val="0"/>
        <w:pageBreakBefore w:val="0"/>
        <w:numPr>
          <w:ilvl w:val="0"/>
          <w:numId w:val="2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FC813A6">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58AEB588">
      <w:pPr>
        <w:pStyle w:val="17"/>
        <w:keepNext w:val="0"/>
        <w:keepLines w:val="0"/>
        <w:pageBreakBefore w:val="0"/>
        <w:numPr>
          <w:ilvl w:val="0"/>
          <w:numId w:val="2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39A02EFC">
      <w:pPr>
        <w:pStyle w:val="17"/>
        <w:keepNext w:val="0"/>
        <w:keepLines w:val="0"/>
        <w:pageBreakBefore w:val="0"/>
        <w:numPr>
          <w:ilvl w:val="0"/>
          <w:numId w:val="2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7EDCFDED">
      <w:pPr>
        <w:pStyle w:val="17"/>
        <w:keepNext w:val="0"/>
        <w:keepLines w:val="0"/>
        <w:pageBreakBefore w:val="0"/>
        <w:numPr>
          <w:ilvl w:val="0"/>
          <w:numId w:val="2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6B783283">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580DF4FA">
      <w:pPr>
        <w:pStyle w:val="17"/>
        <w:keepNext w:val="0"/>
        <w:keepLines w:val="0"/>
        <w:pageBreakBefore w:val="0"/>
        <w:numPr>
          <w:ilvl w:val="0"/>
          <w:numId w:val="2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477A7792">
      <w:pPr>
        <w:pStyle w:val="17"/>
        <w:keepNext w:val="0"/>
        <w:keepLines w:val="0"/>
        <w:pageBreakBefore w:val="0"/>
        <w:numPr>
          <w:ilvl w:val="0"/>
          <w:numId w:val="2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34366581">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455B023B">
      <w:pPr>
        <w:pStyle w:val="17"/>
        <w:keepNext w:val="0"/>
        <w:keepLines w:val="0"/>
        <w:pageBreakBefore w:val="0"/>
        <w:numPr>
          <w:ilvl w:val="0"/>
          <w:numId w:val="2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5FF6E5F5">
      <w:pPr>
        <w:pStyle w:val="17"/>
        <w:keepNext w:val="0"/>
        <w:keepLines w:val="0"/>
        <w:pageBreakBefore w:val="0"/>
        <w:numPr>
          <w:ilvl w:val="0"/>
          <w:numId w:val="2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6EDA9AA9">
      <w:pPr>
        <w:pStyle w:val="17"/>
        <w:keepNext w:val="0"/>
        <w:keepLines w:val="0"/>
        <w:pageBreakBefore w:val="0"/>
        <w:numPr>
          <w:ilvl w:val="0"/>
          <w:numId w:val="1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75CB3863">
      <w:pPr>
        <w:pStyle w:val="17"/>
        <w:keepNext w:val="0"/>
        <w:keepLines w:val="0"/>
        <w:pageBreakBefore w:val="0"/>
        <w:numPr>
          <w:ilvl w:val="0"/>
          <w:numId w:val="2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45F49B01">
      <w:pPr>
        <w:pStyle w:val="17"/>
        <w:keepNext w:val="0"/>
        <w:keepLines w:val="0"/>
        <w:pageBreakBefore w:val="0"/>
        <w:numPr>
          <w:ilvl w:val="0"/>
          <w:numId w:val="2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3E31AB24">
      <w:pPr>
        <w:pStyle w:val="17"/>
        <w:keepNext w:val="0"/>
        <w:keepLines w:val="0"/>
        <w:pageBreakBefore w:val="0"/>
        <w:numPr>
          <w:ilvl w:val="0"/>
          <w:numId w:val="8"/>
        </w:numPr>
        <w:kinsoku/>
        <w:overflowPunct/>
        <w:topLinePunct w:val="0"/>
        <w:bidi w:val="0"/>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74CAC44F">
      <w:pPr>
        <w:pStyle w:val="17"/>
        <w:keepNext w:val="0"/>
        <w:keepLines w:val="0"/>
        <w:pageBreakBefore w:val="0"/>
        <w:numPr>
          <w:ilvl w:val="0"/>
          <w:numId w:val="26"/>
        </w:numPr>
        <w:kinsoku/>
        <w:overflowPunct/>
        <w:topLinePunct w:val="0"/>
        <w:bidi w:val="0"/>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57657EEF">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2A760C21">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293BEF36">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7E575C29">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7D571546">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1A914376">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6766BC03">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5781DA05">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0FF71A10">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3F0CE6F4">
      <w:pPr>
        <w:pStyle w:val="17"/>
        <w:keepNext w:val="0"/>
        <w:keepLines w:val="0"/>
        <w:pageBreakBefore w:val="0"/>
        <w:numPr>
          <w:ilvl w:val="0"/>
          <w:numId w:val="2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3A3B89D1">
      <w:pPr>
        <w:pStyle w:val="17"/>
        <w:keepNext w:val="0"/>
        <w:keepLines w:val="0"/>
        <w:pageBreakBefore w:val="0"/>
        <w:kinsoku/>
        <w:overflowPunct/>
        <w:topLinePunct w:val="0"/>
        <w:bidi w:val="0"/>
        <w:spacing w:line="360" w:lineRule="auto"/>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含相关服务</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76FCCA38">
      <w:pPr>
        <w:pStyle w:val="17"/>
        <w:keepNext w:val="0"/>
        <w:keepLines w:val="0"/>
        <w:pageBreakBefore w:val="0"/>
        <w:kinsoku/>
        <w:overflowPunct/>
        <w:topLinePunct w:val="0"/>
        <w:bidi w:val="0"/>
        <w:spacing w:line="360" w:lineRule="auto"/>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6932543D">
      <w:pPr>
        <w:pStyle w:val="17"/>
        <w:keepNext w:val="0"/>
        <w:keepLines w:val="0"/>
        <w:pageBreakBefore w:val="0"/>
        <w:kinsoku/>
        <w:overflowPunct/>
        <w:topLinePunct w:val="0"/>
        <w:bidi w:val="0"/>
        <w:spacing w:line="360" w:lineRule="auto"/>
        <w:ind w:firstLineChars="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6C1A140D">
      <w:pPr>
        <w:pStyle w:val="17"/>
        <w:keepNext w:val="0"/>
        <w:keepLines w:val="0"/>
        <w:pageBreakBefore w:val="0"/>
        <w:kinsoku/>
        <w:overflowPunct/>
        <w:topLinePunct w:val="0"/>
        <w:bidi w:val="0"/>
        <w:spacing w:line="360" w:lineRule="auto"/>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214AC3EF">
      <w:pPr>
        <w:pStyle w:val="17"/>
        <w:spacing w:line="360" w:lineRule="auto"/>
        <w:ind w:left="480"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739EA942">
      <w:pPr>
        <w:pStyle w:val="17"/>
        <w:keepNext w:val="0"/>
        <w:keepLines w:val="0"/>
        <w:pageBreakBefore w:val="0"/>
        <w:numPr>
          <w:ilvl w:val="0"/>
          <w:numId w:val="26"/>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5C567C08">
      <w:pPr>
        <w:pStyle w:val="17"/>
        <w:keepNext w:val="0"/>
        <w:keepLines w:val="0"/>
        <w:pageBreakBefore w:val="0"/>
        <w:numPr>
          <w:ilvl w:val="0"/>
          <w:numId w:val="2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0178368D">
      <w:pPr>
        <w:pStyle w:val="17"/>
        <w:keepNext w:val="0"/>
        <w:keepLines w:val="0"/>
        <w:pageBreakBefore w:val="0"/>
        <w:numPr>
          <w:ilvl w:val="0"/>
          <w:numId w:val="2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1CD23E0A">
      <w:pPr>
        <w:pStyle w:val="17"/>
        <w:keepNext w:val="0"/>
        <w:keepLines w:val="0"/>
        <w:pageBreakBefore w:val="0"/>
        <w:numPr>
          <w:ilvl w:val="0"/>
          <w:numId w:val="3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5BC1991C">
      <w:pPr>
        <w:pStyle w:val="17"/>
        <w:keepNext w:val="0"/>
        <w:keepLines w:val="0"/>
        <w:pageBreakBefore w:val="0"/>
        <w:numPr>
          <w:ilvl w:val="0"/>
          <w:numId w:val="3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5118BB9D">
      <w:pPr>
        <w:pStyle w:val="17"/>
        <w:keepNext w:val="0"/>
        <w:keepLines w:val="0"/>
        <w:pageBreakBefore w:val="0"/>
        <w:numPr>
          <w:ilvl w:val="0"/>
          <w:numId w:val="3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4C093CAB">
      <w:pPr>
        <w:pStyle w:val="17"/>
        <w:keepNext w:val="0"/>
        <w:keepLines w:val="0"/>
        <w:pageBreakBefore w:val="0"/>
        <w:numPr>
          <w:ilvl w:val="0"/>
          <w:numId w:val="3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6CE9D2CB">
      <w:pPr>
        <w:pStyle w:val="17"/>
        <w:keepNext w:val="0"/>
        <w:keepLines w:val="0"/>
        <w:pageBreakBefore w:val="0"/>
        <w:numPr>
          <w:ilvl w:val="0"/>
          <w:numId w:val="3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26E78FCA">
      <w:pPr>
        <w:pStyle w:val="17"/>
        <w:keepNext w:val="0"/>
        <w:keepLines w:val="0"/>
        <w:pageBreakBefore w:val="0"/>
        <w:numPr>
          <w:ilvl w:val="0"/>
          <w:numId w:val="2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02F4CC96">
      <w:pPr>
        <w:pStyle w:val="17"/>
        <w:keepNext w:val="0"/>
        <w:keepLines w:val="0"/>
        <w:pageBreakBefore w:val="0"/>
        <w:numPr>
          <w:ilvl w:val="0"/>
          <w:numId w:val="2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6B96DBFA">
      <w:pPr>
        <w:pStyle w:val="17"/>
        <w:keepNext w:val="0"/>
        <w:keepLines w:val="0"/>
        <w:pageBreakBefore w:val="0"/>
        <w:numPr>
          <w:ilvl w:val="0"/>
          <w:numId w:val="31"/>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6C1245E1">
      <w:pPr>
        <w:pStyle w:val="17"/>
        <w:keepNext w:val="0"/>
        <w:keepLines w:val="0"/>
        <w:pageBreakBefore w:val="0"/>
        <w:numPr>
          <w:ilvl w:val="0"/>
          <w:numId w:val="3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4DFEF4EB">
      <w:pPr>
        <w:pStyle w:val="17"/>
        <w:keepNext w:val="0"/>
        <w:keepLines w:val="0"/>
        <w:pageBreakBefore w:val="0"/>
        <w:numPr>
          <w:ilvl w:val="0"/>
          <w:numId w:val="3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6D1A9157">
      <w:pPr>
        <w:pStyle w:val="17"/>
        <w:keepNext w:val="0"/>
        <w:keepLines w:val="0"/>
        <w:pageBreakBefore w:val="0"/>
        <w:numPr>
          <w:ilvl w:val="0"/>
          <w:numId w:val="3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0CEC39CB">
      <w:pPr>
        <w:pStyle w:val="17"/>
        <w:keepNext w:val="0"/>
        <w:keepLines w:val="0"/>
        <w:pageBreakBefore w:val="0"/>
        <w:widowControl/>
        <w:numPr>
          <w:ilvl w:val="0"/>
          <w:numId w:val="3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79DEC210">
      <w:pPr>
        <w:pStyle w:val="17"/>
        <w:keepNext w:val="0"/>
        <w:keepLines w:val="0"/>
        <w:pageBreakBefore w:val="0"/>
        <w:widowControl/>
        <w:numPr>
          <w:ilvl w:val="0"/>
          <w:numId w:val="3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2986ED18">
      <w:pPr>
        <w:pStyle w:val="17"/>
        <w:keepNext w:val="0"/>
        <w:keepLines w:val="0"/>
        <w:pageBreakBefore w:val="0"/>
        <w:widowControl/>
        <w:numPr>
          <w:ilvl w:val="0"/>
          <w:numId w:val="33"/>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78A9C11">
      <w:pPr>
        <w:pStyle w:val="17"/>
        <w:keepNext w:val="0"/>
        <w:keepLines w:val="0"/>
        <w:pageBreakBefore w:val="0"/>
        <w:numPr>
          <w:ilvl w:val="0"/>
          <w:numId w:val="31"/>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6CE94A4B">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44784480">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5B7F76E3">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759B161B">
      <w:pPr>
        <w:pStyle w:val="17"/>
        <w:keepNext w:val="0"/>
        <w:keepLines w:val="0"/>
        <w:pageBreakBefore w:val="0"/>
        <w:kinsoku/>
        <w:overflowPunct/>
        <w:topLinePunct w:val="0"/>
        <w:bidi w:val="0"/>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27744E60">
      <w:pPr>
        <w:pStyle w:val="17"/>
        <w:keepNext w:val="0"/>
        <w:keepLines w:val="0"/>
        <w:pageBreakBefore w:val="0"/>
        <w:widowControl/>
        <w:numPr>
          <w:ilvl w:val="0"/>
          <w:numId w:val="34"/>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54CFF63B">
      <w:pPr>
        <w:pStyle w:val="17"/>
        <w:keepNext w:val="0"/>
        <w:keepLines w:val="0"/>
        <w:pageBreakBefore w:val="0"/>
        <w:widowControl/>
        <w:numPr>
          <w:ilvl w:val="0"/>
          <w:numId w:val="34"/>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046ED1DE">
      <w:pPr>
        <w:pStyle w:val="17"/>
        <w:keepNext w:val="0"/>
        <w:keepLines w:val="0"/>
        <w:pageBreakBefore w:val="0"/>
        <w:widowControl/>
        <w:numPr>
          <w:ilvl w:val="0"/>
          <w:numId w:val="34"/>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01A2FEDE">
      <w:pPr>
        <w:pStyle w:val="17"/>
        <w:keepNext w:val="0"/>
        <w:keepLines w:val="0"/>
        <w:pageBreakBefore w:val="0"/>
        <w:widowControl/>
        <w:numPr>
          <w:ilvl w:val="0"/>
          <w:numId w:val="34"/>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598490B2">
      <w:pPr>
        <w:pStyle w:val="17"/>
        <w:keepNext w:val="0"/>
        <w:keepLines w:val="0"/>
        <w:pageBreakBefore w:val="0"/>
        <w:widowControl/>
        <w:numPr>
          <w:ilvl w:val="0"/>
          <w:numId w:val="34"/>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76FA4C5B">
      <w:pPr>
        <w:pStyle w:val="17"/>
        <w:keepNext w:val="0"/>
        <w:keepLines w:val="0"/>
        <w:pageBreakBefore w:val="0"/>
        <w:widowControl/>
        <w:numPr>
          <w:ilvl w:val="0"/>
          <w:numId w:val="3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250D995">
      <w:pPr>
        <w:pStyle w:val="17"/>
        <w:keepNext w:val="0"/>
        <w:keepLines w:val="0"/>
        <w:pageBreakBefore w:val="0"/>
        <w:kinsoku/>
        <w:overflowPunct/>
        <w:topLinePunct w:val="0"/>
        <w:bidi w:val="0"/>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720E67CF">
      <w:pPr>
        <w:pStyle w:val="17"/>
        <w:keepNext w:val="0"/>
        <w:keepLines w:val="0"/>
        <w:pageBreakBefore w:val="0"/>
        <w:kinsoku/>
        <w:overflowPunct/>
        <w:topLinePunct w:val="0"/>
        <w:bidi w:val="0"/>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3B6FA725">
      <w:pPr>
        <w:pStyle w:val="17"/>
        <w:keepNext w:val="0"/>
        <w:keepLines w:val="0"/>
        <w:pageBreakBefore w:val="0"/>
        <w:numPr>
          <w:ilvl w:val="0"/>
          <w:numId w:val="3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39327638">
      <w:pPr>
        <w:pStyle w:val="17"/>
        <w:keepNext w:val="0"/>
        <w:keepLines w:val="0"/>
        <w:pageBreakBefore w:val="0"/>
        <w:numPr>
          <w:ilvl w:val="0"/>
          <w:numId w:val="3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5E96D2E5">
      <w:pPr>
        <w:pStyle w:val="17"/>
        <w:keepNext w:val="0"/>
        <w:keepLines w:val="0"/>
        <w:pageBreakBefore w:val="0"/>
        <w:widowControl/>
        <w:numPr>
          <w:ilvl w:val="0"/>
          <w:numId w:val="3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1E5AC23F">
      <w:pPr>
        <w:pStyle w:val="17"/>
        <w:keepNext w:val="0"/>
        <w:keepLines w:val="0"/>
        <w:pageBreakBefore w:val="0"/>
        <w:widowControl/>
        <w:numPr>
          <w:ilvl w:val="0"/>
          <w:numId w:val="3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6810FCAE">
      <w:pPr>
        <w:pStyle w:val="17"/>
        <w:keepNext w:val="0"/>
        <w:keepLines w:val="0"/>
        <w:pageBreakBefore w:val="0"/>
        <w:numPr>
          <w:ilvl w:val="0"/>
          <w:numId w:val="31"/>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53996611">
      <w:pPr>
        <w:pStyle w:val="17"/>
        <w:keepNext w:val="0"/>
        <w:keepLines w:val="0"/>
        <w:pageBreakBefore w:val="0"/>
        <w:numPr>
          <w:ilvl w:val="0"/>
          <w:numId w:val="3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4EAB778B">
      <w:pPr>
        <w:pStyle w:val="17"/>
        <w:keepNext w:val="0"/>
        <w:keepLines w:val="0"/>
        <w:pageBreakBefore w:val="0"/>
        <w:numPr>
          <w:ilvl w:val="0"/>
          <w:numId w:val="3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75DE5914">
      <w:pPr>
        <w:pStyle w:val="17"/>
        <w:keepNext w:val="0"/>
        <w:keepLines w:val="0"/>
        <w:pageBreakBefore w:val="0"/>
        <w:numPr>
          <w:ilvl w:val="0"/>
          <w:numId w:val="3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34186974">
      <w:pPr>
        <w:pStyle w:val="17"/>
        <w:keepNext w:val="0"/>
        <w:keepLines w:val="0"/>
        <w:pageBreakBefore w:val="0"/>
        <w:numPr>
          <w:ilvl w:val="0"/>
          <w:numId w:val="3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2B3393B7">
      <w:pPr>
        <w:pStyle w:val="17"/>
        <w:keepNext w:val="0"/>
        <w:keepLines w:val="0"/>
        <w:pageBreakBefore w:val="0"/>
        <w:numPr>
          <w:ilvl w:val="0"/>
          <w:numId w:val="3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4AF0C834">
      <w:pPr>
        <w:pStyle w:val="17"/>
        <w:keepNext w:val="0"/>
        <w:keepLines w:val="0"/>
        <w:pageBreakBefore w:val="0"/>
        <w:widowControl/>
        <w:numPr>
          <w:ilvl w:val="0"/>
          <w:numId w:val="3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EB5162C">
      <w:pPr>
        <w:pStyle w:val="17"/>
        <w:keepNext w:val="0"/>
        <w:keepLines w:val="0"/>
        <w:pageBreakBefore w:val="0"/>
        <w:widowControl/>
        <w:numPr>
          <w:ilvl w:val="0"/>
          <w:numId w:val="3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0C866D8B">
      <w:pPr>
        <w:pStyle w:val="17"/>
        <w:keepNext w:val="0"/>
        <w:keepLines w:val="0"/>
        <w:pageBreakBefore w:val="0"/>
        <w:widowControl/>
        <w:numPr>
          <w:ilvl w:val="0"/>
          <w:numId w:val="2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2C4594BD">
      <w:pPr>
        <w:pStyle w:val="17"/>
        <w:keepNext w:val="0"/>
        <w:keepLines w:val="0"/>
        <w:pageBreakBefore w:val="0"/>
        <w:widowControl/>
        <w:numPr>
          <w:ilvl w:val="0"/>
          <w:numId w:val="3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0156564C">
      <w:pPr>
        <w:pStyle w:val="17"/>
        <w:keepNext w:val="0"/>
        <w:keepLines w:val="0"/>
        <w:pageBreakBefore w:val="0"/>
        <w:numPr>
          <w:ilvl w:val="0"/>
          <w:numId w:val="3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690718E9">
      <w:pPr>
        <w:pStyle w:val="17"/>
        <w:keepNext w:val="0"/>
        <w:keepLines w:val="0"/>
        <w:pageBreakBefore w:val="0"/>
        <w:numPr>
          <w:ilvl w:val="0"/>
          <w:numId w:val="3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3E27655E">
      <w:pPr>
        <w:pStyle w:val="17"/>
        <w:keepNext w:val="0"/>
        <w:keepLines w:val="0"/>
        <w:pageBreakBefore w:val="0"/>
        <w:numPr>
          <w:ilvl w:val="0"/>
          <w:numId w:val="26"/>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7C8487D0">
      <w:pPr>
        <w:pStyle w:val="17"/>
        <w:keepNext w:val="0"/>
        <w:keepLines w:val="0"/>
        <w:pageBreakBefore w:val="0"/>
        <w:numPr>
          <w:ilvl w:val="0"/>
          <w:numId w:val="3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03F97020">
      <w:pPr>
        <w:pStyle w:val="17"/>
        <w:keepNext w:val="0"/>
        <w:keepLines w:val="0"/>
        <w:pageBreakBefore w:val="0"/>
        <w:numPr>
          <w:ilvl w:val="0"/>
          <w:numId w:val="4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724373C2">
      <w:pPr>
        <w:pStyle w:val="17"/>
        <w:keepNext w:val="0"/>
        <w:keepLines w:val="0"/>
        <w:pageBreakBefore w:val="0"/>
        <w:numPr>
          <w:ilvl w:val="0"/>
          <w:numId w:val="4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132E7324">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CD4FD0F">
      <w:pPr>
        <w:pStyle w:val="17"/>
        <w:keepNext w:val="0"/>
        <w:keepLines w:val="0"/>
        <w:pageBreakBefore w:val="0"/>
        <w:numPr>
          <w:ilvl w:val="0"/>
          <w:numId w:val="3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3E15B969">
      <w:pPr>
        <w:pStyle w:val="17"/>
        <w:keepNext w:val="0"/>
        <w:keepLines w:val="0"/>
        <w:pageBreakBefore w:val="0"/>
        <w:numPr>
          <w:ilvl w:val="0"/>
          <w:numId w:val="3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3088D676">
      <w:pPr>
        <w:pStyle w:val="17"/>
        <w:keepNext w:val="0"/>
        <w:keepLines w:val="0"/>
        <w:pageBreakBefore w:val="0"/>
        <w:numPr>
          <w:ilvl w:val="0"/>
          <w:numId w:val="3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2D085F93">
      <w:pPr>
        <w:pStyle w:val="17"/>
        <w:keepNext w:val="0"/>
        <w:keepLines w:val="0"/>
        <w:pageBreakBefore w:val="0"/>
        <w:numPr>
          <w:ilvl w:val="0"/>
          <w:numId w:val="3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0FE07D6A">
      <w:pPr>
        <w:pStyle w:val="17"/>
        <w:keepNext w:val="0"/>
        <w:keepLines w:val="0"/>
        <w:pageBreakBefore w:val="0"/>
        <w:numPr>
          <w:ilvl w:val="0"/>
          <w:numId w:val="3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77B3B8B0">
      <w:pPr>
        <w:pStyle w:val="17"/>
        <w:keepNext w:val="0"/>
        <w:keepLines w:val="0"/>
        <w:pageBreakBefore w:val="0"/>
        <w:numPr>
          <w:ilvl w:val="0"/>
          <w:numId w:val="26"/>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0A902C16">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3D47C9F9">
      <w:pPr>
        <w:pStyle w:val="17"/>
        <w:keepNext w:val="0"/>
        <w:keepLines w:val="0"/>
        <w:pageBreakBefore w:val="0"/>
        <w:numPr>
          <w:ilvl w:val="0"/>
          <w:numId w:val="26"/>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3BA40284">
      <w:pPr>
        <w:pStyle w:val="17"/>
        <w:keepNext w:val="0"/>
        <w:keepLines w:val="0"/>
        <w:pageBreakBefore w:val="0"/>
        <w:numPr>
          <w:ilvl w:val="0"/>
          <w:numId w:val="4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496F7B50">
      <w:pPr>
        <w:pStyle w:val="17"/>
        <w:keepNext w:val="0"/>
        <w:keepLines w:val="0"/>
        <w:pageBreakBefore w:val="0"/>
        <w:numPr>
          <w:ilvl w:val="0"/>
          <w:numId w:val="4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0B2F5D23">
      <w:pPr>
        <w:pStyle w:val="17"/>
        <w:keepNext w:val="0"/>
        <w:keepLines w:val="0"/>
        <w:pageBreakBefore w:val="0"/>
        <w:numPr>
          <w:ilvl w:val="0"/>
          <w:numId w:val="4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1A0D38FF">
      <w:pPr>
        <w:pStyle w:val="17"/>
        <w:keepNext w:val="0"/>
        <w:keepLines w:val="0"/>
        <w:pageBreakBefore w:val="0"/>
        <w:numPr>
          <w:ilvl w:val="0"/>
          <w:numId w:val="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6B295E0F">
      <w:pPr>
        <w:pStyle w:val="17"/>
        <w:keepNext w:val="0"/>
        <w:keepLines w:val="0"/>
        <w:pageBreakBefore w:val="0"/>
        <w:kinsoku/>
        <w:overflowPunct/>
        <w:topLinePunct w:val="0"/>
        <w:bidi w:val="0"/>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21EA908B">
      <w:pPr>
        <w:pStyle w:val="17"/>
        <w:keepNext w:val="0"/>
        <w:keepLines w:val="0"/>
        <w:pageBreakBefore w:val="0"/>
        <w:numPr>
          <w:ilvl w:val="0"/>
          <w:numId w:val="4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99C70C1">
      <w:pPr>
        <w:pStyle w:val="17"/>
        <w:keepNext w:val="0"/>
        <w:keepLines w:val="0"/>
        <w:pageBreakBefore w:val="0"/>
        <w:numPr>
          <w:ilvl w:val="0"/>
          <w:numId w:val="4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20BEA3CE">
      <w:pPr>
        <w:pStyle w:val="17"/>
        <w:keepNext w:val="0"/>
        <w:keepLines w:val="0"/>
        <w:pageBreakBefore w:val="0"/>
        <w:numPr>
          <w:ilvl w:val="0"/>
          <w:numId w:val="4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9CE6F07">
      <w:pPr>
        <w:pStyle w:val="17"/>
        <w:keepNext w:val="0"/>
        <w:keepLines w:val="0"/>
        <w:pageBreakBefore w:val="0"/>
        <w:numPr>
          <w:ilvl w:val="0"/>
          <w:numId w:val="42"/>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40CFCC58">
      <w:pPr>
        <w:pStyle w:val="17"/>
        <w:keepNext w:val="0"/>
        <w:keepLines w:val="0"/>
        <w:pageBreakBefore w:val="0"/>
        <w:numPr>
          <w:ilvl w:val="0"/>
          <w:numId w:val="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59BEF1B2">
      <w:pPr>
        <w:pStyle w:val="17"/>
        <w:keepNext w:val="0"/>
        <w:keepLines w:val="0"/>
        <w:pageBreakBefore w:val="0"/>
        <w:numPr>
          <w:ilvl w:val="0"/>
          <w:numId w:val="43"/>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0A0BB682">
      <w:pPr>
        <w:pStyle w:val="17"/>
        <w:keepNext w:val="0"/>
        <w:keepLines w:val="0"/>
        <w:pageBreakBefore w:val="0"/>
        <w:numPr>
          <w:ilvl w:val="0"/>
          <w:numId w:val="4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0427C9A6">
      <w:pPr>
        <w:pStyle w:val="17"/>
        <w:keepNext w:val="0"/>
        <w:keepLines w:val="0"/>
        <w:pageBreakBefore w:val="0"/>
        <w:numPr>
          <w:ilvl w:val="0"/>
          <w:numId w:val="4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E4A81D9">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DFAC235">
      <w:pPr>
        <w:pStyle w:val="17"/>
        <w:keepNext w:val="0"/>
        <w:keepLines w:val="0"/>
        <w:pageBreakBefore w:val="0"/>
        <w:numPr>
          <w:ilvl w:val="0"/>
          <w:numId w:val="44"/>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7C12D2B6">
      <w:pPr>
        <w:pStyle w:val="17"/>
        <w:keepNext w:val="0"/>
        <w:keepLines w:val="0"/>
        <w:pageBreakBefore w:val="0"/>
        <w:numPr>
          <w:ilvl w:val="0"/>
          <w:numId w:val="43"/>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33D23CFC">
      <w:pPr>
        <w:pStyle w:val="17"/>
        <w:keepNext w:val="0"/>
        <w:keepLines w:val="0"/>
        <w:pageBreakBefore w:val="0"/>
        <w:numPr>
          <w:ilvl w:val="0"/>
          <w:numId w:val="4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602D963B">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307C4A5C">
      <w:pPr>
        <w:pStyle w:val="17"/>
        <w:keepNext w:val="0"/>
        <w:keepLines w:val="0"/>
        <w:pageBreakBefore w:val="0"/>
        <w:numPr>
          <w:ilvl w:val="0"/>
          <w:numId w:val="4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76A507A2">
      <w:pPr>
        <w:pStyle w:val="17"/>
        <w:keepNext w:val="0"/>
        <w:keepLines w:val="0"/>
        <w:pageBreakBefore w:val="0"/>
        <w:numPr>
          <w:ilvl w:val="0"/>
          <w:numId w:val="4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6354FF70">
      <w:pPr>
        <w:pStyle w:val="17"/>
        <w:keepNext w:val="0"/>
        <w:keepLines w:val="0"/>
        <w:pageBreakBefore w:val="0"/>
        <w:numPr>
          <w:ilvl w:val="0"/>
          <w:numId w:val="4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6FAE5988">
      <w:pPr>
        <w:pStyle w:val="17"/>
        <w:keepNext w:val="0"/>
        <w:keepLines w:val="0"/>
        <w:pageBreakBefore w:val="0"/>
        <w:numPr>
          <w:ilvl w:val="0"/>
          <w:numId w:val="46"/>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0B42E59D">
      <w:pPr>
        <w:pStyle w:val="17"/>
        <w:keepNext w:val="0"/>
        <w:keepLines w:val="0"/>
        <w:pageBreakBefore w:val="0"/>
        <w:numPr>
          <w:ilvl w:val="0"/>
          <w:numId w:val="4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3F95C5A7">
      <w:pPr>
        <w:pStyle w:val="17"/>
        <w:keepNext w:val="0"/>
        <w:keepLines w:val="0"/>
        <w:pageBreakBefore w:val="0"/>
        <w:numPr>
          <w:ilvl w:val="0"/>
          <w:numId w:val="4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7C6803C4">
      <w:pPr>
        <w:pStyle w:val="17"/>
        <w:keepNext w:val="0"/>
        <w:keepLines w:val="0"/>
        <w:pageBreakBefore w:val="0"/>
        <w:numPr>
          <w:ilvl w:val="0"/>
          <w:numId w:val="4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3C4DED87">
      <w:pPr>
        <w:pStyle w:val="17"/>
        <w:keepNext w:val="0"/>
        <w:keepLines w:val="0"/>
        <w:pageBreakBefore w:val="0"/>
        <w:numPr>
          <w:ilvl w:val="0"/>
          <w:numId w:val="4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129BAB37">
      <w:pPr>
        <w:pStyle w:val="17"/>
        <w:keepNext w:val="0"/>
        <w:keepLines w:val="0"/>
        <w:pageBreakBefore w:val="0"/>
        <w:numPr>
          <w:ilvl w:val="0"/>
          <w:numId w:val="4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3C9794B3">
      <w:pPr>
        <w:pStyle w:val="17"/>
        <w:keepNext w:val="0"/>
        <w:keepLines w:val="0"/>
        <w:pageBreakBefore w:val="0"/>
        <w:numPr>
          <w:ilvl w:val="0"/>
          <w:numId w:val="4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1C5639D2">
      <w:pPr>
        <w:pStyle w:val="17"/>
        <w:keepNext w:val="0"/>
        <w:keepLines w:val="0"/>
        <w:pageBreakBefore w:val="0"/>
        <w:numPr>
          <w:ilvl w:val="0"/>
          <w:numId w:val="4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03C94F25">
      <w:pPr>
        <w:pStyle w:val="17"/>
        <w:keepNext w:val="0"/>
        <w:keepLines w:val="0"/>
        <w:pageBreakBefore w:val="0"/>
        <w:numPr>
          <w:ilvl w:val="0"/>
          <w:numId w:val="47"/>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1CE3D423">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78882A3D">
      <w:pPr>
        <w:pStyle w:val="17"/>
        <w:keepNext w:val="0"/>
        <w:keepLines w:val="0"/>
        <w:pageBreakBefore w:val="0"/>
        <w:numPr>
          <w:ilvl w:val="0"/>
          <w:numId w:val="4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3A2C8DA9">
      <w:pPr>
        <w:pStyle w:val="17"/>
        <w:keepNext w:val="0"/>
        <w:keepLines w:val="0"/>
        <w:pageBreakBefore w:val="0"/>
        <w:numPr>
          <w:ilvl w:val="0"/>
          <w:numId w:val="45"/>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7971B15E">
      <w:pPr>
        <w:pStyle w:val="17"/>
        <w:keepNext w:val="0"/>
        <w:keepLines w:val="0"/>
        <w:pageBreakBefore w:val="0"/>
        <w:numPr>
          <w:ilvl w:val="0"/>
          <w:numId w:val="4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5D3AA2DA">
      <w:pPr>
        <w:pStyle w:val="17"/>
        <w:keepNext w:val="0"/>
        <w:keepLines w:val="0"/>
        <w:pageBreakBefore w:val="0"/>
        <w:numPr>
          <w:ilvl w:val="0"/>
          <w:numId w:val="4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47A39656">
      <w:pPr>
        <w:pStyle w:val="17"/>
        <w:keepNext w:val="0"/>
        <w:keepLines w:val="0"/>
        <w:pageBreakBefore w:val="0"/>
        <w:numPr>
          <w:ilvl w:val="0"/>
          <w:numId w:val="4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27DE4AA0">
      <w:pPr>
        <w:pStyle w:val="17"/>
        <w:keepNext w:val="0"/>
        <w:keepLines w:val="0"/>
        <w:pageBreakBefore w:val="0"/>
        <w:numPr>
          <w:ilvl w:val="0"/>
          <w:numId w:val="4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2C60849F">
      <w:pPr>
        <w:pStyle w:val="17"/>
        <w:keepNext w:val="0"/>
        <w:keepLines w:val="0"/>
        <w:pageBreakBefore w:val="0"/>
        <w:numPr>
          <w:ilvl w:val="0"/>
          <w:numId w:val="48"/>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4DB1FA1A">
      <w:pPr>
        <w:pStyle w:val="17"/>
        <w:keepNext w:val="0"/>
        <w:keepLines w:val="0"/>
        <w:pageBreakBefore w:val="0"/>
        <w:numPr>
          <w:ilvl w:val="0"/>
          <w:numId w:val="43"/>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65B0661B">
      <w:pPr>
        <w:pStyle w:val="17"/>
        <w:keepNext w:val="0"/>
        <w:keepLines w:val="0"/>
        <w:pageBreakBefore w:val="0"/>
        <w:numPr>
          <w:ilvl w:val="0"/>
          <w:numId w:val="4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7B8603D1">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3522EA51">
      <w:pPr>
        <w:pStyle w:val="17"/>
        <w:keepNext w:val="0"/>
        <w:keepLines w:val="0"/>
        <w:pageBreakBefore w:val="0"/>
        <w:numPr>
          <w:ilvl w:val="0"/>
          <w:numId w:val="4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08B229CB">
      <w:pPr>
        <w:pStyle w:val="17"/>
        <w:keepNext w:val="0"/>
        <w:keepLines w:val="0"/>
        <w:pageBreakBefore w:val="0"/>
        <w:numPr>
          <w:ilvl w:val="0"/>
          <w:numId w:val="5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62D1098A">
      <w:pPr>
        <w:pStyle w:val="17"/>
        <w:keepNext w:val="0"/>
        <w:keepLines w:val="0"/>
        <w:pageBreakBefore w:val="0"/>
        <w:numPr>
          <w:ilvl w:val="0"/>
          <w:numId w:val="5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346F1D19">
      <w:pPr>
        <w:pStyle w:val="17"/>
        <w:keepNext w:val="0"/>
        <w:keepLines w:val="0"/>
        <w:pageBreakBefore w:val="0"/>
        <w:numPr>
          <w:ilvl w:val="0"/>
          <w:numId w:val="5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7DE89744">
      <w:pPr>
        <w:pStyle w:val="17"/>
        <w:keepNext w:val="0"/>
        <w:keepLines w:val="0"/>
        <w:pageBreakBefore w:val="0"/>
        <w:numPr>
          <w:ilvl w:val="0"/>
          <w:numId w:val="5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4BB909E4">
      <w:pPr>
        <w:pStyle w:val="17"/>
        <w:keepNext w:val="0"/>
        <w:keepLines w:val="0"/>
        <w:pageBreakBefore w:val="0"/>
        <w:numPr>
          <w:ilvl w:val="0"/>
          <w:numId w:val="5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22EEC138">
      <w:pPr>
        <w:pStyle w:val="17"/>
        <w:keepNext w:val="0"/>
        <w:keepLines w:val="0"/>
        <w:pageBreakBefore w:val="0"/>
        <w:numPr>
          <w:ilvl w:val="0"/>
          <w:numId w:val="5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6B3065D8">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1B5941DA">
      <w:pPr>
        <w:pStyle w:val="17"/>
        <w:keepNext w:val="0"/>
        <w:keepLines w:val="0"/>
        <w:pageBreakBefore w:val="0"/>
        <w:numPr>
          <w:ilvl w:val="0"/>
          <w:numId w:val="43"/>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59EEE392">
      <w:pPr>
        <w:pStyle w:val="17"/>
        <w:keepNext w:val="0"/>
        <w:keepLines w:val="0"/>
        <w:pageBreakBefore w:val="0"/>
        <w:numPr>
          <w:ilvl w:val="0"/>
          <w:numId w:val="5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13BA865F">
      <w:pPr>
        <w:pStyle w:val="17"/>
        <w:keepNext w:val="0"/>
        <w:keepLines w:val="0"/>
        <w:pageBreakBefore w:val="0"/>
        <w:numPr>
          <w:ilvl w:val="0"/>
          <w:numId w:val="5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7FA47000">
      <w:pPr>
        <w:pStyle w:val="17"/>
        <w:keepNext w:val="0"/>
        <w:keepLines w:val="0"/>
        <w:pageBreakBefore w:val="0"/>
        <w:numPr>
          <w:ilvl w:val="0"/>
          <w:numId w:val="5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68453152">
      <w:pPr>
        <w:pStyle w:val="17"/>
        <w:keepNext w:val="0"/>
        <w:keepLines w:val="0"/>
        <w:pageBreakBefore w:val="0"/>
        <w:numPr>
          <w:ilvl w:val="0"/>
          <w:numId w:val="5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164B0489">
      <w:pPr>
        <w:keepNext w:val="0"/>
        <w:keepLines w:val="0"/>
        <w:pageBreakBefore w:val="0"/>
        <w:kinsoku/>
        <w:overflowPunct/>
        <w:topLinePunct w:val="0"/>
        <w:bidi w:val="0"/>
        <w:spacing w:line="360" w:lineRule="auto"/>
        <w:rPr>
          <w:rFonts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78E677D4">
      <w:pPr>
        <w:pStyle w:val="264"/>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58C3E0B6">
      <w:pPr>
        <w:pStyle w:val="17"/>
        <w:keepNext w:val="0"/>
        <w:keepLines w:val="0"/>
        <w:pageBreakBefore w:val="0"/>
        <w:numPr>
          <w:ilvl w:val="0"/>
          <w:numId w:val="5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35FE5A2">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7D8E9D7E">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w:t>
      </w:r>
      <w:r>
        <w:rPr>
          <w:rFonts w:hint="eastAsia"/>
          <w:color w:val="000000" w:themeColor="text1"/>
          <w:highlight w:val="none"/>
          <w:lang w:val="en-US" w:eastAsia="zh-CN"/>
          <w14:textFill>
            <w14:solidFill>
              <w14:schemeClr w14:val="tx1"/>
            </w14:solidFill>
          </w14:textFill>
        </w:rPr>
        <w:t>供应商</w:t>
      </w:r>
      <w:r>
        <w:rPr>
          <w:rFonts w:hint="eastAsia"/>
          <w:color w:val="000000" w:themeColor="text1"/>
          <w:highlight w:val="none"/>
          <w14:textFill>
            <w14:solidFill>
              <w14:schemeClr w14:val="tx1"/>
            </w14:solidFill>
          </w14:textFill>
        </w:rPr>
        <w:t>为排名第一的成交候选人。</w:t>
      </w:r>
    </w:p>
    <w:p w14:paraId="5258F06E">
      <w:pPr>
        <w:pStyle w:val="17"/>
        <w:keepNext w:val="0"/>
        <w:keepLines w:val="0"/>
        <w:pageBreakBefore w:val="0"/>
        <w:numPr>
          <w:ilvl w:val="0"/>
          <w:numId w:val="52"/>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28D2CE33">
      <w:pPr>
        <w:pStyle w:val="13"/>
        <w:keepNext w:val="0"/>
        <w:keepLines w:val="0"/>
        <w:pageBreakBefore w:val="0"/>
        <w:kinsoku/>
        <w:overflowPunct/>
        <w:topLinePunct w:val="0"/>
        <w:bidi w:val="0"/>
        <w:spacing w:line="360" w:lineRule="auto"/>
        <w:rPr>
          <w:rFonts w:hint="eastAsia" w:ascii="宋体" w:hAnsi="宋体"/>
          <w:b/>
          <w:bCs/>
          <w:highlight w:val="none"/>
        </w:rPr>
      </w:pPr>
      <w:r>
        <w:rPr>
          <w:rFonts w:ascii="宋体" w:hAnsi="宋体"/>
          <w:b/>
          <w:bCs/>
          <w:highlight w:val="none"/>
        </w:rPr>
        <w:t>2.1初步评审</w:t>
      </w:r>
    </w:p>
    <w:tbl>
      <w:tblPr>
        <w:tblStyle w:val="44"/>
        <w:tblW w:w="9075" w:type="dxa"/>
        <w:tblInd w:w="324" w:type="dxa"/>
        <w:tblLayout w:type="fixed"/>
        <w:tblCellMar>
          <w:top w:w="0" w:type="dxa"/>
          <w:left w:w="108" w:type="dxa"/>
          <w:bottom w:w="0" w:type="dxa"/>
          <w:right w:w="108" w:type="dxa"/>
        </w:tblCellMar>
      </w:tblPr>
      <w:tblGrid>
        <w:gridCol w:w="420"/>
        <w:gridCol w:w="2436"/>
        <w:gridCol w:w="6219"/>
      </w:tblGrid>
      <w:tr w14:paraId="1854668C">
        <w:tblPrEx>
          <w:tblCellMar>
            <w:top w:w="0" w:type="dxa"/>
            <w:left w:w="108" w:type="dxa"/>
            <w:bottom w:w="0" w:type="dxa"/>
            <w:right w:w="108" w:type="dxa"/>
          </w:tblCellMar>
        </w:tblPrEx>
        <w:trPr>
          <w:trHeight w:val="300" w:hRule="atLeast"/>
          <w:tblHeader/>
        </w:trPr>
        <w:tc>
          <w:tcPr>
            <w:tcW w:w="2856" w:type="dxa"/>
            <w:gridSpan w:val="2"/>
            <w:tcBorders>
              <w:top w:val="single" w:color="auto" w:sz="8" w:space="0"/>
              <w:left w:val="single" w:color="auto" w:sz="8" w:space="0"/>
              <w:bottom w:val="single" w:color="auto" w:sz="8" w:space="0"/>
              <w:right w:val="single" w:color="000000" w:sz="8" w:space="0"/>
            </w:tcBorders>
            <w:vAlign w:val="center"/>
          </w:tcPr>
          <w:p w14:paraId="718B137F">
            <w:pPr>
              <w:keepNext w:val="0"/>
              <w:keepLines w:val="0"/>
              <w:pageBreakBefore w:val="0"/>
              <w:widowControl/>
              <w:kinsoku/>
              <w:overflowPunct/>
              <w:topLinePunct w:val="0"/>
              <w:bidi w:val="0"/>
              <w:spacing w:line="360" w:lineRule="auto"/>
              <w:jc w:val="center"/>
              <w:rPr>
                <w:rFonts w:hint="eastAsia" w:ascii="宋体" w:hAnsi="宋体" w:cs="宋体"/>
                <w:b/>
                <w:bCs/>
                <w:kern w:val="0"/>
                <w:highlight w:val="none"/>
              </w:rPr>
            </w:pPr>
            <w:bookmarkStart w:id="6" w:name="_Hlk178325456"/>
            <w:r>
              <w:rPr>
                <w:rFonts w:hint="eastAsia" w:ascii="宋体" w:hAnsi="宋体" w:cs="宋体"/>
                <w:b/>
                <w:bCs/>
                <w:kern w:val="0"/>
                <w:highlight w:val="none"/>
              </w:rPr>
              <w:t>评审因素</w:t>
            </w:r>
          </w:p>
        </w:tc>
        <w:tc>
          <w:tcPr>
            <w:tcW w:w="6219" w:type="dxa"/>
            <w:tcBorders>
              <w:top w:val="single" w:color="auto" w:sz="8" w:space="0"/>
              <w:left w:val="nil"/>
              <w:bottom w:val="single" w:color="auto" w:sz="8" w:space="0"/>
              <w:right w:val="single" w:color="auto" w:sz="8" w:space="0"/>
            </w:tcBorders>
            <w:vAlign w:val="center"/>
          </w:tcPr>
          <w:p w14:paraId="24F5DF4D">
            <w:pPr>
              <w:keepNext w:val="0"/>
              <w:keepLines w:val="0"/>
              <w:pageBreakBefore w:val="0"/>
              <w:widowControl/>
              <w:kinsoku/>
              <w:overflowPunct/>
              <w:topLinePunct w:val="0"/>
              <w:bidi w:val="0"/>
              <w:spacing w:line="360" w:lineRule="auto"/>
              <w:jc w:val="center"/>
              <w:rPr>
                <w:rFonts w:hint="eastAsia" w:ascii="宋体" w:hAnsi="宋体" w:cs="宋体"/>
                <w:b/>
                <w:bCs/>
                <w:kern w:val="0"/>
                <w:highlight w:val="none"/>
              </w:rPr>
            </w:pPr>
            <w:r>
              <w:rPr>
                <w:rFonts w:hint="eastAsia" w:ascii="宋体" w:hAnsi="宋体" w:cs="宋体"/>
                <w:b/>
                <w:bCs/>
                <w:kern w:val="0"/>
                <w:highlight w:val="none"/>
              </w:rPr>
              <w:t>评审标准</w:t>
            </w:r>
          </w:p>
        </w:tc>
      </w:tr>
      <w:tr w14:paraId="37F25FF0">
        <w:tblPrEx>
          <w:tblCellMar>
            <w:top w:w="0" w:type="dxa"/>
            <w:left w:w="108" w:type="dxa"/>
            <w:bottom w:w="0" w:type="dxa"/>
            <w:right w:w="108" w:type="dxa"/>
          </w:tblCellMar>
        </w:tblPrEx>
        <w:trPr>
          <w:trHeight w:val="300" w:hRule="atLeast"/>
        </w:trPr>
        <w:tc>
          <w:tcPr>
            <w:tcW w:w="420" w:type="dxa"/>
            <w:vMerge w:val="restart"/>
            <w:tcBorders>
              <w:top w:val="nil"/>
              <w:left w:val="single" w:color="auto" w:sz="8" w:space="0"/>
              <w:bottom w:val="single" w:color="000000" w:sz="8" w:space="0"/>
              <w:right w:val="single" w:color="auto" w:sz="8" w:space="0"/>
            </w:tcBorders>
            <w:vAlign w:val="center"/>
          </w:tcPr>
          <w:p w14:paraId="4A4B07E6">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形式评审</w:t>
            </w:r>
          </w:p>
        </w:tc>
        <w:tc>
          <w:tcPr>
            <w:tcW w:w="2436" w:type="dxa"/>
            <w:tcBorders>
              <w:top w:val="nil"/>
              <w:left w:val="nil"/>
              <w:bottom w:val="single" w:color="auto" w:sz="8" w:space="0"/>
              <w:right w:val="single" w:color="auto" w:sz="8" w:space="0"/>
            </w:tcBorders>
            <w:vAlign w:val="center"/>
          </w:tcPr>
          <w:p w14:paraId="63AC8FF1">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lang w:eastAsia="zh-CN"/>
              </w:rPr>
              <w:t>供应商</w:t>
            </w:r>
            <w:r>
              <w:rPr>
                <w:rFonts w:hint="eastAsia" w:ascii="宋体" w:hAnsi="宋体" w:cs="宋体"/>
                <w:kern w:val="0"/>
                <w:highlight w:val="none"/>
              </w:rPr>
              <w:t>名称</w:t>
            </w:r>
          </w:p>
        </w:tc>
        <w:tc>
          <w:tcPr>
            <w:tcW w:w="6219" w:type="dxa"/>
            <w:tcBorders>
              <w:top w:val="nil"/>
              <w:left w:val="nil"/>
              <w:bottom w:val="single" w:color="auto" w:sz="8" w:space="0"/>
              <w:right w:val="single" w:color="auto" w:sz="8" w:space="0"/>
            </w:tcBorders>
            <w:vAlign w:val="center"/>
          </w:tcPr>
          <w:p w14:paraId="7DECF76D">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【与营业执照、资质证书一致】</w:t>
            </w:r>
          </w:p>
        </w:tc>
      </w:tr>
      <w:tr w14:paraId="65D191C0">
        <w:tblPrEx>
          <w:tblCellMar>
            <w:top w:w="0" w:type="dxa"/>
            <w:left w:w="108" w:type="dxa"/>
            <w:bottom w:w="0" w:type="dxa"/>
            <w:right w:w="108" w:type="dxa"/>
          </w:tblCellMar>
        </w:tblPrEx>
        <w:trPr>
          <w:trHeight w:val="300" w:hRule="atLeast"/>
        </w:trPr>
        <w:tc>
          <w:tcPr>
            <w:tcW w:w="420" w:type="dxa"/>
            <w:vMerge w:val="continue"/>
            <w:tcBorders>
              <w:top w:val="nil"/>
              <w:left w:val="single" w:color="auto" w:sz="8" w:space="0"/>
              <w:bottom w:val="single" w:color="000000" w:sz="8" w:space="0"/>
              <w:right w:val="single" w:color="auto" w:sz="8" w:space="0"/>
            </w:tcBorders>
            <w:vAlign w:val="center"/>
          </w:tcPr>
          <w:p w14:paraId="0B94682F">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8" w:space="0"/>
              <w:right w:val="single" w:color="auto" w:sz="8" w:space="0"/>
            </w:tcBorders>
            <w:vAlign w:val="center"/>
          </w:tcPr>
          <w:p w14:paraId="3C1C9AAC">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lang w:val="en-US" w:eastAsia="zh-CN"/>
              </w:rPr>
              <w:t>响应</w:t>
            </w:r>
            <w:r>
              <w:rPr>
                <w:rFonts w:hint="eastAsia" w:ascii="宋体" w:hAnsi="宋体" w:cs="宋体"/>
                <w:kern w:val="0"/>
                <w:highlight w:val="none"/>
              </w:rPr>
              <w:t>文件签字盖章</w:t>
            </w:r>
          </w:p>
        </w:tc>
        <w:tc>
          <w:tcPr>
            <w:tcW w:w="6219" w:type="dxa"/>
            <w:tcBorders>
              <w:top w:val="nil"/>
              <w:left w:val="nil"/>
              <w:bottom w:val="single" w:color="auto" w:sz="8" w:space="0"/>
              <w:right w:val="single" w:color="auto" w:sz="8" w:space="0"/>
            </w:tcBorders>
            <w:vAlign w:val="center"/>
          </w:tcPr>
          <w:p w14:paraId="0A00992A">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【有法定代表人或其委托代理人签字或加盖单位公章】</w:t>
            </w:r>
          </w:p>
        </w:tc>
      </w:tr>
      <w:tr w14:paraId="74EC6345">
        <w:tblPrEx>
          <w:tblCellMar>
            <w:top w:w="0" w:type="dxa"/>
            <w:left w:w="108" w:type="dxa"/>
            <w:bottom w:w="0" w:type="dxa"/>
            <w:right w:w="108" w:type="dxa"/>
          </w:tblCellMar>
        </w:tblPrEx>
        <w:trPr>
          <w:trHeight w:val="588" w:hRule="atLeast"/>
        </w:trPr>
        <w:tc>
          <w:tcPr>
            <w:tcW w:w="420" w:type="dxa"/>
            <w:vMerge w:val="continue"/>
            <w:tcBorders>
              <w:top w:val="nil"/>
              <w:left w:val="single" w:color="auto" w:sz="8" w:space="0"/>
              <w:bottom w:val="single" w:color="000000" w:sz="8" w:space="0"/>
              <w:right w:val="single" w:color="auto" w:sz="8" w:space="0"/>
            </w:tcBorders>
            <w:vAlign w:val="center"/>
          </w:tcPr>
          <w:p w14:paraId="05AD6AC0">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8" w:space="0"/>
              <w:right w:val="single" w:color="auto" w:sz="8" w:space="0"/>
            </w:tcBorders>
            <w:vAlign w:val="center"/>
          </w:tcPr>
          <w:p w14:paraId="1AEA56A1">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法定代表人授权书</w:t>
            </w:r>
          </w:p>
        </w:tc>
        <w:tc>
          <w:tcPr>
            <w:tcW w:w="6219" w:type="dxa"/>
            <w:tcBorders>
              <w:top w:val="nil"/>
              <w:left w:val="nil"/>
              <w:bottom w:val="single" w:color="auto" w:sz="8" w:space="0"/>
              <w:right w:val="single" w:color="auto" w:sz="8" w:space="0"/>
            </w:tcBorders>
            <w:vAlign w:val="center"/>
          </w:tcPr>
          <w:p w14:paraId="23320432">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【法定代表人及授权委托人身份证复印件与法定代表人证明书和法定代表人授权委托书一致】</w:t>
            </w:r>
          </w:p>
        </w:tc>
      </w:tr>
      <w:tr w14:paraId="77002F35">
        <w:tblPrEx>
          <w:tblCellMar>
            <w:top w:w="0" w:type="dxa"/>
            <w:left w:w="108" w:type="dxa"/>
            <w:bottom w:w="0" w:type="dxa"/>
            <w:right w:w="108" w:type="dxa"/>
          </w:tblCellMar>
        </w:tblPrEx>
        <w:trPr>
          <w:trHeight w:val="300" w:hRule="atLeast"/>
        </w:trPr>
        <w:tc>
          <w:tcPr>
            <w:tcW w:w="420" w:type="dxa"/>
            <w:vMerge w:val="continue"/>
            <w:tcBorders>
              <w:top w:val="nil"/>
              <w:left w:val="single" w:color="auto" w:sz="8" w:space="0"/>
              <w:bottom w:val="single" w:color="000000" w:sz="8" w:space="0"/>
              <w:right w:val="single" w:color="auto" w:sz="8" w:space="0"/>
            </w:tcBorders>
            <w:vAlign w:val="center"/>
          </w:tcPr>
          <w:p w14:paraId="53B88DC7">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8" w:space="0"/>
              <w:right w:val="single" w:color="auto" w:sz="8" w:space="0"/>
            </w:tcBorders>
            <w:vAlign w:val="center"/>
          </w:tcPr>
          <w:p w14:paraId="1D5E536A">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lang w:val="en-US" w:eastAsia="zh-CN"/>
              </w:rPr>
              <w:t>应答</w:t>
            </w:r>
            <w:r>
              <w:rPr>
                <w:rFonts w:hint="eastAsia" w:ascii="宋体" w:hAnsi="宋体" w:cs="宋体"/>
                <w:kern w:val="0"/>
                <w:highlight w:val="none"/>
              </w:rPr>
              <w:t>文件格式</w:t>
            </w:r>
          </w:p>
        </w:tc>
        <w:tc>
          <w:tcPr>
            <w:tcW w:w="6219" w:type="dxa"/>
            <w:tcBorders>
              <w:top w:val="nil"/>
              <w:left w:val="nil"/>
              <w:bottom w:val="single" w:color="auto" w:sz="8" w:space="0"/>
              <w:right w:val="single" w:color="auto" w:sz="8" w:space="0"/>
            </w:tcBorders>
            <w:vAlign w:val="center"/>
          </w:tcPr>
          <w:p w14:paraId="2078B6A2">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【按照</w:t>
            </w:r>
            <w:r>
              <w:rPr>
                <w:rFonts w:hint="eastAsia" w:ascii="宋体" w:hAnsi="宋体" w:cs="宋体"/>
                <w:kern w:val="0"/>
                <w:highlight w:val="none"/>
                <w:lang w:eastAsia="zh-CN"/>
              </w:rPr>
              <w:t>比选文件</w:t>
            </w:r>
            <w:r>
              <w:rPr>
                <w:rFonts w:hint="eastAsia" w:ascii="宋体" w:hAnsi="宋体" w:cs="宋体"/>
                <w:kern w:val="0"/>
                <w:highlight w:val="none"/>
              </w:rPr>
              <w:t>规定的格式、内容填写，字迹清晰可辨】</w:t>
            </w:r>
          </w:p>
        </w:tc>
      </w:tr>
      <w:tr w14:paraId="2BDB3CD2">
        <w:tblPrEx>
          <w:tblCellMar>
            <w:top w:w="0" w:type="dxa"/>
            <w:left w:w="108" w:type="dxa"/>
            <w:bottom w:w="0" w:type="dxa"/>
            <w:right w:w="108" w:type="dxa"/>
          </w:tblCellMar>
        </w:tblPrEx>
        <w:trPr>
          <w:trHeight w:val="588" w:hRule="atLeast"/>
        </w:trPr>
        <w:tc>
          <w:tcPr>
            <w:tcW w:w="420" w:type="dxa"/>
            <w:vMerge w:val="restart"/>
            <w:tcBorders>
              <w:top w:val="nil"/>
              <w:left w:val="single" w:color="auto" w:sz="8" w:space="0"/>
              <w:right w:val="single" w:color="auto" w:sz="8" w:space="0"/>
            </w:tcBorders>
            <w:vAlign w:val="center"/>
          </w:tcPr>
          <w:p w14:paraId="5E6F2828">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资格评审</w:t>
            </w:r>
          </w:p>
        </w:tc>
        <w:tc>
          <w:tcPr>
            <w:tcW w:w="2436" w:type="dxa"/>
            <w:tcBorders>
              <w:top w:val="nil"/>
              <w:left w:val="nil"/>
              <w:bottom w:val="single" w:color="auto" w:sz="8" w:space="0"/>
              <w:right w:val="single" w:color="auto" w:sz="8" w:space="0"/>
            </w:tcBorders>
            <w:vAlign w:val="center"/>
          </w:tcPr>
          <w:p w14:paraId="5AE3135C">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基本要求</w:t>
            </w:r>
          </w:p>
        </w:tc>
        <w:tc>
          <w:tcPr>
            <w:tcW w:w="6219" w:type="dxa"/>
            <w:tcBorders>
              <w:top w:val="nil"/>
              <w:left w:val="nil"/>
              <w:bottom w:val="single" w:color="auto" w:sz="8" w:space="0"/>
              <w:right w:val="single" w:color="auto" w:sz="8" w:space="0"/>
            </w:tcBorders>
            <w:vAlign w:val="center"/>
          </w:tcPr>
          <w:p w14:paraId="445749D9">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r>
              <w:rPr>
                <w:rFonts w:hint="eastAsia" w:ascii="宋体" w:hAnsi="宋体" w:cs="宋体"/>
                <w:kern w:val="0"/>
                <w:highlight w:val="none"/>
              </w:rPr>
              <w:t>法人或者其他组织的营业执照等证明文件，自然人的身份证明，</w:t>
            </w:r>
            <w:r>
              <w:rPr>
                <w:rFonts w:hint="eastAsia" w:ascii="宋体" w:hAnsi="宋体" w:cs="宋体"/>
                <w:b/>
                <w:bCs/>
                <w:kern w:val="0"/>
                <w:highlight w:val="none"/>
              </w:rPr>
              <w:t>提供相关证明材料加盖公章</w:t>
            </w:r>
            <w:r>
              <w:rPr>
                <w:rFonts w:hint="eastAsia" w:ascii="宋体" w:hAnsi="宋体" w:cs="宋体"/>
                <w:kern w:val="0"/>
                <w:highlight w:val="none"/>
              </w:rPr>
              <w:t>。</w:t>
            </w:r>
          </w:p>
        </w:tc>
      </w:tr>
      <w:tr w14:paraId="35EC2547">
        <w:tblPrEx>
          <w:tblCellMar>
            <w:top w:w="0" w:type="dxa"/>
            <w:left w:w="108" w:type="dxa"/>
            <w:bottom w:w="0" w:type="dxa"/>
            <w:right w:w="108" w:type="dxa"/>
          </w:tblCellMar>
        </w:tblPrEx>
        <w:trPr>
          <w:trHeight w:val="1452" w:hRule="atLeast"/>
        </w:trPr>
        <w:tc>
          <w:tcPr>
            <w:tcW w:w="420" w:type="dxa"/>
            <w:vMerge w:val="continue"/>
            <w:tcBorders>
              <w:left w:val="single" w:color="auto" w:sz="8" w:space="0"/>
              <w:right w:val="single" w:color="auto" w:sz="8" w:space="0"/>
            </w:tcBorders>
            <w:vAlign w:val="center"/>
          </w:tcPr>
          <w:p w14:paraId="4DA57971">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8" w:space="0"/>
              <w:right w:val="single" w:color="auto" w:sz="8" w:space="0"/>
            </w:tcBorders>
            <w:vAlign w:val="center"/>
          </w:tcPr>
          <w:p w14:paraId="64D159B7">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财务状况</w:t>
            </w:r>
          </w:p>
        </w:tc>
        <w:tc>
          <w:tcPr>
            <w:tcW w:w="6219" w:type="dxa"/>
            <w:tcBorders>
              <w:top w:val="nil"/>
              <w:left w:val="nil"/>
              <w:bottom w:val="single" w:color="auto" w:sz="8" w:space="0"/>
              <w:right w:val="single" w:color="auto" w:sz="8" w:space="0"/>
            </w:tcBorders>
            <w:vAlign w:val="center"/>
          </w:tcPr>
          <w:p w14:paraId="121D29FA">
            <w:pPr>
              <w:keepNext w:val="0"/>
              <w:keepLines w:val="0"/>
              <w:pageBreakBefore w:val="0"/>
              <w:widowControl/>
              <w:kinsoku/>
              <w:overflowPunct/>
              <w:topLinePunct w:val="0"/>
              <w:bidi w:val="0"/>
              <w:spacing w:line="360" w:lineRule="auto"/>
              <w:rPr>
                <w:rFonts w:hint="eastAsia" w:ascii="宋体" w:hAnsi="宋体" w:cs="宋体"/>
                <w:kern w:val="0"/>
                <w:highlight w:val="none"/>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lang w:eastAsia="zh-CN"/>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10</w:t>
            </w:r>
            <w:r>
              <w:rPr>
                <w:rFonts w:hint="eastAsia"/>
                <w:color w:val="000000" w:themeColor="text1"/>
                <w:szCs w:val="24"/>
                <w:highlight w:val="none"/>
                <w:lang w:eastAsia="zh-CN"/>
                <w14:textFill>
                  <w14:solidFill>
                    <w14:schemeClr w14:val="tx1"/>
                  </w14:solidFill>
                </w14:textFill>
              </w:rPr>
              <w:t>月</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中</w:t>
            </w:r>
            <w:r>
              <w:rPr>
                <w:color w:val="000000" w:themeColor="text1"/>
                <w:highlight w:val="none"/>
                <w14:textFill>
                  <w14:solidFill>
                    <w14:schemeClr w14:val="tx1"/>
                  </w14:solidFill>
                </w14:textFill>
              </w:rPr>
              <w:t>至少一个月的财务状况报告</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r>
              <w:rPr>
                <w:rFonts w:hint="eastAsia" w:ascii="宋体" w:hAnsi="宋体" w:cs="宋体"/>
                <w:b/>
                <w:bCs/>
                <w:kern w:val="0"/>
                <w:highlight w:val="none"/>
              </w:rPr>
              <w:t>提供</w:t>
            </w:r>
            <w:r>
              <w:rPr>
                <w:rFonts w:hint="eastAsia" w:ascii="宋体" w:hAnsi="宋体" w:cs="宋体"/>
                <w:b/>
                <w:bCs/>
                <w:kern w:val="0"/>
                <w:highlight w:val="none"/>
                <w:lang w:val="en-US" w:eastAsia="zh-CN"/>
              </w:rPr>
              <w:t>证明材料</w:t>
            </w:r>
            <w:r>
              <w:rPr>
                <w:rFonts w:hint="eastAsia" w:ascii="宋体" w:hAnsi="宋体" w:cs="宋体"/>
                <w:b/>
                <w:bCs/>
                <w:kern w:val="0"/>
                <w:highlight w:val="none"/>
              </w:rPr>
              <w:t>加盖公章</w:t>
            </w:r>
          </w:p>
        </w:tc>
      </w:tr>
      <w:tr w14:paraId="79DCC01C">
        <w:tblPrEx>
          <w:tblCellMar>
            <w:top w:w="0" w:type="dxa"/>
            <w:left w:w="108" w:type="dxa"/>
            <w:bottom w:w="0" w:type="dxa"/>
            <w:right w:w="108" w:type="dxa"/>
          </w:tblCellMar>
        </w:tblPrEx>
        <w:trPr>
          <w:trHeight w:val="1212" w:hRule="atLeast"/>
        </w:trPr>
        <w:tc>
          <w:tcPr>
            <w:tcW w:w="420" w:type="dxa"/>
            <w:vMerge w:val="continue"/>
            <w:tcBorders>
              <w:left w:val="single" w:color="auto" w:sz="8" w:space="0"/>
              <w:right w:val="single" w:color="auto" w:sz="8" w:space="0"/>
            </w:tcBorders>
            <w:vAlign w:val="center"/>
          </w:tcPr>
          <w:p w14:paraId="7120AD04">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8" w:space="0"/>
              <w:right w:val="single" w:color="auto" w:sz="8" w:space="0"/>
            </w:tcBorders>
            <w:vAlign w:val="center"/>
          </w:tcPr>
          <w:p w14:paraId="288AFD9A">
            <w:pPr>
              <w:keepNext w:val="0"/>
              <w:keepLines w:val="0"/>
              <w:pageBreakBefore w:val="0"/>
              <w:widowControl/>
              <w:kinsoku/>
              <w:overflowPunct/>
              <w:topLinePunct w:val="0"/>
              <w:bidi w:val="0"/>
              <w:spacing w:line="360" w:lineRule="auto"/>
              <w:jc w:val="center"/>
              <w:rPr>
                <w:rFonts w:hint="default" w:ascii="宋体" w:hAnsi="宋体" w:eastAsia="宋体" w:cs="宋体"/>
                <w:kern w:val="0"/>
                <w:highlight w:val="none"/>
                <w:lang w:val="en-US" w:eastAsia="zh-CN"/>
              </w:rPr>
            </w:pPr>
            <w:r>
              <w:rPr>
                <w:rFonts w:hint="eastAsia" w:ascii="宋体" w:hAnsi="宋体" w:cs="宋体"/>
                <w:kern w:val="0"/>
                <w:highlight w:val="none"/>
                <w:lang w:val="en-US" w:eastAsia="zh-CN"/>
              </w:rPr>
              <w:t>技术能力声明</w:t>
            </w:r>
          </w:p>
        </w:tc>
        <w:tc>
          <w:tcPr>
            <w:tcW w:w="6219" w:type="dxa"/>
            <w:tcBorders>
              <w:top w:val="nil"/>
              <w:left w:val="nil"/>
              <w:bottom w:val="single" w:color="auto" w:sz="8" w:space="0"/>
              <w:right w:val="single" w:color="auto" w:sz="8" w:space="0"/>
            </w:tcBorders>
            <w:vAlign w:val="center"/>
          </w:tcPr>
          <w:p w14:paraId="6E376FAB">
            <w:pPr>
              <w:keepNext w:val="0"/>
              <w:keepLines w:val="0"/>
              <w:pageBreakBefore w:val="0"/>
              <w:widowControl/>
              <w:kinsoku/>
              <w:overflowPunct/>
              <w:topLinePunct w:val="0"/>
              <w:bidi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kern w:val="0"/>
                <w:highlight w:val="none"/>
              </w:rPr>
              <w:t>提供原件加盖公章</w:t>
            </w:r>
          </w:p>
        </w:tc>
      </w:tr>
      <w:tr w14:paraId="0841392C">
        <w:tblPrEx>
          <w:tblCellMar>
            <w:top w:w="0" w:type="dxa"/>
            <w:left w:w="108" w:type="dxa"/>
            <w:bottom w:w="0" w:type="dxa"/>
            <w:right w:w="108" w:type="dxa"/>
          </w:tblCellMar>
        </w:tblPrEx>
        <w:trPr>
          <w:trHeight w:val="1452" w:hRule="atLeast"/>
        </w:trPr>
        <w:tc>
          <w:tcPr>
            <w:tcW w:w="420" w:type="dxa"/>
            <w:vMerge w:val="continue"/>
            <w:tcBorders>
              <w:left w:val="single" w:color="auto" w:sz="8" w:space="0"/>
              <w:right w:val="single" w:color="auto" w:sz="8" w:space="0"/>
            </w:tcBorders>
            <w:vAlign w:val="center"/>
          </w:tcPr>
          <w:p w14:paraId="5E2C6F22">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8" w:space="0"/>
              <w:right w:val="single" w:color="auto" w:sz="8" w:space="0"/>
            </w:tcBorders>
            <w:vAlign w:val="center"/>
          </w:tcPr>
          <w:p w14:paraId="7A8A440C">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纳税情况</w:t>
            </w:r>
          </w:p>
        </w:tc>
        <w:tc>
          <w:tcPr>
            <w:tcW w:w="6219" w:type="dxa"/>
            <w:tcBorders>
              <w:top w:val="nil"/>
              <w:left w:val="nil"/>
              <w:bottom w:val="single" w:color="auto" w:sz="8" w:space="0"/>
              <w:right w:val="single" w:color="auto" w:sz="8" w:space="0"/>
            </w:tcBorders>
            <w:vAlign w:val="center"/>
          </w:tcPr>
          <w:p w14:paraId="16631603">
            <w:pPr>
              <w:keepNext w:val="0"/>
              <w:keepLines w:val="0"/>
              <w:pageBreakBefore w:val="0"/>
              <w:widowControl/>
              <w:kinsoku/>
              <w:overflowPunct/>
              <w:topLinePunct w:val="0"/>
              <w:bidi w:val="0"/>
              <w:spacing w:line="360" w:lineRule="auto"/>
              <w:rPr>
                <w:rFonts w:hint="eastAsia" w:ascii="宋体" w:hAnsi="宋体" w:cs="宋体"/>
                <w:kern w:val="0"/>
                <w:highlight w:val="none"/>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lang w:eastAsia="zh-CN"/>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10</w:t>
            </w:r>
            <w:r>
              <w:rPr>
                <w:rFonts w:hint="eastAsia"/>
                <w:color w:val="000000" w:themeColor="text1"/>
                <w:szCs w:val="24"/>
                <w:highlight w:val="none"/>
                <w:lang w:eastAsia="zh-CN"/>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专用收据或社会保险缴纳清单）复印件加盖公章，根据国家相关政策免缴或迟缴的需提供相关证明材料）</w:t>
            </w:r>
            <w:r>
              <w:rPr>
                <w:rFonts w:hint="eastAsia" w:ascii="宋体" w:hAnsi="宋体" w:cs="宋体"/>
                <w:kern w:val="0"/>
                <w:highlight w:val="none"/>
              </w:rPr>
              <w:t>。</w:t>
            </w:r>
            <w:r>
              <w:rPr>
                <w:rFonts w:hint="eastAsia" w:ascii="宋体" w:hAnsi="宋体" w:cs="宋体"/>
                <w:b/>
                <w:bCs/>
                <w:kern w:val="0"/>
                <w:highlight w:val="none"/>
              </w:rPr>
              <w:t>证明材料提供复印件加盖公章</w:t>
            </w:r>
          </w:p>
        </w:tc>
      </w:tr>
      <w:tr w14:paraId="3638E76D">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4E8ECA0A">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single" w:color="auto" w:sz="8" w:space="0"/>
              <w:bottom w:val="single" w:color="000000" w:sz="8" w:space="0"/>
              <w:right w:val="single" w:color="auto" w:sz="8" w:space="0"/>
            </w:tcBorders>
            <w:vAlign w:val="center"/>
          </w:tcPr>
          <w:p w14:paraId="1F60186B">
            <w:pPr>
              <w:keepNext w:val="0"/>
              <w:keepLines w:val="0"/>
              <w:pageBreakBefore w:val="0"/>
              <w:widowControl/>
              <w:kinsoku/>
              <w:overflowPunct/>
              <w:topLinePunct w:val="0"/>
              <w:bidi w:val="0"/>
              <w:spacing w:line="360" w:lineRule="auto"/>
              <w:jc w:val="left"/>
              <w:rPr>
                <w:rFonts w:hint="default" w:ascii="宋体" w:hAnsi="宋体" w:eastAsia="宋体" w:cs="宋体"/>
                <w:kern w:val="0"/>
                <w:highlight w:val="none"/>
                <w:lang w:val="en-US" w:eastAsia="zh-CN"/>
              </w:rPr>
            </w:pPr>
            <w:r>
              <w:rPr>
                <w:rFonts w:hint="eastAsia" w:ascii="宋体" w:hAnsi="宋体" w:cs="宋体"/>
                <w:kern w:val="0"/>
                <w:highlight w:val="none"/>
                <w:lang w:val="en-US" w:eastAsia="zh-CN"/>
              </w:rPr>
              <w:t>重大违法记录书面声明</w:t>
            </w:r>
          </w:p>
        </w:tc>
        <w:tc>
          <w:tcPr>
            <w:tcW w:w="6219" w:type="dxa"/>
            <w:tcBorders>
              <w:top w:val="nil"/>
              <w:left w:val="nil"/>
              <w:bottom w:val="single" w:color="auto" w:sz="8" w:space="0"/>
              <w:right w:val="single" w:color="auto" w:sz="8" w:space="0"/>
            </w:tcBorders>
            <w:vAlign w:val="center"/>
          </w:tcPr>
          <w:p w14:paraId="40345B23">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kern w:val="0"/>
                <w:highlight w:val="none"/>
              </w:rPr>
              <w:t>提供原件加盖公章</w:t>
            </w:r>
          </w:p>
        </w:tc>
      </w:tr>
      <w:tr w14:paraId="17122185">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2F3B4F47">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nil"/>
              <w:left w:val="nil"/>
              <w:bottom w:val="single" w:color="auto" w:sz="4" w:space="0"/>
              <w:right w:val="single" w:color="auto" w:sz="8" w:space="0"/>
            </w:tcBorders>
            <w:vAlign w:val="center"/>
          </w:tcPr>
          <w:p w14:paraId="64F74B0B">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非联合体要求</w:t>
            </w:r>
          </w:p>
        </w:tc>
        <w:tc>
          <w:tcPr>
            <w:tcW w:w="6219" w:type="dxa"/>
            <w:tcBorders>
              <w:top w:val="nil"/>
              <w:left w:val="nil"/>
              <w:bottom w:val="single" w:color="auto" w:sz="4" w:space="0"/>
              <w:right w:val="single" w:color="auto" w:sz="8" w:space="0"/>
            </w:tcBorders>
            <w:vAlign w:val="center"/>
          </w:tcPr>
          <w:p w14:paraId="42C2FC35">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本项目不接受联合体投标。</w:t>
            </w:r>
          </w:p>
        </w:tc>
      </w:tr>
      <w:tr w14:paraId="00F5AF80">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2BA00684">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vMerge w:val="restart"/>
            <w:tcBorders>
              <w:top w:val="nil"/>
              <w:left w:val="nil"/>
              <w:bottom w:val="single" w:color="auto" w:sz="4" w:space="0"/>
              <w:right w:val="single" w:color="auto" w:sz="8" w:space="0"/>
            </w:tcBorders>
            <w:vAlign w:val="center"/>
          </w:tcPr>
          <w:p w14:paraId="3A651CB8">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lang w:val="en-US" w:eastAsia="zh-CN"/>
              </w:rPr>
              <w:t>不得参与投标的情形</w:t>
            </w:r>
          </w:p>
        </w:tc>
        <w:tc>
          <w:tcPr>
            <w:tcW w:w="6219" w:type="dxa"/>
            <w:tcBorders>
              <w:top w:val="nil"/>
              <w:left w:val="nil"/>
              <w:bottom w:val="single" w:color="auto" w:sz="4" w:space="0"/>
              <w:right w:val="single" w:color="auto" w:sz="8" w:space="0"/>
            </w:tcBorders>
            <w:vAlign w:val="center"/>
          </w:tcPr>
          <w:p w14:paraId="68895B36">
            <w:pPr>
              <w:keepNext w:val="0"/>
              <w:keepLines w:val="0"/>
              <w:pageBreakBefore w:val="0"/>
              <w:widowControl/>
              <w:kinsoku/>
              <w:overflowPunct/>
              <w:topLinePunct w:val="0"/>
              <w:bidi w:val="0"/>
              <w:spacing w:line="360" w:lineRule="auto"/>
              <w:rPr>
                <w:rFonts w:hint="eastAsia" w:ascii="宋体" w:hAnsi="宋体" w:cs="宋体"/>
                <w:kern w:val="0"/>
                <w:highlight w:val="none"/>
              </w:rPr>
            </w:pP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tc>
      </w:tr>
      <w:tr w14:paraId="17799989">
        <w:tblPrEx>
          <w:tblCellMar>
            <w:top w:w="0" w:type="dxa"/>
            <w:left w:w="108" w:type="dxa"/>
            <w:bottom w:w="0" w:type="dxa"/>
            <w:right w:w="108" w:type="dxa"/>
          </w:tblCellMar>
        </w:tblPrEx>
        <w:trPr>
          <w:trHeight w:val="300" w:hRule="atLeast"/>
        </w:trPr>
        <w:tc>
          <w:tcPr>
            <w:tcW w:w="420" w:type="dxa"/>
            <w:vMerge w:val="continue"/>
            <w:tcBorders>
              <w:left w:val="single" w:color="auto" w:sz="8" w:space="0"/>
              <w:right w:val="single" w:color="auto" w:sz="8" w:space="0"/>
            </w:tcBorders>
            <w:vAlign w:val="center"/>
          </w:tcPr>
          <w:p w14:paraId="4DCA5D5A">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vMerge w:val="continue"/>
            <w:tcBorders>
              <w:top w:val="nil"/>
              <w:left w:val="nil"/>
              <w:bottom w:val="single" w:color="auto" w:sz="4" w:space="0"/>
              <w:right w:val="single" w:color="auto" w:sz="8" w:space="0"/>
            </w:tcBorders>
            <w:vAlign w:val="center"/>
          </w:tcPr>
          <w:p w14:paraId="6776F832">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p>
        </w:tc>
        <w:tc>
          <w:tcPr>
            <w:tcW w:w="6219" w:type="dxa"/>
            <w:tcBorders>
              <w:top w:val="nil"/>
              <w:left w:val="nil"/>
              <w:bottom w:val="single" w:color="auto" w:sz="4" w:space="0"/>
              <w:right w:val="single" w:color="auto" w:sz="8" w:space="0"/>
            </w:tcBorders>
            <w:vAlign w:val="center"/>
          </w:tcPr>
          <w:p w14:paraId="48E04A16">
            <w:pPr>
              <w:keepNext w:val="0"/>
              <w:keepLines w:val="0"/>
              <w:pageBreakBefore w:val="0"/>
              <w:widowControl/>
              <w:kinsoku/>
              <w:overflowPunct/>
              <w:topLinePunct w:val="0"/>
              <w:bidi w:val="0"/>
              <w:spacing w:line="360" w:lineRule="auto"/>
              <w:rPr>
                <w:rFonts w:hint="eastAsia" w:ascii="宋体" w:hAnsi="宋体" w:cs="宋体"/>
                <w:kern w:val="0"/>
                <w:highlight w:val="none"/>
              </w:rPr>
            </w:pP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tc>
      </w:tr>
      <w:tr w14:paraId="01F946F2">
        <w:tblPrEx>
          <w:tblCellMar>
            <w:top w:w="0" w:type="dxa"/>
            <w:left w:w="108" w:type="dxa"/>
            <w:bottom w:w="0" w:type="dxa"/>
            <w:right w:w="108" w:type="dxa"/>
          </w:tblCellMar>
        </w:tblPrEx>
        <w:trPr>
          <w:trHeight w:val="300" w:hRule="atLeast"/>
        </w:trPr>
        <w:tc>
          <w:tcPr>
            <w:tcW w:w="420" w:type="dxa"/>
            <w:vMerge w:val="continue"/>
            <w:tcBorders>
              <w:left w:val="single" w:color="auto" w:sz="8" w:space="0"/>
              <w:bottom w:val="single" w:color="auto" w:sz="4" w:space="0"/>
              <w:right w:val="single" w:color="auto" w:sz="8" w:space="0"/>
            </w:tcBorders>
            <w:vAlign w:val="center"/>
          </w:tcPr>
          <w:p w14:paraId="311F2891">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vMerge w:val="continue"/>
            <w:tcBorders>
              <w:top w:val="nil"/>
              <w:left w:val="nil"/>
              <w:bottom w:val="single" w:color="auto" w:sz="4" w:space="0"/>
              <w:right w:val="single" w:color="auto" w:sz="8" w:space="0"/>
            </w:tcBorders>
            <w:vAlign w:val="center"/>
          </w:tcPr>
          <w:p w14:paraId="6CF91ECF">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p>
        </w:tc>
        <w:tc>
          <w:tcPr>
            <w:tcW w:w="6219" w:type="dxa"/>
            <w:tcBorders>
              <w:top w:val="nil"/>
              <w:left w:val="nil"/>
              <w:bottom w:val="single" w:color="auto" w:sz="4" w:space="0"/>
              <w:right w:val="single" w:color="auto" w:sz="8" w:space="0"/>
            </w:tcBorders>
            <w:vAlign w:val="center"/>
          </w:tcPr>
          <w:p w14:paraId="3043177F">
            <w:pPr>
              <w:keepNext w:val="0"/>
              <w:keepLines w:val="0"/>
              <w:pageBreakBefore w:val="0"/>
              <w:widowControl/>
              <w:kinsoku/>
              <w:overflowPunct/>
              <w:topLinePunct w:val="0"/>
              <w:bidi w:val="0"/>
              <w:spacing w:line="360" w:lineRule="auto"/>
              <w:rPr>
                <w:rFonts w:hint="eastAsia" w:ascii="宋体" w:hAnsi="宋体" w:cs="宋体"/>
                <w:kern w:val="0"/>
                <w:highlight w:val="none"/>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tc>
      </w:tr>
      <w:tr w14:paraId="57934921">
        <w:tblPrEx>
          <w:tblCellMar>
            <w:top w:w="0" w:type="dxa"/>
            <w:left w:w="108" w:type="dxa"/>
            <w:bottom w:w="0" w:type="dxa"/>
            <w:right w:w="108" w:type="dxa"/>
          </w:tblCellMar>
        </w:tblPrEx>
        <w:trPr>
          <w:trHeight w:val="300" w:hRule="atLeast"/>
        </w:trPr>
        <w:tc>
          <w:tcPr>
            <w:tcW w:w="420" w:type="dxa"/>
            <w:vMerge w:val="restart"/>
            <w:tcBorders>
              <w:top w:val="single" w:color="auto" w:sz="4" w:space="0"/>
              <w:left w:val="single" w:color="auto" w:sz="4" w:space="0"/>
              <w:right w:val="single" w:color="auto" w:sz="4" w:space="0"/>
            </w:tcBorders>
            <w:vAlign w:val="center"/>
          </w:tcPr>
          <w:p w14:paraId="16C94FCF">
            <w:pPr>
              <w:keepNext w:val="0"/>
              <w:keepLines w:val="0"/>
              <w:pageBreakBefore w:val="0"/>
              <w:widowControl/>
              <w:kinsoku/>
              <w:overflowPunct/>
              <w:topLinePunct w:val="0"/>
              <w:bidi w:val="0"/>
              <w:spacing w:line="360" w:lineRule="auto"/>
              <w:jc w:val="center"/>
              <w:rPr>
                <w:rFonts w:hint="default" w:ascii="宋体" w:hAnsi="宋体" w:eastAsia="宋体" w:cs="宋体"/>
                <w:kern w:val="0"/>
                <w:highlight w:val="none"/>
                <w:lang w:val="en-US" w:eastAsia="zh-CN"/>
              </w:rPr>
            </w:pPr>
            <w:r>
              <w:rPr>
                <w:rFonts w:hint="eastAsia" w:ascii="宋体" w:hAnsi="宋体" w:cs="宋体"/>
                <w:kern w:val="0"/>
                <w:highlight w:val="none"/>
                <w:lang w:val="en-US" w:eastAsia="zh-CN"/>
              </w:rPr>
              <w:t>响应性评审</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14:paraId="0CCD939D">
            <w:pPr>
              <w:keepNext w:val="0"/>
              <w:keepLines w:val="0"/>
              <w:pageBreakBefore w:val="0"/>
              <w:widowControl/>
              <w:kinsoku/>
              <w:overflowPunct/>
              <w:topLinePunct w:val="0"/>
              <w:bidi w:val="0"/>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cs="宋体"/>
                <w:kern w:val="0"/>
                <w:highlight w:val="none"/>
              </w:rPr>
              <w:t>投标有效期</w:t>
            </w:r>
          </w:p>
        </w:tc>
        <w:tc>
          <w:tcPr>
            <w:tcW w:w="6219" w:type="dxa"/>
            <w:tcBorders>
              <w:top w:val="single" w:color="auto" w:sz="4" w:space="0"/>
              <w:left w:val="single" w:color="auto" w:sz="4" w:space="0"/>
              <w:bottom w:val="single" w:color="auto" w:sz="4" w:space="0"/>
              <w:right w:val="single" w:color="auto" w:sz="4" w:space="0"/>
            </w:tcBorders>
            <w:shd w:val="clear" w:color="auto" w:fill="auto"/>
            <w:vAlign w:val="center"/>
          </w:tcPr>
          <w:p w14:paraId="60CF1200">
            <w:pPr>
              <w:keepNext w:val="0"/>
              <w:keepLines w:val="0"/>
              <w:pageBreakBefore w:val="0"/>
              <w:widowControl/>
              <w:kinsoku/>
              <w:overflowPunct/>
              <w:topLinePunct w:val="0"/>
              <w:bidi w:val="0"/>
              <w:spacing w:line="360" w:lineRule="auto"/>
              <w:rPr>
                <w:rFonts w:hint="eastAsia" w:ascii="宋体" w:hAnsi="宋体" w:eastAsia="宋体" w:cs="宋体"/>
                <w:kern w:val="0"/>
                <w:sz w:val="21"/>
                <w:szCs w:val="21"/>
                <w:highlight w:val="none"/>
                <w:lang w:val="en-US" w:eastAsia="zh-CN" w:bidi="ar-SA"/>
              </w:rPr>
            </w:pPr>
            <w:r>
              <w:rPr>
                <w:rFonts w:hint="eastAsia" w:ascii="宋体" w:hAnsi="宋体" w:cs="宋体"/>
                <w:kern w:val="0"/>
                <w:highlight w:val="none"/>
                <w:lang w:val="en-US" w:eastAsia="zh-CN"/>
              </w:rPr>
              <w:t>90</w:t>
            </w:r>
            <w:r>
              <w:rPr>
                <w:rFonts w:hint="eastAsia" w:ascii="宋体" w:hAnsi="宋体" w:cs="宋体"/>
                <w:kern w:val="0"/>
                <w:highlight w:val="none"/>
              </w:rPr>
              <w:t>日历天。</w:t>
            </w:r>
          </w:p>
        </w:tc>
      </w:tr>
      <w:tr w14:paraId="0D272356">
        <w:tblPrEx>
          <w:tblCellMar>
            <w:top w:w="0" w:type="dxa"/>
            <w:left w:w="108" w:type="dxa"/>
            <w:bottom w:w="0" w:type="dxa"/>
            <w:right w:w="108" w:type="dxa"/>
          </w:tblCellMar>
        </w:tblPrEx>
        <w:trPr>
          <w:trHeight w:val="300" w:hRule="atLeast"/>
        </w:trPr>
        <w:tc>
          <w:tcPr>
            <w:tcW w:w="420" w:type="dxa"/>
            <w:vMerge w:val="continue"/>
            <w:tcBorders>
              <w:top w:val="single" w:color="auto" w:sz="4" w:space="0"/>
              <w:left w:val="single" w:color="auto" w:sz="4" w:space="0"/>
              <w:bottom w:val="single" w:color="auto" w:sz="4" w:space="0"/>
              <w:right w:val="single" w:color="auto" w:sz="4" w:space="0"/>
            </w:tcBorders>
            <w:vAlign w:val="center"/>
          </w:tcPr>
          <w:p w14:paraId="27E4B57E">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28745EC9">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投标报价</w:t>
            </w:r>
          </w:p>
        </w:tc>
        <w:tc>
          <w:tcPr>
            <w:tcW w:w="6219" w:type="dxa"/>
            <w:tcBorders>
              <w:top w:val="single" w:color="auto" w:sz="4" w:space="0"/>
              <w:left w:val="single" w:color="auto" w:sz="4" w:space="0"/>
              <w:bottom w:val="single" w:color="auto" w:sz="4" w:space="0"/>
              <w:right w:val="single" w:color="auto" w:sz="4" w:space="0"/>
            </w:tcBorders>
            <w:vAlign w:val="center"/>
          </w:tcPr>
          <w:p w14:paraId="0EDC3344">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唯一报价且满足投标一览表要求。</w:t>
            </w:r>
          </w:p>
        </w:tc>
      </w:tr>
      <w:tr w14:paraId="2C217DF2">
        <w:tblPrEx>
          <w:tblCellMar>
            <w:top w:w="0" w:type="dxa"/>
            <w:left w:w="108" w:type="dxa"/>
            <w:bottom w:w="0" w:type="dxa"/>
            <w:right w:w="108" w:type="dxa"/>
          </w:tblCellMar>
        </w:tblPrEx>
        <w:trPr>
          <w:trHeight w:val="300" w:hRule="atLeast"/>
        </w:trPr>
        <w:tc>
          <w:tcPr>
            <w:tcW w:w="420" w:type="dxa"/>
            <w:vMerge w:val="continue"/>
            <w:tcBorders>
              <w:top w:val="single" w:color="auto" w:sz="4" w:space="0"/>
              <w:left w:val="single" w:color="auto" w:sz="4" w:space="0"/>
              <w:bottom w:val="single" w:color="auto" w:sz="4" w:space="0"/>
              <w:right w:val="single" w:color="auto" w:sz="4" w:space="0"/>
            </w:tcBorders>
            <w:vAlign w:val="center"/>
          </w:tcPr>
          <w:p w14:paraId="400F184C">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3D7C0D12">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合同偏离</w:t>
            </w:r>
          </w:p>
        </w:tc>
        <w:tc>
          <w:tcPr>
            <w:tcW w:w="6219" w:type="dxa"/>
            <w:tcBorders>
              <w:top w:val="single" w:color="auto" w:sz="4" w:space="0"/>
              <w:left w:val="single" w:color="auto" w:sz="4" w:space="0"/>
              <w:bottom w:val="single" w:color="auto" w:sz="4" w:space="0"/>
              <w:right w:val="single" w:color="auto" w:sz="4" w:space="0"/>
            </w:tcBorders>
            <w:vAlign w:val="center"/>
          </w:tcPr>
          <w:p w14:paraId="65297114">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满足合同条款偏离表要求。</w:t>
            </w:r>
          </w:p>
        </w:tc>
      </w:tr>
      <w:tr w14:paraId="2D1100A6">
        <w:tblPrEx>
          <w:tblCellMar>
            <w:top w:w="0" w:type="dxa"/>
            <w:left w:w="108" w:type="dxa"/>
            <w:bottom w:w="0" w:type="dxa"/>
            <w:right w:w="108" w:type="dxa"/>
          </w:tblCellMar>
        </w:tblPrEx>
        <w:trPr>
          <w:trHeight w:val="300" w:hRule="atLeast"/>
        </w:trPr>
        <w:tc>
          <w:tcPr>
            <w:tcW w:w="420" w:type="dxa"/>
            <w:vMerge w:val="continue"/>
            <w:tcBorders>
              <w:top w:val="single" w:color="auto" w:sz="4" w:space="0"/>
              <w:left w:val="single" w:color="auto" w:sz="4" w:space="0"/>
              <w:bottom w:val="single" w:color="auto" w:sz="4" w:space="0"/>
              <w:right w:val="single" w:color="auto" w:sz="4" w:space="0"/>
            </w:tcBorders>
            <w:vAlign w:val="center"/>
          </w:tcPr>
          <w:p w14:paraId="641A2842">
            <w:pPr>
              <w:keepNext w:val="0"/>
              <w:keepLines w:val="0"/>
              <w:pageBreakBefore w:val="0"/>
              <w:widowControl/>
              <w:kinsoku/>
              <w:overflowPunct/>
              <w:topLinePunct w:val="0"/>
              <w:bidi w:val="0"/>
              <w:spacing w:line="360" w:lineRule="auto"/>
              <w:jc w:val="left"/>
              <w:rPr>
                <w:rFonts w:hint="eastAsia" w:ascii="宋体" w:hAnsi="宋体" w:cs="宋体"/>
                <w:kern w:val="0"/>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7864635C">
            <w:pPr>
              <w:keepNext w:val="0"/>
              <w:keepLines w:val="0"/>
              <w:pageBreakBefore w:val="0"/>
              <w:widowControl/>
              <w:kinsoku/>
              <w:overflowPunct/>
              <w:topLinePunct w:val="0"/>
              <w:bidi w:val="0"/>
              <w:spacing w:line="360" w:lineRule="auto"/>
              <w:jc w:val="center"/>
              <w:rPr>
                <w:rFonts w:hint="eastAsia" w:ascii="宋体" w:hAnsi="宋体" w:cs="宋体"/>
                <w:kern w:val="0"/>
                <w:highlight w:val="none"/>
              </w:rPr>
            </w:pPr>
            <w:r>
              <w:rPr>
                <w:rFonts w:hint="eastAsia" w:ascii="宋体" w:hAnsi="宋体" w:cs="宋体"/>
                <w:kern w:val="0"/>
                <w:highlight w:val="none"/>
              </w:rPr>
              <w:t>技术偏离</w:t>
            </w:r>
          </w:p>
        </w:tc>
        <w:tc>
          <w:tcPr>
            <w:tcW w:w="6219" w:type="dxa"/>
            <w:tcBorders>
              <w:top w:val="single" w:color="auto" w:sz="4" w:space="0"/>
              <w:left w:val="single" w:color="auto" w:sz="4" w:space="0"/>
              <w:bottom w:val="single" w:color="auto" w:sz="4" w:space="0"/>
              <w:right w:val="single" w:color="auto" w:sz="4" w:space="0"/>
            </w:tcBorders>
            <w:vAlign w:val="center"/>
          </w:tcPr>
          <w:p w14:paraId="22A4725E">
            <w:pPr>
              <w:keepNext w:val="0"/>
              <w:keepLines w:val="0"/>
              <w:pageBreakBefore w:val="0"/>
              <w:widowControl/>
              <w:kinsoku/>
              <w:overflowPunct/>
              <w:topLinePunct w:val="0"/>
              <w:bidi w:val="0"/>
              <w:spacing w:line="360" w:lineRule="auto"/>
              <w:rPr>
                <w:rFonts w:hint="eastAsia" w:ascii="宋体" w:hAnsi="宋体" w:cs="宋体"/>
                <w:kern w:val="0"/>
                <w:highlight w:val="none"/>
              </w:rPr>
            </w:pPr>
            <w:r>
              <w:rPr>
                <w:rFonts w:hint="eastAsia" w:ascii="宋体" w:hAnsi="宋体" w:cs="宋体"/>
                <w:kern w:val="0"/>
                <w:highlight w:val="none"/>
              </w:rPr>
              <w:t>满足技术规格偏离表要求。</w:t>
            </w:r>
          </w:p>
        </w:tc>
      </w:tr>
      <w:bookmarkEnd w:id="6"/>
    </w:tbl>
    <w:p w14:paraId="59500B15">
      <w:pPr>
        <w:keepNext w:val="0"/>
        <w:keepLines w:val="0"/>
        <w:pageBreakBefore w:val="0"/>
        <w:kinsoku/>
        <w:overflowPunct/>
        <w:topLinePunct w:val="0"/>
        <w:bidi w:val="0"/>
        <w:spacing w:line="360" w:lineRule="auto"/>
        <w:rPr>
          <w:rFonts w:hint="eastAsia" w:ascii="宋体" w:hAnsi="宋体"/>
          <w:highlight w:val="none"/>
        </w:rPr>
      </w:pPr>
    </w:p>
    <w:p w14:paraId="6D9BD473">
      <w:pPr>
        <w:keepNext w:val="0"/>
        <w:keepLines w:val="0"/>
        <w:pageBreakBefore w:val="0"/>
        <w:kinsoku/>
        <w:overflowPunct/>
        <w:topLinePunct w:val="0"/>
        <w:bidi w:val="0"/>
        <w:spacing w:line="360" w:lineRule="auto"/>
        <w:rPr>
          <w:rFonts w:ascii="宋体" w:hAnsi="宋体"/>
          <w:b/>
          <w:bCs/>
          <w:highlight w:val="none"/>
        </w:rPr>
      </w:pPr>
      <w:r>
        <w:rPr>
          <w:rFonts w:ascii="宋体" w:hAnsi="宋体"/>
          <w:b/>
          <w:bCs/>
          <w:highlight w:val="none"/>
        </w:rPr>
        <w:t>2.2详细评审</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2"/>
        <w:gridCol w:w="6427"/>
      </w:tblGrid>
      <w:tr w14:paraId="3E2D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612" w:type="dxa"/>
            <w:vAlign w:val="center"/>
          </w:tcPr>
          <w:p w14:paraId="5FE39B13">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评分因素</w:t>
            </w:r>
          </w:p>
        </w:tc>
        <w:tc>
          <w:tcPr>
            <w:tcW w:w="6427" w:type="dxa"/>
            <w:vAlign w:val="center"/>
          </w:tcPr>
          <w:p w14:paraId="39C10D6E">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评审标准分值</w:t>
            </w:r>
          </w:p>
        </w:tc>
      </w:tr>
      <w:tr w14:paraId="1DC6D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6252B7FF">
            <w:pPr>
              <w:keepNext w:val="0"/>
              <w:keepLines w:val="0"/>
              <w:pageBreakBefore w:val="0"/>
              <w:kinsoku/>
              <w:wordWrap/>
              <w:overflowPunct/>
              <w:topLinePunct w:val="0"/>
              <w:autoSpaceDE/>
              <w:autoSpaceDN/>
              <w:bidi w:val="0"/>
              <w:adjustRightInd w:val="0"/>
              <w:snapToGrid w:val="0"/>
              <w:spacing w:line="312" w:lineRule="auto"/>
              <w:jc w:val="center"/>
              <w:textAlignment w:val="auto"/>
              <w:rPr>
                <w:rFonts w:hint="eastAsia" w:ascii="宋体" w:hAnsi="宋体" w:cs="仿宋"/>
                <w:b/>
                <w:bCs/>
                <w:szCs w:val="21"/>
                <w:highlight w:val="none"/>
              </w:rPr>
            </w:pPr>
            <w:r>
              <w:rPr>
                <w:rFonts w:hint="eastAsia" w:ascii="宋体" w:hAnsi="宋体" w:cs="仿宋"/>
                <w:b/>
                <w:bCs/>
                <w:szCs w:val="21"/>
                <w:highlight w:val="none"/>
              </w:rPr>
              <w:t>响应报价</w:t>
            </w:r>
          </w:p>
          <w:p w14:paraId="1A6993F2">
            <w:pPr>
              <w:keepNext w:val="0"/>
              <w:keepLines w:val="0"/>
              <w:pageBreakBefore w:val="0"/>
              <w:widowControl/>
              <w:kinsoku/>
              <w:wordWrap/>
              <w:overflowPunct/>
              <w:topLinePunct w:val="0"/>
              <w:autoSpaceDE/>
              <w:autoSpaceDN/>
              <w:bidi w:val="0"/>
              <w:adjustRightInd w:val="0"/>
              <w:snapToGrid w:val="0"/>
              <w:spacing w:line="312" w:lineRule="auto"/>
              <w:jc w:val="center"/>
              <w:textAlignment w:val="auto"/>
              <w:rPr>
                <w:rFonts w:hint="eastAsia" w:ascii="宋体" w:hAnsi="宋体"/>
                <w:szCs w:val="21"/>
                <w:highlight w:val="none"/>
              </w:rPr>
            </w:pPr>
            <w:r>
              <w:rPr>
                <w:rFonts w:hint="eastAsia" w:ascii="宋体" w:hAnsi="宋体" w:cs="仿宋"/>
                <w:b/>
                <w:bCs/>
                <w:szCs w:val="21"/>
                <w:highlight w:val="none"/>
              </w:rPr>
              <w:t>（30分）</w:t>
            </w:r>
          </w:p>
        </w:tc>
        <w:tc>
          <w:tcPr>
            <w:tcW w:w="6427" w:type="dxa"/>
            <w:vAlign w:val="center"/>
          </w:tcPr>
          <w:p w14:paraId="5F5D6A60">
            <w:pPr>
              <w:keepNext w:val="0"/>
              <w:keepLines w:val="0"/>
              <w:pageBreakBefore w:val="0"/>
              <w:kinsoku/>
              <w:wordWrap/>
              <w:overflowPunct/>
              <w:topLinePunct w:val="0"/>
              <w:autoSpaceDE/>
              <w:autoSpaceDN/>
              <w:bidi w:val="0"/>
              <w:adjustRightInd w:val="0"/>
              <w:snapToGrid w:val="0"/>
              <w:spacing w:line="312" w:lineRule="auto"/>
              <w:jc w:val="left"/>
              <w:textAlignment w:val="auto"/>
              <w:rPr>
                <w:rFonts w:hint="eastAsia"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价格分采用低价优先法计算，即满足采购文件要求且报价最低的供应商报价为评审基准价，其价格分为满分30分，其它供应商的价格分统一按照以下公式计算：报价得分=</w:t>
            </w:r>
            <w:r>
              <w:rPr>
                <w:rFonts w:hint="eastAsia" w:ascii="宋体" w:hAnsi="宋体"/>
                <w:szCs w:val="21"/>
                <w:highlight w:val="none"/>
                <w:lang w:eastAsia="zh-CN"/>
              </w:rPr>
              <w:t>（</w:t>
            </w:r>
            <w:r>
              <w:rPr>
                <w:rFonts w:hint="eastAsia" w:ascii="宋体" w:hAnsi="宋体"/>
                <w:szCs w:val="21"/>
                <w:highlight w:val="none"/>
              </w:rPr>
              <w:t>最低报价/该单位的响应报价</w:t>
            </w:r>
            <w:r>
              <w:rPr>
                <w:rFonts w:hint="eastAsia" w:ascii="宋体" w:hAnsi="宋体"/>
                <w:szCs w:val="21"/>
                <w:highlight w:val="none"/>
                <w:lang w:eastAsia="zh-CN"/>
              </w:rPr>
              <w:t>）</w:t>
            </w:r>
            <w:r>
              <w:rPr>
                <w:rFonts w:hint="eastAsia" w:ascii="宋体" w:hAnsi="宋体"/>
                <w:szCs w:val="21"/>
                <w:highlight w:val="none"/>
              </w:rPr>
              <w:t>*30。</w:t>
            </w:r>
          </w:p>
        </w:tc>
      </w:tr>
      <w:tr w14:paraId="563B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39" w:type="dxa"/>
            <w:gridSpan w:val="2"/>
            <w:vAlign w:val="center"/>
          </w:tcPr>
          <w:p w14:paraId="7171ABE5">
            <w:pPr>
              <w:keepNext w:val="0"/>
              <w:keepLines w:val="0"/>
              <w:pageBreakBefore w:val="0"/>
              <w:widowControl/>
              <w:kinsoku/>
              <w:wordWrap/>
              <w:overflowPunct/>
              <w:topLinePunct w:val="0"/>
              <w:autoSpaceDE/>
              <w:autoSpaceDN/>
              <w:bidi w:val="0"/>
              <w:adjustRightInd w:val="0"/>
              <w:snapToGrid w:val="0"/>
              <w:spacing w:line="312" w:lineRule="auto"/>
              <w:jc w:val="left"/>
              <w:textAlignment w:val="auto"/>
              <w:rPr>
                <w:rFonts w:hint="eastAsia" w:ascii="宋体" w:hAnsi="宋体"/>
                <w:b/>
                <w:bCs/>
                <w:szCs w:val="21"/>
                <w:highlight w:val="none"/>
              </w:rPr>
            </w:pPr>
            <w:r>
              <w:rPr>
                <w:rFonts w:hint="eastAsia" w:ascii="宋体" w:hAnsi="宋体"/>
                <w:b/>
                <w:bCs/>
                <w:szCs w:val="21"/>
                <w:highlight w:val="none"/>
              </w:rPr>
              <w:t>启动异常低价审查的情形和具体要求：</w:t>
            </w:r>
          </w:p>
          <w:p w14:paraId="30DC53FF">
            <w:pPr>
              <w:keepNext w:val="0"/>
              <w:keepLines w:val="0"/>
              <w:pageBreakBefore w:val="0"/>
              <w:widowControl/>
              <w:kinsoku/>
              <w:wordWrap/>
              <w:overflowPunct/>
              <w:topLinePunct w:val="0"/>
              <w:autoSpaceDE/>
              <w:autoSpaceDN/>
              <w:bidi w:val="0"/>
              <w:adjustRightInd w:val="0"/>
              <w:snapToGrid w:val="0"/>
              <w:spacing w:line="312" w:lineRule="auto"/>
              <w:jc w:val="left"/>
              <w:textAlignment w:val="auto"/>
              <w:rPr>
                <w:rFonts w:hint="eastAsia" w:ascii="宋体" w:hAnsi="宋体"/>
                <w:szCs w:val="21"/>
                <w:highlight w:val="none"/>
              </w:rPr>
            </w:pPr>
            <w:r>
              <w:rPr>
                <w:rFonts w:hint="eastAsia" w:ascii="宋体" w:hAnsi="宋体"/>
                <w:szCs w:val="21"/>
                <w:highlight w:val="none"/>
                <w:lang w:eastAsia="zh-CN"/>
              </w:rPr>
              <w:t>（一）</w:t>
            </w:r>
            <w:r>
              <w:rPr>
                <w:rFonts w:hint="eastAsia" w:ascii="宋体" w:hAnsi="宋体"/>
                <w:szCs w:val="21"/>
                <w:highlight w:val="none"/>
              </w:rPr>
              <w:t>评审过程中出现下列情形之一的，评审委员会应当启动异常低价响应审查程序</w:t>
            </w:r>
            <w:r>
              <w:rPr>
                <w:rFonts w:hint="eastAsia" w:ascii="宋体" w:hAnsi="宋体"/>
                <w:szCs w:val="21"/>
                <w:highlight w:val="none"/>
                <w:lang w:eastAsia="zh-CN"/>
              </w:rPr>
              <w:t>：</w:t>
            </w:r>
          </w:p>
          <w:p w14:paraId="0F8F3562">
            <w:pPr>
              <w:keepNext w:val="0"/>
              <w:keepLines w:val="0"/>
              <w:pageBreakBefore w:val="0"/>
              <w:widowControl/>
              <w:kinsoku/>
              <w:wordWrap/>
              <w:overflowPunct/>
              <w:topLinePunct w:val="0"/>
              <w:autoSpaceDE/>
              <w:autoSpaceDN/>
              <w:bidi w:val="0"/>
              <w:adjustRightInd w:val="0"/>
              <w:snapToGrid w:val="0"/>
              <w:spacing w:line="312" w:lineRule="auto"/>
              <w:jc w:val="left"/>
              <w:textAlignment w:val="auto"/>
              <w:rPr>
                <w:rFonts w:hint="eastAsia" w:ascii="宋体" w:hAnsi="宋体"/>
                <w:szCs w:val="21"/>
                <w:highlight w:val="none"/>
              </w:rPr>
            </w:pPr>
            <w:r>
              <w:rPr>
                <w:rFonts w:hint="eastAsia" w:ascii="宋体" w:hAnsi="宋体"/>
                <w:szCs w:val="21"/>
                <w:highlight w:val="none"/>
              </w:rPr>
              <w:t>1.响应报价低于采购项目预算50%的，即响应报价</w:t>
            </w:r>
            <w:r>
              <w:rPr>
                <w:rFonts w:hint="eastAsia" w:ascii="微软雅黑" w:hAnsi="微软雅黑" w:eastAsia="微软雅黑" w:cs="微软雅黑"/>
                <w:szCs w:val="21"/>
                <w:highlight w:val="none"/>
              </w:rPr>
              <w:t>&lt;</w:t>
            </w:r>
            <w:r>
              <w:rPr>
                <w:rFonts w:hint="eastAsia" w:ascii="宋体" w:hAnsi="宋体"/>
                <w:szCs w:val="21"/>
                <w:highlight w:val="none"/>
              </w:rPr>
              <w:t>采购项目预算x50%；</w:t>
            </w:r>
          </w:p>
          <w:p w14:paraId="03FF989E">
            <w:pPr>
              <w:keepNext w:val="0"/>
              <w:keepLines w:val="0"/>
              <w:pageBreakBefore w:val="0"/>
              <w:widowControl/>
              <w:kinsoku/>
              <w:wordWrap/>
              <w:overflowPunct/>
              <w:topLinePunct w:val="0"/>
              <w:autoSpaceDE/>
              <w:autoSpaceDN/>
              <w:bidi w:val="0"/>
              <w:adjustRightInd w:val="0"/>
              <w:snapToGrid w:val="0"/>
              <w:spacing w:line="312" w:lineRule="auto"/>
              <w:jc w:val="left"/>
              <w:textAlignment w:val="auto"/>
              <w:rPr>
                <w:rFonts w:hint="eastAsia" w:ascii="宋体" w:hAnsi="宋体"/>
                <w:szCs w:val="21"/>
                <w:highlight w:val="none"/>
              </w:rPr>
            </w:pPr>
            <w:r>
              <w:rPr>
                <w:rFonts w:hint="eastAsia" w:ascii="宋体" w:hAnsi="宋体"/>
                <w:szCs w:val="21"/>
                <w:highlight w:val="none"/>
              </w:rPr>
              <w:t>2.响应报价低于采购项目最高限价45%的，即响应报价</w:t>
            </w:r>
            <w:r>
              <w:rPr>
                <w:rFonts w:hint="eastAsia" w:ascii="微软雅黑" w:hAnsi="微软雅黑" w:eastAsia="微软雅黑" w:cs="微软雅黑"/>
                <w:szCs w:val="21"/>
                <w:highlight w:val="none"/>
              </w:rPr>
              <w:t>&lt;</w:t>
            </w:r>
            <w:r>
              <w:rPr>
                <w:rFonts w:hint="eastAsia" w:ascii="宋体" w:hAnsi="宋体"/>
                <w:szCs w:val="21"/>
                <w:highlight w:val="none"/>
              </w:rPr>
              <w:t>采购项目最高限价x45%；</w:t>
            </w:r>
          </w:p>
          <w:p w14:paraId="7F8E98B9">
            <w:pPr>
              <w:keepNext w:val="0"/>
              <w:keepLines w:val="0"/>
              <w:pageBreakBefore w:val="0"/>
              <w:widowControl/>
              <w:kinsoku/>
              <w:wordWrap/>
              <w:overflowPunct/>
              <w:topLinePunct w:val="0"/>
              <w:autoSpaceDE/>
              <w:autoSpaceDN/>
              <w:bidi w:val="0"/>
              <w:adjustRightInd w:val="0"/>
              <w:snapToGrid w:val="0"/>
              <w:spacing w:line="312" w:lineRule="auto"/>
              <w:jc w:val="left"/>
              <w:textAlignment w:val="auto"/>
              <w:rPr>
                <w:rFonts w:hint="eastAsia"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1C85DB4F">
            <w:pPr>
              <w:keepNext w:val="0"/>
              <w:keepLines w:val="0"/>
              <w:pageBreakBefore w:val="0"/>
              <w:kinsoku/>
              <w:wordWrap/>
              <w:overflowPunct/>
              <w:topLinePunct w:val="0"/>
              <w:autoSpaceDE/>
              <w:autoSpaceDN/>
              <w:bidi w:val="0"/>
              <w:adjustRightInd w:val="0"/>
              <w:snapToGrid w:val="0"/>
              <w:spacing w:line="312" w:lineRule="auto"/>
              <w:jc w:val="left"/>
              <w:textAlignment w:val="auto"/>
              <w:rPr>
                <w:rFonts w:hint="eastAsia" w:ascii="宋体" w:hAnsi="宋体"/>
                <w:i/>
                <w:iCs/>
                <w:szCs w:val="21"/>
                <w:highlight w:val="none"/>
              </w:rPr>
            </w:pPr>
            <w:r>
              <w:rPr>
                <w:rFonts w:hint="eastAsia" w:ascii="宋体" w:hAnsi="宋体"/>
                <w:szCs w:val="21"/>
                <w:highlight w:val="none"/>
                <w:lang w:eastAsia="zh-CN"/>
              </w:rPr>
              <w:t>（二）</w:t>
            </w:r>
            <w:r>
              <w:rPr>
                <w:rFonts w:hint="eastAsia" w:ascii="宋体" w:hAnsi="宋体"/>
                <w:szCs w:val="21"/>
                <w:highlight w:val="none"/>
              </w:rPr>
              <w:t>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w:t>
            </w:r>
            <w:r>
              <w:rPr>
                <w:rFonts w:hint="eastAsia" w:ascii="宋体" w:hAnsi="宋体"/>
                <w:szCs w:val="21"/>
                <w:highlight w:val="none"/>
                <w:lang w:eastAsia="zh-CN"/>
              </w:rPr>
              <w:t>，</w:t>
            </w:r>
            <w:r>
              <w:rPr>
                <w:rFonts w:hint="eastAsia" w:ascii="宋体" w:hAnsi="宋体"/>
                <w:szCs w:val="21"/>
                <w:highlight w:val="none"/>
              </w:rPr>
              <w:t>或者提供的书面说明、证明材料不能证明其报价合理性的，评审委员会应当将其作为无效响应处理。</w:t>
            </w:r>
          </w:p>
        </w:tc>
      </w:tr>
      <w:tr w14:paraId="4FB3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356C97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12" w:lineRule="auto"/>
              <w:jc w:val="center"/>
              <w:textAlignment w:val="auto"/>
              <w:rPr>
                <w:rFonts w:hint="eastAsia" w:ascii="宋体" w:hAnsi="宋体" w:cs="宋体"/>
                <w:b/>
                <w:bCs w:val="0"/>
                <w:szCs w:val="21"/>
                <w:highlight w:val="none"/>
              </w:rPr>
            </w:pPr>
            <w:r>
              <w:rPr>
                <w:rFonts w:hint="eastAsia" w:ascii="宋体" w:hAnsi="宋体" w:cs="宋体"/>
                <w:b/>
                <w:bCs w:val="0"/>
                <w:szCs w:val="21"/>
                <w:highlight w:val="none"/>
              </w:rPr>
              <w:t>技术响应</w:t>
            </w:r>
          </w:p>
          <w:p w14:paraId="21FF8E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12" w:lineRule="auto"/>
              <w:jc w:val="center"/>
              <w:textAlignment w:val="auto"/>
              <w:rPr>
                <w:rFonts w:hint="eastAsia" w:ascii="宋体" w:hAnsi="宋体"/>
                <w:b/>
                <w:bCs w:val="0"/>
                <w:szCs w:val="21"/>
                <w:highlight w:val="none"/>
              </w:rPr>
            </w:pPr>
            <w:r>
              <w:rPr>
                <w:rFonts w:hint="eastAsia" w:ascii="宋体" w:hAnsi="宋体" w:cs="宋体"/>
                <w:b/>
                <w:bCs w:val="0"/>
                <w:szCs w:val="21"/>
                <w:highlight w:val="none"/>
              </w:rPr>
              <w:t>（3</w:t>
            </w:r>
            <w:r>
              <w:rPr>
                <w:rFonts w:hint="eastAsia" w:ascii="宋体" w:hAnsi="宋体" w:cs="宋体"/>
                <w:b/>
                <w:bCs w:val="0"/>
                <w:szCs w:val="21"/>
                <w:highlight w:val="none"/>
                <w:lang w:val="en-US" w:eastAsia="zh-CN"/>
              </w:rPr>
              <w:t>1</w:t>
            </w:r>
            <w:r>
              <w:rPr>
                <w:rFonts w:hint="eastAsia" w:ascii="宋体" w:hAnsi="宋体" w:cs="宋体"/>
                <w:b/>
                <w:bCs w:val="0"/>
                <w:szCs w:val="21"/>
                <w:highlight w:val="none"/>
              </w:rPr>
              <w:t>分）</w:t>
            </w:r>
          </w:p>
        </w:tc>
        <w:tc>
          <w:tcPr>
            <w:tcW w:w="6427" w:type="dxa"/>
            <w:vAlign w:val="center"/>
          </w:tcPr>
          <w:p w14:paraId="64177691">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cs="宋体"/>
                <w:szCs w:val="21"/>
                <w:highlight w:val="none"/>
              </w:rPr>
            </w:pPr>
            <w:r>
              <w:rPr>
                <w:rFonts w:hint="eastAsia" w:ascii="宋体" w:hAnsi="宋体" w:cs="宋体"/>
                <w:szCs w:val="21"/>
                <w:highlight w:val="none"/>
              </w:rPr>
              <w:t>根据对采购文件第四章“三、主要技术参数要求”响应情况进行评分，全部满足得</w:t>
            </w:r>
            <w:r>
              <w:rPr>
                <w:rFonts w:hint="eastAsia" w:ascii="宋体" w:hAnsi="宋体" w:cs="宋体"/>
                <w:szCs w:val="21"/>
                <w:highlight w:val="none"/>
                <w:lang w:val="en-US" w:eastAsia="zh-CN"/>
              </w:rPr>
              <w:t>31</w:t>
            </w:r>
            <w:r>
              <w:rPr>
                <w:rFonts w:hint="eastAsia" w:ascii="宋体" w:hAnsi="宋体" w:cs="宋体"/>
                <w:szCs w:val="21"/>
                <w:highlight w:val="none"/>
              </w:rPr>
              <w:t>分，采购文件中标注“★”号为实质性指标，不满足为无效响应。</w:t>
            </w:r>
          </w:p>
          <w:p w14:paraId="732C75C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cs="宋体"/>
                <w:szCs w:val="21"/>
                <w:highlight w:val="none"/>
              </w:rPr>
            </w:pPr>
            <w:r>
              <w:rPr>
                <w:rFonts w:hint="eastAsia" w:ascii="宋体" w:hAnsi="宋体" w:cs="宋体"/>
                <w:szCs w:val="21"/>
                <w:highlight w:val="none"/>
              </w:rPr>
              <w:t>标“▲”号技术指标</w:t>
            </w:r>
            <w:r>
              <w:rPr>
                <w:rFonts w:hint="eastAsia" w:ascii="宋体" w:hAnsi="宋体" w:cs="宋体"/>
                <w:szCs w:val="21"/>
                <w:highlight w:val="none"/>
                <w:lang w:eastAsia="zh-CN"/>
              </w:rPr>
              <w:t>（</w:t>
            </w:r>
            <w:r>
              <w:rPr>
                <w:rFonts w:hint="eastAsia" w:ascii="宋体" w:hAnsi="宋体" w:cs="宋体"/>
                <w:szCs w:val="21"/>
                <w:highlight w:val="none"/>
                <w:lang w:val="en-US" w:eastAsia="zh-CN"/>
              </w:rPr>
              <w:t>12项）</w:t>
            </w:r>
            <w:r>
              <w:rPr>
                <w:rFonts w:hint="eastAsia" w:ascii="宋体" w:hAnsi="宋体" w:cs="宋体"/>
                <w:szCs w:val="21"/>
                <w:highlight w:val="none"/>
              </w:rPr>
              <w:t>为重要技术条款，每有一项负偏离扣</w:t>
            </w:r>
            <w:r>
              <w:rPr>
                <w:rFonts w:hint="eastAsia" w:ascii="宋体" w:hAnsi="宋体" w:cs="宋体"/>
                <w:szCs w:val="21"/>
                <w:highlight w:val="none"/>
                <w:lang w:val="en-US" w:eastAsia="zh-CN"/>
              </w:rPr>
              <w:t>1</w:t>
            </w:r>
            <w:r>
              <w:rPr>
                <w:rFonts w:hint="eastAsia" w:ascii="宋体" w:hAnsi="宋体" w:cs="宋体"/>
                <w:szCs w:val="21"/>
                <w:highlight w:val="none"/>
              </w:rPr>
              <w:t>分；</w:t>
            </w:r>
          </w:p>
          <w:p w14:paraId="0BB07DF0">
            <w:pPr>
              <w:keepNext w:val="0"/>
              <w:keepLines w:val="0"/>
              <w:pageBreakBefore w:val="0"/>
              <w:widowControl w:val="0"/>
              <w:kinsoku/>
              <w:wordWrap/>
              <w:overflowPunct/>
              <w:topLinePunct w:val="0"/>
              <w:autoSpaceDE/>
              <w:autoSpaceDN/>
              <w:bidi w:val="0"/>
              <w:adjustRightInd/>
              <w:snapToGrid/>
              <w:spacing w:line="312" w:lineRule="auto"/>
              <w:textAlignment w:val="auto"/>
              <w:rPr>
                <w:rFonts w:hint="default" w:ascii="宋体" w:hAnsi="宋体" w:eastAsia="宋体" w:cs="宋体"/>
                <w:szCs w:val="21"/>
                <w:highlight w:val="none"/>
                <w:lang w:val="en-US" w:eastAsia="zh-CN"/>
              </w:rPr>
            </w:pPr>
            <w:r>
              <w:rPr>
                <w:rFonts w:hint="eastAsia" w:ascii="宋体" w:hAnsi="宋体" w:cs="宋体"/>
                <w:szCs w:val="21"/>
                <w:highlight w:val="none"/>
              </w:rPr>
              <w:t>其他未标记的指标项</w:t>
            </w:r>
            <w:r>
              <w:rPr>
                <w:rFonts w:hint="eastAsia" w:ascii="宋体" w:hAnsi="宋体" w:cs="宋体"/>
                <w:szCs w:val="21"/>
                <w:highlight w:val="none"/>
                <w:lang w:eastAsia="zh-CN"/>
              </w:rPr>
              <w:t>（</w:t>
            </w:r>
            <w:r>
              <w:rPr>
                <w:rFonts w:hint="eastAsia" w:ascii="宋体" w:hAnsi="宋体" w:cs="宋体"/>
                <w:szCs w:val="21"/>
                <w:highlight w:val="none"/>
                <w:lang w:val="en-US" w:eastAsia="zh-CN"/>
              </w:rPr>
              <w:t>38项）</w:t>
            </w:r>
            <w:r>
              <w:rPr>
                <w:rFonts w:hint="eastAsia" w:ascii="宋体" w:hAnsi="宋体" w:cs="宋体"/>
                <w:szCs w:val="21"/>
                <w:highlight w:val="none"/>
              </w:rPr>
              <w:t>为一般技术条款，每有一项负偏离扣</w:t>
            </w:r>
            <w:r>
              <w:rPr>
                <w:rFonts w:hint="eastAsia" w:ascii="宋体" w:hAnsi="宋体" w:cs="宋体"/>
                <w:szCs w:val="21"/>
                <w:highlight w:val="none"/>
                <w:lang w:val="en-US" w:eastAsia="zh-CN"/>
              </w:rPr>
              <w:t>0.5</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lang w:val="en-US" w:eastAsia="zh-CN"/>
              </w:rPr>
              <w:t>扣完为止。</w:t>
            </w:r>
          </w:p>
          <w:p w14:paraId="0CDC1DDB">
            <w:pPr>
              <w:pStyle w:val="16"/>
              <w:keepNext w:val="0"/>
              <w:keepLines w:val="0"/>
              <w:pageBreakBefore w:val="0"/>
              <w:widowControl w:val="0"/>
              <w:pBdr>
                <w:top w:val="none" w:color="000000" w:sz="0" w:space="0"/>
                <w:left w:val="none" w:color="000000" w:sz="0" w:space="0"/>
                <w:right w:val="none" w:color="000000" w:sz="0" w:space="0"/>
              </w:pBdr>
              <w:kinsoku/>
              <w:wordWrap/>
              <w:overflowPunct/>
              <w:topLinePunct w:val="0"/>
              <w:autoSpaceDE/>
              <w:autoSpaceDN/>
              <w:bidi w:val="0"/>
              <w:adjustRightInd/>
              <w:snapToGrid/>
              <w:spacing w:line="312" w:lineRule="auto"/>
              <w:textAlignment w:val="auto"/>
              <w:rPr>
                <w:rFonts w:hint="eastAsia" w:ascii="宋体" w:hAnsi="宋体" w:cs="宋体"/>
                <w:b/>
                <w:bCs/>
                <w:szCs w:val="21"/>
                <w:highlight w:val="none"/>
              </w:rPr>
            </w:pPr>
            <w:r>
              <w:rPr>
                <w:rFonts w:hint="eastAsia" w:ascii="宋体" w:hAnsi="宋体" w:cs="宋体"/>
                <w:b/>
                <w:bCs/>
                <w:szCs w:val="21"/>
                <w:highlight w:val="none"/>
              </w:rPr>
              <w:t>注：</w:t>
            </w:r>
          </w:p>
          <w:p w14:paraId="4E99566B">
            <w:pPr>
              <w:pStyle w:val="16"/>
              <w:keepNext w:val="0"/>
              <w:keepLines w:val="0"/>
              <w:pageBreakBefore w:val="0"/>
              <w:widowControl w:val="0"/>
              <w:numPr>
                <w:ilvl w:val="0"/>
                <w:numId w:val="0"/>
              </w:numPr>
              <w:pBdr>
                <w:top w:val="none" w:color="000000" w:sz="0" w:space="0"/>
                <w:left w:val="none" w:color="000000" w:sz="0" w:space="0"/>
                <w:right w:val="none" w:color="000000" w:sz="0" w:space="0"/>
              </w:pBdr>
              <w:kinsoku/>
              <w:wordWrap/>
              <w:overflowPunct/>
              <w:topLinePunct w:val="0"/>
              <w:autoSpaceDE/>
              <w:autoSpaceDN/>
              <w:bidi w:val="0"/>
              <w:adjustRightInd/>
              <w:snapToGrid/>
              <w:spacing w:line="312" w:lineRule="auto"/>
              <w:textAlignment w:val="auto"/>
              <w:rPr>
                <w:rFonts w:ascii="宋体" w:hAnsi="宋体" w:cs="宋体"/>
                <w:b/>
                <w:bCs/>
                <w:sz w:val="21"/>
                <w:szCs w:val="21"/>
                <w:highlight w:val="none"/>
              </w:rPr>
            </w:pPr>
            <w:r>
              <w:rPr>
                <w:rFonts w:ascii="宋体" w:hAnsi="宋体" w:eastAsia="宋体" w:cs="宋体"/>
                <w:b/>
                <w:bCs/>
                <w:sz w:val="21"/>
                <w:szCs w:val="21"/>
                <w:highlight w:val="none"/>
                <w:lang w:val="en-US" w:eastAsia="zh-CN" w:bidi="ar-SA"/>
              </w:rPr>
              <w:t>（1）</w:t>
            </w:r>
            <w:r>
              <w:rPr>
                <w:rFonts w:hint="eastAsia" w:ascii="宋体" w:hAnsi="宋体" w:cs="宋体"/>
                <w:b/>
                <w:bCs/>
                <w:sz w:val="21"/>
                <w:szCs w:val="21"/>
                <w:highlight w:val="none"/>
              </w:rPr>
              <w:t>凡标有最低一级序号的指标项即为一项技术条款，无论是否隶属于上一级编号；</w:t>
            </w:r>
          </w:p>
          <w:p w14:paraId="737220D7">
            <w:pPr>
              <w:pStyle w:val="16"/>
              <w:keepNext w:val="0"/>
              <w:keepLines w:val="0"/>
              <w:pageBreakBefore w:val="0"/>
              <w:widowControl w:val="0"/>
              <w:numPr>
                <w:ilvl w:val="0"/>
                <w:numId w:val="0"/>
              </w:numPr>
              <w:pBdr>
                <w:top w:val="none" w:color="000000" w:sz="0" w:space="0"/>
                <w:left w:val="none" w:color="000000" w:sz="0" w:space="0"/>
                <w:right w:val="none" w:color="000000" w:sz="0" w:space="0"/>
              </w:pBdr>
              <w:kinsoku/>
              <w:wordWrap/>
              <w:overflowPunct/>
              <w:topLinePunct w:val="0"/>
              <w:autoSpaceDE/>
              <w:autoSpaceDN/>
              <w:bidi w:val="0"/>
              <w:adjustRightInd/>
              <w:snapToGrid/>
              <w:spacing w:line="312" w:lineRule="auto"/>
              <w:textAlignment w:val="auto"/>
              <w:rPr>
                <w:rFonts w:hint="eastAsia" w:ascii="宋体" w:hAnsi="宋体" w:cs="宋体"/>
                <w:b/>
                <w:bCs/>
                <w:szCs w:val="21"/>
                <w:highlight w:val="none"/>
              </w:rPr>
            </w:pPr>
            <w:r>
              <w:rPr>
                <w:rFonts w:hint="eastAsia" w:ascii="宋体" w:hAnsi="宋体" w:eastAsia="宋体" w:cs="宋体"/>
                <w:b/>
                <w:bCs/>
                <w:sz w:val="21"/>
                <w:szCs w:val="21"/>
                <w:highlight w:val="none"/>
                <w:lang w:val="en-US" w:eastAsia="zh-CN" w:bidi="ar-SA"/>
              </w:rPr>
              <w:t>（</w:t>
            </w:r>
            <w:r>
              <w:rPr>
                <w:rFonts w:hint="eastAsia" w:ascii="宋体" w:hAnsi="宋体" w:cs="宋体"/>
                <w:b/>
                <w:bCs/>
                <w:sz w:val="21"/>
                <w:szCs w:val="21"/>
                <w:highlight w:val="none"/>
                <w:lang w:val="en-US" w:eastAsia="zh-CN" w:bidi="ar-SA"/>
              </w:rPr>
              <w:t>2</w:t>
            </w:r>
            <w:r>
              <w:rPr>
                <w:rFonts w:hint="eastAsia" w:ascii="宋体" w:hAnsi="宋体" w:eastAsia="宋体" w:cs="宋体"/>
                <w:b/>
                <w:bCs/>
                <w:sz w:val="21"/>
                <w:szCs w:val="21"/>
                <w:highlight w:val="none"/>
                <w:lang w:val="en-US" w:eastAsia="zh-CN" w:bidi="ar-SA"/>
              </w:rPr>
              <w:t>）</w:t>
            </w:r>
            <w:r>
              <w:rPr>
                <w:rFonts w:hint="eastAsia" w:ascii="宋体" w:hAnsi="宋体" w:cs="宋体"/>
                <w:b/>
                <w:bCs/>
                <w:sz w:val="21"/>
                <w:szCs w:val="21"/>
                <w:highlight w:val="none"/>
                <w:lang w:val="en-US" w:eastAsia="zh-CN" w:bidi="ar-SA"/>
              </w:rPr>
              <w:t>除特别要求外，</w:t>
            </w:r>
            <w:r>
              <w:rPr>
                <w:rFonts w:hint="eastAsia" w:ascii="宋体" w:hAnsi="宋体" w:cs="宋体"/>
                <w:b/>
                <w:bCs/>
                <w:szCs w:val="21"/>
                <w:highlight w:val="none"/>
              </w:rPr>
              <w:t>对标注</w:t>
            </w:r>
            <w:r>
              <w:rPr>
                <w:rFonts w:hint="eastAsia" w:ascii="宋体" w:hAnsi="宋体" w:cs="宋体"/>
                <w:highlight w:val="none"/>
              </w:rPr>
              <w:t>“★”</w:t>
            </w:r>
            <w:r>
              <w:rPr>
                <w:rFonts w:hint="eastAsia" w:ascii="宋体" w:hAnsi="宋体" w:cs="宋体"/>
                <w:highlight w:val="none"/>
                <w:lang w:eastAsia="zh-CN"/>
              </w:rPr>
              <w:t>、</w:t>
            </w:r>
            <w:r>
              <w:rPr>
                <w:rFonts w:hint="eastAsia" w:ascii="宋体" w:hAnsi="宋体" w:cs="宋体"/>
                <w:b/>
                <w:bCs/>
                <w:szCs w:val="21"/>
                <w:highlight w:val="none"/>
              </w:rPr>
              <w:t>“▲”项的技术要求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标时不予认可</w:t>
            </w:r>
            <w:r>
              <w:rPr>
                <w:rFonts w:hint="eastAsia" w:ascii="宋体" w:hAnsi="宋体" w:cs="宋体"/>
                <w:b/>
                <w:bCs/>
                <w:szCs w:val="21"/>
                <w:highlight w:val="none"/>
                <w:lang w:eastAsia="zh-CN"/>
              </w:rPr>
              <w:t>，</w:t>
            </w:r>
            <w:r>
              <w:rPr>
                <w:rFonts w:hint="eastAsia" w:ascii="宋体" w:hAnsi="宋体" w:cs="宋体"/>
                <w:b/>
                <w:bCs/>
                <w:szCs w:val="21"/>
                <w:highlight w:val="none"/>
              </w:rPr>
              <w:t>未提供佐证材料或提供的佐证材料不满足要求的按负偏离扣分处理</w:t>
            </w:r>
            <w:r>
              <w:rPr>
                <w:rFonts w:hint="eastAsia" w:ascii="宋体" w:hAnsi="宋体" w:cs="宋体"/>
                <w:b/>
                <w:bCs/>
                <w:szCs w:val="21"/>
                <w:highlight w:val="none"/>
                <w:lang w:eastAsia="zh-CN"/>
              </w:rPr>
              <w:t>；</w:t>
            </w:r>
          </w:p>
          <w:p w14:paraId="737F099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cs="宋体"/>
                <w:b/>
                <w:bCs/>
                <w:szCs w:val="21"/>
                <w:highlight w:val="none"/>
              </w:rPr>
            </w:pPr>
            <w:r>
              <w:rPr>
                <w:rFonts w:hint="eastAsia" w:ascii="宋体" w:hAnsi="宋体" w:cs="宋体"/>
                <w:b/>
                <w:bCs/>
                <w:szCs w:val="21"/>
                <w:highlight w:val="none"/>
              </w:rPr>
              <w:t>（</w:t>
            </w:r>
            <w:r>
              <w:rPr>
                <w:rFonts w:hint="eastAsia" w:ascii="宋体" w:hAnsi="宋体" w:cs="宋体"/>
                <w:b/>
                <w:bCs/>
                <w:szCs w:val="21"/>
                <w:highlight w:val="none"/>
                <w:lang w:val="en-US" w:eastAsia="zh-CN"/>
              </w:rPr>
              <w:t>4</w:t>
            </w:r>
            <w:r>
              <w:rPr>
                <w:rFonts w:hint="eastAsia" w:ascii="宋体" w:hAnsi="宋体" w:cs="宋体"/>
                <w:b/>
                <w:bCs/>
                <w:szCs w:val="21"/>
                <w:highlight w:val="none"/>
              </w:rPr>
              <w:t>）一般技术条款以技术规格偏离表应答为准。</w:t>
            </w:r>
          </w:p>
          <w:p w14:paraId="6B9F0C9D">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szCs w:val="21"/>
                <w:highlight w:val="none"/>
              </w:rPr>
            </w:pPr>
            <w:r>
              <w:rPr>
                <w:rFonts w:hint="eastAsia" w:ascii="宋体" w:hAnsi="宋体" w:cs="宋体"/>
                <w:b/>
                <w:bCs/>
                <w:szCs w:val="21"/>
                <w:highlight w:val="none"/>
              </w:rPr>
              <w:t>所有证明材料应在技术规格偏离表中注明证明材料页码。</w:t>
            </w:r>
          </w:p>
        </w:tc>
      </w:tr>
      <w:tr w14:paraId="24F4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39998F3A">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实施方案</w:t>
            </w:r>
          </w:p>
          <w:p w14:paraId="19E92641">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eastAsia="zh-CN"/>
              </w:rPr>
              <w:t>（</w:t>
            </w:r>
            <w:r>
              <w:rPr>
                <w:rFonts w:hint="eastAsia" w:ascii="宋体" w:hAnsi="宋体" w:cs="宋体"/>
                <w:b/>
                <w:bCs w:val="0"/>
                <w:color w:val="auto"/>
                <w:szCs w:val="21"/>
                <w:highlight w:val="none"/>
                <w:lang w:val="en-US" w:eastAsia="zh-CN"/>
              </w:rPr>
              <w:t>9分）</w:t>
            </w:r>
          </w:p>
        </w:tc>
        <w:tc>
          <w:tcPr>
            <w:tcW w:w="6427" w:type="dxa"/>
            <w:vAlign w:val="center"/>
          </w:tcPr>
          <w:p w14:paraId="6DD55D96">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根据</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szCs w:val="21"/>
                <w:highlight w:val="none"/>
                <w:lang w:val="zh-CN"/>
              </w:rPr>
              <w:t>提供的项目</w:t>
            </w:r>
            <w:r>
              <w:rPr>
                <w:rFonts w:hint="eastAsia" w:ascii="宋体" w:hAnsi="宋体" w:eastAsia="宋体" w:cs="宋体"/>
                <w:color w:val="auto"/>
                <w:szCs w:val="21"/>
                <w:highlight w:val="none"/>
                <w:lang w:val="en-US" w:eastAsia="zh-CN"/>
              </w:rPr>
              <w:t>整体</w:t>
            </w:r>
            <w:r>
              <w:rPr>
                <w:rFonts w:hint="eastAsia" w:ascii="宋体" w:hAnsi="宋体" w:eastAsia="宋体" w:cs="宋体"/>
                <w:color w:val="auto"/>
                <w:szCs w:val="21"/>
                <w:highlight w:val="none"/>
                <w:lang w:val="zh-CN"/>
              </w:rPr>
              <w:t>技术方案</w:t>
            </w:r>
            <w:r>
              <w:rPr>
                <w:rFonts w:hint="eastAsia" w:ascii="宋体" w:hAnsi="宋体" w:eastAsia="宋体" w:cs="宋体"/>
                <w:color w:val="auto"/>
                <w:szCs w:val="21"/>
                <w:highlight w:val="none"/>
                <w:lang w:val="en-US" w:eastAsia="zh-CN"/>
              </w:rPr>
              <w:t>与</w:t>
            </w:r>
            <w:r>
              <w:rPr>
                <w:rFonts w:hint="eastAsia" w:ascii="宋体" w:hAnsi="宋体" w:eastAsia="宋体" w:cs="宋体"/>
                <w:color w:val="auto"/>
                <w:szCs w:val="21"/>
                <w:highlight w:val="none"/>
                <w:lang w:val="zh-CN"/>
              </w:rPr>
              <w:t>项目实施计划及实施方案</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lang w:val="zh-CN"/>
              </w:rPr>
              <w:t>完整性、合理性、兼容性进行打分，</w:t>
            </w:r>
            <w:r>
              <w:rPr>
                <w:rFonts w:hint="eastAsia" w:ascii="宋体" w:hAnsi="宋体" w:eastAsia="宋体" w:cs="宋体"/>
                <w:color w:val="auto"/>
                <w:szCs w:val="21"/>
                <w:highlight w:val="none"/>
                <w:lang w:val="en-US" w:eastAsia="zh-CN"/>
              </w:rPr>
              <w:t>从本项目的现场实际情况出发，</w:t>
            </w:r>
            <w:r>
              <w:rPr>
                <w:rFonts w:hint="eastAsia" w:ascii="宋体" w:hAnsi="宋体" w:eastAsia="宋体" w:cs="宋体"/>
                <w:color w:val="auto"/>
                <w:szCs w:val="21"/>
                <w:highlight w:val="none"/>
                <w:lang w:val="zh-CN"/>
              </w:rPr>
              <w:t>综合考虑项目需求分析、项目重难点及风险分析、合理化建议、项目方案深化</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系统方案、功能验证、项目验收等方面内容进行评审：</w:t>
            </w:r>
          </w:p>
          <w:p w14:paraId="3C6C332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实施方案内容完整、各项措施完善、切实可行、针对性强，安排合理的得</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分；</w:t>
            </w:r>
          </w:p>
          <w:p w14:paraId="25950EC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实施方案内容完整、可行性、实用性、安排等方面基本合理可行的，得</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分；</w:t>
            </w:r>
          </w:p>
          <w:p w14:paraId="4E58B6D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方案内容一般，各项措施及针对性、实用性一般，得</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分；</w:t>
            </w:r>
          </w:p>
          <w:p w14:paraId="2B1136FE">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szCs w:val="21"/>
                <w:highlight w:val="none"/>
              </w:rPr>
            </w:pPr>
            <w:r>
              <w:rPr>
                <w:rFonts w:hint="eastAsia" w:ascii="宋体" w:hAnsi="宋体" w:eastAsia="宋体" w:cs="宋体"/>
                <w:color w:val="auto"/>
                <w:kern w:val="0"/>
                <w:szCs w:val="21"/>
                <w:highlight w:val="none"/>
              </w:rPr>
              <w:t>未提供</w:t>
            </w:r>
            <w:r>
              <w:rPr>
                <w:rFonts w:hint="eastAsia" w:ascii="宋体" w:hAnsi="宋体" w:cs="宋体"/>
                <w:color w:val="auto"/>
                <w:kern w:val="0"/>
                <w:szCs w:val="21"/>
                <w:highlight w:val="none"/>
                <w:lang w:val="en-US" w:eastAsia="zh-CN"/>
              </w:rPr>
              <w:t>或不满足项目需求的</w:t>
            </w:r>
            <w:r>
              <w:rPr>
                <w:rFonts w:hint="eastAsia" w:ascii="宋体" w:hAnsi="宋体" w:eastAsia="宋体" w:cs="宋体"/>
                <w:color w:val="auto"/>
                <w:kern w:val="0"/>
                <w:szCs w:val="21"/>
                <w:highlight w:val="none"/>
              </w:rPr>
              <w:t>不得分。</w:t>
            </w:r>
          </w:p>
        </w:tc>
      </w:tr>
      <w:tr w14:paraId="79F2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6D006F81">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售后</w:t>
            </w:r>
            <w:r>
              <w:rPr>
                <w:rFonts w:hint="eastAsia" w:ascii="宋体" w:hAnsi="宋体" w:cs="宋体"/>
                <w:b/>
                <w:bCs w:val="0"/>
                <w:color w:val="auto"/>
                <w:szCs w:val="21"/>
                <w:highlight w:val="none"/>
                <w:lang w:val="en-US" w:eastAsia="zh-CN"/>
              </w:rPr>
              <w:t>服务方案</w:t>
            </w:r>
          </w:p>
          <w:p w14:paraId="15371218">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（7分）</w:t>
            </w:r>
          </w:p>
        </w:tc>
        <w:tc>
          <w:tcPr>
            <w:tcW w:w="6427" w:type="dxa"/>
            <w:vAlign w:val="center"/>
          </w:tcPr>
          <w:p w14:paraId="7852C388">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根据</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szCs w:val="21"/>
                <w:highlight w:val="none"/>
                <w:lang w:val="en-US" w:eastAsia="zh-CN"/>
              </w:rPr>
              <w:t>提供的售后服务的及时性和保障措施的方案</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包括但不限于售后服务团队设立、售后服务响应时间等</w:t>
            </w:r>
            <w:r>
              <w:rPr>
                <w:rFonts w:hint="eastAsia" w:ascii="宋体" w:hAnsi="宋体" w:cs="宋体"/>
                <w:color w:val="auto"/>
                <w:szCs w:val="21"/>
                <w:highlight w:val="none"/>
                <w:lang w:val="en-US" w:eastAsia="zh-CN"/>
              </w:rPr>
              <w:t>），以及</w:t>
            </w:r>
            <w:r>
              <w:rPr>
                <w:rFonts w:hint="eastAsia" w:ascii="宋体" w:hAnsi="宋体" w:eastAsia="宋体" w:cs="宋体"/>
                <w:color w:val="auto"/>
                <w:szCs w:val="21"/>
                <w:highlight w:val="none"/>
                <w:lang w:val="en-US" w:eastAsia="zh-CN"/>
              </w:rPr>
              <w:t>质保期内和质保期外故障处理措施及响应时间等进行评审。</w:t>
            </w:r>
          </w:p>
          <w:p w14:paraId="1E215B26">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方案可靠性、可信度、合理性高的得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w:t>
            </w:r>
          </w:p>
          <w:p w14:paraId="45D04B33">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方案较可靠、较可信、较合理的得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393A6708">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方案的可靠性、可信度、合理性一般的得1分；</w:t>
            </w:r>
          </w:p>
          <w:p w14:paraId="5149D449">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leftChars="0" w:firstLine="0" w:firstLineChars="0"/>
              <w:textAlignment w:val="auto"/>
              <w:rPr>
                <w:rFonts w:hint="eastAsia" w:ascii="宋体" w:hAnsi="宋体"/>
                <w:szCs w:val="21"/>
                <w:highlight w:val="none"/>
              </w:rPr>
            </w:pPr>
            <w:r>
              <w:rPr>
                <w:rFonts w:hint="eastAsia" w:ascii="宋体" w:hAnsi="宋体" w:eastAsia="宋体" w:cs="宋体"/>
                <w:color w:val="auto"/>
                <w:kern w:val="0"/>
                <w:szCs w:val="21"/>
                <w:highlight w:val="none"/>
              </w:rPr>
              <w:t>未提供</w:t>
            </w:r>
            <w:r>
              <w:rPr>
                <w:rFonts w:hint="eastAsia" w:ascii="宋体" w:hAnsi="宋体" w:cs="宋体"/>
                <w:color w:val="auto"/>
                <w:kern w:val="0"/>
                <w:szCs w:val="21"/>
                <w:highlight w:val="none"/>
                <w:lang w:val="en-US" w:eastAsia="zh-CN"/>
              </w:rPr>
              <w:t>或不满足项目需求的</w:t>
            </w:r>
            <w:r>
              <w:rPr>
                <w:rFonts w:hint="eastAsia" w:ascii="宋体" w:hAnsi="宋体" w:eastAsia="宋体" w:cs="宋体"/>
                <w:color w:val="auto"/>
                <w:kern w:val="0"/>
                <w:szCs w:val="21"/>
                <w:highlight w:val="none"/>
              </w:rPr>
              <w:t>不得分</w:t>
            </w:r>
            <w:r>
              <w:rPr>
                <w:rFonts w:hint="eastAsia" w:ascii="宋体" w:hAnsi="宋体" w:eastAsia="宋体" w:cs="宋体"/>
                <w:color w:val="auto"/>
                <w:szCs w:val="21"/>
                <w:highlight w:val="none"/>
                <w:lang w:val="en-US" w:eastAsia="zh-CN"/>
              </w:rPr>
              <w:t>。</w:t>
            </w:r>
          </w:p>
        </w:tc>
      </w:tr>
      <w:tr w14:paraId="2D92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214BE830">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b/>
                <w:bCs w:val="0"/>
                <w:highlight w:val="none"/>
                <w:lang w:val="en-US"/>
              </w:rPr>
            </w:pPr>
            <w:r>
              <w:rPr>
                <w:rFonts w:hint="eastAsia" w:ascii="宋体" w:hAnsi="宋体" w:eastAsia="宋体" w:cs="宋体"/>
                <w:b/>
                <w:bCs w:val="0"/>
                <w:color w:val="auto"/>
                <w:szCs w:val="21"/>
                <w:highlight w:val="none"/>
                <w:lang w:val="en-US" w:eastAsia="zh-CN"/>
              </w:rPr>
              <w:t>培训方案</w:t>
            </w:r>
            <w:r>
              <w:rPr>
                <w:rFonts w:hint="eastAsia" w:ascii="宋体" w:hAnsi="宋体" w:eastAsia="宋体" w:cs="宋体"/>
                <w:b/>
                <w:bCs w:val="0"/>
                <w:color w:val="auto"/>
                <w:szCs w:val="21"/>
                <w:highlight w:val="none"/>
                <w:lang w:val="en-US" w:eastAsia="zh-CN"/>
              </w:rPr>
              <w:br w:type="textWrapping"/>
            </w:r>
            <w:r>
              <w:rPr>
                <w:rFonts w:hint="eastAsia" w:ascii="宋体" w:hAnsi="宋体" w:cs="宋体"/>
                <w:b/>
                <w:bCs w:val="0"/>
                <w:color w:val="auto"/>
                <w:szCs w:val="21"/>
                <w:highlight w:val="none"/>
                <w:lang w:val="en-US" w:eastAsia="zh-CN"/>
              </w:rPr>
              <w:t>（7分）</w:t>
            </w:r>
          </w:p>
        </w:tc>
        <w:tc>
          <w:tcPr>
            <w:tcW w:w="6427" w:type="dxa"/>
            <w:vAlign w:val="center"/>
          </w:tcPr>
          <w:p w14:paraId="38BC2629">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根据</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szCs w:val="21"/>
                <w:highlight w:val="none"/>
                <w:lang w:val="en-US" w:eastAsia="zh-CN"/>
              </w:rPr>
              <w:t>提供的技术培训方案（如培训方式、培训内容、培训体系等）打分。</w:t>
            </w:r>
          </w:p>
          <w:p w14:paraId="2CB7DA64">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培训方式、培训内容、培训体系等内容</w:t>
            </w:r>
            <w:r>
              <w:rPr>
                <w:rFonts w:hint="eastAsia" w:ascii="宋体" w:hAnsi="宋体" w:cs="宋体"/>
                <w:color w:val="auto"/>
                <w:szCs w:val="21"/>
                <w:highlight w:val="none"/>
                <w:lang w:val="en-US" w:eastAsia="zh-CN"/>
              </w:rPr>
              <w:t>丰富，</w:t>
            </w:r>
            <w:r>
              <w:rPr>
                <w:rFonts w:hint="eastAsia" w:ascii="宋体" w:hAnsi="宋体" w:eastAsia="宋体" w:cs="宋体"/>
                <w:color w:val="auto"/>
                <w:szCs w:val="21"/>
                <w:highlight w:val="none"/>
                <w:lang w:val="en-US" w:eastAsia="zh-CN"/>
              </w:rPr>
              <w:t>科学合理、针对性强的，得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w:t>
            </w:r>
          </w:p>
          <w:p w14:paraId="535D656D">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培训方式、培训内容、培训体系等内容</w:t>
            </w:r>
            <w:r>
              <w:rPr>
                <w:rFonts w:hint="eastAsia" w:ascii="宋体" w:hAnsi="宋体" w:cs="宋体"/>
                <w:color w:val="auto"/>
                <w:szCs w:val="21"/>
                <w:highlight w:val="none"/>
                <w:lang w:val="en-US" w:eastAsia="zh-CN"/>
              </w:rPr>
              <w:t>一般，</w:t>
            </w:r>
            <w:r>
              <w:rPr>
                <w:rFonts w:hint="eastAsia" w:ascii="宋体" w:hAnsi="宋体" w:eastAsia="宋体" w:cs="宋体"/>
                <w:color w:val="auto"/>
                <w:szCs w:val="21"/>
                <w:highlight w:val="none"/>
                <w:lang w:val="en-US" w:eastAsia="zh-CN"/>
              </w:rPr>
              <w:t>合理</w:t>
            </w:r>
            <w:r>
              <w:rPr>
                <w:rFonts w:hint="eastAsia" w:ascii="宋体" w:hAnsi="宋体" w:cs="宋体"/>
                <w:color w:val="auto"/>
                <w:szCs w:val="21"/>
                <w:highlight w:val="none"/>
                <w:lang w:val="en-US" w:eastAsia="zh-CN"/>
              </w:rPr>
              <w:t>性</w:t>
            </w:r>
            <w:r>
              <w:rPr>
                <w:rFonts w:hint="eastAsia" w:ascii="宋体" w:hAnsi="宋体" w:eastAsia="宋体" w:cs="宋体"/>
                <w:color w:val="auto"/>
                <w:szCs w:val="21"/>
                <w:highlight w:val="none"/>
                <w:lang w:val="en-US" w:eastAsia="zh-CN"/>
              </w:rPr>
              <w:t>、针对性</w:t>
            </w:r>
            <w:r>
              <w:rPr>
                <w:rFonts w:hint="eastAsia" w:ascii="宋体" w:hAnsi="宋体" w:cs="宋体"/>
                <w:color w:val="auto"/>
                <w:szCs w:val="21"/>
                <w:highlight w:val="none"/>
                <w:lang w:val="en-US" w:eastAsia="zh-CN"/>
              </w:rPr>
              <w:t>一般的</w:t>
            </w:r>
            <w:r>
              <w:rPr>
                <w:rFonts w:hint="eastAsia" w:ascii="宋体" w:hAnsi="宋体" w:eastAsia="宋体" w:cs="宋体"/>
                <w:color w:val="auto"/>
                <w:szCs w:val="21"/>
                <w:highlight w:val="none"/>
                <w:lang w:val="en-US" w:eastAsia="zh-CN"/>
              </w:rPr>
              <w:t>，得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62CA4641">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培训方式、培训内容、培训体系等内容不够完整，或不够科学合理，或针对性不强，得1分；</w:t>
            </w:r>
          </w:p>
          <w:p w14:paraId="26EE7F9B">
            <w:pPr>
              <w:pStyle w:val="16"/>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leftChars="0" w:firstLine="0" w:firstLineChars="0"/>
              <w:textAlignment w:val="auto"/>
              <w:rPr>
                <w:rFonts w:hint="eastAsia" w:ascii="宋体" w:hAnsi="宋体"/>
                <w:szCs w:val="21"/>
                <w:highlight w:val="none"/>
              </w:rPr>
            </w:pPr>
            <w:r>
              <w:rPr>
                <w:rFonts w:hint="eastAsia" w:ascii="宋体" w:hAnsi="宋体" w:eastAsia="宋体" w:cs="宋体"/>
                <w:color w:val="auto"/>
                <w:kern w:val="0"/>
                <w:szCs w:val="21"/>
                <w:highlight w:val="none"/>
              </w:rPr>
              <w:t>未提供</w:t>
            </w:r>
            <w:r>
              <w:rPr>
                <w:rFonts w:hint="eastAsia" w:ascii="宋体" w:hAnsi="宋体" w:cs="宋体"/>
                <w:color w:val="auto"/>
                <w:kern w:val="0"/>
                <w:szCs w:val="21"/>
                <w:highlight w:val="none"/>
                <w:lang w:val="en-US" w:eastAsia="zh-CN"/>
              </w:rPr>
              <w:t>或不满足项目需求的</w:t>
            </w:r>
            <w:r>
              <w:rPr>
                <w:rFonts w:hint="eastAsia" w:ascii="宋体" w:hAnsi="宋体" w:eastAsia="宋体" w:cs="宋体"/>
                <w:color w:val="auto"/>
                <w:kern w:val="0"/>
                <w:szCs w:val="21"/>
                <w:highlight w:val="none"/>
              </w:rPr>
              <w:t>不得分</w:t>
            </w:r>
            <w:r>
              <w:rPr>
                <w:rFonts w:hint="eastAsia" w:ascii="宋体" w:hAnsi="宋体" w:cs="宋体"/>
                <w:color w:val="auto"/>
                <w:kern w:val="0"/>
                <w:szCs w:val="21"/>
                <w:highlight w:val="none"/>
                <w:lang w:eastAsia="zh-CN"/>
              </w:rPr>
              <w:t>。</w:t>
            </w:r>
          </w:p>
        </w:tc>
      </w:tr>
      <w:tr w14:paraId="7C58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6CC3C5DD">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服务</w:t>
            </w:r>
            <w:r>
              <w:rPr>
                <w:rFonts w:hint="eastAsia" w:ascii="宋体" w:hAnsi="宋体" w:eastAsia="宋体" w:cs="宋体"/>
                <w:b/>
                <w:bCs w:val="0"/>
                <w:color w:val="auto"/>
                <w:szCs w:val="21"/>
                <w:highlight w:val="none"/>
              </w:rPr>
              <w:t>能力</w:t>
            </w:r>
          </w:p>
          <w:p w14:paraId="5B920818">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（6分）</w:t>
            </w:r>
          </w:p>
        </w:tc>
        <w:tc>
          <w:tcPr>
            <w:tcW w:w="6427" w:type="dxa"/>
            <w:vAlign w:val="top"/>
          </w:tcPr>
          <w:p w14:paraId="3D66643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kern w:val="0"/>
                <w:szCs w:val="21"/>
                <w:highlight w:val="none"/>
                <w:lang w:eastAsia="zh-CN"/>
              </w:rPr>
              <w:t>具有有效的</w:t>
            </w:r>
            <w:r>
              <w:rPr>
                <w:rFonts w:hint="eastAsia" w:ascii="宋体" w:hAnsi="宋体" w:eastAsia="宋体" w:cs="宋体"/>
                <w:color w:val="auto"/>
                <w:kern w:val="0"/>
                <w:szCs w:val="21"/>
                <w:highlight w:val="none"/>
                <w:lang w:val="en-US" w:eastAsia="zh-CN"/>
              </w:rPr>
              <w:t>ISO20000</w:t>
            </w:r>
            <w:r>
              <w:rPr>
                <w:rFonts w:hint="eastAsia" w:ascii="宋体" w:hAnsi="宋体" w:eastAsia="宋体" w:cs="宋体"/>
                <w:color w:val="auto"/>
                <w:kern w:val="0"/>
                <w:szCs w:val="21"/>
                <w:highlight w:val="none"/>
                <w:lang w:eastAsia="zh-CN"/>
              </w:rPr>
              <w:t>信息技术服务管理体系认证证书的，得</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分；</w:t>
            </w:r>
          </w:p>
          <w:p w14:paraId="46EFB77E">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kern w:val="0"/>
                <w:szCs w:val="21"/>
                <w:highlight w:val="none"/>
                <w:lang w:eastAsia="zh-CN"/>
              </w:rPr>
              <w:t>具有有效的</w:t>
            </w:r>
            <w:r>
              <w:rPr>
                <w:rFonts w:hint="eastAsia" w:ascii="宋体" w:hAnsi="宋体" w:eastAsia="宋体" w:cs="宋体"/>
                <w:color w:val="auto"/>
                <w:kern w:val="0"/>
                <w:szCs w:val="21"/>
                <w:highlight w:val="none"/>
                <w:lang w:val="en-US" w:eastAsia="zh-CN"/>
              </w:rPr>
              <w:t>ISO27001</w:t>
            </w:r>
            <w:r>
              <w:rPr>
                <w:rFonts w:hint="eastAsia" w:ascii="宋体" w:hAnsi="宋体" w:eastAsia="宋体" w:cs="宋体"/>
                <w:color w:val="auto"/>
                <w:kern w:val="0"/>
                <w:szCs w:val="21"/>
                <w:highlight w:val="none"/>
                <w:lang w:eastAsia="zh-CN"/>
              </w:rPr>
              <w:t>信息安全管理体系认证证书的，得</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分；</w:t>
            </w:r>
          </w:p>
          <w:p w14:paraId="139D963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上述（1）-（2）项</w:t>
            </w:r>
            <w:r>
              <w:rPr>
                <w:rFonts w:hint="eastAsia" w:ascii="宋体" w:hAnsi="宋体" w:eastAsia="宋体" w:cs="宋体"/>
                <w:color w:val="auto"/>
                <w:kern w:val="0"/>
                <w:szCs w:val="21"/>
                <w:highlight w:val="none"/>
                <w:lang w:eastAsia="zh-CN"/>
              </w:rPr>
              <w:t>提供有效证书复印件加盖公章，未提供或提供不符合要求不得分）</w:t>
            </w:r>
          </w:p>
          <w:p w14:paraId="20C2E504">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kern w:val="0"/>
                <w:szCs w:val="21"/>
                <w:highlight w:val="none"/>
                <w:lang w:eastAsia="zh-CN"/>
              </w:rPr>
              <w:t>拟投入本项目的项目组成员具有信息系统项目管理师（高级）</w:t>
            </w:r>
            <w:r>
              <w:rPr>
                <w:rFonts w:hint="eastAsia" w:ascii="宋体" w:hAnsi="宋体" w:eastAsia="宋体" w:cs="宋体"/>
                <w:color w:val="auto"/>
                <w:kern w:val="0"/>
                <w:szCs w:val="21"/>
                <w:highlight w:val="none"/>
                <w:lang w:val="en-US" w:eastAsia="zh-CN"/>
              </w:rPr>
              <w:t>或</w:t>
            </w:r>
            <w:r>
              <w:rPr>
                <w:rFonts w:hint="eastAsia" w:ascii="宋体" w:hAnsi="宋体" w:eastAsia="宋体" w:cs="宋体"/>
                <w:color w:val="auto"/>
                <w:kern w:val="0"/>
                <w:szCs w:val="21"/>
                <w:highlight w:val="none"/>
                <w:lang w:eastAsia="zh-CN"/>
              </w:rPr>
              <w:t>注册信息安全工程师证或高级物联网应用工程师</w:t>
            </w:r>
            <w:r>
              <w:rPr>
                <w:rFonts w:hint="eastAsia" w:ascii="宋体" w:hAnsi="宋体" w:cs="宋体"/>
                <w:color w:val="auto"/>
                <w:kern w:val="0"/>
                <w:szCs w:val="21"/>
                <w:highlight w:val="none"/>
                <w:lang w:val="en-US" w:eastAsia="zh-CN"/>
              </w:rPr>
              <w:t>或电气设备安装调试员（中级及以上）或一级注册消防工程师</w:t>
            </w:r>
            <w:r>
              <w:rPr>
                <w:rFonts w:hint="eastAsia" w:ascii="宋体" w:hAnsi="宋体" w:eastAsia="宋体" w:cs="宋体"/>
                <w:color w:val="auto"/>
                <w:kern w:val="0"/>
                <w:szCs w:val="21"/>
                <w:highlight w:val="none"/>
                <w:lang w:eastAsia="zh-CN"/>
              </w:rPr>
              <w:t>，每提供1个得</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分，满分</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lang w:eastAsia="zh-CN"/>
              </w:rPr>
              <w:t>分，未提供的不得分。（</w:t>
            </w:r>
            <w:r>
              <w:rPr>
                <w:rFonts w:hint="eastAsia" w:ascii="宋体" w:hAnsi="宋体" w:cs="宋体"/>
                <w:color w:val="auto"/>
                <w:kern w:val="0"/>
                <w:szCs w:val="21"/>
                <w:highlight w:val="none"/>
                <w:lang w:val="en-US" w:eastAsia="zh-CN"/>
              </w:rPr>
              <w:t>需</w:t>
            </w:r>
            <w:r>
              <w:rPr>
                <w:rFonts w:hint="eastAsia" w:ascii="宋体" w:hAnsi="宋体" w:eastAsia="宋体" w:cs="宋体"/>
                <w:color w:val="auto"/>
                <w:kern w:val="0"/>
                <w:szCs w:val="21"/>
                <w:highlight w:val="none"/>
                <w:lang w:eastAsia="zh-CN"/>
              </w:rPr>
              <w:t>提供人员证书及</w:t>
            </w:r>
            <w:r>
              <w:rPr>
                <w:rFonts w:hint="eastAsia" w:ascii="宋体" w:hAnsi="宋体" w:cs="宋体"/>
                <w:color w:val="auto"/>
                <w:kern w:val="0"/>
                <w:szCs w:val="21"/>
                <w:highlight w:val="none"/>
                <w:lang w:val="en-US" w:eastAsia="zh-CN"/>
              </w:rPr>
              <w:t>供应商</w:t>
            </w:r>
            <w:r>
              <w:rPr>
                <w:rFonts w:hint="eastAsia" w:ascii="宋体" w:hAnsi="宋体" w:eastAsia="宋体" w:cs="宋体"/>
                <w:color w:val="auto"/>
                <w:kern w:val="0"/>
                <w:szCs w:val="21"/>
                <w:highlight w:val="none"/>
                <w:lang w:eastAsia="zh-CN"/>
              </w:rPr>
              <w:t>为</w:t>
            </w:r>
            <w:r>
              <w:rPr>
                <w:rFonts w:hint="eastAsia" w:ascii="宋体" w:hAnsi="宋体" w:eastAsia="宋体" w:cs="宋体"/>
                <w:color w:val="auto"/>
                <w:kern w:val="0"/>
                <w:szCs w:val="21"/>
                <w:highlight w:val="none"/>
                <w:lang w:val="en-US" w:eastAsia="zh-CN"/>
              </w:rPr>
              <w:t>上述人员</w:t>
            </w:r>
            <w:r>
              <w:rPr>
                <w:rFonts w:hint="eastAsia" w:ascii="宋体" w:hAnsi="宋体" w:eastAsia="宋体" w:cs="宋体"/>
                <w:color w:val="auto"/>
                <w:kern w:val="0"/>
                <w:szCs w:val="21"/>
                <w:highlight w:val="none"/>
                <w:lang w:eastAsia="zh-CN"/>
              </w:rPr>
              <w:t>缴纳的</w:t>
            </w:r>
            <w:r>
              <w:rPr>
                <w:rFonts w:hint="eastAsia" w:ascii="宋体" w:hAnsi="宋体" w:cs="宋体"/>
                <w:color w:val="auto"/>
                <w:kern w:val="0"/>
                <w:szCs w:val="21"/>
                <w:highlight w:val="none"/>
                <w:lang w:val="en-US" w:eastAsia="zh-CN"/>
              </w:rPr>
              <w:t>近6个月内任意1个月</w:t>
            </w:r>
            <w:r>
              <w:rPr>
                <w:rFonts w:hint="eastAsia" w:ascii="宋体" w:hAnsi="宋体" w:eastAsia="宋体" w:cs="宋体"/>
                <w:color w:val="auto"/>
                <w:kern w:val="0"/>
                <w:szCs w:val="21"/>
                <w:highlight w:val="none"/>
                <w:lang w:eastAsia="zh-CN"/>
              </w:rPr>
              <w:t>的社保证明材料，一人</w:t>
            </w:r>
            <w:r>
              <w:rPr>
                <w:rFonts w:hint="eastAsia" w:ascii="宋体" w:hAnsi="宋体" w:eastAsia="宋体" w:cs="宋体"/>
                <w:color w:val="auto"/>
                <w:kern w:val="0"/>
                <w:szCs w:val="21"/>
                <w:highlight w:val="none"/>
                <w:lang w:val="en-US" w:eastAsia="zh-CN"/>
              </w:rPr>
              <w:t>只计一证</w:t>
            </w:r>
            <w:r>
              <w:rPr>
                <w:rFonts w:hint="eastAsia" w:ascii="宋体" w:hAnsi="宋体" w:eastAsia="宋体" w:cs="宋体"/>
                <w:color w:val="auto"/>
                <w:kern w:val="0"/>
                <w:szCs w:val="21"/>
                <w:highlight w:val="none"/>
                <w:lang w:eastAsia="zh-CN"/>
              </w:rPr>
              <w:t>，未提供或提供不符合要求不得分）</w:t>
            </w:r>
          </w:p>
        </w:tc>
      </w:tr>
      <w:tr w14:paraId="05F34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2" w:type="dxa"/>
            <w:vAlign w:val="center"/>
          </w:tcPr>
          <w:p w14:paraId="0F337696">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bCs w:val="0"/>
                <w:color w:val="auto"/>
                <w:kern w:val="0"/>
                <w:szCs w:val="21"/>
                <w:highlight w:val="none"/>
              </w:rPr>
            </w:pPr>
            <w:r>
              <w:rPr>
                <w:rFonts w:hint="eastAsia" w:ascii="宋体" w:hAnsi="宋体" w:eastAsia="宋体" w:cs="宋体"/>
                <w:b/>
                <w:bCs w:val="0"/>
                <w:color w:val="auto"/>
                <w:kern w:val="0"/>
                <w:szCs w:val="21"/>
                <w:highlight w:val="none"/>
              </w:rPr>
              <w:t>业绩</w:t>
            </w:r>
          </w:p>
          <w:p w14:paraId="2B07D909">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eastAsia="宋体"/>
                <w:b/>
                <w:bCs w:val="0"/>
                <w:highlight w:val="none"/>
                <w:lang w:val="en-US" w:eastAsia="zh-CN"/>
              </w:rPr>
            </w:pPr>
            <w:r>
              <w:rPr>
                <w:rFonts w:hint="eastAsia" w:ascii="宋体" w:hAnsi="宋体" w:cs="宋体"/>
                <w:b/>
                <w:bCs w:val="0"/>
                <w:color w:val="auto"/>
                <w:kern w:val="0"/>
                <w:szCs w:val="21"/>
                <w:highlight w:val="none"/>
                <w:lang w:eastAsia="zh-CN"/>
              </w:rPr>
              <w:t>（</w:t>
            </w:r>
            <w:r>
              <w:rPr>
                <w:rFonts w:hint="eastAsia" w:ascii="宋体" w:hAnsi="宋体" w:cs="宋体"/>
                <w:b/>
                <w:bCs w:val="0"/>
                <w:color w:val="auto"/>
                <w:kern w:val="0"/>
                <w:szCs w:val="21"/>
                <w:highlight w:val="none"/>
                <w:lang w:val="en-US" w:eastAsia="zh-CN"/>
              </w:rPr>
              <w:t>4分）</w:t>
            </w:r>
          </w:p>
        </w:tc>
        <w:tc>
          <w:tcPr>
            <w:tcW w:w="6427" w:type="dxa"/>
            <w:vAlign w:val="top"/>
          </w:tcPr>
          <w:p w14:paraId="2135096B">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提供</w:t>
            </w:r>
            <w:r>
              <w:rPr>
                <w:rFonts w:hint="eastAsia" w:ascii="宋体" w:hAnsi="宋体" w:cs="宋体"/>
                <w:color w:val="auto"/>
                <w:kern w:val="0"/>
                <w:szCs w:val="21"/>
                <w:highlight w:val="none"/>
                <w:lang w:val="en-US" w:eastAsia="zh-CN"/>
              </w:rPr>
              <w:t>供应商或投标产品厂家</w:t>
            </w:r>
            <w:r>
              <w:rPr>
                <w:rFonts w:hint="eastAsia" w:ascii="宋体" w:hAnsi="宋体" w:eastAsia="宋体" w:cs="宋体"/>
                <w:color w:val="auto"/>
                <w:kern w:val="0"/>
                <w:szCs w:val="21"/>
                <w:highlight w:val="none"/>
              </w:rPr>
              <w:t>自202</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年1</w:t>
            </w:r>
            <w:r>
              <w:rPr>
                <w:rFonts w:hint="eastAsia" w:ascii="宋体" w:hAnsi="宋体" w:cs="宋体"/>
                <w:color w:val="auto"/>
                <w:kern w:val="0"/>
                <w:szCs w:val="21"/>
                <w:highlight w:val="none"/>
                <w:lang w:val="en-US" w:eastAsia="zh-CN"/>
              </w:rPr>
              <w:t>0</w:t>
            </w:r>
            <w:r>
              <w:rPr>
                <w:rFonts w:hint="eastAsia" w:ascii="宋体" w:hAnsi="宋体" w:eastAsia="宋体" w:cs="宋体"/>
                <w:color w:val="auto"/>
                <w:kern w:val="0"/>
                <w:szCs w:val="21"/>
                <w:highlight w:val="none"/>
              </w:rPr>
              <w:t>月1日以来具有类似项目业绩，每提供一个得2分，最多得</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分（</w:t>
            </w:r>
            <w:r>
              <w:rPr>
                <w:rFonts w:hint="eastAsia" w:ascii="宋体" w:hAnsi="宋体"/>
                <w:highlight w:val="none"/>
              </w:rPr>
              <w:t>要求提供合同关键页复印件并加盖公章</w:t>
            </w:r>
            <w:r>
              <w:rPr>
                <w:rFonts w:hint="eastAsia" w:ascii="宋体" w:hAnsi="宋体" w:eastAsia="宋体" w:cs="宋体"/>
                <w:color w:val="auto"/>
                <w:kern w:val="0"/>
                <w:szCs w:val="21"/>
                <w:highlight w:val="none"/>
              </w:rPr>
              <w:t>）</w:t>
            </w:r>
          </w:p>
          <w:p w14:paraId="4D9F9D3C">
            <w:pPr>
              <w:pStyle w:val="3"/>
              <w:keepNext w:val="0"/>
              <w:keepLines w:val="0"/>
              <w:pageBreakBefore w:val="0"/>
              <w:widowControl w:val="0"/>
              <w:kinsoku/>
              <w:wordWrap/>
              <w:overflowPunct/>
              <w:topLinePunct w:val="0"/>
              <w:autoSpaceDE/>
              <w:autoSpaceDN/>
              <w:bidi w:val="0"/>
              <w:adjustRightInd/>
              <w:snapToGrid/>
              <w:spacing w:line="312" w:lineRule="auto"/>
              <w:ind w:left="0" w:leftChars="0" w:firstLine="0" w:firstLineChars="0"/>
              <w:textAlignment w:val="auto"/>
              <w:rPr>
                <w:rFonts w:hint="eastAsia" w:hAnsi="宋体"/>
                <w:szCs w:val="21"/>
                <w:highlight w:val="none"/>
              </w:rPr>
            </w:pPr>
            <w:r>
              <w:rPr>
                <w:rFonts w:hint="eastAsia" w:ascii="宋体" w:hAnsi="宋体"/>
                <w:kern w:val="2"/>
                <w:sz w:val="21"/>
                <w:szCs w:val="21"/>
                <w:highlight w:val="none"/>
                <w:lang w:eastAsia="zh-CN" w:bidi="ar-SA"/>
              </w:rPr>
              <w:t>注</w:t>
            </w:r>
            <w:r>
              <w:rPr>
                <w:rFonts w:ascii="宋体" w:hAnsi="宋体"/>
                <w:kern w:val="2"/>
                <w:sz w:val="21"/>
                <w:szCs w:val="21"/>
                <w:highlight w:val="none"/>
                <w:lang w:eastAsia="zh-CN" w:bidi="ar-SA"/>
              </w:rPr>
              <w:t>：</w:t>
            </w:r>
            <w:r>
              <w:rPr>
                <w:rFonts w:hint="eastAsia" w:ascii="宋体" w:hAnsi="宋体"/>
                <w:kern w:val="2"/>
                <w:sz w:val="21"/>
                <w:szCs w:val="21"/>
                <w:highlight w:val="none"/>
                <w:lang w:eastAsia="zh-CN" w:bidi="ar-SA"/>
              </w:rPr>
              <w:t>业绩</w:t>
            </w:r>
            <w:r>
              <w:rPr>
                <w:rFonts w:ascii="宋体" w:hAnsi="宋体"/>
                <w:kern w:val="2"/>
                <w:sz w:val="21"/>
                <w:szCs w:val="21"/>
                <w:highlight w:val="none"/>
                <w:lang w:eastAsia="zh-CN" w:bidi="ar-SA"/>
              </w:rPr>
              <w:t>时间以合同</w:t>
            </w:r>
            <w:r>
              <w:rPr>
                <w:rFonts w:hint="eastAsia" w:ascii="宋体" w:hAnsi="宋体"/>
                <w:kern w:val="2"/>
                <w:sz w:val="21"/>
                <w:szCs w:val="21"/>
                <w:highlight w:val="none"/>
                <w:lang w:eastAsia="zh-CN" w:bidi="ar-SA"/>
              </w:rPr>
              <w:t>签订</w:t>
            </w:r>
            <w:r>
              <w:rPr>
                <w:rFonts w:ascii="宋体" w:hAnsi="宋体"/>
                <w:kern w:val="2"/>
                <w:sz w:val="21"/>
                <w:szCs w:val="21"/>
                <w:highlight w:val="none"/>
                <w:lang w:eastAsia="zh-CN" w:bidi="ar-SA"/>
              </w:rPr>
              <w:t>日期为准，合同关键页复印件包括合同名称、金额、项目内容、盖章、日期等关键内容</w:t>
            </w:r>
            <w:r>
              <w:rPr>
                <w:rFonts w:hint="eastAsia" w:ascii="宋体" w:hAnsi="宋体"/>
                <w:kern w:val="2"/>
                <w:sz w:val="21"/>
                <w:szCs w:val="21"/>
                <w:highlight w:val="none"/>
                <w:lang w:eastAsia="zh-CN" w:bidi="ar-SA"/>
              </w:rPr>
              <w:t>，</w:t>
            </w:r>
            <w:r>
              <w:rPr>
                <w:rFonts w:hint="eastAsia"/>
                <w:highlight w:val="none"/>
                <w:lang w:eastAsia="zh-CN"/>
              </w:rPr>
              <w:t>未提供或未按要求提供的不得分</w:t>
            </w:r>
            <w:r>
              <w:rPr>
                <w:rFonts w:ascii="宋体" w:hAnsi="宋体"/>
                <w:kern w:val="2"/>
                <w:sz w:val="21"/>
                <w:szCs w:val="21"/>
                <w:highlight w:val="none"/>
                <w:lang w:eastAsia="zh-CN" w:bidi="ar-SA"/>
              </w:rPr>
              <w:t>。</w:t>
            </w:r>
          </w:p>
        </w:tc>
      </w:tr>
      <w:tr w14:paraId="5D7C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2612" w:type="dxa"/>
            <w:vAlign w:val="center"/>
          </w:tcPr>
          <w:p w14:paraId="2B34CD4E">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cs="宋体"/>
                <w:b/>
                <w:bCs w:val="0"/>
                <w:color w:val="auto"/>
                <w:kern w:val="0"/>
                <w:szCs w:val="21"/>
                <w:highlight w:val="none"/>
                <w:lang w:val="en-US" w:eastAsia="zh-CN"/>
              </w:rPr>
            </w:pPr>
            <w:r>
              <w:rPr>
                <w:rFonts w:hint="eastAsia" w:ascii="宋体" w:hAnsi="宋体" w:cs="宋体"/>
                <w:b/>
                <w:bCs w:val="0"/>
                <w:color w:val="auto"/>
                <w:kern w:val="0"/>
                <w:szCs w:val="21"/>
                <w:highlight w:val="none"/>
                <w:lang w:val="en-US" w:eastAsia="zh-CN"/>
              </w:rPr>
              <w:t>质保期</w:t>
            </w:r>
          </w:p>
          <w:p w14:paraId="1083504C">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ascii="宋体" w:hAnsi="宋体" w:cs="宋体"/>
                <w:b/>
                <w:bCs w:val="0"/>
                <w:color w:val="000000"/>
                <w:szCs w:val="21"/>
                <w:highlight w:val="none"/>
                <w:lang w:val="en-US"/>
              </w:rPr>
            </w:pPr>
            <w:r>
              <w:rPr>
                <w:rFonts w:hint="eastAsia" w:ascii="宋体" w:hAnsi="宋体" w:cs="宋体"/>
                <w:b/>
                <w:bCs w:val="0"/>
                <w:color w:val="auto"/>
                <w:kern w:val="0"/>
                <w:szCs w:val="21"/>
                <w:highlight w:val="none"/>
                <w:lang w:val="en-US" w:eastAsia="zh-CN"/>
              </w:rPr>
              <w:t>（6分）</w:t>
            </w:r>
          </w:p>
        </w:tc>
        <w:tc>
          <w:tcPr>
            <w:tcW w:w="6427" w:type="dxa"/>
            <w:vAlign w:val="top"/>
          </w:tcPr>
          <w:p w14:paraId="059C6FE1">
            <w:pPr>
              <w:pStyle w:val="257"/>
              <w:keepNext w:val="0"/>
              <w:keepLines w:val="0"/>
              <w:pageBreakBefore w:val="0"/>
              <w:widowControl w:val="0"/>
              <w:numPr>
                <w:ilvl w:val="-1"/>
                <w:numId w:val="0"/>
              </w:numPr>
              <w:kinsoku/>
              <w:wordWrap/>
              <w:overflowPunct/>
              <w:topLinePunct w:val="0"/>
              <w:autoSpaceDE/>
              <w:autoSpaceDN/>
              <w:bidi w:val="0"/>
              <w:adjustRightInd/>
              <w:snapToGrid/>
              <w:spacing w:line="312" w:lineRule="auto"/>
              <w:ind w:left="0" w:leftChars="0" w:right="153" w:rightChars="73" w:firstLine="0" w:firstLineChars="0"/>
              <w:textAlignment w:val="auto"/>
              <w:rPr>
                <w:highlight w:val="none"/>
              </w:rPr>
            </w:pPr>
            <w:r>
              <w:rPr>
                <w:rFonts w:hint="eastAsia" w:eastAsia="宋体"/>
                <w:highlight w:val="none"/>
                <w:lang w:val="en-US" w:eastAsia="zh-CN"/>
              </w:rPr>
              <w:t>在</w:t>
            </w:r>
            <w:r>
              <w:rPr>
                <w:rFonts w:hint="eastAsia" w:ascii="宋体" w:hAnsi="宋体" w:eastAsia="宋体" w:cs="宋体"/>
                <w:highlight w:val="none"/>
                <w:lang w:val="en-US" w:eastAsia="zh-CN"/>
              </w:rPr>
              <w:t>满足采购文件3年质保期的基础上，</w:t>
            </w:r>
            <w:r>
              <w:rPr>
                <w:rFonts w:hint="eastAsia" w:ascii="宋体" w:hAnsi="宋体" w:eastAsia="宋体" w:cs="宋体"/>
                <w:color w:val="auto"/>
                <w:kern w:val="2"/>
                <w:sz w:val="21"/>
                <w:szCs w:val="21"/>
                <w:highlight w:val="none"/>
              </w:rPr>
              <w:t>每增加一年免费</w:t>
            </w:r>
            <w:r>
              <w:rPr>
                <w:rFonts w:hint="eastAsia" w:ascii="宋体" w:hAnsi="宋体" w:eastAsia="宋体" w:cs="宋体"/>
                <w:color w:val="auto"/>
                <w:kern w:val="2"/>
                <w:sz w:val="21"/>
                <w:szCs w:val="21"/>
                <w:highlight w:val="none"/>
                <w:lang w:val="en-US" w:eastAsia="zh-CN"/>
              </w:rPr>
              <w:t>质保</w:t>
            </w:r>
            <w:r>
              <w:rPr>
                <w:rFonts w:hint="eastAsia" w:ascii="宋体" w:hAnsi="宋体" w:eastAsia="宋体" w:cs="宋体"/>
                <w:color w:val="auto"/>
                <w:kern w:val="2"/>
                <w:sz w:val="21"/>
                <w:szCs w:val="21"/>
                <w:highlight w:val="none"/>
              </w:rPr>
              <w:t>服务得</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分，本项最高得</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r>
              <w:rPr>
                <w:rFonts w:hint="eastAsia" w:ascii="宋体" w:hAnsi="宋体" w:eastAsia="宋体" w:cs="Times New Roman"/>
                <w:color w:val="auto"/>
                <w:kern w:val="2"/>
                <w:sz w:val="21"/>
                <w:szCs w:val="21"/>
                <w:highlight w:val="none"/>
              </w:rPr>
              <w:t>（需提供承诺书，并加盖公章。）</w:t>
            </w:r>
            <w:r>
              <w:rPr>
                <w:rFonts w:hint="eastAsia" w:ascii="宋体" w:hAnsi="宋体" w:eastAsia="宋体" w:cs="宋体"/>
                <w:color w:val="auto"/>
                <w:spacing w:val="-6"/>
                <w:highlight w:val="none"/>
                <w:lang w:eastAsia="zh-CN"/>
              </w:rPr>
              <w:t>未承诺</w:t>
            </w:r>
            <w:r>
              <w:rPr>
                <w:rFonts w:hint="eastAsia" w:ascii="宋体" w:hAnsi="宋体" w:eastAsia="宋体" w:cs="宋体"/>
                <w:color w:val="auto"/>
                <w:spacing w:val="-6"/>
                <w:highlight w:val="none"/>
                <w:lang w:val="en-US" w:eastAsia="zh-CN"/>
              </w:rPr>
              <w:t>或提供的承诺不是以年为单位的，</w:t>
            </w:r>
            <w:r>
              <w:rPr>
                <w:rFonts w:hint="eastAsia" w:ascii="宋体" w:hAnsi="宋体" w:eastAsia="宋体" w:cs="宋体"/>
                <w:color w:val="auto"/>
                <w:spacing w:val="-6"/>
                <w:highlight w:val="none"/>
                <w:lang w:eastAsia="zh-CN"/>
              </w:rPr>
              <w:t>该项不得分。</w:t>
            </w:r>
          </w:p>
        </w:tc>
      </w:tr>
    </w:tbl>
    <w:p w14:paraId="20E23F0E">
      <w:pPr>
        <w:pStyle w:val="3"/>
        <w:rPr>
          <w:highlight w:val="none"/>
        </w:rPr>
      </w:pPr>
    </w:p>
    <w:p w14:paraId="23E36A90">
      <w:pPr>
        <w:pStyle w:val="60"/>
        <w:keepNext w:val="0"/>
        <w:keepLines w:val="0"/>
        <w:pageBreakBefore w:val="0"/>
        <w:kinsoku/>
        <w:overflowPunct/>
        <w:topLinePunct w:val="0"/>
        <w:bidi w:val="0"/>
        <w:spacing w:line="360" w:lineRule="auto"/>
        <w:rPr>
          <w:highlight w:val="none"/>
        </w:rPr>
      </w:pPr>
    </w:p>
    <w:p w14:paraId="5D877F54">
      <w:pPr>
        <w:keepNext w:val="0"/>
        <w:keepLines w:val="0"/>
        <w:pageBreakBefore w:val="0"/>
        <w:kinsoku/>
        <w:overflowPunct/>
        <w:topLinePunct w:val="0"/>
        <w:bidi w:val="0"/>
        <w:spacing w:line="360" w:lineRule="auto"/>
        <w:rPr>
          <w:rFonts w:ascii="宋体" w:hAnsi="宋体" w:cs="黑体"/>
          <w:b/>
          <w:color w:val="000000" w:themeColor="text1"/>
          <w:sz w:val="36"/>
          <w:highlight w:val="none"/>
          <w14:textFill>
            <w14:solidFill>
              <w14:schemeClr w14:val="tx1"/>
            </w14:solidFill>
          </w14:textFill>
        </w:rPr>
      </w:pPr>
      <w:r>
        <w:rPr>
          <w:rFonts w:hint="eastAsia" w:ascii="宋体" w:hAnsi="宋体" w:cs="黑体"/>
          <w:b/>
          <w:strike/>
          <w:color w:val="000000" w:themeColor="text1"/>
          <w:sz w:val="36"/>
          <w:highlight w:val="none"/>
          <w14:textFill>
            <w14:solidFill>
              <w14:schemeClr w14:val="tx1"/>
            </w14:solidFill>
          </w14:textFill>
        </w:rPr>
        <w:br w:type="page"/>
      </w:r>
    </w:p>
    <w:p w14:paraId="1D4EC281">
      <w:pPr>
        <w:pStyle w:val="264"/>
        <w:keepNext w:val="0"/>
        <w:keepLines w:val="0"/>
        <w:pageBreakBefore w:val="0"/>
        <w:numPr>
          <w:ilvl w:val="0"/>
          <w:numId w:val="53"/>
        </w:numPr>
        <w:kinsoku/>
        <w:overflowPunct/>
        <w:topLinePunct w:val="0"/>
        <w:bidi w:val="0"/>
        <w:spacing w:line="360" w:lineRule="auto"/>
        <w:rPr>
          <w:rFonts w:hint="eastAsia" w:ascii="宋体" w:hAnsi="宋体" w:eastAsia="宋体" w:cs="Times New Roman"/>
          <w:b/>
          <w:color w:val="auto"/>
          <w:sz w:val="28"/>
          <w:szCs w:val="28"/>
          <w:highlight w:val="none"/>
          <w:lang w:val="en-US" w:eastAsia="zh-CN"/>
        </w:rPr>
      </w:pPr>
      <w:r>
        <w:rPr>
          <w:color w:val="000000" w:themeColor="text1"/>
          <w:highlight w:val="none"/>
          <w14:textFill>
            <w14:solidFill>
              <w14:schemeClr w14:val="tx1"/>
            </w14:solidFill>
          </w14:textFill>
        </w:rPr>
        <w:t xml:space="preserve"> 采购需求</w:t>
      </w:r>
    </w:p>
    <w:p w14:paraId="193F023B">
      <w:pPr>
        <w:numPr>
          <w:ilvl w:val="0"/>
          <w:numId w:val="54"/>
        </w:numPr>
        <w:adjustRightInd w:val="0"/>
        <w:snapToGrid w:val="0"/>
        <w:spacing w:line="360" w:lineRule="auto"/>
        <w:ind w:left="0" w:leftChars="0" w:firstLine="0" w:firstLineChars="0"/>
        <w:outlineLvl w:val="1"/>
        <w:rPr>
          <w:rFonts w:hint="eastAsia" w:ascii="宋体" w:hAnsi="宋体" w:eastAsia="宋体" w:cs="Times New Roman"/>
          <w:b/>
          <w:color w:val="auto"/>
          <w:sz w:val="28"/>
          <w:szCs w:val="28"/>
          <w:highlight w:val="none"/>
          <w:lang w:val="zh-CN" w:eastAsia="zh-CN"/>
        </w:rPr>
      </w:pPr>
      <w:r>
        <w:rPr>
          <w:rFonts w:hint="eastAsia" w:ascii="宋体" w:hAnsi="宋体" w:eastAsia="宋体" w:cs="Times New Roman"/>
          <w:b/>
          <w:color w:val="auto"/>
          <w:sz w:val="28"/>
          <w:szCs w:val="28"/>
          <w:highlight w:val="none"/>
          <w:lang w:val="zh-CN" w:eastAsia="zh-CN"/>
        </w:rPr>
        <w:t>总则</w:t>
      </w:r>
    </w:p>
    <w:p w14:paraId="65C8F20B">
      <w:pPr>
        <w:pStyle w:val="3"/>
        <w:numPr>
          <w:ilvl w:val="2"/>
          <w:numId w:val="0"/>
        </w:numPr>
        <w:spacing w:line="360" w:lineRule="auto"/>
        <w:ind w:left="0" w:firstLine="442"/>
        <w:rPr>
          <w:sz w:val="24"/>
          <w:szCs w:val="24"/>
          <w:highlight w:val="none"/>
          <w:lang w:eastAsia="zh-CN"/>
        </w:rPr>
      </w:pPr>
      <w:r>
        <w:rPr>
          <w:rFonts w:hint="eastAsia" w:ascii="Calibri" w:hAnsi="Calibri" w:eastAsia="宋体" w:cs="Times New Roman"/>
          <w:sz w:val="24"/>
          <w:szCs w:val="24"/>
          <w:highlight w:val="none"/>
          <w:lang w:val="en-US" w:eastAsia="zh-CN" w:bidi="ar-SA"/>
        </w:rPr>
        <w:t>1.</w:t>
      </w:r>
      <w:r>
        <w:rPr>
          <w:sz w:val="24"/>
          <w:szCs w:val="24"/>
          <w:highlight w:val="none"/>
          <w:lang w:eastAsia="zh-CN"/>
        </w:rPr>
        <w:t>本货物需求及规格要求适用于本次采购项下所有货物的招标。</w:t>
      </w:r>
    </w:p>
    <w:p w14:paraId="722A86FE">
      <w:pPr>
        <w:pStyle w:val="3"/>
        <w:numPr>
          <w:ilvl w:val="2"/>
          <w:numId w:val="0"/>
        </w:numPr>
        <w:spacing w:line="360" w:lineRule="auto"/>
        <w:ind w:left="0" w:firstLine="442"/>
        <w:rPr>
          <w:sz w:val="24"/>
          <w:szCs w:val="24"/>
          <w:highlight w:val="none"/>
          <w:lang w:eastAsia="zh-CN"/>
        </w:rPr>
      </w:pPr>
      <w:r>
        <w:rPr>
          <w:rFonts w:hint="eastAsia" w:ascii="Calibri" w:hAnsi="Calibri" w:eastAsia="宋体" w:cs="Times New Roman"/>
          <w:sz w:val="24"/>
          <w:szCs w:val="24"/>
          <w:highlight w:val="none"/>
          <w:lang w:val="en-US" w:eastAsia="zh-CN" w:bidi="ar-SA"/>
        </w:rPr>
        <w:t>2.</w:t>
      </w:r>
      <w:r>
        <w:rPr>
          <w:rFonts w:hint="eastAsia"/>
          <w:sz w:val="24"/>
          <w:szCs w:val="24"/>
          <w:highlight w:val="none"/>
          <w:lang w:eastAsia="zh-CN"/>
        </w:rPr>
        <w:t>标注带“★”的为关键性要求，供应商必须逐条响应，如出现任何负偏离或不满足将视为无效</w:t>
      </w:r>
      <w:r>
        <w:rPr>
          <w:rFonts w:hint="eastAsia"/>
          <w:sz w:val="24"/>
          <w:szCs w:val="24"/>
          <w:highlight w:val="none"/>
          <w:lang w:val="en-US" w:eastAsia="zh-CN"/>
        </w:rPr>
        <w:t>响应</w:t>
      </w:r>
      <w:r>
        <w:rPr>
          <w:rFonts w:hint="eastAsia"/>
          <w:sz w:val="24"/>
          <w:szCs w:val="24"/>
          <w:highlight w:val="none"/>
          <w:lang w:eastAsia="zh-CN"/>
        </w:rPr>
        <w:t>。</w:t>
      </w:r>
    </w:p>
    <w:p w14:paraId="2D89F7FC">
      <w:pPr>
        <w:pStyle w:val="3"/>
        <w:numPr>
          <w:ilvl w:val="2"/>
          <w:numId w:val="0"/>
        </w:numPr>
        <w:spacing w:line="360" w:lineRule="auto"/>
        <w:ind w:left="0" w:firstLine="442"/>
        <w:rPr>
          <w:sz w:val="24"/>
          <w:szCs w:val="24"/>
          <w:highlight w:val="none"/>
          <w:lang w:eastAsia="zh-CN"/>
        </w:rPr>
      </w:pPr>
      <w:r>
        <w:rPr>
          <w:rFonts w:hint="eastAsia" w:ascii="Calibri" w:hAnsi="Calibri" w:eastAsia="宋体" w:cs="Times New Roman"/>
          <w:sz w:val="24"/>
          <w:szCs w:val="24"/>
          <w:highlight w:val="none"/>
          <w:lang w:val="en-US" w:eastAsia="zh-CN" w:bidi="ar-SA"/>
        </w:rPr>
        <w:t>3.</w:t>
      </w:r>
      <w:r>
        <w:rPr>
          <w:sz w:val="24"/>
          <w:szCs w:val="24"/>
          <w:highlight w:val="none"/>
          <w:lang w:eastAsia="zh-CN"/>
        </w:rPr>
        <w:t>标注带“</w:t>
      </w:r>
      <w:r>
        <w:rPr>
          <w:rFonts w:hint="eastAsia"/>
          <w:sz w:val="24"/>
          <w:szCs w:val="24"/>
          <w:highlight w:val="none"/>
          <w:lang w:eastAsia="zh-CN"/>
        </w:rPr>
        <w:t>▲</w:t>
      </w:r>
      <w:r>
        <w:rPr>
          <w:sz w:val="24"/>
          <w:szCs w:val="24"/>
          <w:highlight w:val="none"/>
          <w:lang w:eastAsia="zh-CN"/>
        </w:rPr>
        <w:t>”号的为</w:t>
      </w:r>
      <w:r>
        <w:rPr>
          <w:rFonts w:hint="eastAsia"/>
          <w:sz w:val="24"/>
          <w:szCs w:val="24"/>
          <w:highlight w:val="none"/>
          <w:lang w:eastAsia="zh-CN"/>
        </w:rPr>
        <w:t>重要</w:t>
      </w:r>
      <w:r>
        <w:rPr>
          <w:sz w:val="24"/>
          <w:szCs w:val="24"/>
          <w:highlight w:val="none"/>
          <w:lang w:eastAsia="zh-CN"/>
        </w:rPr>
        <w:t>技术参数，</w:t>
      </w:r>
      <w:r>
        <w:rPr>
          <w:rFonts w:hint="eastAsia"/>
          <w:sz w:val="24"/>
          <w:szCs w:val="24"/>
          <w:highlight w:val="none"/>
          <w:lang w:eastAsia="zh-CN"/>
        </w:rPr>
        <w:t>供应商必须逐条响应，</w:t>
      </w:r>
      <w:r>
        <w:rPr>
          <w:sz w:val="24"/>
          <w:szCs w:val="24"/>
          <w:highlight w:val="none"/>
          <w:lang w:eastAsia="zh-CN"/>
        </w:rPr>
        <w:t>如出现任何</w:t>
      </w:r>
      <w:r>
        <w:rPr>
          <w:rFonts w:hint="eastAsia"/>
          <w:sz w:val="24"/>
          <w:szCs w:val="24"/>
          <w:highlight w:val="none"/>
          <w:lang w:eastAsia="zh-CN"/>
        </w:rPr>
        <w:t>负</w:t>
      </w:r>
      <w:r>
        <w:rPr>
          <w:sz w:val="24"/>
          <w:szCs w:val="24"/>
          <w:highlight w:val="none"/>
          <w:lang w:eastAsia="zh-CN"/>
        </w:rPr>
        <w:t>偏离或不满足将</w:t>
      </w:r>
      <w:r>
        <w:rPr>
          <w:rFonts w:hint="eastAsia"/>
          <w:sz w:val="24"/>
          <w:szCs w:val="24"/>
          <w:highlight w:val="none"/>
          <w:lang w:eastAsia="zh-CN"/>
        </w:rPr>
        <w:t>影响评分。</w:t>
      </w:r>
    </w:p>
    <w:p w14:paraId="4550364F">
      <w:pPr>
        <w:pStyle w:val="3"/>
        <w:numPr>
          <w:ilvl w:val="2"/>
          <w:numId w:val="0"/>
        </w:numPr>
        <w:spacing w:line="360" w:lineRule="auto"/>
        <w:ind w:left="0" w:firstLine="442"/>
        <w:rPr>
          <w:color w:val="auto"/>
          <w:sz w:val="24"/>
          <w:szCs w:val="24"/>
          <w:highlight w:val="none"/>
          <w:lang w:eastAsia="zh-CN"/>
        </w:rPr>
      </w:pPr>
      <w:r>
        <w:rPr>
          <w:rFonts w:hint="eastAsia" w:ascii="Calibri" w:hAnsi="Calibri" w:eastAsia="宋体" w:cs="Times New Roman"/>
          <w:color w:val="auto"/>
          <w:sz w:val="24"/>
          <w:szCs w:val="24"/>
          <w:highlight w:val="none"/>
          <w:lang w:val="en-US" w:eastAsia="zh-CN" w:bidi="ar-SA"/>
        </w:rPr>
        <w:t>4.</w:t>
      </w:r>
      <w:r>
        <w:rPr>
          <w:rFonts w:hint="eastAsia"/>
          <w:sz w:val="24"/>
          <w:szCs w:val="24"/>
          <w:highlight w:val="none"/>
          <w:lang w:eastAsia="zh-CN"/>
        </w:rPr>
        <w:t>供应商须对比选文件“项目需求”的内容（标“★”</w:t>
      </w:r>
      <w:r>
        <w:rPr>
          <w:rFonts w:hint="eastAsia"/>
          <w:sz w:val="24"/>
          <w:szCs w:val="24"/>
          <w:highlight w:val="none"/>
          <w:lang w:val="en-US" w:eastAsia="zh-CN"/>
        </w:rPr>
        <w:t>和</w:t>
      </w:r>
      <w:r>
        <w:rPr>
          <w:sz w:val="24"/>
          <w:szCs w:val="24"/>
          <w:highlight w:val="none"/>
          <w:lang w:eastAsia="zh-CN"/>
        </w:rPr>
        <w:t>“</w:t>
      </w:r>
      <w:r>
        <w:rPr>
          <w:rFonts w:hint="eastAsia"/>
          <w:sz w:val="24"/>
          <w:szCs w:val="24"/>
          <w:highlight w:val="none"/>
          <w:lang w:eastAsia="zh-CN"/>
        </w:rPr>
        <w:t>▲</w:t>
      </w:r>
      <w:r>
        <w:rPr>
          <w:sz w:val="24"/>
          <w:szCs w:val="24"/>
          <w:highlight w:val="none"/>
          <w:lang w:eastAsia="zh-CN"/>
        </w:rPr>
        <w:t>”</w:t>
      </w:r>
      <w:r>
        <w:rPr>
          <w:rFonts w:hint="eastAsia"/>
          <w:sz w:val="24"/>
          <w:szCs w:val="24"/>
          <w:highlight w:val="none"/>
          <w:lang w:eastAsia="zh-CN"/>
        </w:rPr>
        <w:t>项内容除外）作出响应，若出现负偏离或不满足将影响评分</w:t>
      </w:r>
      <w:r>
        <w:rPr>
          <w:sz w:val="24"/>
          <w:szCs w:val="24"/>
          <w:highlight w:val="none"/>
          <w:lang w:eastAsia="zh-CN"/>
        </w:rPr>
        <w:t>。</w:t>
      </w:r>
    </w:p>
    <w:p w14:paraId="3C326380">
      <w:pPr>
        <w:pStyle w:val="3"/>
        <w:rPr>
          <w:color w:val="auto"/>
          <w:highlight w:val="none"/>
          <w:lang w:eastAsia="zh-CN" w:bidi="ar-SA"/>
        </w:rPr>
      </w:pPr>
    </w:p>
    <w:p w14:paraId="7A3C75C4">
      <w:pPr>
        <w:numPr>
          <w:ilvl w:val="0"/>
          <w:numId w:val="55"/>
        </w:numPr>
        <w:adjustRightInd w:val="0"/>
        <w:snapToGrid w:val="0"/>
        <w:spacing w:line="360" w:lineRule="auto"/>
        <w:outlineLvl w:val="1"/>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项目概况</w:t>
      </w:r>
    </w:p>
    <w:p w14:paraId="5F74D94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en-US"/>
        </w:rPr>
      </w:pPr>
      <w:r>
        <w:rPr>
          <w:rFonts w:hint="eastAsia" w:ascii="宋体" w:hAnsi="宋体" w:eastAsia="宋体" w:cs="宋体"/>
          <w:color w:val="auto"/>
          <w:kern w:val="0"/>
          <w:sz w:val="24"/>
          <w:szCs w:val="24"/>
          <w:highlight w:val="none"/>
          <w:lang w:val="en-US" w:eastAsia="zh-CN" w:bidi="en-US"/>
        </w:rPr>
        <w:t>为提高南京邮电大学通达学院消防防治能力，构筑生命安全防线，建立一套“ 以防为核心、以 消为措施 ”的基于物联感知等先进技术为核心，实现“感知—反应—处置 ”完整灾害反应处置的系 统，力求在事态扩大造成损害前根据实时感知数据尽早发现和隐患处置。</w:t>
      </w:r>
    </w:p>
    <w:p w14:paraId="4FC4CFD8">
      <w:pPr>
        <w:spacing w:line="360" w:lineRule="auto"/>
        <w:ind w:firstLine="524" w:firstLineChars="200"/>
        <w:jc w:val="both"/>
        <w:rPr>
          <w:rFonts w:ascii="宋体" w:hAnsi="宋体" w:eastAsia="宋体" w:cs="宋体"/>
          <w:spacing w:val="11"/>
          <w:sz w:val="24"/>
          <w:highlight w:val="none"/>
          <w:lang w:eastAsia="zh-CN"/>
        </w:rPr>
      </w:pPr>
      <w:r>
        <w:rPr>
          <w:rFonts w:hint="eastAsia" w:ascii="宋体" w:hAnsi="宋体" w:eastAsia="宋体" w:cs="宋体"/>
          <w:spacing w:val="11"/>
          <w:sz w:val="24"/>
          <w:highlight w:val="none"/>
          <w:lang w:eastAsia="zh-CN"/>
        </w:rPr>
        <w:t>结合学校消防建设的现状及业务需求，本次项目主要完成以下方面的建设：</w:t>
      </w:r>
    </w:p>
    <w:p w14:paraId="55ECD553">
      <w:pPr>
        <w:spacing w:line="360" w:lineRule="auto"/>
        <w:ind w:firstLine="526" w:firstLineChars="200"/>
        <w:jc w:val="both"/>
        <w:rPr>
          <w:rFonts w:ascii="宋体" w:hAnsi="宋体" w:eastAsia="宋体" w:cs="宋体"/>
          <w:b/>
          <w:bCs/>
          <w:spacing w:val="11"/>
          <w:sz w:val="24"/>
          <w:highlight w:val="none"/>
          <w:lang w:eastAsia="zh-CN"/>
        </w:rPr>
      </w:pPr>
      <w:r>
        <w:rPr>
          <w:rFonts w:hint="eastAsia" w:ascii="宋体" w:hAnsi="宋体" w:eastAsia="宋体" w:cs="宋体"/>
          <w:b/>
          <w:bCs/>
          <w:spacing w:val="11"/>
          <w:sz w:val="24"/>
          <w:highlight w:val="none"/>
          <w:lang w:eastAsia="zh-CN"/>
        </w:rPr>
        <w:t>（一）增补1#-10#学生公寓、1#-3#教师公寓（已改造成学生公寓）智能声光火灾报警系统</w:t>
      </w:r>
    </w:p>
    <w:p w14:paraId="3FA87379">
      <w:pPr>
        <w:spacing w:line="360" w:lineRule="auto"/>
        <w:ind w:firstLine="524" w:firstLineChars="200"/>
        <w:jc w:val="both"/>
        <w:rPr>
          <w:rFonts w:ascii="宋体" w:hAnsi="宋体" w:eastAsia="宋体" w:cs="宋体"/>
          <w:spacing w:val="11"/>
          <w:sz w:val="24"/>
          <w:highlight w:val="none"/>
          <w:lang w:eastAsia="zh-CN"/>
        </w:rPr>
      </w:pPr>
      <w:r>
        <w:rPr>
          <w:rFonts w:hint="eastAsia" w:ascii="宋体" w:hAnsi="宋体" w:eastAsia="宋体" w:cs="宋体"/>
          <w:spacing w:val="11"/>
          <w:sz w:val="24"/>
          <w:highlight w:val="none"/>
          <w:lang w:eastAsia="zh-CN"/>
        </w:rPr>
        <w:t>1#-10#学生公寓、1#-3#教师公寓（已改造成学生公寓）共计10个集体宿舍组团里现有3100个寝室房间，140个客厅，10个宿舍管理站。建设项目主要包括无线火灾报警系统、独立式光电感烟火灾探测报警器、手动火灾报警按钮、火灾声光报警器、消防设备显示、消防网关与交换机、消防广播扬声器及电话一体机、备品备件等。</w:t>
      </w:r>
    </w:p>
    <w:p w14:paraId="0E812466">
      <w:pPr>
        <w:spacing w:line="360" w:lineRule="auto"/>
        <w:ind w:firstLine="526" w:firstLineChars="200"/>
        <w:jc w:val="both"/>
        <w:rPr>
          <w:rFonts w:ascii="宋体" w:hAnsi="宋体" w:eastAsia="宋体" w:cs="宋体"/>
          <w:b/>
          <w:bCs/>
          <w:spacing w:val="11"/>
          <w:sz w:val="24"/>
          <w:highlight w:val="none"/>
          <w:lang w:eastAsia="zh-CN"/>
        </w:rPr>
      </w:pPr>
      <w:r>
        <w:rPr>
          <w:rFonts w:hint="eastAsia" w:ascii="宋体" w:hAnsi="宋体" w:eastAsia="宋体" w:cs="宋体"/>
          <w:b/>
          <w:bCs/>
          <w:spacing w:val="11"/>
          <w:sz w:val="24"/>
          <w:highlight w:val="none"/>
          <w:lang w:eastAsia="zh-CN"/>
        </w:rPr>
        <w:t>（二）学生宿舍无线消防报警系统平台建设</w:t>
      </w:r>
    </w:p>
    <w:p w14:paraId="37A8762D">
      <w:pPr>
        <w:spacing w:line="360" w:lineRule="auto"/>
        <w:ind w:firstLine="524" w:firstLineChars="200"/>
        <w:jc w:val="both"/>
        <w:rPr>
          <w:rFonts w:ascii="宋体" w:hAnsi="宋体" w:eastAsia="宋体" w:cs="宋体"/>
          <w:spacing w:val="11"/>
          <w:sz w:val="24"/>
          <w:highlight w:val="none"/>
          <w:lang w:eastAsia="zh-CN"/>
        </w:rPr>
      </w:pPr>
      <w:r>
        <w:rPr>
          <w:rFonts w:hint="eastAsia" w:ascii="宋体" w:hAnsi="宋体" w:eastAsia="宋体" w:cs="宋体"/>
          <w:spacing w:val="11"/>
          <w:sz w:val="24"/>
          <w:highlight w:val="none"/>
          <w:lang w:eastAsia="zh-CN"/>
        </w:rPr>
        <w:t>为了进一步提升学生宿舍的消防应急事件预警能力，24小时不间断地对宿舍内的烟雾情况进行监测，一旦检测到烟雾异常，立即通过无线信号向宿舍管理人员或学校保卫处发送报警信息。当前宿舍普遍存在传统消防设备老旧，局部缺位，电源线路老化现象，且所有房间均未安装智能声光火灾报警系统，已无法满足应用的需求。该项目预在宿舍、走廊公共 区域等处安装无线烟感、网关、声光手报、消防一体广播等智能消防设备，实现火灾自动报警。</w:t>
      </w:r>
    </w:p>
    <w:p w14:paraId="35ED5726">
      <w:pPr>
        <w:pStyle w:val="59"/>
        <w:rPr>
          <w:rFonts w:hint="eastAsia"/>
          <w:highlight w:val="none"/>
          <w:lang w:val="en-US" w:eastAsia="zh-CN"/>
        </w:rPr>
      </w:pPr>
    </w:p>
    <w:p w14:paraId="55EB804F">
      <w:pPr>
        <w:numPr>
          <w:ilvl w:val="0"/>
          <w:numId w:val="55"/>
        </w:numPr>
        <w:adjustRightInd w:val="0"/>
        <w:snapToGrid w:val="0"/>
        <w:spacing w:line="360" w:lineRule="auto"/>
        <w:outlineLvl w:val="1"/>
        <w:rPr>
          <w:rFonts w:hint="eastAsia"/>
          <w:color w:val="auto"/>
          <w:highlight w:val="none"/>
        </w:rPr>
      </w:pPr>
      <w:r>
        <w:rPr>
          <w:rFonts w:hint="eastAsia" w:ascii="宋体" w:hAnsi="宋体"/>
          <w:b/>
          <w:color w:val="auto"/>
          <w:sz w:val="28"/>
          <w:szCs w:val="28"/>
          <w:highlight w:val="none"/>
          <w:lang w:val="zh-CN"/>
        </w:rPr>
        <w:t>货物清单</w:t>
      </w:r>
    </w:p>
    <w:tbl>
      <w:tblPr>
        <w:tblStyle w:val="44"/>
        <w:tblW w:w="895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1548"/>
        <w:gridCol w:w="1512"/>
        <w:gridCol w:w="960"/>
        <w:gridCol w:w="960"/>
        <w:gridCol w:w="960"/>
        <w:gridCol w:w="1092"/>
        <w:gridCol w:w="960"/>
      </w:tblGrid>
      <w:tr w14:paraId="57ABF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4407E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15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D21A0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采购项目</w:t>
            </w:r>
          </w:p>
        </w:tc>
        <w:tc>
          <w:tcPr>
            <w:tcW w:w="2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4E1A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配置内容</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F065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F53C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w:t>
            </w:r>
          </w:p>
        </w:tc>
        <w:tc>
          <w:tcPr>
            <w:tcW w:w="10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ED4A0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总价预算（万元）</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3ABA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是否核心产品</w:t>
            </w:r>
          </w:p>
        </w:tc>
      </w:tr>
      <w:tr w14:paraId="20A51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700DD">
            <w:pPr>
              <w:jc w:val="center"/>
              <w:rPr>
                <w:rFonts w:hint="eastAsia" w:ascii="宋体" w:hAnsi="宋体" w:eastAsia="宋体" w:cs="宋体"/>
                <w:b/>
                <w:bCs/>
                <w:i w:val="0"/>
                <w:iCs w:val="0"/>
                <w:color w:val="000000"/>
                <w:sz w:val="22"/>
                <w:szCs w:val="22"/>
                <w:highlight w:val="none"/>
                <w:u w:val="none"/>
              </w:rPr>
            </w:pP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5A509">
            <w:pPr>
              <w:jc w:val="center"/>
              <w:rPr>
                <w:rFonts w:hint="eastAsia" w:ascii="宋体" w:hAnsi="宋体" w:eastAsia="宋体" w:cs="宋体"/>
                <w:b/>
                <w:bCs/>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208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配置产品</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6D7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1B5F7">
            <w:pPr>
              <w:jc w:val="center"/>
              <w:rPr>
                <w:rFonts w:hint="eastAsia" w:ascii="宋体" w:hAnsi="宋体" w:eastAsia="宋体" w:cs="宋体"/>
                <w:b/>
                <w:bCs/>
                <w:i w:val="0"/>
                <w:iCs w:val="0"/>
                <w:color w:val="000000"/>
                <w:sz w:val="22"/>
                <w:szCs w:val="22"/>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5E3E4">
            <w:pPr>
              <w:jc w:val="center"/>
              <w:rPr>
                <w:rFonts w:hint="eastAsia" w:ascii="宋体" w:hAnsi="宋体" w:eastAsia="宋体" w:cs="宋体"/>
                <w:b/>
                <w:bCs/>
                <w:i w:val="0"/>
                <w:iCs w:val="0"/>
                <w:color w:val="000000"/>
                <w:sz w:val="22"/>
                <w:szCs w:val="22"/>
                <w:highlight w:val="none"/>
                <w:u w:val="none"/>
              </w:rPr>
            </w:pP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7A45C">
            <w:pPr>
              <w:jc w:val="center"/>
              <w:rPr>
                <w:rFonts w:hint="eastAsia" w:ascii="宋体" w:hAnsi="宋体" w:eastAsia="宋体" w:cs="宋体"/>
                <w:b/>
                <w:bCs/>
                <w:i w:val="0"/>
                <w:iCs w:val="0"/>
                <w:color w:val="000000"/>
                <w:sz w:val="22"/>
                <w:szCs w:val="22"/>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A493E">
            <w:pPr>
              <w:jc w:val="center"/>
              <w:rPr>
                <w:rFonts w:hint="eastAsia" w:ascii="宋体" w:hAnsi="宋体" w:eastAsia="宋体" w:cs="宋体"/>
                <w:b/>
                <w:bCs/>
                <w:i w:val="0"/>
                <w:iCs w:val="0"/>
                <w:color w:val="000000"/>
                <w:sz w:val="22"/>
                <w:szCs w:val="22"/>
                <w:highlight w:val="none"/>
                <w:u w:val="none"/>
              </w:rPr>
            </w:pPr>
          </w:p>
        </w:tc>
      </w:tr>
      <w:tr w14:paraId="2E9D0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C9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5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8E63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消防无线报警装置采购项目</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F3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火灾报警传输设备及配件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7D4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0E9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6A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国产</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59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D9E7">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否</w:t>
            </w:r>
          </w:p>
        </w:tc>
      </w:tr>
      <w:tr w14:paraId="78C46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B7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9AEF0">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1D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独立式光电 感烟火灾探 测报警器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（LoRa）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D8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3500台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3955">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1C43E">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6AC60">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F207">
            <w:pPr>
              <w:ind w:firstLine="220" w:firstLineChars="100"/>
              <w:jc w:val="both"/>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是</w:t>
            </w:r>
          </w:p>
        </w:tc>
      </w:tr>
      <w:tr w14:paraId="06656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724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0B032">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EDD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手动火灾报 警按钮（Lora）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F17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6CB4">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A0C7">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DD53F">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1D04">
            <w:pPr>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r w14:paraId="65C02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47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89203">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38A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火灾声光报 器（Lora）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EAF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55DF">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95C">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8C58D">
            <w:pPr>
              <w:jc w:val="center"/>
              <w:rPr>
                <w:rFonts w:hint="eastAsia" w:ascii="宋体" w:hAnsi="宋体" w:eastAsia="宋体" w:cs="宋体"/>
                <w:i w:val="0"/>
                <w:iCs w:val="0"/>
                <w:color w:val="000000"/>
                <w:sz w:val="22"/>
                <w:szCs w:val="22"/>
                <w:highlight w:val="none"/>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F13AE6">
            <w:pPr>
              <w:jc w:val="center"/>
              <w:rPr>
                <w:rFonts w:hint="eastAsia" w:ascii="宋体" w:hAnsi="宋体" w:eastAsia="宋体" w:cs="宋体"/>
                <w:b/>
                <w:bCs/>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r w14:paraId="0C38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80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5E08B">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DE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消防扬声器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1C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806BC">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86B4">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818A">
            <w:pPr>
              <w:jc w:val="center"/>
              <w:rPr>
                <w:rFonts w:hint="eastAsia" w:ascii="宋体" w:hAnsi="宋体" w:eastAsia="宋体" w:cs="宋体"/>
                <w:i w:val="0"/>
                <w:iCs w:val="0"/>
                <w:color w:val="000000"/>
                <w:sz w:val="22"/>
                <w:szCs w:val="22"/>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7341B">
            <w:pPr>
              <w:jc w:val="center"/>
              <w:rPr>
                <w:rFonts w:hint="eastAsia" w:ascii="宋体" w:hAnsi="宋体" w:eastAsia="宋体" w:cs="宋体"/>
                <w:b/>
                <w:bCs/>
                <w:i w:val="0"/>
                <w:iCs w:val="0"/>
                <w:color w:val="000000"/>
                <w:sz w:val="22"/>
                <w:szCs w:val="22"/>
                <w:highlight w:val="none"/>
                <w:u w:val="none"/>
              </w:rPr>
            </w:pPr>
          </w:p>
        </w:tc>
      </w:tr>
      <w:tr w14:paraId="62152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3C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60F09">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41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消防广播一 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0C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02B6">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2215">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7A227">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80CD">
            <w:pPr>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r w14:paraId="522C4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5A2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C9276">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DD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LoRa 消防网 关（以太网）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C16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130台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FB5F7">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E4D1">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4F1F">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EE889">
            <w:pPr>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r w14:paraId="6767A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39D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B397F">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0C2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触摸可视化电子屏幕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07B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10套</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1DD16">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C708">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CF32C">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D867">
            <w:pPr>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r w14:paraId="71CE8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6F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0DB1A">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40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主消控室智能监控装置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539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726C8">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497F0">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5B786">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D587E">
            <w:pPr>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r w14:paraId="55A4C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C4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80E33">
            <w:pPr>
              <w:jc w:val="center"/>
              <w:rPr>
                <w:rFonts w:hint="eastAsia" w:ascii="宋体" w:hAnsi="宋体" w:eastAsia="宋体" w:cs="宋体"/>
                <w:i w:val="0"/>
                <w:iCs w:val="0"/>
                <w:color w:val="000000"/>
                <w:sz w:val="22"/>
                <w:szCs w:val="22"/>
                <w:highlight w:val="none"/>
                <w:u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B2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POE交换机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947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DDC3">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8162">
            <w:pPr>
              <w:jc w:val="center"/>
              <w:rPr>
                <w:rFonts w:hint="eastAsia" w:ascii="宋体" w:hAnsi="宋体" w:eastAsia="宋体" w:cs="宋体"/>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DDFA">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1B31">
            <w:pPr>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rPr>
              <w:t>否</w:t>
            </w:r>
          </w:p>
        </w:tc>
      </w:tr>
    </w:tbl>
    <w:p w14:paraId="6F2351EA">
      <w:pPr>
        <w:pStyle w:val="13"/>
        <w:rPr>
          <w:rFonts w:hint="eastAsia"/>
          <w:highlight w:val="none"/>
        </w:rPr>
      </w:pPr>
    </w:p>
    <w:p w14:paraId="10E19B30">
      <w:pPr>
        <w:numPr>
          <w:ilvl w:val="0"/>
          <w:numId w:val="55"/>
        </w:numPr>
        <w:adjustRightInd w:val="0"/>
        <w:snapToGrid w:val="0"/>
        <w:spacing w:line="360" w:lineRule="auto"/>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w:t>
      </w:r>
    </w:p>
    <w:p w14:paraId="77CB07D3">
      <w:pPr>
        <w:spacing w:line="360" w:lineRule="auto"/>
        <w:ind w:firstLine="524" w:firstLineChars="200"/>
        <w:jc w:val="both"/>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eastAsia="zh-CN"/>
        </w:rPr>
        <w:t>本次项目需要与现有的安消系统统一整合，安消联动，以实现校智慧校园利用最大化，具体的要求如下：</w:t>
      </w:r>
    </w:p>
    <w:p w14:paraId="4186321D">
      <w:pPr>
        <w:numPr>
          <w:ilvl w:val="0"/>
          <w:numId w:val="56"/>
        </w:numPr>
        <w:spacing w:line="360" w:lineRule="auto"/>
        <w:ind w:left="0" w:leftChars="0" w:firstLine="420" w:firstLineChars="0"/>
        <w:jc w:val="both"/>
        <w:rPr>
          <w:rFonts w:hint="eastAsia" w:ascii="宋体" w:hAnsi="宋体" w:eastAsia="宋体" w:cs="宋体"/>
          <w:spacing w:val="11"/>
          <w:sz w:val="24"/>
          <w:szCs w:val="24"/>
          <w:highlight w:val="none"/>
          <w:lang w:eastAsia="zh-CN"/>
        </w:rPr>
      </w:pPr>
      <w:bookmarkStart w:id="7" w:name="OLE_LINK2"/>
      <w:r>
        <w:rPr>
          <w:rFonts w:hint="eastAsia" w:ascii="宋体" w:hAnsi="宋体" w:eastAsia="宋体" w:cs="宋体"/>
          <w:spacing w:val="11"/>
          <w:sz w:val="24"/>
          <w:szCs w:val="24"/>
          <w:highlight w:val="none"/>
          <w:lang w:eastAsia="zh-CN"/>
        </w:rPr>
        <w:t>★</w:t>
      </w:r>
      <w:bookmarkEnd w:id="7"/>
      <w:r>
        <w:rPr>
          <w:rFonts w:hint="eastAsia" w:ascii="宋体" w:hAnsi="宋体" w:eastAsia="宋体" w:cs="宋体"/>
          <w:spacing w:val="11"/>
          <w:sz w:val="24"/>
          <w:szCs w:val="24"/>
          <w:highlight w:val="none"/>
          <w:lang w:eastAsia="zh-CN"/>
        </w:rPr>
        <w:t>为保证系统兼容性及平台统一管理，本项目内</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所提供产品应对任何第三方平台免费开放接口，无条件与学校智慧消防系统平台对接，与校园安防系统平台对接。</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须授予采购人软件的终身免费使用权。（</w:t>
      </w:r>
      <w:r>
        <w:rPr>
          <w:rFonts w:hint="eastAsia" w:ascii="宋体" w:hAnsi="宋体" w:eastAsia="宋体" w:cs="宋体"/>
          <w:spacing w:val="11"/>
          <w:sz w:val="24"/>
          <w:szCs w:val="24"/>
          <w:highlight w:val="none"/>
          <w:lang w:val="en-US" w:eastAsia="zh-CN"/>
        </w:rPr>
        <w:t>需</w:t>
      </w:r>
      <w:r>
        <w:rPr>
          <w:rFonts w:hint="eastAsia" w:ascii="宋体" w:hAnsi="宋体" w:eastAsia="宋体" w:cs="宋体"/>
          <w:spacing w:val="11"/>
          <w:sz w:val="24"/>
          <w:szCs w:val="24"/>
          <w:highlight w:val="none"/>
          <w:lang w:eastAsia="zh-CN"/>
        </w:rPr>
        <w:t>提供承诺函并加盖公章）</w:t>
      </w:r>
    </w:p>
    <w:p w14:paraId="2E8AE930">
      <w:pPr>
        <w:numPr>
          <w:ilvl w:val="0"/>
          <w:numId w:val="56"/>
        </w:numPr>
        <w:spacing w:line="360" w:lineRule="auto"/>
        <w:ind w:left="0" w:leftChars="0" w:firstLine="420" w:firstLineChars="0"/>
        <w:jc w:val="both"/>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eastAsia="zh-CN"/>
        </w:rPr>
        <w:t>交货地点：南京邮电大学通达学院。</w:t>
      </w:r>
    </w:p>
    <w:p w14:paraId="73A7736E">
      <w:pPr>
        <w:numPr>
          <w:ilvl w:val="0"/>
          <w:numId w:val="56"/>
        </w:numPr>
        <w:spacing w:line="360" w:lineRule="auto"/>
        <w:ind w:left="0" w:leftChars="0" w:firstLine="420" w:firstLineChars="0"/>
        <w:jc w:val="both"/>
        <w:rPr>
          <w:rFonts w:hint="eastAsia" w:ascii="宋体" w:hAnsi="宋体" w:eastAsia="宋体" w:cs="宋体"/>
          <w:spacing w:val="11"/>
          <w:sz w:val="24"/>
          <w:szCs w:val="24"/>
          <w:highlight w:val="none"/>
          <w:lang w:val="zh-CN" w:eastAsia="zh-CN"/>
        </w:rPr>
      </w:pPr>
      <w:r>
        <w:rPr>
          <w:rFonts w:hint="eastAsia" w:ascii="宋体" w:hAnsi="宋体" w:eastAsia="宋体" w:cs="宋体"/>
          <w:spacing w:val="11"/>
          <w:sz w:val="24"/>
          <w:szCs w:val="24"/>
          <w:highlight w:val="none"/>
          <w:lang w:val="zh-CN" w:eastAsia="zh-CN"/>
        </w:rPr>
        <w:t>交货期：自合同签订之日起3个月内全部供货、安装、调试完成。</w:t>
      </w:r>
    </w:p>
    <w:p w14:paraId="52F14F5E">
      <w:pPr>
        <w:numPr>
          <w:ilvl w:val="0"/>
          <w:numId w:val="56"/>
        </w:numPr>
        <w:spacing w:line="360" w:lineRule="auto"/>
        <w:ind w:left="0" w:leftChars="0" w:firstLine="420" w:firstLineChars="0"/>
        <w:jc w:val="both"/>
        <w:rPr>
          <w:rFonts w:hint="eastAsia" w:ascii="宋体" w:hAnsi="宋体" w:eastAsia="宋体" w:cs="宋体"/>
          <w:spacing w:val="11"/>
          <w:sz w:val="24"/>
          <w:szCs w:val="24"/>
          <w:highlight w:val="none"/>
          <w:lang w:val="zh-CN" w:eastAsia="zh-CN"/>
        </w:rPr>
      </w:pPr>
      <w:r>
        <w:rPr>
          <w:rFonts w:hint="eastAsia" w:ascii="宋体" w:hAnsi="宋体" w:eastAsia="宋体" w:cs="宋体"/>
          <w:spacing w:val="11"/>
          <w:sz w:val="24"/>
          <w:szCs w:val="24"/>
          <w:highlight w:val="none"/>
          <w:lang w:val="zh-CN" w:eastAsia="zh-CN"/>
        </w:rPr>
        <w:t>报价要求：</w:t>
      </w:r>
      <w:r>
        <w:rPr>
          <w:rFonts w:hint="eastAsia" w:ascii="宋体" w:hAnsi="宋体" w:eastAsia="宋体" w:cs="宋体"/>
          <w:spacing w:val="11"/>
          <w:sz w:val="24"/>
          <w:szCs w:val="24"/>
          <w:highlight w:val="none"/>
          <w:lang w:val="en-US" w:eastAsia="zh-CN"/>
        </w:rPr>
        <w:t>响应</w:t>
      </w:r>
      <w:r>
        <w:rPr>
          <w:rFonts w:hint="eastAsia" w:ascii="宋体" w:hAnsi="宋体" w:eastAsia="宋体" w:cs="宋体"/>
          <w:spacing w:val="11"/>
          <w:sz w:val="24"/>
          <w:szCs w:val="24"/>
          <w:highlight w:val="none"/>
          <w:lang w:val="zh-CN" w:eastAsia="zh-CN"/>
        </w:rPr>
        <w:t>报价为一次性报价方式，包括产品本身价格、包装费、运输费、验收费、送检费、配件费、技术服务费（包括技术资料、图纸提供等）、质保期满后电池更换及安装费、伴随服务及因产品本身及供货相关的各种税金等全部费用。本项目执行中相关的一切税费均由</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val="zh-CN" w:eastAsia="zh-CN"/>
        </w:rPr>
        <w:t>负担。</w:t>
      </w:r>
    </w:p>
    <w:p w14:paraId="493F1351">
      <w:pPr>
        <w:numPr>
          <w:ilvl w:val="0"/>
          <w:numId w:val="56"/>
        </w:numPr>
        <w:spacing w:line="360" w:lineRule="auto"/>
        <w:ind w:left="0" w:leftChars="0" w:firstLine="420" w:firstLineChars="0"/>
        <w:jc w:val="both"/>
        <w:rPr>
          <w:rFonts w:hint="eastAsia" w:ascii="宋体" w:hAnsi="宋体" w:eastAsia="宋体" w:cs="宋体"/>
          <w:spacing w:val="11"/>
          <w:sz w:val="24"/>
          <w:szCs w:val="24"/>
          <w:highlight w:val="none"/>
          <w:lang w:val="zh-CN" w:eastAsia="zh-CN"/>
        </w:rPr>
      </w:pPr>
      <w:r>
        <w:rPr>
          <w:rFonts w:hint="eastAsia" w:ascii="宋体" w:hAnsi="宋体" w:eastAsia="宋体" w:cs="宋体"/>
          <w:spacing w:val="11"/>
          <w:sz w:val="24"/>
          <w:szCs w:val="24"/>
          <w:highlight w:val="none"/>
          <w:lang w:val="zh-CN" w:eastAsia="zh-CN"/>
        </w:rPr>
        <w:t>验收标准：全部供货、安装、调试完成，</w:t>
      </w:r>
      <w:r>
        <w:rPr>
          <w:rFonts w:hint="eastAsia" w:ascii="宋体" w:hAnsi="宋体" w:eastAsia="宋体" w:cs="宋体"/>
          <w:spacing w:val="11"/>
          <w:sz w:val="24"/>
          <w:szCs w:val="24"/>
          <w:highlight w:val="none"/>
          <w:lang w:val="en-US" w:eastAsia="zh-CN"/>
        </w:rPr>
        <w:t>并通过采购人组织的验收。验收以本项目合同、</w:t>
      </w:r>
      <w:r>
        <w:rPr>
          <w:rFonts w:hint="eastAsia" w:ascii="宋体" w:hAnsi="宋体" w:cs="宋体"/>
          <w:spacing w:val="11"/>
          <w:sz w:val="24"/>
          <w:szCs w:val="24"/>
          <w:highlight w:val="none"/>
          <w:lang w:val="en-US" w:eastAsia="zh-CN"/>
        </w:rPr>
        <w:t>采购</w:t>
      </w:r>
      <w:r>
        <w:rPr>
          <w:rFonts w:hint="eastAsia" w:ascii="宋体" w:hAnsi="宋体" w:eastAsia="宋体" w:cs="宋体"/>
          <w:spacing w:val="11"/>
          <w:sz w:val="24"/>
          <w:szCs w:val="24"/>
          <w:highlight w:val="none"/>
          <w:lang w:val="en-US" w:eastAsia="zh-CN"/>
        </w:rPr>
        <w:t>文件、</w:t>
      </w:r>
      <w:r>
        <w:rPr>
          <w:rFonts w:hint="eastAsia" w:ascii="宋体" w:hAnsi="宋体" w:cs="宋体"/>
          <w:spacing w:val="11"/>
          <w:sz w:val="24"/>
          <w:szCs w:val="24"/>
          <w:highlight w:val="none"/>
          <w:lang w:val="en-US" w:eastAsia="zh-CN"/>
        </w:rPr>
        <w:t>响应</w:t>
      </w:r>
      <w:r>
        <w:rPr>
          <w:rFonts w:hint="eastAsia" w:ascii="宋体" w:hAnsi="宋体" w:eastAsia="宋体" w:cs="宋体"/>
          <w:spacing w:val="11"/>
          <w:sz w:val="24"/>
          <w:szCs w:val="24"/>
          <w:highlight w:val="none"/>
          <w:lang w:val="en-US" w:eastAsia="zh-CN"/>
        </w:rPr>
        <w:t>文件、双方确认的技术方案以国家、行业颁布的现行相关强制标准、规范为依据。</w:t>
      </w:r>
      <w:r>
        <w:rPr>
          <w:rFonts w:hint="eastAsia" w:ascii="宋体" w:hAnsi="宋体" w:eastAsia="宋体" w:cs="宋体"/>
          <w:spacing w:val="11"/>
          <w:sz w:val="24"/>
          <w:szCs w:val="24"/>
          <w:highlight w:val="none"/>
          <w:lang w:val="zh-CN" w:eastAsia="zh-CN"/>
        </w:rPr>
        <w:t>本项目各项消防设备设施的安装调试均按照国家消防相关强制性标准实施；</w:t>
      </w:r>
    </w:p>
    <w:p w14:paraId="2E1FF680">
      <w:pPr>
        <w:numPr>
          <w:ilvl w:val="0"/>
          <w:numId w:val="56"/>
        </w:numPr>
        <w:spacing w:line="360" w:lineRule="auto"/>
        <w:ind w:left="0" w:leftChars="0" w:firstLine="420" w:firstLineChars="0"/>
        <w:jc w:val="both"/>
        <w:rPr>
          <w:rFonts w:hint="eastAsia" w:ascii="宋体" w:hAnsi="宋体" w:eastAsia="宋体" w:cs="宋体"/>
          <w:spacing w:val="11"/>
          <w:sz w:val="24"/>
          <w:szCs w:val="24"/>
          <w:highlight w:val="none"/>
          <w:lang w:val="zh-CN"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zh-CN" w:eastAsia="zh-CN"/>
        </w:rPr>
        <w:t>质保期</w:t>
      </w:r>
    </w:p>
    <w:p w14:paraId="71155D2B">
      <w:pPr>
        <w:numPr>
          <w:ilvl w:val="0"/>
          <w:numId w:val="0"/>
        </w:numPr>
        <w:spacing w:line="360" w:lineRule="auto"/>
        <w:ind w:firstLine="524" w:firstLineChars="200"/>
        <w:jc w:val="both"/>
        <w:rPr>
          <w:rFonts w:hint="eastAsia" w:ascii="宋体" w:hAnsi="宋体" w:eastAsia="宋体" w:cs="宋体"/>
          <w:sz w:val="24"/>
          <w:szCs w:val="24"/>
          <w:highlight w:val="none"/>
          <w:lang w:eastAsia="zh-CN"/>
        </w:rPr>
      </w:pPr>
      <w:r>
        <w:rPr>
          <w:rFonts w:hint="eastAsia" w:ascii="宋体" w:hAnsi="宋体" w:eastAsia="宋体" w:cs="宋体"/>
          <w:spacing w:val="11"/>
          <w:sz w:val="24"/>
          <w:szCs w:val="24"/>
          <w:highlight w:val="none"/>
          <w:u w:val="none"/>
          <w:lang w:val="en-US" w:eastAsia="zh-CN"/>
        </w:rPr>
        <w:t>供应商需</w:t>
      </w:r>
      <w:r>
        <w:rPr>
          <w:rFonts w:hint="eastAsia" w:ascii="宋体" w:hAnsi="宋体" w:eastAsia="宋体" w:cs="宋体"/>
          <w:spacing w:val="11"/>
          <w:sz w:val="24"/>
          <w:szCs w:val="24"/>
          <w:highlight w:val="none"/>
          <w:u w:val="none"/>
        </w:rPr>
        <w:t>为本项目所有建设</w:t>
      </w:r>
      <w:r>
        <w:rPr>
          <w:rFonts w:hint="eastAsia" w:ascii="宋体" w:hAnsi="宋体" w:eastAsia="宋体" w:cs="宋体"/>
          <w:color w:val="auto"/>
          <w:spacing w:val="11"/>
          <w:sz w:val="24"/>
          <w:szCs w:val="24"/>
          <w:highlight w:val="none"/>
          <w:u w:val="none"/>
        </w:rPr>
        <w:t>的软硬件提供</w:t>
      </w:r>
      <w:r>
        <w:rPr>
          <w:rFonts w:hint="eastAsia" w:ascii="宋体" w:hAnsi="宋体" w:eastAsia="宋体" w:cs="宋体"/>
          <w:color w:val="auto"/>
          <w:spacing w:val="11"/>
          <w:sz w:val="24"/>
          <w:szCs w:val="24"/>
          <w:highlight w:val="none"/>
          <w:u w:val="none"/>
          <w:lang w:val="en-US" w:eastAsia="zh-CN"/>
        </w:rPr>
        <w:t>至少</w:t>
      </w:r>
      <w:r>
        <w:rPr>
          <w:rFonts w:hint="eastAsia" w:ascii="宋体" w:hAnsi="宋体" w:eastAsia="宋体" w:cs="宋体"/>
          <w:color w:val="auto"/>
          <w:spacing w:val="11"/>
          <w:sz w:val="24"/>
          <w:szCs w:val="24"/>
          <w:highlight w:val="none"/>
          <w:u w:val="single"/>
          <w:lang w:val="en-US" w:eastAsia="zh-CN"/>
        </w:rPr>
        <w:t>3</w:t>
      </w:r>
      <w:r>
        <w:rPr>
          <w:rFonts w:hint="eastAsia" w:ascii="宋体" w:hAnsi="宋体" w:eastAsia="宋体" w:cs="宋体"/>
          <w:color w:val="auto"/>
          <w:spacing w:val="11"/>
          <w:sz w:val="24"/>
          <w:szCs w:val="24"/>
          <w:highlight w:val="none"/>
          <w:u w:val="none"/>
          <w:lang w:val="en-US" w:eastAsia="zh-CN"/>
        </w:rPr>
        <w:t>年</w:t>
      </w:r>
      <w:r>
        <w:rPr>
          <w:rFonts w:hint="eastAsia" w:ascii="宋体" w:hAnsi="宋体" w:eastAsia="宋体" w:cs="宋体"/>
          <w:color w:val="auto"/>
          <w:spacing w:val="11"/>
          <w:sz w:val="24"/>
          <w:szCs w:val="24"/>
          <w:highlight w:val="none"/>
          <w:u w:val="none"/>
        </w:rPr>
        <w:t>免费质保</w:t>
      </w:r>
      <w:r>
        <w:rPr>
          <w:rFonts w:hint="eastAsia" w:ascii="宋体" w:hAnsi="宋体" w:eastAsia="宋体" w:cs="宋体"/>
          <w:spacing w:val="11"/>
          <w:sz w:val="24"/>
          <w:szCs w:val="24"/>
          <w:highlight w:val="none"/>
          <w:u w:val="none"/>
        </w:rPr>
        <w:t>期</w:t>
      </w:r>
      <w:r>
        <w:rPr>
          <w:rFonts w:hint="eastAsia" w:ascii="宋体" w:hAnsi="宋体" w:cs="宋体"/>
          <w:spacing w:val="11"/>
          <w:sz w:val="24"/>
          <w:szCs w:val="24"/>
          <w:highlight w:val="none"/>
          <w:u w:val="none"/>
          <w:lang w:eastAsia="zh-CN"/>
        </w:rPr>
        <w:t>（</w:t>
      </w:r>
      <w:r>
        <w:rPr>
          <w:rFonts w:hint="eastAsia" w:ascii="宋体" w:hAnsi="宋体" w:eastAsia="宋体" w:cs="宋体"/>
          <w:spacing w:val="11"/>
          <w:sz w:val="24"/>
          <w:szCs w:val="24"/>
          <w:highlight w:val="none"/>
          <w:u w:val="none"/>
        </w:rPr>
        <w:t>质保期自验收合格之日算起</w:t>
      </w:r>
      <w:r>
        <w:rPr>
          <w:rFonts w:hint="eastAsia" w:ascii="宋体" w:hAnsi="宋体" w:cs="宋体"/>
          <w:spacing w:val="11"/>
          <w:sz w:val="24"/>
          <w:szCs w:val="24"/>
          <w:highlight w:val="none"/>
          <w:u w:val="none"/>
          <w:lang w:eastAsia="zh-CN"/>
        </w:rPr>
        <w:t>）。</w:t>
      </w:r>
      <w:r>
        <w:rPr>
          <w:rFonts w:hint="eastAsia" w:ascii="宋体" w:hAnsi="宋体" w:eastAsia="宋体" w:cs="宋体"/>
          <w:spacing w:val="11"/>
          <w:sz w:val="24"/>
          <w:szCs w:val="24"/>
          <w:highlight w:val="none"/>
          <w:lang w:eastAsia="zh-CN"/>
        </w:rPr>
        <w:t>质保期</w:t>
      </w:r>
      <w:r>
        <w:rPr>
          <w:rFonts w:hint="eastAsia" w:ascii="宋体" w:hAnsi="宋体" w:cs="宋体"/>
          <w:spacing w:val="11"/>
          <w:sz w:val="24"/>
          <w:szCs w:val="24"/>
          <w:highlight w:val="none"/>
          <w:lang w:val="en-US" w:eastAsia="zh-CN"/>
        </w:rPr>
        <w:t>满3年</w:t>
      </w:r>
      <w:r>
        <w:rPr>
          <w:rFonts w:hint="eastAsia" w:ascii="宋体" w:hAnsi="宋体" w:eastAsia="宋体" w:cs="宋体"/>
          <w:spacing w:val="11"/>
          <w:sz w:val="24"/>
          <w:szCs w:val="24"/>
          <w:highlight w:val="none"/>
          <w:lang w:eastAsia="zh-CN"/>
        </w:rPr>
        <w:t>后</w:t>
      </w:r>
      <w:r>
        <w:rPr>
          <w:rFonts w:hint="eastAsia" w:ascii="宋体" w:hAnsi="宋体" w:cs="宋体"/>
          <w:spacing w:val="11"/>
          <w:sz w:val="24"/>
          <w:szCs w:val="24"/>
          <w:highlight w:val="none"/>
          <w:lang w:val="en-US" w:eastAsia="zh-CN"/>
        </w:rPr>
        <w:t>的</w:t>
      </w:r>
      <w:r>
        <w:rPr>
          <w:rFonts w:hint="eastAsia" w:ascii="宋体" w:hAnsi="宋体" w:eastAsia="宋体" w:cs="宋体"/>
          <w:spacing w:val="11"/>
          <w:sz w:val="24"/>
          <w:szCs w:val="24"/>
          <w:highlight w:val="none"/>
          <w:lang w:val="en-US" w:eastAsia="zh-CN"/>
        </w:rPr>
        <w:t>30天内</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须</w:t>
      </w:r>
      <w:r>
        <w:rPr>
          <w:rFonts w:hint="eastAsia" w:ascii="宋体" w:hAnsi="宋体" w:eastAsia="宋体" w:cs="宋体"/>
          <w:spacing w:val="11"/>
          <w:sz w:val="24"/>
          <w:szCs w:val="24"/>
          <w:highlight w:val="none"/>
          <w:lang w:val="en-US" w:eastAsia="zh-CN"/>
        </w:rPr>
        <w:t>对</w:t>
      </w:r>
      <w:r>
        <w:rPr>
          <w:rFonts w:hint="eastAsia" w:ascii="宋体" w:hAnsi="宋体" w:eastAsia="宋体" w:cs="宋体"/>
          <w:spacing w:val="11"/>
          <w:sz w:val="24"/>
          <w:szCs w:val="24"/>
          <w:highlight w:val="none"/>
          <w:lang w:eastAsia="zh-CN"/>
        </w:rPr>
        <w:t>独立式光电感烟火灾探测报警器和手动火灾报警按钮（Lora）全部进行一次电池更换，费用包含在本次</w:t>
      </w:r>
      <w:r>
        <w:rPr>
          <w:rFonts w:hint="eastAsia" w:ascii="宋体" w:hAnsi="宋体" w:cs="宋体"/>
          <w:spacing w:val="11"/>
          <w:sz w:val="24"/>
          <w:szCs w:val="24"/>
          <w:highlight w:val="none"/>
          <w:lang w:val="en-US" w:eastAsia="zh-CN"/>
        </w:rPr>
        <w:t>响应</w:t>
      </w:r>
      <w:r>
        <w:rPr>
          <w:rFonts w:hint="eastAsia" w:ascii="宋体" w:hAnsi="宋体" w:eastAsia="宋体" w:cs="宋体"/>
          <w:spacing w:val="11"/>
          <w:sz w:val="24"/>
          <w:szCs w:val="24"/>
          <w:highlight w:val="none"/>
          <w:lang w:eastAsia="zh-CN"/>
        </w:rPr>
        <w:t>报价中。（</w:t>
      </w:r>
      <w:r>
        <w:rPr>
          <w:rFonts w:hint="eastAsia" w:ascii="宋体" w:hAnsi="宋体" w:eastAsia="宋体" w:cs="宋体"/>
          <w:spacing w:val="11"/>
          <w:sz w:val="24"/>
          <w:szCs w:val="24"/>
          <w:highlight w:val="none"/>
          <w:lang w:val="en-US" w:eastAsia="zh-CN"/>
        </w:rPr>
        <w:t>供应商需</w:t>
      </w:r>
      <w:r>
        <w:rPr>
          <w:rFonts w:hint="eastAsia" w:ascii="宋体" w:hAnsi="宋体" w:eastAsia="宋体" w:cs="宋体"/>
          <w:spacing w:val="11"/>
          <w:sz w:val="24"/>
          <w:szCs w:val="24"/>
          <w:highlight w:val="none"/>
          <w:lang w:eastAsia="zh-CN"/>
        </w:rPr>
        <w:t>提供承诺函并加盖公章，提供内容不全或未提供承诺的做无效响应文件处理）</w:t>
      </w:r>
    </w:p>
    <w:p w14:paraId="79E22274">
      <w:pPr>
        <w:numPr>
          <w:ilvl w:val="0"/>
          <w:numId w:val="56"/>
        </w:numPr>
        <w:spacing w:line="360" w:lineRule="auto"/>
        <w:ind w:left="0" w:leftChars="0" w:firstLine="420" w:firstLineChars="0"/>
        <w:jc w:val="both"/>
        <w:rPr>
          <w:rFonts w:hint="eastAsia" w:ascii="宋体" w:hAnsi="宋体" w:eastAsia="宋体" w:cs="宋体"/>
          <w:b w:val="0"/>
          <w:bCs w:val="0"/>
          <w:spacing w:val="11"/>
          <w:sz w:val="24"/>
          <w:szCs w:val="24"/>
          <w:highlight w:val="none"/>
          <w:lang w:eastAsia="zh-CN"/>
        </w:rPr>
      </w:pPr>
      <w:r>
        <w:rPr>
          <w:rFonts w:hint="eastAsia" w:ascii="宋体" w:hAnsi="宋体" w:eastAsia="宋体" w:cs="宋体"/>
          <w:b w:val="0"/>
          <w:bCs w:val="0"/>
          <w:spacing w:val="11"/>
          <w:sz w:val="24"/>
          <w:szCs w:val="24"/>
          <w:highlight w:val="none"/>
          <w:lang w:eastAsia="zh-CN"/>
        </w:rPr>
        <w:t>★质量保证及售后服务（供应商需提供承诺函并加盖公章）</w:t>
      </w:r>
    </w:p>
    <w:p w14:paraId="12B91CFF">
      <w:pPr>
        <w:spacing w:line="360" w:lineRule="auto"/>
        <w:ind w:firstLine="524" w:firstLineChars="200"/>
        <w:jc w:val="both"/>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1</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应按采购文件规定的货物性能、技术要求、质量标准向采购人提供未经使用的全新产品。</w:t>
      </w:r>
    </w:p>
    <w:p w14:paraId="6F0CD7AB">
      <w:pPr>
        <w:spacing w:line="360" w:lineRule="auto"/>
        <w:ind w:firstLine="524" w:firstLineChars="200"/>
        <w:jc w:val="both"/>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2</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提供的货物在质保期内因货物本身的质量问题发生故障，</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应负责免费更换，更换后的货物质保期从更换之日</w:t>
      </w:r>
      <w:r>
        <w:rPr>
          <w:rFonts w:hint="eastAsia" w:ascii="宋体" w:hAnsi="宋体" w:cs="宋体"/>
          <w:spacing w:val="11"/>
          <w:sz w:val="24"/>
          <w:szCs w:val="24"/>
          <w:highlight w:val="none"/>
          <w:lang w:eastAsia="zh-CN"/>
        </w:rPr>
        <w:t>重新</w:t>
      </w:r>
      <w:r>
        <w:rPr>
          <w:rFonts w:hint="eastAsia" w:ascii="宋体" w:hAnsi="宋体" w:eastAsia="宋体" w:cs="宋体"/>
          <w:spacing w:val="11"/>
          <w:sz w:val="24"/>
          <w:szCs w:val="24"/>
          <w:highlight w:val="none"/>
          <w:lang w:eastAsia="zh-CN"/>
        </w:rPr>
        <w:t>起算。对经两次更换仍达不到技术要求者，应予退货</w:t>
      </w:r>
      <w:r>
        <w:rPr>
          <w:rFonts w:hint="eastAsia" w:ascii="宋体" w:hAnsi="宋体" w:cs="宋体"/>
          <w:spacing w:val="11"/>
          <w:sz w:val="24"/>
          <w:szCs w:val="24"/>
          <w:highlight w:val="none"/>
          <w:lang w:val="en-US" w:eastAsia="zh-CN"/>
        </w:rPr>
        <w:t>退款</w:t>
      </w:r>
      <w:r>
        <w:rPr>
          <w:rFonts w:hint="eastAsia" w:ascii="宋体" w:hAnsi="宋体" w:eastAsia="宋体" w:cs="宋体"/>
          <w:spacing w:val="11"/>
          <w:sz w:val="24"/>
          <w:szCs w:val="24"/>
          <w:highlight w:val="none"/>
          <w:lang w:eastAsia="zh-CN"/>
        </w:rPr>
        <w:t>处理</w:t>
      </w:r>
      <w:r>
        <w:rPr>
          <w:rFonts w:hint="eastAsia" w:ascii="宋体" w:hAnsi="宋体" w:cs="宋体"/>
          <w:spacing w:val="11"/>
          <w:sz w:val="24"/>
          <w:szCs w:val="24"/>
          <w:highlight w:val="none"/>
          <w:lang w:eastAsia="zh-CN"/>
        </w:rPr>
        <w:t>，</w:t>
      </w:r>
      <w:r>
        <w:rPr>
          <w:rFonts w:hint="eastAsia" w:ascii="宋体" w:hAnsi="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同时应承担该货物的直接费用（运输、保险、检验、货款利息及银行手续费等）。</w:t>
      </w:r>
    </w:p>
    <w:p w14:paraId="19833FCE">
      <w:pPr>
        <w:spacing w:line="360" w:lineRule="auto"/>
        <w:ind w:firstLine="524" w:firstLineChars="200"/>
        <w:jc w:val="both"/>
        <w:rPr>
          <w:rFonts w:hint="eastAsia" w:ascii="宋体" w:hAnsi="宋体" w:eastAsia="宋体" w:cs="宋体"/>
          <w:spacing w:val="11"/>
          <w:sz w:val="24"/>
          <w:szCs w:val="24"/>
          <w:highlight w:val="none"/>
          <w:lang w:val="zh-CN"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3</w:t>
      </w:r>
      <w:r>
        <w:rPr>
          <w:rFonts w:hint="eastAsia" w:ascii="宋体" w:hAnsi="宋体" w:eastAsia="宋体" w:cs="宋体"/>
          <w:spacing w:val="11"/>
          <w:sz w:val="24"/>
          <w:szCs w:val="24"/>
          <w:highlight w:val="none"/>
          <w:lang w:eastAsia="zh-CN"/>
        </w:rPr>
        <w:t>）如在使用过程中发生质量问题，</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在接到采购人通知后在1小时内到达采购人现场。</w:t>
      </w:r>
      <w:r>
        <w:rPr>
          <w:rFonts w:hint="eastAsia" w:ascii="宋体" w:hAnsi="宋体" w:eastAsia="宋体" w:cs="宋体"/>
          <w:spacing w:val="11"/>
          <w:sz w:val="24"/>
          <w:szCs w:val="24"/>
          <w:highlight w:val="none"/>
          <w:lang w:val="zh-CN" w:eastAsia="zh-CN"/>
        </w:rPr>
        <w:t>如</w:t>
      </w:r>
      <w:r>
        <w:rPr>
          <w:rFonts w:hint="eastAsia" w:ascii="宋体" w:hAnsi="宋体" w:eastAsia="宋体" w:cs="宋体"/>
          <w:spacing w:val="11"/>
          <w:sz w:val="24"/>
          <w:szCs w:val="24"/>
          <w:highlight w:val="none"/>
          <w:lang w:eastAsia="zh-CN"/>
        </w:rPr>
        <w:t>2</w:t>
      </w:r>
      <w:r>
        <w:rPr>
          <w:rFonts w:hint="eastAsia" w:ascii="宋体" w:hAnsi="宋体" w:eastAsia="宋体" w:cs="宋体"/>
          <w:spacing w:val="11"/>
          <w:sz w:val="24"/>
          <w:szCs w:val="24"/>
          <w:highlight w:val="none"/>
          <w:lang w:val="zh-CN" w:eastAsia="zh-CN"/>
        </w:rPr>
        <w:t>小时不能修复的，免费提供同等功能的设备供</w:t>
      </w:r>
      <w:r>
        <w:rPr>
          <w:rFonts w:hint="eastAsia" w:ascii="宋体" w:hAnsi="宋体" w:cs="宋体"/>
          <w:spacing w:val="11"/>
          <w:sz w:val="24"/>
          <w:szCs w:val="24"/>
          <w:highlight w:val="none"/>
          <w:lang w:val="en-US" w:eastAsia="zh-CN"/>
        </w:rPr>
        <w:t>采购人</w:t>
      </w:r>
      <w:r>
        <w:rPr>
          <w:rFonts w:hint="eastAsia" w:ascii="宋体" w:hAnsi="宋体" w:eastAsia="宋体" w:cs="宋体"/>
          <w:spacing w:val="11"/>
          <w:sz w:val="24"/>
          <w:szCs w:val="24"/>
          <w:highlight w:val="none"/>
          <w:lang w:val="zh-CN" w:eastAsia="zh-CN"/>
        </w:rPr>
        <w:t>使用，直至故障修复。</w:t>
      </w:r>
    </w:p>
    <w:p w14:paraId="24198438">
      <w:pPr>
        <w:spacing w:line="360" w:lineRule="auto"/>
        <w:ind w:firstLine="524" w:firstLineChars="200"/>
        <w:jc w:val="both"/>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4</w:t>
      </w:r>
      <w:r>
        <w:rPr>
          <w:rFonts w:hint="eastAsia" w:ascii="宋体" w:hAnsi="宋体" w:eastAsia="宋体" w:cs="宋体"/>
          <w:spacing w:val="11"/>
          <w:sz w:val="24"/>
          <w:szCs w:val="24"/>
          <w:highlight w:val="none"/>
          <w:lang w:eastAsia="zh-CN"/>
        </w:rPr>
        <w:t>）在质保期内，免费上门维修，</w:t>
      </w:r>
      <w:r>
        <w:rPr>
          <w:rFonts w:hint="eastAsia" w:ascii="宋体" w:hAnsi="宋体" w:eastAsia="宋体" w:cs="宋体"/>
          <w:spacing w:val="11"/>
          <w:sz w:val="24"/>
          <w:szCs w:val="24"/>
          <w:highlight w:val="none"/>
          <w:lang w:val="en-US" w:eastAsia="zh-CN"/>
        </w:rPr>
        <w:t>供应商</w:t>
      </w:r>
      <w:r>
        <w:rPr>
          <w:rFonts w:hint="eastAsia" w:ascii="宋体" w:hAnsi="宋体" w:eastAsia="宋体" w:cs="宋体"/>
          <w:spacing w:val="11"/>
          <w:sz w:val="24"/>
          <w:szCs w:val="24"/>
          <w:highlight w:val="none"/>
          <w:lang w:eastAsia="zh-CN"/>
        </w:rPr>
        <w:t>应对货物出现的质量及安全问题负责处理解决并承担一切费用。</w:t>
      </w:r>
    </w:p>
    <w:p w14:paraId="727B8C06">
      <w:pPr>
        <w:spacing w:line="360" w:lineRule="auto"/>
        <w:ind w:firstLine="524" w:firstLineChars="200"/>
        <w:jc w:val="both"/>
        <w:rPr>
          <w:rFonts w:hint="eastAsia" w:ascii="宋体" w:hAnsi="宋体" w:eastAsia="宋体" w:cs="宋体"/>
          <w:spacing w:val="11"/>
          <w:sz w:val="24"/>
          <w:szCs w:val="24"/>
          <w:highlight w:val="none"/>
          <w:lang w:val="zh-CN"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5</w:t>
      </w:r>
      <w:r>
        <w:rPr>
          <w:rFonts w:hint="eastAsia" w:ascii="宋体" w:hAnsi="宋体" w:eastAsia="宋体" w:cs="宋体"/>
          <w:spacing w:val="11"/>
          <w:sz w:val="24"/>
          <w:szCs w:val="24"/>
          <w:highlight w:val="none"/>
          <w:lang w:eastAsia="zh-CN"/>
        </w:rPr>
        <w:t>）因人为因素出现的故障不在免费</w:t>
      </w:r>
      <w:r>
        <w:rPr>
          <w:rFonts w:hint="eastAsia" w:ascii="宋体" w:hAnsi="宋体" w:cs="宋体"/>
          <w:spacing w:val="11"/>
          <w:sz w:val="24"/>
          <w:szCs w:val="24"/>
          <w:highlight w:val="none"/>
          <w:lang w:val="en-US" w:eastAsia="zh-CN"/>
        </w:rPr>
        <w:t>质保</w:t>
      </w:r>
      <w:r>
        <w:rPr>
          <w:rFonts w:hint="eastAsia" w:ascii="宋体" w:hAnsi="宋体" w:eastAsia="宋体" w:cs="宋体"/>
          <w:spacing w:val="11"/>
          <w:sz w:val="24"/>
          <w:szCs w:val="24"/>
          <w:highlight w:val="none"/>
          <w:lang w:eastAsia="zh-CN"/>
        </w:rPr>
        <w:t>范围内。</w:t>
      </w:r>
      <w:r>
        <w:rPr>
          <w:rFonts w:hint="eastAsia" w:ascii="宋体" w:hAnsi="宋体" w:eastAsia="宋体" w:cs="宋体"/>
          <w:spacing w:val="11"/>
          <w:sz w:val="24"/>
          <w:szCs w:val="24"/>
          <w:highlight w:val="none"/>
          <w:lang w:val="zh-CN" w:eastAsia="zh-CN"/>
        </w:rPr>
        <w:t>质保期满后，上门费及人工费免除，能根据</w:t>
      </w:r>
      <w:r>
        <w:rPr>
          <w:rFonts w:hint="eastAsia" w:ascii="宋体" w:hAnsi="宋体" w:eastAsia="宋体" w:cs="宋体"/>
          <w:spacing w:val="11"/>
          <w:sz w:val="24"/>
          <w:szCs w:val="24"/>
          <w:highlight w:val="none"/>
          <w:lang w:eastAsia="zh-CN"/>
        </w:rPr>
        <w:t>采购人</w:t>
      </w:r>
      <w:r>
        <w:rPr>
          <w:rFonts w:hint="eastAsia" w:ascii="宋体" w:hAnsi="宋体" w:eastAsia="宋体" w:cs="宋体"/>
          <w:spacing w:val="11"/>
          <w:sz w:val="24"/>
          <w:szCs w:val="24"/>
          <w:highlight w:val="none"/>
          <w:lang w:val="zh-CN" w:eastAsia="zh-CN"/>
        </w:rPr>
        <w:t>要求提供充足的备品、备件，材料费按市场同等价收取。</w:t>
      </w:r>
    </w:p>
    <w:p w14:paraId="42009981">
      <w:pPr>
        <w:spacing w:line="360" w:lineRule="auto"/>
        <w:ind w:firstLine="524" w:firstLineChars="200"/>
        <w:jc w:val="both"/>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6）定期巡检与功能测试。供应商在质保期内须提供以下免费定期服务：①日常巡检：</w:t>
      </w:r>
      <w:r>
        <w:rPr>
          <w:rFonts w:hint="eastAsia" w:ascii="宋体" w:hAnsi="宋体" w:eastAsia="宋体" w:cs="宋体"/>
          <w:spacing w:val="11"/>
          <w:sz w:val="24"/>
          <w:szCs w:val="24"/>
          <w:highlight w:val="none"/>
          <w:lang w:eastAsia="zh-CN"/>
        </w:rPr>
        <w:t>每月至少</w:t>
      </w:r>
      <w:r>
        <w:rPr>
          <w:rFonts w:hint="eastAsia" w:ascii="宋体" w:hAnsi="宋体" w:eastAsia="宋体" w:cs="宋体"/>
          <w:spacing w:val="11"/>
          <w:sz w:val="24"/>
          <w:szCs w:val="24"/>
          <w:highlight w:val="none"/>
          <w:lang w:val="en-US" w:eastAsia="zh-CN"/>
        </w:rPr>
        <w:t>进行</w:t>
      </w:r>
      <w:r>
        <w:rPr>
          <w:rFonts w:hint="eastAsia" w:ascii="宋体" w:hAnsi="宋体" w:cs="宋体"/>
          <w:spacing w:val="11"/>
          <w:sz w:val="24"/>
          <w:szCs w:val="24"/>
          <w:highlight w:val="none"/>
          <w:lang w:val="en-US" w:eastAsia="zh-CN"/>
        </w:rPr>
        <w:t>两</w:t>
      </w:r>
      <w:r>
        <w:rPr>
          <w:rFonts w:hint="eastAsia" w:ascii="宋体" w:hAnsi="宋体" w:eastAsia="宋体" w:cs="宋体"/>
          <w:spacing w:val="11"/>
          <w:sz w:val="24"/>
          <w:szCs w:val="24"/>
          <w:highlight w:val="none"/>
          <w:lang w:val="en-US" w:eastAsia="zh-CN"/>
        </w:rPr>
        <w:t>次外观与状态检查，确保设备无损坏、污染，指示灯正常。②功能测试：每半年进行一次全面的报警触发与系统功能测试，确保所有设备响应正常。</w:t>
      </w:r>
      <w:r>
        <w:rPr>
          <w:rFonts w:hint="eastAsia" w:ascii="宋体" w:hAnsi="宋体" w:cs="宋体"/>
          <w:spacing w:val="11"/>
          <w:sz w:val="24"/>
          <w:szCs w:val="24"/>
          <w:highlight w:val="none"/>
          <w:lang w:val="en-US" w:eastAsia="zh-CN"/>
        </w:rPr>
        <w:t>以上服务需派驻专业技术人员现场服务，</w:t>
      </w:r>
      <w:r>
        <w:rPr>
          <w:rFonts w:hint="eastAsia" w:ascii="宋体" w:hAnsi="宋体" w:eastAsia="宋体" w:cs="宋体"/>
          <w:spacing w:val="11"/>
          <w:sz w:val="24"/>
          <w:szCs w:val="24"/>
          <w:highlight w:val="none"/>
          <w:lang w:val="en-US" w:eastAsia="zh-CN"/>
        </w:rPr>
        <w:t>每次服务后需提供书面报告。</w:t>
      </w:r>
    </w:p>
    <w:p w14:paraId="18644007">
      <w:pPr>
        <w:spacing w:line="360" w:lineRule="auto"/>
        <w:ind w:firstLine="526" w:firstLineChars="200"/>
        <w:jc w:val="both"/>
        <w:rPr>
          <w:rFonts w:hint="eastAsia" w:ascii="宋体" w:hAnsi="宋体" w:eastAsia="宋体" w:cs="宋体"/>
          <w:b/>
          <w:bCs/>
          <w:i w:val="0"/>
          <w:iCs w:val="0"/>
          <w:color w:val="auto"/>
          <w:spacing w:val="11"/>
          <w:sz w:val="24"/>
          <w:szCs w:val="24"/>
          <w:highlight w:val="none"/>
          <w:lang w:eastAsia="zh-CN"/>
        </w:rPr>
      </w:pPr>
      <w:r>
        <w:rPr>
          <w:rFonts w:hint="eastAsia" w:ascii="宋体" w:hAnsi="宋体" w:eastAsia="宋体" w:cs="宋体"/>
          <w:b/>
          <w:bCs/>
          <w:i w:val="0"/>
          <w:iCs w:val="0"/>
          <w:color w:val="auto"/>
          <w:spacing w:val="11"/>
          <w:sz w:val="24"/>
          <w:szCs w:val="24"/>
          <w:highlight w:val="none"/>
          <w:lang w:eastAsia="zh-CN"/>
        </w:rPr>
        <w:t>（1.上述要求</w:t>
      </w:r>
      <w:r>
        <w:rPr>
          <w:rFonts w:hint="eastAsia" w:ascii="宋体" w:hAnsi="宋体" w:eastAsia="宋体" w:cs="宋体"/>
          <w:b/>
          <w:bCs/>
          <w:i w:val="0"/>
          <w:iCs w:val="0"/>
          <w:color w:val="auto"/>
          <w:spacing w:val="11"/>
          <w:sz w:val="24"/>
          <w:szCs w:val="24"/>
          <w:highlight w:val="none"/>
          <w:lang w:val="en-US" w:eastAsia="zh-CN"/>
        </w:rPr>
        <w:t>供应商</w:t>
      </w:r>
      <w:r>
        <w:rPr>
          <w:rFonts w:hint="eastAsia" w:ascii="宋体" w:hAnsi="宋体" w:eastAsia="宋体" w:cs="宋体"/>
          <w:b/>
          <w:bCs/>
          <w:i w:val="0"/>
          <w:iCs w:val="0"/>
          <w:color w:val="auto"/>
          <w:spacing w:val="11"/>
          <w:sz w:val="24"/>
          <w:szCs w:val="24"/>
          <w:highlight w:val="none"/>
          <w:lang w:eastAsia="zh-CN"/>
        </w:rPr>
        <w:t>需在</w:t>
      </w:r>
      <w:r>
        <w:rPr>
          <w:rFonts w:hint="eastAsia" w:ascii="宋体" w:hAnsi="宋体" w:eastAsia="宋体" w:cs="宋体"/>
          <w:b/>
          <w:bCs/>
          <w:i w:val="0"/>
          <w:iCs w:val="0"/>
          <w:color w:val="auto"/>
          <w:spacing w:val="11"/>
          <w:sz w:val="24"/>
          <w:szCs w:val="24"/>
          <w:highlight w:val="none"/>
          <w:lang w:val="en-US" w:eastAsia="zh-CN"/>
        </w:rPr>
        <w:t>响应</w:t>
      </w:r>
      <w:r>
        <w:rPr>
          <w:rFonts w:hint="eastAsia" w:ascii="宋体" w:hAnsi="宋体" w:eastAsia="宋体" w:cs="宋体"/>
          <w:b/>
          <w:bCs/>
          <w:i w:val="0"/>
          <w:iCs w:val="0"/>
          <w:color w:val="auto"/>
          <w:spacing w:val="11"/>
          <w:sz w:val="24"/>
          <w:szCs w:val="24"/>
          <w:highlight w:val="none"/>
          <w:lang w:eastAsia="zh-CN"/>
        </w:rPr>
        <w:t>文件《商务条款偏离表》中进行逐项应答；2.</w:t>
      </w:r>
      <w:r>
        <w:rPr>
          <w:rFonts w:hint="eastAsia" w:ascii="宋体" w:hAnsi="宋体" w:eastAsia="宋体" w:cs="宋体"/>
          <w:b/>
          <w:bCs/>
          <w:i w:val="0"/>
          <w:iCs w:val="0"/>
          <w:color w:val="auto"/>
          <w:spacing w:val="11"/>
          <w:sz w:val="24"/>
          <w:szCs w:val="24"/>
          <w:highlight w:val="none"/>
          <w:lang w:val="en-US" w:eastAsia="zh-CN"/>
        </w:rPr>
        <w:t>标</w:t>
      </w:r>
      <w:r>
        <w:rPr>
          <w:rFonts w:hint="eastAsia" w:ascii="宋体" w:hAnsi="宋体" w:eastAsia="宋体" w:cs="宋体"/>
          <w:b/>
          <w:bCs/>
          <w:i w:val="0"/>
          <w:iCs w:val="0"/>
          <w:spacing w:val="11"/>
          <w:sz w:val="24"/>
          <w:szCs w:val="24"/>
          <w:highlight w:val="none"/>
          <w:lang w:eastAsia="zh-CN"/>
        </w:rPr>
        <w:t>★</w:t>
      </w:r>
      <w:r>
        <w:rPr>
          <w:rFonts w:hint="eastAsia" w:ascii="宋体" w:hAnsi="宋体" w:eastAsia="宋体" w:cs="宋体"/>
          <w:b/>
          <w:bCs/>
          <w:i w:val="0"/>
          <w:iCs w:val="0"/>
          <w:spacing w:val="11"/>
          <w:sz w:val="24"/>
          <w:szCs w:val="24"/>
          <w:highlight w:val="none"/>
          <w:lang w:val="en-US" w:eastAsia="zh-CN"/>
        </w:rPr>
        <w:t>项为</w:t>
      </w:r>
      <w:r>
        <w:rPr>
          <w:rFonts w:hint="eastAsia" w:ascii="宋体" w:hAnsi="宋体" w:eastAsia="宋体" w:cs="宋体"/>
          <w:b/>
          <w:bCs/>
          <w:i w:val="0"/>
          <w:iCs w:val="0"/>
          <w:color w:val="auto"/>
          <w:spacing w:val="11"/>
          <w:sz w:val="24"/>
          <w:szCs w:val="24"/>
          <w:highlight w:val="none"/>
          <w:lang w:eastAsia="zh-CN"/>
        </w:rPr>
        <w:t>实质性要求，不接受负偏离，否则作为无效</w:t>
      </w:r>
      <w:r>
        <w:rPr>
          <w:rFonts w:hint="eastAsia" w:ascii="宋体" w:hAnsi="宋体" w:eastAsia="宋体" w:cs="宋体"/>
          <w:b/>
          <w:bCs/>
          <w:i w:val="0"/>
          <w:iCs w:val="0"/>
          <w:color w:val="auto"/>
          <w:spacing w:val="11"/>
          <w:sz w:val="24"/>
          <w:szCs w:val="24"/>
          <w:highlight w:val="none"/>
          <w:lang w:val="en-US" w:eastAsia="zh-CN"/>
        </w:rPr>
        <w:t>响应</w:t>
      </w:r>
      <w:r>
        <w:rPr>
          <w:rFonts w:hint="eastAsia" w:ascii="宋体" w:hAnsi="宋体" w:eastAsia="宋体" w:cs="宋体"/>
          <w:b/>
          <w:bCs/>
          <w:i w:val="0"/>
          <w:iCs w:val="0"/>
          <w:color w:val="auto"/>
          <w:spacing w:val="11"/>
          <w:sz w:val="24"/>
          <w:szCs w:val="24"/>
          <w:highlight w:val="none"/>
          <w:lang w:eastAsia="zh-CN"/>
        </w:rPr>
        <w:t>。）</w:t>
      </w:r>
    </w:p>
    <w:p w14:paraId="088E56F8">
      <w:pPr>
        <w:numPr>
          <w:ilvl w:val="0"/>
          <w:numId w:val="56"/>
        </w:numPr>
        <w:spacing w:line="360" w:lineRule="auto"/>
        <w:ind w:left="0" w:leftChars="0" w:firstLine="420" w:firstLineChars="0"/>
        <w:jc w:val="both"/>
        <w:rPr>
          <w:rFonts w:hint="eastAsia" w:ascii="宋体" w:hAnsi="宋体" w:eastAsia="宋体" w:cs="宋体"/>
          <w:b w:val="0"/>
          <w:bCs w:val="0"/>
          <w:spacing w:val="6"/>
          <w:sz w:val="24"/>
          <w:szCs w:val="24"/>
          <w:highlight w:val="none"/>
          <w:lang w:eastAsia="zh-CN"/>
        </w:rPr>
      </w:pPr>
      <w:r>
        <w:rPr>
          <w:rFonts w:hint="eastAsia" w:ascii="宋体" w:hAnsi="宋体" w:eastAsia="宋体" w:cs="宋体"/>
          <w:b w:val="0"/>
          <w:bCs w:val="0"/>
          <w:spacing w:val="6"/>
          <w:sz w:val="24"/>
          <w:szCs w:val="24"/>
          <w:highlight w:val="none"/>
          <w:lang w:eastAsia="zh-CN"/>
        </w:rPr>
        <w:t>付款方式</w:t>
      </w:r>
    </w:p>
    <w:p w14:paraId="1EFADA4D">
      <w:pPr>
        <w:pStyle w:val="59"/>
        <w:spacing w:line="360" w:lineRule="auto"/>
        <w:ind w:firstLine="480" w:firstLineChars="200"/>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eastAsia="zh-CN"/>
        </w:rPr>
        <w:t>安装调试结束</w:t>
      </w:r>
      <w:r>
        <w:rPr>
          <w:rFonts w:hint="eastAsia" w:ascii="宋体" w:hAnsi="宋体" w:eastAsia="宋体" w:cs="宋体"/>
          <w:kern w:val="2"/>
          <w:sz w:val="24"/>
          <w:szCs w:val="24"/>
          <w:highlight w:val="none"/>
          <w:lang w:val="en-US" w:eastAsia="zh-CN"/>
        </w:rPr>
        <w:t>并验收</w:t>
      </w:r>
      <w:r>
        <w:rPr>
          <w:rFonts w:hint="eastAsia" w:ascii="宋体" w:hAnsi="宋体" w:eastAsia="宋体" w:cs="宋体"/>
          <w:kern w:val="2"/>
          <w:sz w:val="24"/>
          <w:szCs w:val="24"/>
          <w:highlight w:val="none"/>
          <w:lang w:eastAsia="zh-CN"/>
        </w:rPr>
        <w:t>合格后，</w:t>
      </w:r>
      <w:r>
        <w:rPr>
          <w:rFonts w:hint="eastAsia" w:ascii="宋体" w:hAnsi="宋体" w:eastAsia="宋体" w:cs="宋体"/>
          <w:kern w:val="2"/>
          <w:sz w:val="24"/>
          <w:szCs w:val="24"/>
          <w:highlight w:val="none"/>
          <w:lang w:val="en-US" w:eastAsia="zh-CN"/>
        </w:rPr>
        <w:t>30日内</w:t>
      </w:r>
      <w:r>
        <w:rPr>
          <w:rFonts w:hint="eastAsia" w:ascii="宋体" w:hAnsi="宋体" w:eastAsia="宋体" w:cs="宋体"/>
          <w:kern w:val="2"/>
          <w:sz w:val="24"/>
          <w:szCs w:val="24"/>
          <w:highlight w:val="none"/>
          <w:lang w:eastAsia="zh-CN"/>
        </w:rPr>
        <w:t>支付至合同总</w:t>
      </w:r>
      <w:r>
        <w:rPr>
          <w:rFonts w:hint="eastAsia" w:ascii="宋体" w:hAnsi="宋体" w:eastAsia="宋体" w:cs="宋体"/>
          <w:kern w:val="2"/>
          <w:sz w:val="24"/>
          <w:szCs w:val="24"/>
          <w:highlight w:val="none"/>
          <w:lang w:val="en-US" w:eastAsia="zh-CN"/>
        </w:rPr>
        <w:t>价100</w:t>
      </w:r>
      <w:r>
        <w:rPr>
          <w:rFonts w:hint="eastAsia" w:ascii="宋体" w:hAnsi="宋体" w:eastAsia="宋体" w:cs="宋体"/>
          <w:kern w:val="2"/>
          <w:sz w:val="24"/>
          <w:szCs w:val="24"/>
          <w:highlight w:val="none"/>
          <w:lang w:eastAsia="zh-CN"/>
        </w:rPr>
        <w:t>%。甲方付款前乙方需提供合法、有效、等额的发票，否则，甲方有权拒付相应款项。</w:t>
      </w:r>
    </w:p>
    <w:p w14:paraId="6F3C529F">
      <w:pPr>
        <w:pStyle w:val="59"/>
        <w:spacing w:line="360" w:lineRule="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rPr>
        <w:t>合同签订前，乙方需向甲方缴纳10%合同金额的履约保证金，验收合格半年后，无违约情况将无息退还。</w:t>
      </w:r>
    </w:p>
    <w:p w14:paraId="725033D3">
      <w:pPr>
        <w:numPr>
          <w:ilvl w:val="0"/>
          <w:numId w:val="56"/>
        </w:numPr>
        <w:spacing w:line="360" w:lineRule="auto"/>
        <w:ind w:left="0" w:leftChars="0" w:firstLine="420" w:firstLineChars="0"/>
        <w:jc w:val="both"/>
        <w:rPr>
          <w:rFonts w:hint="eastAsia" w:ascii="宋体" w:hAnsi="宋体" w:eastAsia="宋体" w:cs="宋体"/>
          <w:b w:val="0"/>
          <w:bCs w:val="0"/>
          <w:spacing w:val="6"/>
          <w:sz w:val="24"/>
          <w:szCs w:val="24"/>
          <w:highlight w:val="none"/>
          <w:lang w:eastAsia="zh-CN"/>
        </w:rPr>
      </w:pPr>
      <w:r>
        <w:rPr>
          <w:rFonts w:hint="eastAsia" w:ascii="宋体" w:hAnsi="宋体" w:eastAsia="宋体" w:cs="宋体"/>
          <w:b w:val="0"/>
          <w:bCs w:val="0"/>
          <w:spacing w:val="6"/>
          <w:sz w:val="24"/>
          <w:szCs w:val="24"/>
          <w:highlight w:val="none"/>
          <w:lang w:eastAsia="zh-CN"/>
        </w:rPr>
        <w:t>培训要求</w:t>
      </w:r>
    </w:p>
    <w:p w14:paraId="72DE98F2">
      <w:pPr>
        <w:pStyle w:val="59"/>
        <w:spacing w:line="360" w:lineRule="auto"/>
        <w:rPr>
          <w:rFonts w:hint="eastAsia" w:ascii="宋体" w:hAnsi="宋体" w:eastAsia="宋体" w:cs="宋体"/>
          <w:spacing w:val="11"/>
          <w:sz w:val="24"/>
          <w:szCs w:val="24"/>
          <w:highlight w:val="none"/>
          <w:lang w:eastAsia="zh-CN"/>
        </w:rPr>
      </w:pPr>
      <w:r>
        <w:rPr>
          <w:rFonts w:hint="eastAsia" w:ascii="宋体" w:hAnsi="宋体" w:eastAsia="宋体" w:cs="宋体"/>
          <w:kern w:val="2"/>
          <w:sz w:val="24"/>
          <w:szCs w:val="24"/>
          <w:highlight w:val="none"/>
          <w:lang w:val="en-US" w:eastAsia="zh-CN"/>
        </w:rPr>
        <w:t>供应商</w:t>
      </w:r>
      <w:r>
        <w:rPr>
          <w:rFonts w:hint="eastAsia" w:ascii="宋体" w:hAnsi="宋体" w:eastAsia="宋体" w:cs="宋体"/>
          <w:kern w:val="2"/>
          <w:sz w:val="24"/>
          <w:szCs w:val="24"/>
          <w:highlight w:val="none"/>
          <w:lang w:eastAsia="zh-CN"/>
        </w:rPr>
        <w:t>提供</w:t>
      </w:r>
      <w:r>
        <w:rPr>
          <w:rFonts w:hint="eastAsia" w:ascii="宋体" w:hAnsi="宋体" w:eastAsia="宋体" w:cs="宋体"/>
          <w:kern w:val="2"/>
          <w:sz w:val="24"/>
          <w:szCs w:val="24"/>
          <w:highlight w:val="none"/>
          <w:lang w:val="en-US" w:eastAsia="zh-CN"/>
        </w:rPr>
        <w:t>每月一次</w:t>
      </w:r>
      <w:r>
        <w:rPr>
          <w:rFonts w:hint="eastAsia" w:ascii="宋体" w:hAnsi="宋体" w:eastAsia="宋体" w:cs="宋体"/>
          <w:kern w:val="2"/>
          <w:sz w:val="24"/>
          <w:szCs w:val="24"/>
          <w:highlight w:val="none"/>
          <w:lang w:eastAsia="zh-CN"/>
        </w:rPr>
        <w:t>免费培训（不限人数），并提供相关的培训材料，做好相关的培训记录情况。保证采购人人员达到熟练操作、维护的程度，能进行一般的日常维护管理和检修，并能够处理简单的软、硬件故障。</w:t>
      </w:r>
    </w:p>
    <w:p w14:paraId="4C243211">
      <w:pPr>
        <w:numPr>
          <w:ilvl w:val="0"/>
          <w:numId w:val="56"/>
        </w:numPr>
        <w:spacing w:line="360" w:lineRule="auto"/>
        <w:ind w:left="0" w:leftChars="0" w:firstLine="420" w:firstLine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供应商可自行预约踏勘现场，勘查联系人：胡老师；联系电话：15396750089。供应商对项目现场和周围环境进行仔细认真的查勘，在随后的采购中，对现场资料和数据所作出的推论、解释和结论及由此造成的后果由供应商负责。没有勘察现场及答疑导致对招标需求了解不充分的供应商，自行承担相应责任。不参加现场勘察的视同对现场的一切情况均已掌握，采购人不对供应商据此作出的判断和决策负责。在现场勘察过程中，供应商如果发生人身伤亡、财物或其他损失，无论何种原因所造成，采购人及采购代理人均不负责。</w:t>
      </w:r>
    </w:p>
    <w:p w14:paraId="7F789ABC">
      <w:pPr>
        <w:spacing w:line="360" w:lineRule="auto"/>
        <w:ind w:firstLine="524" w:firstLineChars="200"/>
        <w:jc w:val="both"/>
        <w:rPr>
          <w:rFonts w:ascii="宋体" w:hAnsi="宋体" w:eastAsia="宋体" w:cs="宋体"/>
          <w:spacing w:val="11"/>
          <w:sz w:val="24"/>
          <w:szCs w:val="24"/>
          <w:highlight w:val="none"/>
          <w:lang w:eastAsia="zh-CN"/>
        </w:rPr>
      </w:pPr>
    </w:p>
    <w:p w14:paraId="7B30C99F">
      <w:pPr>
        <w:widowControl w:val="0"/>
        <w:overflowPunct w:val="0"/>
        <w:ind w:left="0" w:leftChars="0" w:firstLine="524" w:firstLineChars="200"/>
        <w:jc w:val="both"/>
        <w:rPr>
          <w:rFonts w:hint="eastAsia" w:ascii="宋体" w:hAnsi="宋体" w:eastAsia="宋体" w:cs="宋体"/>
          <w:spacing w:val="11"/>
          <w:sz w:val="24"/>
          <w:highlight w:val="none"/>
          <w:lang w:eastAsia="zh-CN"/>
        </w:rPr>
        <w:sectPr>
          <w:footerReference r:id="rId3" w:type="default"/>
          <w:pgSz w:w="11906" w:h="16839"/>
          <w:pgMar w:top="1431" w:right="1371" w:bottom="1334" w:left="1440" w:header="1416" w:footer="1171" w:gutter="0"/>
          <w:cols w:space="720" w:num="1"/>
        </w:sectPr>
      </w:pPr>
    </w:p>
    <w:p w14:paraId="3C8125A2">
      <w:pPr>
        <w:rPr>
          <w:rFonts w:hint="eastAsia"/>
          <w:color w:val="auto"/>
          <w:highlight w:val="none"/>
        </w:rPr>
      </w:pPr>
    </w:p>
    <w:p w14:paraId="3627A800">
      <w:pPr>
        <w:numPr>
          <w:ilvl w:val="0"/>
          <w:numId w:val="55"/>
        </w:numPr>
        <w:adjustRightInd w:val="0"/>
        <w:snapToGrid w:val="0"/>
        <w:spacing w:line="360" w:lineRule="auto"/>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主要技术参数指标</w:t>
      </w:r>
    </w:p>
    <w:p w14:paraId="178A1E92">
      <w:pPr>
        <w:spacing w:line="94" w:lineRule="exact"/>
        <w:ind w:left="420" w:leftChars="200"/>
        <w:jc w:val="both"/>
        <w:rPr>
          <w:highlight w:val="none"/>
          <w:lang w:eastAsia="zh-CN"/>
        </w:rPr>
      </w:pPr>
    </w:p>
    <w:tbl>
      <w:tblPr>
        <w:tblStyle w:val="44"/>
        <w:tblW w:w="9120" w:type="dxa"/>
        <w:tblInd w:w="-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60"/>
        <w:gridCol w:w="1644"/>
        <w:gridCol w:w="6516"/>
      </w:tblGrid>
      <w:tr w14:paraId="2FD13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blHeader/>
        </w:trPr>
        <w:tc>
          <w:tcPr>
            <w:tcW w:w="960" w:type="dxa"/>
            <w:shd w:val="clear" w:color="auto" w:fill="auto"/>
            <w:vAlign w:val="center"/>
          </w:tcPr>
          <w:p w14:paraId="38550BB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644" w:type="dxa"/>
            <w:shd w:val="clear" w:color="auto" w:fill="auto"/>
            <w:vAlign w:val="center"/>
          </w:tcPr>
          <w:p w14:paraId="705779E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名称</w:t>
            </w:r>
          </w:p>
        </w:tc>
        <w:tc>
          <w:tcPr>
            <w:tcW w:w="6516" w:type="dxa"/>
            <w:shd w:val="clear" w:color="auto" w:fill="auto"/>
            <w:vAlign w:val="center"/>
          </w:tcPr>
          <w:p w14:paraId="705877BF">
            <w:pPr>
              <w:keepNext w:val="0"/>
              <w:keepLines w:val="0"/>
              <w:widowControl/>
              <w:suppressLineNumbers w:val="0"/>
              <w:ind w:firstLineChars="20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技术参数</w:t>
            </w:r>
          </w:p>
        </w:tc>
      </w:tr>
      <w:tr w14:paraId="2ABD9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4" w:hRule="atLeast"/>
        </w:trPr>
        <w:tc>
          <w:tcPr>
            <w:tcW w:w="960" w:type="dxa"/>
            <w:shd w:val="clear" w:color="auto" w:fill="auto"/>
            <w:noWrap/>
            <w:vAlign w:val="center"/>
          </w:tcPr>
          <w:p w14:paraId="3C90EE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644" w:type="dxa"/>
            <w:shd w:val="clear" w:color="auto" w:fill="auto"/>
            <w:vAlign w:val="center"/>
          </w:tcPr>
          <w:p w14:paraId="036F3B0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火灾报警传输设备及配件</w:t>
            </w:r>
          </w:p>
        </w:tc>
        <w:tc>
          <w:tcPr>
            <w:tcW w:w="6516" w:type="dxa"/>
            <w:shd w:val="clear" w:color="auto" w:fill="auto"/>
            <w:vAlign w:val="center"/>
          </w:tcPr>
          <w:p w14:paraId="61F590C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1.执行标准：GB 26875.1-2011</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2.▲手动报警：具有手动火警按钮，可以向管理平台上传人工火灾报警信息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3.实时上传各类消防控制器的报警信息、运行情况或故障信息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4.断网续传：网络断网恢复后，可接续上传断网期间的数据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5.支持值班查岗功能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6.蓄电池备用供电（待机≥12小时）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7.提供彩色液晶显示，提供实时时钟</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8.支持存储历史火警、历史请求/反馈、历史操作、历史故障 等至少10000条日志</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9.通讯方式：有线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10.▲保障设备不漏报，声音报警和语音指示应能支持手动消音，当再次发生火警信号时，应能再次启动声音报警和语音提示。</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11.消防主机联网装置：主机与消防报警主机通讯延迟不大于5秒，主机与软件平台通讯延迟不大于5秒，设备应能采集与其连接的火灾报警设备及其他设备的报警及运行状态信息，并上传至远程管理平台。</w:t>
            </w:r>
          </w:p>
        </w:tc>
      </w:tr>
      <w:tr w14:paraId="1958A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40" w:hRule="atLeast"/>
        </w:trPr>
        <w:tc>
          <w:tcPr>
            <w:tcW w:w="960" w:type="dxa"/>
            <w:shd w:val="clear" w:color="auto" w:fill="auto"/>
            <w:noWrap/>
            <w:vAlign w:val="center"/>
          </w:tcPr>
          <w:p w14:paraId="041325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644" w:type="dxa"/>
            <w:shd w:val="clear" w:color="auto" w:fill="auto"/>
            <w:vAlign w:val="center"/>
          </w:tcPr>
          <w:p w14:paraId="4ED45B2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独立式光电 感烟火灾探 测报警器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（LoRa）</w:t>
            </w:r>
          </w:p>
        </w:tc>
        <w:tc>
          <w:tcPr>
            <w:tcW w:w="6516" w:type="dxa"/>
            <w:shd w:val="clear" w:color="auto" w:fill="auto"/>
            <w:vAlign w:val="center"/>
          </w:tcPr>
          <w:p w14:paraId="3ED9159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1.★产品须取得消防强制性产品认证</w:t>
            </w:r>
            <w:r>
              <w:rPr>
                <w:rFonts w:hint="eastAsia" w:ascii="宋体" w:hAnsi="宋体" w:cs="宋体"/>
                <w:i w:val="0"/>
                <w:iCs w:val="0"/>
                <w:color w:val="000000"/>
                <w:kern w:val="0"/>
                <w:sz w:val="22"/>
                <w:szCs w:val="22"/>
                <w:highlight w:val="none"/>
                <w:u w:val="none"/>
                <w:lang w:val="en-US" w:eastAsia="zh-CN" w:bidi="ar"/>
              </w:rPr>
              <w:t>（提供认证证书复印件并加盖公章）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2.通讯方式：LoRa通讯。工作原理：光电式。报警方式：声光报警。报警音量：≥85dB@3m（A计权）。报警分类：火灾报警、低压报警、离线报警、故障报警、防拆报警。</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3.▲温度探测报警：当环境温度超过设定阈值或上升速率大于设定值时，设备应能同时发出声、光火灾报警信号，并将报警信号和温度值上传至管理平台；</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4.信号强度查询：支持当烟感和物联网消防报警网关互通配对后，可通过烟感探测器，查看烟感的无线信号强弱。</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5.最远传输距离：</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①探测器↔网关：（不低于）1200m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②中继器↔网关：（不低于）1200m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③探测器↔中继器↔网关：（不低于）2400m（可视距离）</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6.电池供电，独立式安装，无需布线，安装方便快捷。</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7.▲具备电池欠压、设备离线、分离故障等多种故障报警功能；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8.报警器应具有自检功能，自检时报警器应发出火灾报警声、光信号；</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9.▲具备远程消音功能，设备报警发出报警声信号后，应能通过自检键和遥控进行消音。</w:t>
            </w:r>
          </w:p>
        </w:tc>
      </w:tr>
      <w:tr w14:paraId="6A4F4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4" w:hRule="atLeast"/>
        </w:trPr>
        <w:tc>
          <w:tcPr>
            <w:tcW w:w="960" w:type="dxa"/>
            <w:shd w:val="clear" w:color="auto" w:fill="auto"/>
            <w:noWrap/>
            <w:vAlign w:val="center"/>
          </w:tcPr>
          <w:p w14:paraId="102CFB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644" w:type="dxa"/>
            <w:shd w:val="clear" w:color="auto" w:fill="auto"/>
            <w:vAlign w:val="center"/>
          </w:tcPr>
          <w:p w14:paraId="560ECB9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手动火灾报 警按钮（Lora）</w:t>
            </w:r>
          </w:p>
        </w:tc>
        <w:tc>
          <w:tcPr>
            <w:tcW w:w="6516" w:type="dxa"/>
            <w:shd w:val="clear" w:color="auto" w:fill="auto"/>
            <w:vAlign w:val="center"/>
          </w:tcPr>
          <w:p w14:paraId="6E508D5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1.★产品须取得消防强制性产品认证</w:t>
            </w:r>
            <w:r>
              <w:rPr>
                <w:rFonts w:hint="eastAsia" w:ascii="宋体" w:hAnsi="宋体" w:cs="宋体"/>
                <w:i w:val="0"/>
                <w:iCs w:val="0"/>
                <w:color w:val="000000"/>
                <w:kern w:val="0"/>
                <w:sz w:val="22"/>
                <w:szCs w:val="22"/>
                <w:highlight w:val="none"/>
                <w:u w:val="none"/>
                <w:lang w:val="en-US" w:eastAsia="zh-CN" w:bidi="ar"/>
              </w:rPr>
              <w:t>（提供认证证书复印件并加盖公章）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2.手动报警按钮具有一路报警输出。电源：锂电池容量 ≥ 2400mAh，DC 3V。电池使用寿命： ≥3 年。工作电流：待机 状态≤5 μA。工作原理：手动触发。通讯方式：LoRa，双向 FSK。报警指示灯：1 个。支持钥匙复位、信号查询、防 拆报警、欠压报警功能。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3.报警输出：不少于1 路，继电器容量（24VDC /1A）。工作温度：-10℃ ~ 55℃。</w:t>
            </w:r>
          </w:p>
        </w:tc>
      </w:tr>
      <w:tr w14:paraId="26BE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trPr>
        <w:tc>
          <w:tcPr>
            <w:tcW w:w="960" w:type="dxa"/>
            <w:shd w:val="clear" w:color="auto" w:fill="auto"/>
            <w:noWrap/>
            <w:vAlign w:val="center"/>
          </w:tcPr>
          <w:p w14:paraId="3015B9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644" w:type="dxa"/>
            <w:shd w:val="clear" w:color="auto" w:fill="auto"/>
            <w:vAlign w:val="center"/>
          </w:tcPr>
          <w:p w14:paraId="3BECB76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火灾声光报 警器（Lora）</w:t>
            </w:r>
          </w:p>
        </w:tc>
        <w:tc>
          <w:tcPr>
            <w:tcW w:w="6516" w:type="dxa"/>
            <w:shd w:val="clear" w:color="auto" w:fill="auto"/>
            <w:vAlign w:val="center"/>
          </w:tcPr>
          <w:p w14:paraId="2905699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1.★产品须取得消防强制性产品认证</w:t>
            </w:r>
            <w:r>
              <w:rPr>
                <w:rFonts w:hint="eastAsia" w:ascii="宋体" w:hAnsi="宋体" w:cs="宋体"/>
                <w:i w:val="0"/>
                <w:iCs w:val="0"/>
                <w:color w:val="000000"/>
                <w:kern w:val="0"/>
                <w:sz w:val="22"/>
                <w:szCs w:val="22"/>
                <w:highlight w:val="none"/>
                <w:u w:val="none"/>
                <w:lang w:val="en-US" w:eastAsia="zh-CN" w:bidi="ar"/>
              </w:rPr>
              <w:t>（提供认证证书复印件并加盖公章）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2.支持主备、电源供电。电池使用寿命：待机：≥3年。通讯方式：LoRa。</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3.报警音量：≥85dB@3m（A计权）。报警方式：声光报警。支持自检功能。工作温度：-10℃~55℃。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传输距离：空旷环境下＞1500m，声光↔中继器↔网关：不小于1200m（可视距离）；当有火灾发生时，控制器发出火警命令，声光警报器发出火警声。火灾声光警报还可接收来自无线控制器，网关，中继器等通过无线信号发出的声光启动命令。</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5.具备电池欠压、设备离线、分离故障等多种故障报警功能。</w:t>
            </w:r>
          </w:p>
        </w:tc>
      </w:tr>
      <w:tr w14:paraId="21FF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960" w:type="dxa"/>
            <w:shd w:val="clear" w:color="auto" w:fill="auto"/>
            <w:noWrap/>
            <w:vAlign w:val="center"/>
          </w:tcPr>
          <w:p w14:paraId="1752C2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644" w:type="dxa"/>
            <w:shd w:val="clear" w:color="auto" w:fill="auto"/>
            <w:vAlign w:val="center"/>
          </w:tcPr>
          <w:p w14:paraId="24006C9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消防扬声器</w:t>
            </w:r>
          </w:p>
        </w:tc>
        <w:tc>
          <w:tcPr>
            <w:tcW w:w="6516" w:type="dxa"/>
            <w:shd w:val="clear" w:color="auto" w:fill="auto"/>
            <w:vAlign w:val="center"/>
          </w:tcPr>
          <w:p w14:paraId="101C7D0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1.安装方式：支持壁挂式安装</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2.额定功率：5 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3.输入电压：AC 120 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4.频率范围：800 Hz-3150 Hz</w:t>
            </w:r>
          </w:p>
        </w:tc>
      </w:tr>
      <w:tr w14:paraId="066F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960" w:type="dxa"/>
            <w:shd w:val="clear" w:color="auto" w:fill="auto"/>
            <w:noWrap/>
            <w:vAlign w:val="center"/>
          </w:tcPr>
          <w:p w14:paraId="24D7D8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644" w:type="dxa"/>
            <w:shd w:val="clear" w:color="auto" w:fill="auto"/>
            <w:vAlign w:val="center"/>
          </w:tcPr>
          <w:p w14:paraId="4E5E95E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消防广播一 体机</w:t>
            </w:r>
          </w:p>
        </w:tc>
        <w:tc>
          <w:tcPr>
            <w:tcW w:w="6516" w:type="dxa"/>
            <w:shd w:val="clear" w:color="auto" w:fill="auto"/>
            <w:vAlign w:val="center"/>
          </w:tcPr>
          <w:p w14:paraId="3E80868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1.支持壁挂式安装，支持 RS485 或 CAN 与控制器通信，采用两总线控制。总机与电话分机及电话插孔之间采用两总线连接，两根总线区分正负极性，最大传输距离不低于 1500 米。</w:t>
            </w:r>
          </w:p>
        </w:tc>
      </w:tr>
      <w:tr w14:paraId="1884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68" w:hRule="atLeast"/>
        </w:trPr>
        <w:tc>
          <w:tcPr>
            <w:tcW w:w="960" w:type="dxa"/>
            <w:shd w:val="clear" w:color="auto" w:fill="auto"/>
            <w:noWrap/>
            <w:vAlign w:val="center"/>
          </w:tcPr>
          <w:p w14:paraId="532B49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644" w:type="dxa"/>
            <w:shd w:val="clear" w:color="auto" w:fill="auto"/>
            <w:vAlign w:val="center"/>
          </w:tcPr>
          <w:p w14:paraId="5CEE900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LoRa 消防网 关（以太网）</w:t>
            </w:r>
          </w:p>
        </w:tc>
        <w:tc>
          <w:tcPr>
            <w:tcW w:w="6516" w:type="dxa"/>
            <w:shd w:val="clear" w:color="auto" w:fill="auto"/>
            <w:vAlign w:val="center"/>
          </w:tcPr>
          <w:p w14:paraId="2B01C35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1.▲网关接收到输入的报警信号时，应能发出声光报警信号，并显示报警部位、报警类型等信息，并记录报警时间。</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2.▲设备机壳盖板或门应有锁定装置，机内应有防拆装置。</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3.▲支持网关上中文报警内容查看，至少包括：首警信息、设备类型、安装位置、设备编号、警情发生的时间、探测器当前状态、事件的触发/恢复等信息。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4.▲具有互联报警功能，当一个设备接收到报警时，可以将警情联动到其他设备，进行互联报警。</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5.上行通讯：以太网。下行通讯：LoRa。外设接入数量：≥128 个。报警 声压：75dB（A）@1m。备电： ≥2500mAH 7.2V。工作温度：-10~55℃。</w:t>
            </w:r>
          </w:p>
        </w:tc>
      </w:tr>
      <w:tr w14:paraId="148B5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8" w:hRule="atLeast"/>
        </w:trPr>
        <w:tc>
          <w:tcPr>
            <w:tcW w:w="960" w:type="dxa"/>
            <w:shd w:val="clear" w:color="auto" w:fill="auto"/>
            <w:noWrap/>
            <w:vAlign w:val="center"/>
          </w:tcPr>
          <w:p w14:paraId="4D7D25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644" w:type="dxa"/>
            <w:shd w:val="clear" w:color="auto" w:fill="auto"/>
            <w:vAlign w:val="center"/>
          </w:tcPr>
          <w:p w14:paraId="74D52B8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触摸可视化电子屏幕</w:t>
            </w:r>
          </w:p>
        </w:tc>
        <w:tc>
          <w:tcPr>
            <w:tcW w:w="6516" w:type="dxa"/>
            <w:shd w:val="clear" w:color="auto" w:fill="auto"/>
            <w:vAlign w:val="center"/>
          </w:tcPr>
          <w:p w14:paraId="0088227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1.屏幕大小：≥55 英寸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曲率：平面</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屏幕比例：16:9</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分辨率：超高清 4K</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接口：不少于HDMI IN （2.0）×2, LINE IN×1 ，HDMI OUT （2.0） x 1 ；LINE OUT x 1 ，USB 3.0 × 3, USB 2.0 × 1, Type-C  × 1</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网络参数：支持无线/有线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安装方式：壁挂式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在终端桌面所有窗口、浏览器均关闭的情况下，客户端依旧可以保持7*24小时后台运行，支持设备故障、异常告警信息的桌面弹窗通知，在弹窗处可进行快速消音、误报处理、火警确认操作。点开弹窗可查看具备的报警详情。并支持不同告警类型设置不同告警提示声音，便于快速识别。</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3.全局交互设计：底部常驻系统操作栏，支持手动控制收起和展开操作栏；底部栏各功能图标支持位置自定义调节。</w:t>
            </w:r>
          </w:p>
        </w:tc>
      </w:tr>
      <w:tr w14:paraId="5802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68" w:hRule="atLeast"/>
        </w:trPr>
        <w:tc>
          <w:tcPr>
            <w:tcW w:w="960" w:type="dxa"/>
            <w:shd w:val="clear" w:color="auto" w:fill="auto"/>
            <w:noWrap/>
            <w:vAlign w:val="center"/>
          </w:tcPr>
          <w:p w14:paraId="466949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644" w:type="dxa"/>
            <w:shd w:val="clear" w:color="auto" w:fill="auto"/>
            <w:vAlign w:val="center"/>
          </w:tcPr>
          <w:p w14:paraId="66BA6B3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主消控室智 能监控装置</w:t>
            </w:r>
          </w:p>
        </w:tc>
        <w:tc>
          <w:tcPr>
            <w:tcW w:w="6516" w:type="dxa"/>
            <w:shd w:val="clear" w:color="auto" w:fill="auto"/>
            <w:vAlign w:val="center"/>
          </w:tcPr>
          <w:p w14:paraId="480BEEA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1.设备支持多种智能算法并行，支持烟火检测、值岗状态 检测（离岗、睡岗、玩手机） 、危险行为检测（抽烟、打电话）、 电梯危险品检测（电瓶车等）、呼叫识别、周界入侵检测（移动侦测、区域入侵、越界侦测）、遮挡检测等同时启用。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2.▲可在预览画面中实时叠加火焰的双波段红外数据并报警，可在10s内探测到距离设备50m处面积为0.1㎡的火盘中燃烧的火焰并报警</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3.可通过红外遥控器进行报警消音，一键消除设备当前声光报警。</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4.▲像素分辨率≥400万。</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5.支持联动本地报警指示灯、语音报警，支持远程消音</w:t>
            </w:r>
          </w:p>
        </w:tc>
      </w:tr>
      <w:tr w14:paraId="65C8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28" w:hRule="atLeast"/>
        </w:trPr>
        <w:tc>
          <w:tcPr>
            <w:tcW w:w="960" w:type="dxa"/>
            <w:shd w:val="clear" w:color="auto" w:fill="auto"/>
            <w:noWrap/>
            <w:vAlign w:val="center"/>
          </w:tcPr>
          <w:p w14:paraId="01367A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644" w:type="dxa"/>
            <w:shd w:val="clear" w:color="auto" w:fill="auto"/>
            <w:vAlign w:val="center"/>
          </w:tcPr>
          <w:p w14:paraId="3CB96AC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POE交换机</w:t>
            </w:r>
          </w:p>
        </w:tc>
        <w:tc>
          <w:tcPr>
            <w:tcW w:w="6516" w:type="dxa"/>
            <w:shd w:val="clear" w:color="auto" w:fill="auto"/>
            <w:vAlign w:val="center"/>
          </w:tcPr>
          <w:p w14:paraId="2DD1C21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1.▲提供至少8个千兆PoE 电口、2个千兆光口；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2.交换容量：≥20 Gbps；包转发率：≥14.88 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 IEEE 802.3at/af 标准； 端口最大供电功率：≤30 W；整机最大供电功率：≤110 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4.支持 PoE 看门狗；支持 </w:t>
            </w:r>
            <w:r>
              <w:rPr>
                <w:rFonts w:hint="eastAsia" w:ascii="宋体" w:hAnsi="宋体" w:cs="宋体"/>
                <w:i w:val="0"/>
                <w:iCs w:val="0"/>
                <w:color w:val="000000"/>
                <w:kern w:val="0"/>
                <w:sz w:val="22"/>
                <w:szCs w:val="22"/>
                <w:highlight w:val="none"/>
                <w:u w:val="none"/>
                <w:lang w:val="en-US" w:eastAsia="zh-CN" w:bidi="ar"/>
              </w:rPr>
              <w:t>不低于</w:t>
            </w:r>
            <w:r>
              <w:rPr>
                <w:rFonts w:hint="eastAsia" w:ascii="宋体" w:hAnsi="宋体" w:eastAsia="宋体" w:cs="宋体"/>
                <w:i w:val="0"/>
                <w:iCs w:val="0"/>
                <w:color w:val="000000"/>
                <w:kern w:val="0"/>
                <w:sz w:val="22"/>
                <w:szCs w:val="22"/>
                <w:highlight w:val="none"/>
                <w:u w:val="none"/>
                <w:lang w:val="en-US" w:eastAsia="zh-CN" w:bidi="ar"/>
              </w:rPr>
              <w:t>6 KV 防浪涌（PoE 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5.支持管理平台管理，支持手机APP管理。    </w:t>
            </w:r>
          </w:p>
        </w:tc>
      </w:tr>
    </w:tbl>
    <w:p w14:paraId="304A5AB6">
      <w:pPr>
        <w:pStyle w:val="16"/>
        <w:keepNext w:val="0"/>
        <w:keepLines w:val="0"/>
        <w:pageBreakBefore w:val="0"/>
        <w:widowControl w:val="0"/>
        <w:numPr>
          <w:ilvl w:val="0"/>
          <w:numId w:val="0"/>
        </w:numPr>
        <w:pBdr>
          <w:top w:val="none" w:color="000000" w:sz="0" w:space="0"/>
          <w:left w:val="none" w:color="000000" w:sz="0" w:space="0"/>
          <w:right w:val="none" w:color="000000" w:sz="0" w:space="0"/>
        </w:pBdr>
        <w:kinsoku/>
        <w:wordWrap/>
        <w:overflowPunct/>
        <w:topLinePunct w:val="0"/>
        <w:autoSpaceDE/>
        <w:autoSpaceDN/>
        <w:bidi w:val="0"/>
        <w:adjustRightInd/>
        <w:snapToGrid/>
        <w:spacing w:line="360" w:lineRule="auto"/>
        <w:ind w:left="-420" w:leftChars="-200" w:firstLine="0" w:firstLineChars="0"/>
        <w:textAlignment w:val="auto"/>
        <w:rPr>
          <w:rFonts w:ascii="宋体" w:hAnsi="宋体" w:cs="宋体"/>
          <w:b/>
          <w:bCs/>
          <w:sz w:val="21"/>
          <w:szCs w:val="21"/>
          <w:highlight w:val="none"/>
        </w:rPr>
      </w:pPr>
      <w:r>
        <w:rPr>
          <w:rFonts w:hint="default" w:ascii="宋体" w:hAnsi="宋体" w:eastAsia="宋体" w:cs="宋体"/>
          <w:b/>
          <w:bCs/>
          <w:sz w:val="21"/>
          <w:szCs w:val="21"/>
          <w:highlight w:val="none"/>
          <w:lang w:val="en-US" w:eastAsia="zh-CN" w:bidi="ar-SA"/>
        </w:rPr>
        <w:t>1.</w:t>
      </w:r>
      <w:r>
        <w:rPr>
          <w:rFonts w:hint="eastAsia" w:ascii="宋体" w:hAnsi="宋体" w:cs="宋体"/>
          <w:b/>
          <w:bCs/>
          <w:sz w:val="21"/>
          <w:szCs w:val="21"/>
          <w:highlight w:val="none"/>
        </w:rPr>
        <w:t>凡标有最低一级序号的指标项即为一项技术条款，无论是否隶属于上一级编号；</w:t>
      </w:r>
    </w:p>
    <w:p w14:paraId="5C608EFA">
      <w:pPr>
        <w:pStyle w:val="16"/>
        <w:keepNext w:val="0"/>
        <w:keepLines w:val="0"/>
        <w:pageBreakBefore w:val="0"/>
        <w:widowControl w:val="0"/>
        <w:numPr>
          <w:ilvl w:val="0"/>
          <w:numId w:val="0"/>
        </w:numPr>
        <w:pBdr>
          <w:top w:val="none" w:color="000000" w:sz="0" w:space="0"/>
          <w:left w:val="none" w:color="000000" w:sz="0" w:space="0"/>
          <w:right w:val="none" w:color="000000" w:sz="0" w:space="0"/>
        </w:pBdr>
        <w:kinsoku/>
        <w:wordWrap/>
        <w:overflowPunct/>
        <w:topLinePunct w:val="0"/>
        <w:autoSpaceDE/>
        <w:autoSpaceDN/>
        <w:bidi w:val="0"/>
        <w:adjustRightInd/>
        <w:snapToGrid/>
        <w:spacing w:after="0" w:afterLines="-2147483648" w:line="360" w:lineRule="auto"/>
        <w:ind w:left="-420" w:leftChars="-200" w:firstLine="0" w:firstLineChars="0"/>
        <w:textAlignment w:val="auto"/>
        <w:rPr>
          <w:rFonts w:hint="eastAsia" w:ascii="宋体" w:hAnsi="宋体" w:cs="宋体"/>
          <w:b/>
          <w:bCs/>
          <w:sz w:val="21"/>
          <w:szCs w:val="21"/>
          <w:highlight w:val="none"/>
          <w:lang w:bidi="ar"/>
        </w:rPr>
      </w:pPr>
      <w:r>
        <w:rPr>
          <w:rFonts w:hint="default" w:ascii="宋体" w:hAnsi="宋体" w:eastAsia="宋体" w:cs="宋体"/>
          <w:b/>
          <w:bCs/>
          <w:sz w:val="21"/>
          <w:szCs w:val="21"/>
          <w:highlight w:val="none"/>
          <w:lang w:val="en-US" w:eastAsia="zh-CN" w:bidi="ar"/>
        </w:rPr>
        <w:t>2.</w:t>
      </w:r>
      <w:r>
        <w:rPr>
          <w:rFonts w:hint="eastAsia" w:ascii="宋体" w:hAnsi="宋体" w:cs="宋体"/>
          <w:b/>
          <w:bCs/>
          <w:sz w:val="21"/>
          <w:szCs w:val="21"/>
          <w:highlight w:val="none"/>
          <w:lang w:val="en-US" w:eastAsia="zh-CN" w:bidi="ar"/>
        </w:rPr>
        <w:t>除特别要求外，其余</w:t>
      </w:r>
      <w:r>
        <w:rPr>
          <w:rFonts w:hint="eastAsia" w:ascii="宋体" w:hAnsi="宋体" w:cs="宋体"/>
          <w:b/>
          <w:bCs/>
          <w:sz w:val="21"/>
          <w:szCs w:val="21"/>
          <w:highlight w:val="none"/>
        </w:rPr>
        <w:t>标注</w:t>
      </w:r>
      <w:r>
        <w:rPr>
          <w:rFonts w:hint="eastAsia"/>
          <w:sz w:val="24"/>
          <w:szCs w:val="24"/>
          <w:highlight w:val="none"/>
          <w:lang w:eastAsia="zh-CN"/>
        </w:rPr>
        <w:t>“★、</w:t>
      </w:r>
      <w:r>
        <w:rPr>
          <w:rFonts w:hint="eastAsia" w:ascii="宋体" w:hAnsi="宋体" w:cs="宋体"/>
          <w:b/>
          <w:bCs/>
          <w:sz w:val="21"/>
          <w:szCs w:val="21"/>
          <w:highlight w:val="none"/>
        </w:rPr>
        <w:t>“▲”项的技术要求必须在响应文件中提供公开发行的产品说明书或产品彩页或第三方检测报告复印件或可查询的产品制造商官网截图（附官网链接）或功能实现截图或视频演示等佐证材料（如为复印件需加盖供应商公章，供应商自行承诺的证明材料不认可），未提供佐证</w:t>
      </w:r>
      <w:r>
        <w:rPr>
          <w:rFonts w:hint="eastAsia" w:ascii="宋体" w:hAnsi="宋体" w:cs="宋体"/>
          <w:b/>
          <w:bCs/>
          <w:sz w:val="21"/>
          <w:szCs w:val="21"/>
          <w:highlight w:val="none"/>
          <w:lang w:val="en-US" w:eastAsia="zh-CN"/>
        </w:rPr>
        <w:t>材</w:t>
      </w:r>
      <w:r>
        <w:rPr>
          <w:rFonts w:hint="eastAsia" w:ascii="宋体" w:hAnsi="宋体" w:cs="宋体"/>
          <w:b/>
          <w:bCs/>
          <w:sz w:val="21"/>
          <w:szCs w:val="21"/>
          <w:highlight w:val="none"/>
        </w:rPr>
        <w:t>料的，评</w:t>
      </w:r>
      <w:r>
        <w:rPr>
          <w:rFonts w:hint="eastAsia" w:ascii="宋体" w:hAnsi="宋体" w:cs="宋体"/>
          <w:b/>
          <w:bCs/>
          <w:sz w:val="21"/>
          <w:szCs w:val="21"/>
          <w:highlight w:val="none"/>
          <w:lang w:val="en-US" w:eastAsia="zh-CN"/>
        </w:rPr>
        <w:t>审</w:t>
      </w:r>
      <w:r>
        <w:rPr>
          <w:rFonts w:hint="eastAsia" w:ascii="宋体" w:hAnsi="宋体" w:cs="宋体"/>
          <w:b/>
          <w:bCs/>
          <w:sz w:val="21"/>
          <w:szCs w:val="21"/>
          <w:highlight w:val="none"/>
        </w:rPr>
        <w:t>时不予认可。</w:t>
      </w:r>
    </w:p>
    <w:p w14:paraId="5B4F3711">
      <w:pPr>
        <w:pStyle w:val="17"/>
        <w:pBdr>
          <w:top w:val="single" w:color="auto" w:sz="4" w:space="0"/>
          <w:left w:val="single" w:color="auto" w:sz="4" w:space="0"/>
          <w:bottom w:val="single" w:color="auto" w:sz="4" w:space="0"/>
          <w:right w:val="single" w:color="auto" w:sz="4" w:space="0"/>
          <w:between w:val="single" w:color="auto" w:sz="4" w:space="0"/>
        </w:pBdr>
        <w:jc w:val="both"/>
        <w:rPr>
          <w:rFonts w:hint="eastAsia" w:asciiTheme="minorEastAsia" w:hAnsiTheme="minorEastAsia" w:eastAsiaTheme="minorEastAsia" w:cstheme="minorEastAsia"/>
          <w:highlight w:val="none"/>
          <w:lang w:eastAsia="zh-CN"/>
        </w:rPr>
        <w:sectPr>
          <w:headerReference r:id="rId4" w:type="default"/>
          <w:footerReference r:id="rId5" w:type="default"/>
          <w:pgSz w:w="11906" w:h="16839"/>
          <w:pgMar w:top="1440" w:right="1800" w:bottom="1440" w:left="1800" w:header="0" w:footer="1171" w:gutter="0"/>
          <w:cols w:space="720" w:num="1"/>
        </w:sectPr>
      </w:pPr>
    </w:p>
    <w:p w14:paraId="5215B3AB">
      <w:pPr>
        <w:pStyle w:val="264"/>
        <w:keepNext w:val="0"/>
        <w:keepLines w:val="0"/>
        <w:pageBreakBefore w:val="0"/>
        <w:kinsoku/>
        <w:overflowPunct/>
        <w:topLinePunct w:val="0"/>
        <w:bidi w:val="0"/>
        <w:spacing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546B064">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bookmarkStart w:id="8" w:name="_Toc16938559"/>
      <w:bookmarkStart w:id="9" w:name="_Toc513029243"/>
      <w:bookmarkStart w:id="10" w:name="_Toc20823315"/>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25542D85">
      <w:pPr>
        <w:spacing w:before="19"/>
        <w:ind w:left="-358" w:leftChars="-255" w:right="-334" w:rightChars="-159" w:hanging="177" w:hangingChars="49"/>
        <w:jc w:val="center"/>
        <w:rPr>
          <w:rFonts w:ascii="仿宋_GB2312" w:hAnsi="Times New Roman" w:eastAsia="仿宋_GB2312" w:cs="Times New Roman"/>
          <w:b/>
          <w:snapToGrid/>
          <w:color w:val="auto"/>
          <w:sz w:val="36"/>
          <w:szCs w:val="36"/>
          <w:highlight w:val="none"/>
          <w:lang w:eastAsia="zh-CN"/>
        </w:rPr>
      </w:pPr>
      <w:bookmarkStart w:id="11" w:name="_Hlt16619369"/>
      <w:bookmarkEnd w:id="11"/>
      <w:r>
        <w:rPr>
          <w:rFonts w:hint="eastAsia" w:ascii="仿宋_GB2312" w:eastAsia="仿宋_GB2312"/>
          <w:b/>
          <w:sz w:val="36"/>
          <w:szCs w:val="36"/>
          <w:highlight w:val="none"/>
          <w:lang w:eastAsia="zh-CN"/>
        </w:rPr>
        <w:t>南京邮电大学通达学院采购合同</w:t>
      </w:r>
    </w:p>
    <w:p w14:paraId="550F0341">
      <w:pPr>
        <w:wordWrap w:val="0"/>
        <w:spacing w:line="360" w:lineRule="auto"/>
        <w:rPr>
          <w:rFonts w:hint="eastAsia" w:ascii="宋体" w:hAnsi="宋体" w:eastAsia="宋体"/>
          <w:highlight w:val="none"/>
          <w:lang w:eastAsia="zh-CN"/>
        </w:rPr>
      </w:pPr>
      <w:r>
        <w:rPr>
          <w:rFonts w:hint="eastAsia" w:ascii="微软雅黑" w:hAnsi="微软雅黑" w:eastAsia="微软雅黑" w:cs="微软雅黑"/>
          <w:highlight w:val="none"/>
          <w:lang w:eastAsia="zh-CN"/>
        </w:rPr>
        <w:t>甲方：南京邮电大学通达学院</w:t>
      </w:r>
      <w:r>
        <w:rPr>
          <w:rFonts w:hint="eastAsia" w:ascii="宋体" w:hAnsi="宋体"/>
          <w:highlight w:val="none"/>
          <w:lang w:eastAsia="zh-CN"/>
        </w:rPr>
        <w:t xml:space="preserve">                             </w:t>
      </w:r>
      <w:r>
        <w:rPr>
          <w:rFonts w:hint="eastAsia" w:ascii="宋体" w:hAnsi="宋体" w:eastAsia="宋体" w:cs="宋体"/>
          <w:highlight w:val="none"/>
          <w:lang w:eastAsia="zh-CN"/>
        </w:rPr>
        <w:t>项目编号</w:t>
      </w:r>
      <w:r>
        <w:rPr>
          <w:rFonts w:hint="eastAsia" w:ascii="微软雅黑" w:hAnsi="微软雅黑" w:eastAsia="微软雅黑" w:cs="微软雅黑"/>
          <w:highlight w:val="none"/>
          <w:lang w:eastAsia="zh-CN"/>
        </w:rPr>
        <w:t>：</w:t>
      </w:r>
    </w:p>
    <w:p w14:paraId="75871199">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乙方：</w:t>
      </w:r>
      <w:r>
        <w:rPr>
          <w:rFonts w:hint="eastAsia" w:ascii="宋体" w:hAnsi="宋体"/>
          <w:highlight w:val="none"/>
          <w:lang w:eastAsia="zh-CN"/>
        </w:rPr>
        <w:t xml:space="preserve">                                          </w:t>
      </w:r>
    </w:p>
    <w:p w14:paraId="31E0BFB2">
      <w:pPr>
        <w:spacing w:before="19" w:line="360" w:lineRule="auto"/>
        <w:rPr>
          <w:rFonts w:hint="eastAsia" w:ascii="宋体" w:hAnsi="宋体"/>
          <w:highlight w:val="none"/>
          <w:lang w:eastAsia="zh-CN"/>
        </w:rPr>
      </w:pPr>
      <w:r>
        <w:rPr>
          <w:rFonts w:hint="eastAsia" w:ascii="宋体" w:hAnsi="宋体"/>
          <w:highlight w:val="none"/>
          <w:lang w:eastAsia="zh-CN"/>
        </w:rPr>
        <w:t xml:space="preserve">    </w:t>
      </w:r>
      <w:r>
        <w:rPr>
          <w:rFonts w:hint="eastAsia" w:ascii="微软雅黑" w:hAnsi="微软雅黑" w:eastAsia="微软雅黑" w:cs="微软雅黑"/>
          <w:highlight w:val="none"/>
          <w:lang w:eastAsia="zh-CN"/>
        </w:rPr>
        <w:t>甲乙双方根据</w:t>
      </w:r>
      <w:r>
        <w:rPr>
          <w:rFonts w:hint="eastAsia" w:ascii="宋体" w:hAnsi="宋体"/>
          <w:highlight w:val="none"/>
          <w:u w:val="single"/>
          <w:lang w:eastAsia="zh-CN"/>
        </w:rPr>
        <w:t xml:space="preserve">                  </w:t>
      </w:r>
      <w:r>
        <w:rPr>
          <w:rFonts w:hint="eastAsia" w:ascii="微软雅黑" w:hAnsi="微软雅黑" w:eastAsia="微软雅黑" w:cs="微软雅黑"/>
          <w:highlight w:val="none"/>
          <w:lang w:eastAsia="zh-CN"/>
        </w:rPr>
        <w:t>项目招标（谈判、询价）采购结果，依据《中华人民共和国民法典》合同编及相关法律规定，达成如下货物购销合同：</w:t>
      </w:r>
    </w:p>
    <w:p w14:paraId="33DA8695">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62561B2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4" w:space="0"/>
              <w:left w:val="single" w:color="auto" w:sz="4" w:space="0"/>
              <w:bottom w:val="single" w:color="auto" w:sz="4" w:space="0"/>
              <w:right w:val="single" w:color="auto" w:sz="4" w:space="0"/>
            </w:tcBorders>
            <w:shd w:val="clear" w:color="auto" w:fill="7F7F7F"/>
            <w:vAlign w:val="center"/>
          </w:tcPr>
          <w:p w14:paraId="533804ED">
            <w:pPr>
              <w:spacing w:line="240" w:lineRule="atLeast"/>
              <w:jc w:val="center"/>
              <w:rPr>
                <w:rFonts w:hint="eastAsia" w:ascii="宋体" w:hAnsi="宋体"/>
                <w:b/>
                <w:highlight w:val="none"/>
              </w:rPr>
            </w:pPr>
            <w:r>
              <w:rPr>
                <w:rFonts w:hint="eastAsia" w:ascii="微软雅黑" w:hAnsi="微软雅黑" w:eastAsia="微软雅黑" w:cs="微软雅黑"/>
                <w:b/>
                <w:highlight w:val="none"/>
              </w:rPr>
              <w:t>编号</w:t>
            </w:r>
          </w:p>
        </w:tc>
        <w:tc>
          <w:tcPr>
            <w:tcW w:w="1260" w:type="dxa"/>
            <w:tcBorders>
              <w:top w:val="single" w:color="auto" w:sz="4" w:space="0"/>
              <w:left w:val="single" w:color="auto" w:sz="4" w:space="0"/>
              <w:bottom w:val="single" w:color="auto" w:sz="4" w:space="0"/>
              <w:right w:val="single" w:color="auto" w:sz="4" w:space="0"/>
            </w:tcBorders>
            <w:shd w:val="clear" w:color="auto" w:fill="7F7F7F"/>
            <w:vAlign w:val="center"/>
          </w:tcPr>
          <w:p w14:paraId="4A3720A2">
            <w:pPr>
              <w:spacing w:line="240" w:lineRule="atLeast"/>
              <w:jc w:val="center"/>
              <w:rPr>
                <w:rFonts w:hint="eastAsia" w:ascii="宋体" w:hAnsi="宋体"/>
                <w:b/>
                <w:highlight w:val="none"/>
              </w:rPr>
            </w:pPr>
            <w:r>
              <w:rPr>
                <w:rFonts w:hint="eastAsia" w:ascii="微软雅黑" w:hAnsi="微软雅黑" w:eastAsia="微软雅黑" w:cs="微软雅黑"/>
                <w:b/>
                <w:highlight w:val="none"/>
              </w:rPr>
              <w:t>货物名称</w:t>
            </w:r>
          </w:p>
        </w:tc>
        <w:tc>
          <w:tcPr>
            <w:tcW w:w="4320" w:type="dxa"/>
            <w:tcBorders>
              <w:top w:val="single" w:color="auto" w:sz="4" w:space="0"/>
              <w:left w:val="single" w:color="auto" w:sz="4" w:space="0"/>
              <w:bottom w:val="single" w:color="auto" w:sz="4" w:space="0"/>
              <w:right w:val="single" w:color="auto" w:sz="4" w:space="0"/>
            </w:tcBorders>
            <w:shd w:val="clear" w:color="auto" w:fill="7F7F7F"/>
            <w:vAlign w:val="center"/>
          </w:tcPr>
          <w:p w14:paraId="7401A843">
            <w:pPr>
              <w:spacing w:line="240" w:lineRule="atLeast"/>
              <w:jc w:val="center"/>
              <w:rPr>
                <w:rFonts w:hint="eastAsia" w:ascii="宋体" w:hAnsi="宋体"/>
                <w:b/>
                <w:highlight w:val="none"/>
              </w:rPr>
            </w:pPr>
            <w:r>
              <w:rPr>
                <w:rFonts w:hint="eastAsia" w:ascii="微软雅黑" w:hAnsi="微软雅黑" w:eastAsia="微软雅黑" w:cs="微软雅黑"/>
                <w:b/>
                <w:highlight w:val="none"/>
              </w:rPr>
              <w:t>规</w:t>
            </w:r>
            <w:r>
              <w:rPr>
                <w:rFonts w:hint="eastAsia" w:ascii="宋体" w:hAnsi="宋体"/>
                <w:b/>
                <w:highlight w:val="none"/>
              </w:rPr>
              <w:t xml:space="preserve"> </w:t>
            </w:r>
            <w:r>
              <w:rPr>
                <w:rFonts w:hint="eastAsia" w:ascii="微软雅黑" w:hAnsi="微软雅黑" w:eastAsia="微软雅黑" w:cs="微软雅黑"/>
                <w:b/>
                <w:highlight w:val="none"/>
              </w:rPr>
              <w:t>格</w:t>
            </w:r>
            <w:r>
              <w:rPr>
                <w:rFonts w:hint="eastAsia" w:ascii="宋体" w:hAnsi="宋体"/>
                <w:b/>
                <w:highlight w:val="none"/>
              </w:rPr>
              <w:t xml:space="preserve"> </w:t>
            </w:r>
            <w:r>
              <w:rPr>
                <w:rFonts w:hint="eastAsia" w:ascii="微软雅黑" w:hAnsi="微软雅黑" w:eastAsia="微软雅黑" w:cs="微软雅黑"/>
                <w:b/>
                <w:highlight w:val="none"/>
              </w:rPr>
              <w:t>型</w:t>
            </w:r>
            <w:r>
              <w:rPr>
                <w:rFonts w:hint="eastAsia" w:ascii="宋体" w:hAnsi="宋体"/>
                <w:b/>
                <w:highlight w:val="none"/>
              </w:rPr>
              <w:t xml:space="preserve"> </w:t>
            </w:r>
            <w:r>
              <w:rPr>
                <w:rFonts w:hint="eastAsia" w:ascii="微软雅黑" w:hAnsi="微软雅黑" w:eastAsia="微软雅黑" w:cs="微软雅黑"/>
                <w:b/>
                <w:highlight w:val="none"/>
              </w:rPr>
              <w:t>号（品牌）</w:t>
            </w:r>
          </w:p>
        </w:tc>
        <w:tc>
          <w:tcPr>
            <w:tcW w:w="1080" w:type="dxa"/>
            <w:tcBorders>
              <w:top w:val="single" w:color="auto" w:sz="4" w:space="0"/>
              <w:left w:val="single" w:color="auto" w:sz="4" w:space="0"/>
              <w:bottom w:val="single" w:color="auto" w:sz="4" w:space="0"/>
              <w:right w:val="single" w:color="auto" w:sz="4" w:space="0"/>
            </w:tcBorders>
            <w:shd w:val="clear" w:color="auto" w:fill="7F7F7F"/>
            <w:vAlign w:val="center"/>
          </w:tcPr>
          <w:p w14:paraId="44EA105A">
            <w:pPr>
              <w:spacing w:line="240" w:lineRule="atLeast"/>
              <w:jc w:val="center"/>
              <w:rPr>
                <w:rFonts w:hint="eastAsia" w:ascii="宋体" w:hAnsi="宋体"/>
                <w:b/>
                <w:highlight w:val="none"/>
              </w:rPr>
            </w:pPr>
            <w:r>
              <w:rPr>
                <w:rFonts w:hint="eastAsia" w:ascii="微软雅黑" w:hAnsi="微软雅黑" w:eastAsia="微软雅黑" w:cs="微软雅黑"/>
                <w:b/>
                <w:highlight w:val="none"/>
              </w:rPr>
              <w:t>数量</w:t>
            </w:r>
          </w:p>
        </w:tc>
        <w:tc>
          <w:tcPr>
            <w:tcW w:w="1080" w:type="dxa"/>
            <w:tcBorders>
              <w:top w:val="single" w:color="auto" w:sz="4" w:space="0"/>
              <w:left w:val="single" w:color="auto" w:sz="4" w:space="0"/>
              <w:bottom w:val="single" w:color="auto" w:sz="4" w:space="0"/>
              <w:right w:val="single" w:color="auto" w:sz="4" w:space="0"/>
            </w:tcBorders>
            <w:shd w:val="clear" w:color="auto" w:fill="7F7F7F"/>
            <w:vAlign w:val="center"/>
          </w:tcPr>
          <w:p w14:paraId="5F62C79A">
            <w:pPr>
              <w:spacing w:line="240" w:lineRule="atLeast"/>
              <w:jc w:val="center"/>
              <w:rPr>
                <w:rFonts w:hint="eastAsia" w:ascii="宋体" w:hAnsi="宋体"/>
                <w:b/>
                <w:highlight w:val="none"/>
              </w:rPr>
            </w:pPr>
            <w:r>
              <w:rPr>
                <w:rFonts w:hint="eastAsia" w:ascii="微软雅黑" w:hAnsi="微软雅黑" w:eastAsia="微软雅黑" w:cs="微软雅黑"/>
                <w:b/>
                <w:highlight w:val="none"/>
              </w:rPr>
              <w:t>单价（元）</w:t>
            </w:r>
          </w:p>
        </w:tc>
        <w:tc>
          <w:tcPr>
            <w:tcW w:w="1260" w:type="dxa"/>
            <w:tcBorders>
              <w:top w:val="single" w:color="auto" w:sz="4" w:space="0"/>
              <w:left w:val="nil"/>
              <w:bottom w:val="single" w:color="auto" w:sz="4" w:space="0"/>
              <w:right w:val="single" w:color="auto" w:sz="4" w:space="0"/>
            </w:tcBorders>
            <w:shd w:val="clear" w:color="auto" w:fill="7F7F7F"/>
            <w:vAlign w:val="center"/>
          </w:tcPr>
          <w:p w14:paraId="54A681A2">
            <w:pPr>
              <w:rPr>
                <w:rFonts w:hint="eastAsia" w:ascii="宋体" w:hAnsi="宋体"/>
                <w:b/>
                <w:highlight w:val="none"/>
              </w:rPr>
            </w:pPr>
            <w:r>
              <w:rPr>
                <w:rFonts w:hint="eastAsia" w:ascii="微软雅黑" w:hAnsi="微软雅黑" w:eastAsia="微软雅黑" w:cs="微软雅黑"/>
                <w:b/>
                <w:highlight w:val="none"/>
              </w:rPr>
              <w:t>总价（元）</w:t>
            </w:r>
          </w:p>
        </w:tc>
      </w:tr>
      <w:tr w14:paraId="0384044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single" w:color="auto" w:sz="4" w:space="0"/>
              <w:left w:val="single" w:color="auto" w:sz="4" w:space="0"/>
              <w:bottom w:val="single" w:color="auto" w:sz="4" w:space="0"/>
              <w:right w:val="single" w:color="auto" w:sz="4" w:space="0"/>
            </w:tcBorders>
            <w:vAlign w:val="center"/>
          </w:tcPr>
          <w:p w14:paraId="418EC784">
            <w:pPr>
              <w:spacing w:line="600" w:lineRule="atLeast"/>
              <w:rPr>
                <w:rFonts w:hint="eastAsia" w:ascii="宋体" w:hAnsi="宋体"/>
                <w:b/>
                <w:highlight w:val="none"/>
              </w:rPr>
            </w:pPr>
            <w:r>
              <w:rPr>
                <w:rFonts w:hint="eastAsia" w:ascii="宋体" w:hAnsi="宋体"/>
                <w:b/>
                <w:highlight w:val="none"/>
              </w:rPr>
              <w:t>1</w:t>
            </w:r>
          </w:p>
        </w:tc>
        <w:tc>
          <w:tcPr>
            <w:tcW w:w="1260" w:type="dxa"/>
            <w:tcBorders>
              <w:top w:val="single" w:color="auto" w:sz="4" w:space="0"/>
              <w:left w:val="single" w:color="auto" w:sz="4" w:space="0"/>
              <w:bottom w:val="single" w:color="auto" w:sz="4" w:space="0"/>
              <w:right w:val="single" w:color="auto" w:sz="4" w:space="0"/>
            </w:tcBorders>
            <w:vAlign w:val="center"/>
          </w:tcPr>
          <w:p w14:paraId="2F47B375">
            <w:pPr>
              <w:spacing w:line="600" w:lineRule="atLeast"/>
              <w:jc w:val="center"/>
              <w:rPr>
                <w:rFonts w:hint="eastAsia" w:ascii="宋体" w:hAnsi="宋体"/>
                <w:kern w:val="2"/>
                <w:highlight w:val="none"/>
              </w:rPr>
            </w:pPr>
          </w:p>
        </w:tc>
        <w:tc>
          <w:tcPr>
            <w:tcW w:w="4320" w:type="dxa"/>
            <w:tcBorders>
              <w:top w:val="single" w:color="auto" w:sz="4" w:space="0"/>
              <w:left w:val="single" w:color="auto" w:sz="4" w:space="0"/>
              <w:bottom w:val="single" w:color="auto" w:sz="4" w:space="0"/>
              <w:right w:val="single" w:color="auto" w:sz="4" w:space="0"/>
            </w:tcBorders>
            <w:vAlign w:val="center"/>
          </w:tcPr>
          <w:p w14:paraId="4621738F">
            <w:pPr>
              <w:spacing w:line="360" w:lineRule="auto"/>
              <w:rPr>
                <w:rFonts w:hint="eastAsia" w:ascii="宋体" w:hAnsi="宋体"/>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60F715CA">
            <w:pPr>
              <w:spacing w:line="600" w:lineRule="atLeast"/>
              <w:ind w:firstLine="103" w:firstLineChars="49"/>
              <w:rPr>
                <w:rFonts w:hint="eastAsia" w:ascii="宋体" w:hAnsi="宋体"/>
                <w:b/>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234525C">
            <w:pPr>
              <w:spacing w:line="240" w:lineRule="atLeast"/>
              <w:jc w:val="center"/>
              <w:rPr>
                <w:rFonts w:hint="eastAsia" w:ascii="宋体" w:hAnsi="宋体"/>
                <w:b/>
                <w:kern w:val="2"/>
                <w:highlight w:val="none"/>
              </w:rPr>
            </w:pPr>
          </w:p>
        </w:tc>
        <w:tc>
          <w:tcPr>
            <w:tcW w:w="1260" w:type="dxa"/>
            <w:tcBorders>
              <w:top w:val="single" w:color="auto" w:sz="4" w:space="0"/>
              <w:left w:val="nil"/>
              <w:bottom w:val="single" w:color="auto" w:sz="4" w:space="0"/>
              <w:right w:val="single" w:color="auto" w:sz="4" w:space="0"/>
            </w:tcBorders>
            <w:vAlign w:val="center"/>
          </w:tcPr>
          <w:p w14:paraId="645789AA">
            <w:pPr>
              <w:spacing w:line="360" w:lineRule="auto"/>
              <w:rPr>
                <w:rFonts w:hint="eastAsia" w:ascii="宋体" w:hAnsi="宋体"/>
                <w:highlight w:val="none"/>
              </w:rPr>
            </w:pPr>
          </w:p>
        </w:tc>
      </w:tr>
      <w:tr w14:paraId="1E56D49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left w:val="single" w:color="auto" w:sz="4" w:space="0"/>
              <w:bottom w:val="single" w:color="auto" w:sz="4" w:space="0"/>
              <w:right w:val="single" w:color="auto" w:sz="4" w:space="0"/>
            </w:tcBorders>
            <w:vAlign w:val="center"/>
          </w:tcPr>
          <w:p w14:paraId="1CDFDF24">
            <w:pPr>
              <w:spacing w:line="600" w:lineRule="atLeast"/>
              <w:rPr>
                <w:rFonts w:hint="eastAsia" w:ascii="宋体" w:hAnsi="宋体"/>
                <w:b/>
                <w:highlight w:val="none"/>
              </w:rPr>
            </w:pPr>
            <w:r>
              <w:rPr>
                <w:rFonts w:hint="eastAsia" w:ascii="宋体" w:hAnsi="宋体"/>
                <w:b/>
                <w:highlight w:val="none"/>
              </w:rPr>
              <w:t>2</w:t>
            </w:r>
          </w:p>
        </w:tc>
        <w:tc>
          <w:tcPr>
            <w:tcW w:w="1260" w:type="dxa"/>
            <w:tcBorders>
              <w:top w:val="single" w:color="auto" w:sz="4" w:space="0"/>
              <w:left w:val="single" w:color="auto" w:sz="4" w:space="0"/>
              <w:bottom w:val="single" w:color="auto" w:sz="4" w:space="0"/>
              <w:right w:val="single" w:color="auto" w:sz="4" w:space="0"/>
            </w:tcBorders>
            <w:vAlign w:val="center"/>
          </w:tcPr>
          <w:p w14:paraId="4F685A68">
            <w:pPr>
              <w:spacing w:line="600" w:lineRule="atLeast"/>
              <w:jc w:val="center"/>
              <w:rPr>
                <w:rFonts w:hint="eastAsia" w:ascii="宋体" w:hAnsi="宋体"/>
                <w:kern w:val="2"/>
                <w:highlight w:val="none"/>
              </w:rPr>
            </w:pPr>
          </w:p>
        </w:tc>
        <w:tc>
          <w:tcPr>
            <w:tcW w:w="4320" w:type="dxa"/>
            <w:tcBorders>
              <w:top w:val="single" w:color="auto" w:sz="4" w:space="0"/>
              <w:left w:val="single" w:color="auto" w:sz="4" w:space="0"/>
              <w:bottom w:val="single" w:color="auto" w:sz="4" w:space="0"/>
              <w:right w:val="single" w:color="auto" w:sz="4" w:space="0"/>
            </w:tcBorders>
            <w:vAlign w:val="center"/>
          </w:tcPr>
          <w:p w14:paraId="5D30F84D">
            <w:pPr>
              <w:spacing w:line="360" w:lineRule="auto"/>
              <w:rPr>
                <w:rFonts w:hint="eastAsia" w:ascii="宋体" w:hAnsi="宋体"/>
                <w:b/>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3C88B4B">
            <w:pPr>
              <w:spacing w:line="600" w:lineRule="atLeast"/>
              <w:ind w:firstLine="103" w:firstLineChars="49"/>
              <w:rPr>
                <w:rFonts w:hint="eastAsia" w:ascii="宋体" w:hAnsi="宋体"/>
                <w:b/>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1E9EB500">
            <w:pPr>
              <w:spacing w:line="600" w:lineRule="atLeast"/>
              <w:ind w:firstLine="103" w:firstLineChars="49"/>
              <w:rPr>
                <w:rFonts w:hint="eastAsia" w:ascii="宋体" w:hAnsi="宋体"/>
                <w:b/>
                <w:highlight w:val="none"/>
              </w:rPr>
            </w:pPr>
          </w:p>
        </w:tc>
        <w:tc>
          <w:tcPr>
            <w:tcW w:w="1260" w:type="dxa"/>
            <w:tcBorders>
              <w:top w:val="single" w:color="auto" w:sz="4" w:space="0"/>
              <w:left w:val="nil"/>
              <w:bottom w:val="single" w:color="auto" w:sz="4" w:space="0"/>
              <w:right w:val="single" w:color="auto" w:sz="4" w:space="0"/>
            </w:tcBorders>
            <w:vAlign w:val="center"/>
          </w:tcPr>
          <w:p w14:paraId="0EF6AB2D">
            <w:pPr>
              <w:spacing w:line="360" w:lineRule="auto"/>
              <w:rPr>
                <w:rFonts w:hint="eastAsia" w:ascii="宋体" w:hAnsi="宋体"/>
                <w:kern w:val="2"/>
                <w:highlight w:val="none"/>
              </w:rPr>
            </w:pPr>
          </w:p>
        </w:tc>
      </w:tr>
      <w:tr w14:paraId="3108D56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left w:val="single" w:color="auto" w:sz="4" w:space="0"/>
              <w:bottom w:val="single" w:color="auto" w:sz="4" w:space="0"/>
              <w:right w:val="single" w:color="auto" w:sz="4" w:space="0"/>
            </w:tcBorders>
            <w:vAlign w:val="center"/>
          </w:tcPr>
          <w:p w14:paraId="08D4AA25">
            <w:pPr>
              <w:spacing w:line="600" w:lineRule="atLeast"/>
              <w:rPr>
                <w:rFonts w:hint="eastAsia" w:ascii="宋体" w:hAnsi="宋体"/>
                <w:b/>
                <w:highlight w:val="none"/>
              </w:rPr>
            </w:pPr>
            <w:r>
              <w:rPr>
                <w:rFonts w:hint="eastAsia" w:ascii="宋体" w:hAnsi="宋体"/>
                <w:b/>
                <w:highlight w:val="none"/>
              </w:rPr>
              <w:t>3</w:t>
            </w:r>
          </w:p>
        </w:tc>
        <w:tc>
          <w:tcPr>
            <w:tcW w:w="1260" w:type="dxa"/>
            <w:tcBorders>
              <w:top w:val="single" w:color="auto" w:sz="4" w:space="0"/>
              <w:left w:val="single" w:color="auto" w:sz="4" w:space="0"/>
              <w:bottom w:val="single" w:color="auto" w:sz="4" w:space="0"/>
              <w:right w:val="single" w:color="auto" w:sz="4" w:space="0"/>
            </w:tcBorders>
            <w:vAlign w:val="center"/>
          </w:tcPr>
          <w:p w14:paraId="68D8A9F8">
            <w:pPr>
              <w:spacing w:line="600" w:lineRule="atLeast"/>
              <w:jc w:val="center"/>
              <w:rPr>
                <w:rFonts w:hint="eastAsia" w:ascii="宋体" w:hAnsi="宋体"/>
                <w:kern w:val="2"/>
                <w:highlight w:val="none"/>
              </w:rPr>
            </w:pPr>
          </w:p>
        </w:tc>
        <w:tc>
          <w:tcPr>
            <w:tcW w:w="4320" w:type="dxa"/>
            <w:tcBorders>
              <w:top w:val="single" w:color="auto" w:sz="4" w:space="0"/>
              <w:left w:val="single" w:color="auto" w:sz="4" w:space="0"/>
              <w:bottom w:val="single" w:color="auto" w:sz="4" w:space="0"/>
              <w:right w:val="single" w:color="auto" w:sz="4" w:space="0"/>
            </w:tcBorders>
            <w:vAlign w:val="center"/>
          </w:tcPr>
          <w:p w14:paraId="4EF86E3A">
            <w:pPr>
              <w:spacing w:line="360" w:lineRule="auto"/>
              <w:rPr>
                <w:rFonts w:hint="eastAsia" w:ascii="宋体" w:hAnsi="宋体"/>
                <w:b/>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F6AA047">
            <w:pPr>
              <w:spacing w:line="600" w:lineRule="atLeast"/>
              <w:ind w:firstLine="103" w:firstLineChars="49"/>
              <w:rPr>
                <w:rFonts w:hint="eastAsia" w:ascii="宋体" w:hAnsi="宋体"/>
                <w:b/>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88B10F4">
            <w:pPr>
              <w:spacing w:line="600" w:lineRule="atLeast"/>
              <w:ind w:firstLine="103" w:firstLineChars="49"/>
              <w:rPr>
                <w:rFonts w:hint="eastAsia" w:ascii="宋体" w:hAnsi="宋体"/>
                <w:b/>
                <w:highlight w:val="none"/>
              </w:rPr>
            </w:pPr>
          </w:p>
        </w:tc>
        <w:tc>
          <w:tcPr>
            <w:tcW w:w="1260" w:type="dxa"/>
            <w:tcBorders>
              <w:top w:val="single" w:color="auto" w:sz="4" w:space="0"/>
              <w:left w:val="nil"/>
              <w:bottom w:val="single" w:color="auto" w:sz="4" w:space="0"/>
              <w:right w:val="single" w:color="auto" w:sz="4" w:space="0"/>
            </w:tcBorders>
            <w:vAlign w:val="center"/>
          </w:tcPr>
          <w:p w14:paraId="10568EC3">
            <w:pPr>
              <w:spacing w:line="360" w:lineRule="auto"/>
              <w:rPr>
                <w:rFonts w:hint="eastAsia" w:ascii="宋体" w:hAnsi="宋体"/>
                <w:kern w:val="2"/>
                <w:highlight w:val="none"/>
              </w:rPr>
            </w:pPr>
          </w:p>
        </w:tc>
      </w:tr>
      <w:tr w14:paraId="1BF735D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left w:val="single" w:color="auto" w:sz="4" w:space="0"/>
              <w:bottom w:val="single" w:color="auto" w:sz="4" w:space="0"/>
              <w:right w:val="single" w:color="auto" w:sz="4" w:space="0"/>
            </w:tcBorders>
            <w:vAlign w:val="center"/>
          </w:tcPr>
          <w:p w14:paraId="13FE74C1">
            <w:pPr>
              <w:rPr>
                <w:rFonts w:hint="eastAsia" w:ascii="宋体" w:hAnsi="宋体"/>
                <w:highlight w:val="none"/>
                <w:lang w:eastAsia="zh-CN"/>
              </w:rPr>
            </w:pPr>
            <w:r>
              <w:rPr>
                <w:rFonts w:hint="eastAsia" w:ascii="微软雅黑" w:hAnsi="微软雅黑" w:eastAsia="微软雅黑" w:cs="微软雅黑"/>
                <w:b/>
                <w:highlight w:val="none"/>
                <w:lang w:eastAsia="zh-CN"/>
              </w:rPr>
              <w:t>总价（人民币大写）：</w:t>
            </w:r>
            <w:r>
              <w:rPr>
                <w:rFonts w:hint="eastAsia" w:ascii="宋体" w:hAnsi="宋体"/>
                <w:b/>
                <w:highlight w:val="none"/>
                <w:lang w:eastAsia="zh-CN"/>
              </w:rPr>
              <w:t xml:space="preserve">                                     </w:t>
            </w:r>
            <w:r>
              <w:rPr>
                <w:rFonts w:hint="eastAsia" w:ascii="微软雅黑" w:hAnsi="微软雅黑" w:eastAsia="微软雅黑" w:cs="微软雅黑"/>
                <w:highlight w:val="none"/>
                <w:lang w:eastAsia="zh-CN"/>
              </w:rPr>
              <w:t>合计（小写）：</w:t>
            </w:r>
            <w:r>
              <w:rPr>
                <w:rFonts w:hint="eastAsia" w:ascii="宋体" w:hAnsi="宋体"/>
                <w:highlight w:val="none"/>
                <w:lang w:eastAsia="zh-CN"/>
              </w:rPr>
              <w:t xml:space="preserve">        </w:t>
            </w:r>
            <w:r>
              <w:rPr>
                <w:rFonts w:hint="eastAsia" w:ascii="微软雅黑" w:hAnsi="微软雅黑" w:eastAsia="微软雅黑" w:cs="微软雅黑"/>
                <w:highlight w:val="none"/>
                <w:lang w:eastAsia="zh-CN"/>
              </w:rPr>
              <w:t>元</w:t>
            </w:r>
          </w:p>
          <w:p w14:paraId="76225252">
            <w:pPr>
              <w:rPr>
                <w:rFonts w:hint="eastAsia" w:ascii="宋体" w:hAnsi="宋体"/>
                <w:highlight w:val="none"/>
                <w:lang w:eastAsia="zh-CN"/>
              </w:rPr>
            </w:pPr>
            <w:r>
              <w:rPr>
                <w:rFonts w:hint="eastAsia" w:ascii="微软雅黑" w:hAnsi="微软雅黑" w:eastAsia="微软雅黑" w:cs="微软雅黑"/>
                <w:highlight w:val="none"/>
                <w:lang w:eastAsia="zh-CN"/>
              </w:rPr>
              <w:t>本合同总价款是货物设计、制造、包装、仓储、运输、安装及验收合格之前以及</w:t>
            </w:r>
            <w:r>
              <w:rPr>
                <w:rFonts w:hint="eastAsia" w:ascii="微软雅黑" w:hAnsi="微软雅黑" w:eastAsia="微软雅黑" w:cs="微软雅黑"/>
                <w:highlight w:val="none"/>
                <w:lang w:val="en-US" w:eastAsia="zh-CN"/>
              </w:rPr>
              <w:t>质保</w:t>
            </w:r>
            <w:r>
              <w:rPr>
                <w:rFonts w:hint="eastAsia" w:ascii="微软雅黑" w:hAnsi="微软雅黑" w:eastAsia="微软雅黑" w:cs="微软雅黑"/>
                <w:highlight w:val="none"/>
                <w:lang w:eastAsia="zh-CN"/>
              </w:rPr>
              <w:t>期内备品备件发生的所有含税费用。本合同总价款还包含乙方应当提供的伴随服务</w:t>
            </w:r>
            <w:r>
              <w:rPr>
                <w:rFonts w:hint="eastAsia" w:ascii="宋体" w:hAnsi="宋体"/>
                <w:highlight w:val="none"/>
                <w:lang w:eastAsia="zh-CN"/>
              </w:rPr>
              <w:t>/</w:t>
            </w:r>
            <w:r>
              <w:rPr>
                <w:rFonts w:hint="eastAsia" w:ascii="微软雅黑" w:hAnsi="微软雅黑" w:eastAsia="微软雅黑" w:cs="微软雅黑"/>
                <w:highlight w:val="none"/>
                <w:lang w:eastAsia="zh-CN"/>
              </w:rPr>
              <w:t>售后服务费用。</w:t>
            </w:r>
          </w:p>
        </w:tc>
      </w:tr>
    </w:tbl>
    <w:p w14:paraId="4719C6E9">
      <w:pPr>
        <w:spacing w:before="19" w:line="360" w:lineRule="auto"/>
        <w:rPr>
          <w:rFonts w:hint="eastAsia" w:ascii="宋体" w:hAnsi="宋体" w:cs="Times New Roman"/>
          <w:kern w:val="2"/>
          <w:highlight w:val="none"/>
          <w:lang w:eastAsia="zh-CN"/>
        </w:rPr>
      </w:pPr>
      <w:r>
        <w:rPr>
          <w:rFonts w:hint="eastAsia" w:ascii="微软雅黑" w:hAnsi="微软雅黑" w:eastAsia="微软雅黑" w:cs="微软雅黑"/>
          <w:highlight w:val="none"/>
          <w:lang w:eastAsia="zh-CN"/>
        </w:rPr>
        <w:t>二、交货时间：</w:t>
      </w:r>
      <w:r>
        <w:rPr>
          <w:rFonts w:hint="eastAsia" w:ascii="宋体" w:hAnsi="宋体"/>
          <w:highlight w:val="none"/>
          <w:u w:val="single"/>
          <w:lang w:eastAsia="zh-CN"/>
        </w:rPr>
        <w:t xml:space="preserve"> </w:t>
      </w:r>
      <w:r>
        <w:rPr>
          <w:rFonts w:hint="eastAsia" w:ascii="微软雅黑" w:hAnsi="微软雅黑" w:eastAsia="微软雅黑" w:cs="微软雅黑"/>
          <w:highlight w:val="none"/>
          <w:u w:val="single"/>
          <w:lang w:eastAsia="zh-CN"/>
        </w:rPr>
        <w:t>在甲方指定时间供货。</w:t>
      </w:r>
    </w:p>
    <w:p w14:paraId="35AB2439">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三、交货地点：由乙方负责运输至</w:t>
      </w:r>
      <w:r>
        <w:rPr>
          <w:rFonts w:hint="eastAsia" w:ascii="微软雅黑" w:hAnsi="微软雅黑" w:eastAsia="微软雅黑" w:cs="微软雅黑"/>
          <w:highlight w:val="none"/>
          <w:u w:val="single"/>
          <w:lang w:eastAsia="zh-CN"/>
        </w:rPr>
        <w:t>甲方指定地点。</w:t>
      </w:r>
    </w:p>
    <w:p w14:paraId="726A585B">
      <w:pPr>
        <w:spacing w:line="360" w:lineRule="auto"/>
        <w:rPr>
          <w:rFonts w:hint="eastAsia" w:ascii="宋体" w:hAnsi="宋体"/>
          <w:highlight w:val="none"/>
          <w:u w:val="single"/>
          <w:lang w:eastAsia="zh-CN"/>
        </w:rPr>
      </w:pPr>
      <w:r>
        <w:rPr>
          <w:rFonts w:hint="eastAsia" w:ascii="微软雅黑" w:hAnsi="微软雅黑" w:eastAsia="微软雅黑" w:cs="微软雅黑"/>
          <w:highlight w:val="none"/>
          <w:lang w:eastAsia="zh-CN"/>
        </w:rPr>
        <w:t>四、付款方式：</w:t>
      </w:r>
      <w:r>
        <w:rPr>
          <w:rFonts w:hint="eastAsia" w:ascii="微软雅黑" w:hAnsi="微软雅黑" w:eastAsia="微软雅黑" w:cs="微软雅黑"/>
          <w:highlight w:val="none"/>
          <w:u w:val="single"/>
          <w:lang w:eastAsia="zh-CN"/>
        </w:rPr>
        <w:t xml:space="preserve"> </w:t>
      </w:r>
      <w:r>
        <w:rPr>
          <w:rFonts w:ascii="微软雅黑" w:hAnsi="微软雅黑" w:eastAsia="微软雅黑" w:cs="微软雅黑"/>
          <w:highlight w:val="none"/>
          <w:u w:val="single"/>
          <w:lang w:eastAsia="zh-CN"/>
        </w:rPr>
        <w:t xml:space="preserve">                                                                </w:t>
      </w:r>
      <w:r>
        <w:rPr>
          <w:rFonts w:hint="eastAsia" w:ascii="宋体" w:hAnsi="宋体"/>
          <w:highlight w:val="none"/>
          <w:u w:val="single"/>
          <w:lang w:eastAsia="zh-CN"/>
        </w:rPr>
        <w:t xml:space="preserve"> </w:t>
      </w:r>
    </w:p>
    <w:p w14:paraId="23F3E312">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五、质保期：</w:t>
      </w:r>
      <w:r>
        <w:rPr>
          <w:rFonts w:hint="eastAsia" w:ascii="宋体" w:hAnsi="宋体"/>
          <w:highlight w:val="none"/>
          <w:u w:val="single"/>
          <w:lang w:eastAsia="zh-CN"/>
        </w:rPr>
        <w:t xml:space="preserve">    </w:t>
      </w:r>
      <w:r>
        <w:rPr>
          <w:rFonts w:hint="eastAsia" w:ascii="微软雅黑" w:hAnsi="微软雅黑" w:eastAsia="微软雅黑" w:cs="微软雅黑"/>
          <w:highlight w:val="none"/>
          <w:lang w:eastAsia="zh-CN"/>
        </w:rPr>
        <w:t>年（自验收合格之日起计。所有货物保修服务方式均为乙方派员到货物使用现场维修，由此产生的一切费用均由乙方承担。）</w:t>
      </w:r>
    </w:p>
    <w:p w14:paraId="6DB25857">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六、质量要求、技术标准、乙方对质量负责的条件和期限：</w:t>
      </w:r>
    </w:p>
    <w:p w14:paraId="1CF76001">
      <w:pPr>
        <w:spacing w:before="19" w:line="360" w:lineRule="auto"/>
        <w:rPr>
          <w:rFonts w:hint="eastAsia" w:ascii="宋体" w:hAnsi="宋体"/>
          <w:highlight w:val="none"/>
          <w:lang w:eastAsia="zh-CN"/>
        </w:rPr>
      </w:pPr>
      <w:r>
        <w:rPr>
          <w:rFonts w:hint="eastAsia" w:ascii="宋体" w:hAnsi="宋体"/>
          <w:highlight w:val="none"/>
          <w:lang w:eastAsia="zh-CN"/>
        </w:rPr>
        <w:t>1.</w:t>
      </w:r>
      <w:r>
        <w:rPr>
          <w:rFonts w:hint="eastAsia" w:ascii="微软雅黑" w:hAnsi="微软雅黑" w:eastAsia="微软雅黑" w:cs="微软雅黑"/>
          <w:highlight w:val="none"/>
          <w:lang w:eastAsia="zh-CN"/>
        </w:rPr>
        <w:t>乙方所提供的货物，若技术性能无特殊说明，则按生产企业或国家有关部门最新颁布的标准及规范为准。</w:t>
      </w:r>
    </w:p>
    <w:p w14:paraId="070BAC3D">
      <w:pPr>
        <w:spacing w:before="19" w:line="360" w:lineRule="auto"/>
        <w:rPr>
          <w:rFonts w:hint="eastAsia" w:ascii="宋体" w:hAnsi="宋体"/>
          <w:highlight w:val="none"/>
          <w:lang w:eastAsia="zh-CN"/>
        </w:rPr>
      </w:pPr>
      <w:r>
        <w:rPr>
          <w:rFonts w:hint="eastAsia" w:ascii="宋体" w:hAnsi="宋体"/>
          <w:highlight w:val="none"/>
          <w:lang w:eastAsia="zh-CN"/>
        </w:rPr>
        <w:t>2.</w:t>
      </w:r>
      <w:r>
        <w:rPr>
          <w:rFonts w:hint="eastAsia" w:ascii="微软雅黑" w:hAnsi="微软雅黑" w:eastAsia="微软雅黑" w:cs="微软雅黑"/>
          <w:highlight w:val="none"/>
          <w:lang w:eastAsia="zh-CN"/>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063ACD3">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七、验收标准：乙方送货至甲方指定地点，甲方依据招标文件要求、乙方投标文件响应内容及有关质量标准进行验收。验收合格方可安装，验收不合格乙方须重新供货直至验收合格。</w:t>
      </w:r>
    </w:p>
    <w:p w14:paraId="4D9E3EBC">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八、工程部分（两万元以上）需按南京邮电大学审计相关规定执行。</w:t>
      </w:r>
    </w:p>
    <w:p w14:paraId="3049AD09">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九、招投标文件为本合同的附件，与本合同具有同等法律效力（本条款适用于招投标项目）。甲乙双方商定的其他必要文件，附件与本合同不相符合之处，以本合同内容为准。上述文件内容互为补充。</w:t>
      </w:r>
    </w:p>
    <w:p w14:paraId="19358661">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十、违约责任</w:t>
      </w:r>
    </w:p>
    <w:p w14:paraId="5E4CAD29">
      <w:pPr>
        <w:spacing w:before="19" w:line="360" w:lineRule="auto"/>
        <w:rPr>
          <w:rFonts w:hint="eastAsia" w:ascii="宋体" w:hAnsi="宋体"/>
          <w:highlight w:val="none"/>
          <w:lang w:eastAsia="zh-CN"/>
        </w:rPr>
      </w:pPr>
      <w:r>
        <w:rPr>
          <w:rFonts w:hint="eastAsia" w:ascii="宋体" w:hAnsi="宋体"/>
          <w:highlight w:val="none"/>
          <w:lang w:eastAsia="zh-CN"/>
        </w:rPr>
        <w:t>1.</w:t>
      </w:r>
      <w:r>
        <w:rPr>
          <w:rFonts w:hint="eastAsia" w:ascii="微软雅黑" w:hAnsi="微软雅黑" w:eastAsia="微软雅黑" w:cs="微软雅黑"/>
          <w:highlight w:val="none"/>
          <w:lang w:eastAsia="zh-CN"/>
        </w:rPr>
        <w:t>甲方无正当理由拒收货物、拒付货物款的，由甲方向乙方偿付合同总价的</w:t>
      </w:r>
      <w:r>
        <w:rPr>
          <w:rFonts w:hint="eastAsia" w:ascii="宋体" w:hAnsi="宋体"/>
          <w:highlight w:val="none"/>
          <w:lang w:eastAsia="zh-CN"/>
        </w:rPr>
        <w:t>5%</w:t>
      </w:r>
      <w:r>
        <w:rPr>
          <w:rFonts w:hint="eastAsia" w:ascii="微软雅黑" w:hAnsi="微软雅黑" w:eastAsia="微软雅黑" w:cs="微软雅黑"/>
          <w:highlight w:val="none"/>
          <w:lang w:eastAsia="zh-CN"/>
        </w:rPr>
        <w:t>违约金。如乙方不能交付货物，乙方应向甲方支付合同总价5％的违约金。</w:t>
      </w:r>
    </w:p>
    <w:p w14:paraId="0809E128">
      <w:pPr>
        <w:spacing w:before="19" w:line="360" w:lineRule="auto"/>
        <w:rPr>
          <w:rFonts w:hint="eastAsia" w:ascii="宋体" w:hAnsi="宋体"/>
          <w:highlight w:val="none"/>
          <w:lang w:eastAsia="zh-CN"/>
        </w:rPr>
      </w:pPr>
      <w:r>
        <w:rPr>
          <w:rFonts w:hint="eastAsia" w:ascii="宋体" w:hAnsi="宋体"/>
          <w:highlight w:val="none"/>
          <w:lang w:eastAsia="zh-CN"/>
        </w:rPr>
        <w:t>2.</w:t>
      </w:r>
      <w:r>
        <w:rPr>
          <w:rFonts w:hint="eastAsia" w:ascii="微软雅黑" w:hAnsi="微软雅黑" w:eastAsia="微软雅黑" w:cs="微软雅黑"/>
          <w:highlight w:val="none"/>
          <w:lang w:eastAsia="zh-CN"/>
        </w:rPr>
        <w:t>乙方逾期交付货物的，乙方应按逾期交货总额每日千分之五向甲方支付违约金，由甲方从待付货款中扣除。逾期超过约定日期</w:t>
      </w:r>
      <w:r>
        <w:rPr>
          <w:rFonts w:hint="eastAsia" w:ascii="宋体" w:hAnsi="宋体"/>
          <w:highlight w:val="none"/>
          <w:lang w:eastAsia="zh-CN"/>
        </w:rPr>
        <w:t>30</w:t>
      </w:r>
      <w:r>
        <w:rPr>
          <w:rFonts w:hint="eastAsia" w:ascii="微软雅黑" w:hAnsi="微软雅黑" w:eastAsia="微软雅黑" w:cs="微软雅黑"/>
          <w:highlight w:val="none"/>
          <w:lang w:eastAsia="zh-CN"/>
        </w:rPr>
        <w:t>个工作日不能交货的，甲方可解除本合同。乙方因逾期交货或因其他违约行为导致甲方解除合同的，乙方应向甲方支付合同总值</w:t>
      </w:r>
      <w:r>
        <w:rPr>
          <w:rFonts w:hint="eastAsia" w:ascii="宋体" w:hAnsi="宋体"/>
          <w:highlight w:val="none"/>
          <w:lang w:eastAsia="zh-CN"/>
        </w:rPr>
        <w:t>5%</w:t>
      </w:r>
      <w:r>
        <w:rPr>
          <w:rFonts w:hint="eastAsia" w:ascii="微软雅黑" w:hAnsi="微软雅黑" w:eastAsia="微软雅黑" w:cs="微软雅黑"/>
          <w:highlight w:val="none"/>
          <w:lang w:eastAsia="zh-CN"/>
        </w:rPr>
        <w:t>的违约金，如造成甲方损失超过违约金的，超出部分由乙方继续承担赔偿责任。</w:t>
      </w:r>
      <w:r>
        <w:rPr>
          <w:rFonts w:hint="eastAsia" w:ascii="宋体" w:hAnsi="宋体"/>
          <w:highlight w:val="none"/>
          <w:lang w:eastAsia="zh-CN"/>
        </w:rPr>
        <w:t xml:space="preserve"> </w:t>
      </w:r>
    </w:p>
    <w:p w14:paraId="336B0FC2">
      <w:pPr>
        <w:spacing w:before="19" w:line="360" w:lineRule="auto"/>
        <w:rPr>
          <w:rFonts w:hint="eastAsia" w:ascii="宋体" w:hAnsi="宋体"/>
          <w:highlight w:val="none"/>
          <w:lang w:eastAsia="zh-CN"/>
        </w:rPr>
      </w:pPr>
      <w:r>
        <w:rPr>
          <w:rFonts w:hint="eastAsia" w:ascii="宋体" w:hAnsi="宋体"/>
          <w:highlight w:val="none"/>
          <w:lang w:eastAsia="zh-CN"/>
        </w:rPr>
        <w:t>3.</w:t>
      </w:r>
      <w:r>
        <w:rPr>
          <w:rFonts w:hint="eastAsia" w:ascii="微软雅黑" w:hAnsi="微软雅黑" w:eastAsia="微软雅黑" w:cs="微软雅黑"/>
          <w:highlight w:val="none"/>
          <w:lang w:eastAsia="zh-CN"/>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ECB8E50">
      <w:pPr>
        <w:spacing w:before="19" w:line="360" w:lineRule="auto"/>
        <w:rPr>
          <w:rFonts w:hint="eastAsia" w:ascii="宋体" w:hAnsi="宋体"/>
          <w:highlight w:val="none"/>
          <w:lang w:eastAsia="zh-CN"/>
        </w:rPr>
      </w:pPr>
      <w:r>
        <w:rPr>
          <w:rFonts w:hint="eastAsia" w:ascii="宋体" w:hAnsi="宋体"/>
          <w:highlight w:val="none"/>
          <w:lang w:eastAsia="zh-CN"/>
        </w:rPr>
        <w:t>4.</w:t>
      </w:r>
      <w:r>
        <w:rPr>
          <w:rFonts w:hint="eastAsia" w:ascii="微软雅黑" w:hAnsi="微软雅黑" w:eastAsia="微软雅黑" w:cs="微软雅黑"/>
          <w:highlight w:val="none"/>
          <w:lang w:eastAsia="zh-CN"/>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1093943">
      <w:pPr>
        <w:spacing w:before="19" w:line="360" w:lineRule="auto"/>
        <w:rPr>
          <w:rFonts w:ascii="宋体" w:hAnsi="宋体" w:eastAsiaTheme="minorEastAsia"/>
          <w:highlight w:val="none"/>
          <w:lang w:eastAsia="zh-CN"/>
        </w:rPr>
      </w:pPr>
      <w:r>
        <w:rPr>
          <w:rFonts w:hint="eastAsia" w:ascii="微软雅黑" w:hAnsi="微软雅黑" w:eastAsia="微软雅黑" w:cs="微软雅黑"/>
          <w:highlight w:val="none"/>
          <w:lang w:eastAsia="zh-CN"/>
        </w:rPr>
        <w:t>十一、</w:t>
      </w:r>
      <w:r>
        <w:rPr>
          <w:rFonts w:hint="eastAsia" w:ascii="宋体" w:hAnsi="宋体"/>
          <w:highlight w:val="none"/>
          <w:lang w:eastAsia="zh-CN"/>
        </w:rPr>
        <w:t xml:space="preserve"> </w:t>
      </w:r>
      <w:r>
        <w:rPr>
          <w:rFonts w:hint="eastAsia" w:ascii="微软雅黑" w:hAnsi="微软雅黑" w:eastAsia="微软雅黑" w:cs="微软雅黑"/>
          <w:highlight w:val="none"/>
          <w:lang w:eastAsia="zh-CN"/>
        </w:rPr>
        <w:t>合同的变更和终止</w:t>
      </w:r>
    </w:p>
    <w:p w14:paraId="46B7C13D">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依据《政府采购法》第五十条，本合同一经签订，甲乙双方不得擅自变更、中止或终止合同。</w:t>
      </w:r>
    </w:p>
    <w:p w14:paraId="4869C800">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十二、合同的转让</w:t>
      </w:r>
    </w:p>
    <w:p w14:paraId="285F35C6">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乙方不得擅自部分或全部转让其应履行的合同义务。</w:t>
      </w:r>
    </w:p>
    <w:p w14:paraId="26FAD1E9">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十三、</w:t>
      </w:r>
      <w:r>
        <w:rPr>
          <w:rFonts w:hint="eastAsia" w:ascii="宋体" w:hAnsi="宋体"/>
          <w:highlight w:val="none"/>
          <w:lang w:eastAsia="zh-CN"/>
        </w:rPr>
        <w:t xml:space="preserve"> </w:t>
      </w:r>
      <w:r>
        <w:rPr>
          <w:rFonts w:hint="eastAsia" w:ascii="微软雅黑" w:hAnsi="微软雅黑" w:eastAsia="微软雅黑" w:cs="微软雅黑"/>
          <w:highlight w:val="none"/>
          <w:lang w:eastAsia="zh-CN"/>
        </w:rPr>
        <w:t>争议的解决</w:t>
      </w:r>
    </w:p>
    <w:p w14:paraId="438F3D28">
      <w:pPr>
        <w:spacing w:before="19" w:line="360" w:lineRule="auto"/>
        <w:rPr>
          <w:rFonts w:hint="eastAsia" w:ascii="宋体" w:hAnsi="宋体"/>
          <w:highlight w:val="none"/>
          <w:lang w:eastAsia="zh-CN"/>
        </w:rPr>
      </w:pPr>
      <w:r>
        <w:rPr>
          <w:rFonts w:hint="eastAsia" w:ascii="宋体" w:hAnsi="宋体"/>
          <w:highlight w:val="none"/>
          <w:lang w:eastAsia="zh-CN"/>
        </w:rPr>
        <w:t>1.</w:t>
      </w:r>
      <w:r>
        <w:rPr>
          <w:rFonts w:hint="eastAsia" w:ascii="微软雅黑" w:hAnsi="微软雅黑" w:eastAsia="微软雅黑" w:cs="微软雅黑"/>
          <w:highlight w:val="none"/>
          <w:lang w:eastAsia="zh-CN"/>
        </w:rPr>
        <w:t>因货物的质量问题发生争议的，应当邀请国家认可的质量检测机构对货物质量进行鉴定。货物符合标准的，鉴定费由甲方承担；货物不符合质量标准的，鉴定费由乙方承担、并更换有问题商品或部件。</w:t>
      </w:r>
    </w:p>
    <w:p w14:paraId="0D515C9D">
      <w:pPr>
        <w:spacing w:before="19" w:line="360" w:lineRule="auto"/>
        <w:rPr>
          <w:rFonts w:hint="eastAsia" w:ascii="宋体" w:hAnsi="宋体"/>
          <w:highlight w:val="none"/>
          <w:lang w:eastAsia="zh-CN"/>
        </w:rPr>
      </w:pPr>
      <w:r>
        <w:rPr>
          <w:rFonts w:hint="eastAsia" w:ascii="宋体" w:hAnsi="宋体"/>
          <w:highlight w:val="none"/>
          <w:lang w:eastAsia="zh-CN"/>
        </w:rPr>
        <w:t>2.</w:t>
      </w:r>
      <w:r>
        <w:rPr>
          <w:rFonts w:hint="eastAsia" w:ascii="微软雅黑" w:hAnsi="微软雅黑" w:eastAsia="微软雅黑" w:cs="微软雅黑"/>
          <w:highlight w:val="none"/>
          <w:lang w:eastAsia="zh-CN"/>
        </w:rPr>
        <w:t>因履行本合同引起的或与本合同有关的争议，甲、乙双方应首先通过友好协商解决，如果协商不能解决争议，任何一方均可向甲方所在地人民法院起诉解决。</w:t>
      </w:r>
    </w:p>
    <w:p w14:paraId="1444669C">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十四、付款前乙方须提供</w:t>
      </w:r>
      <w:r>
        <w:rPr>
          <w:rFonts w:hint="eastAsia" w:ascii="微软雅黑" w:hAnsi="微软雅黑" w:eastAsia="微软雅黑" w:cs="微软雅黑"/>
          <w:highlight w:val="none"/>
          <w:u w:val="single"/>
          <w:lang w:eastAsia="zh-CN"/>
        </w:rPr>
        <w:t>增值税专用发票</w:t>
      </w:r>
      <w:r>
        <w:rPr>
          <w:rFonts w:hint="eastAsia" w:ascii="微软雅黑" w:hAnsi="微软雅黑" w:eastAsia="微软雅黑" w:cs="微软雅黑"/>
          <w:highlight w:val="none"/>
          <w:lang w:eastAsia="zh-CN"/>
        </w:rPr>
        <w:t>，总价不变。</w:t>
      </w:r>
    </w:p>
    <w:p w14:paraId="51F502CF">
      <w:pPr>
        <w:spacing w:before="19" w:line="360" w:lineRule="auto"/>
        <w:rPr>
          <w:rFonts w:hint="eastAsia" w:ascii="宋体" w:hAnsi="宋体"/>
          <w:highlight w:val="none"/>
          <w:lang w:eastAsia="zh-CN"/>
        </w:rPr>
      </w:pPr>
      <w:r>
        <w:rPr>
          <w:rFonts w:hint="eastAsia" w:ascii="微软雅黑" w:hAnsi="微软雅黑" w:eastAsia="微软雅黑" w:cs="微软雅黑"/>
          <w:highlight w:val="none"/>
          <w:lang w:eastAsia="zh-CN"/>
        </w:rPr>
        <w:t>十五、本合同由甲、乙双方共同签订，合同一式陆份，甲方伍份、乙方壹份。自双方签字、盖章之日起生效。</w:t>
      </w:r>
    </w:p>
    <w:tbl>
      <w:tblPr>
        <w:tblStyle w:val="44"/>
        <w:tblW w:w="0" w:type="auto"/>
        <w:tblInd w:w="-108" w:type="dxa"/>
        <w:tblLayout w:type="autofit"/>
        <w:tblCellMar>
          <w:top w:w="0" w:type="dxa"/>
          <w:left w:w="108" w:type="dxa"/>
          <w:bottom w:w="0" w:type="dxa"/>
          <w:right w:w="108" w:type="dxa"/>
        </w:tblCellMar>
      </w:tblPr>
      <w:tblGrid>
        <w:gridCol w:w="5074"/>
        <w:gridCol w:w="4183"/>
      </w:tblGrid>
      <w:tr w14:paraId="2B743060">
        <w:tblPrEx>
          <w:tblCellMar>
            <w:top w:w="0" w:type="dxa"/>
            <w:left w:w="108" w:type="dxa"/>
            <w:bottom w:w="0" w:type="dxa"/>
            <w:right w:w="108" w:type="dxa"/>
          </w:tblCellMar>
        </w:tblPrEx>
        <w:tc>
          <w:tcPr>
            <w:tcW w:w="5074" w:type="dxa"/>
          </w:tcPr>
          <w:p w14:paraId="32D50A06">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甲方</w:t>
            </w:r>
            <w:r>
              <w:rPr>
                <w:rFonts w:hint="eastAsia" w:ascii="宋体" w:hAnsi="宋体" w:cs="宋体"/>
                <w:highlight w:val="none"/>
                <w:lang w:eastAsia="zh-CN"/>
              </w:rPr>
              <w:t xml:space="preserve">                                        </w:t>
            </w:r>
          </w:p>
          <w:p w14:paraId="520D45EE">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单位名称：南京邮电大学通达学院</w:t>
            </w:r>
            <w:r>
              <w:rPr>
                <w:rFonts w:hint="eastAsia" w:ascii="宋体" w:hAnsi="宋体" w:cs="宋体"/>
                <w:highlight w:val="none"/>
                <w:lang w:eastAsia="zh-CN"/>
              </w:rPr>
              <w:t xml:space="preserve">              </w:t>
            </w:r>
          </w:p>
          <w:p w14:paraId="30B0713B">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单位地址：扬州市润扬南路</w:t>
            </w:r>
            <w:r>
              <w:rPr>
                <w:rFonts w:hint="eastAsia" w:ascii="宋体" w:hAnsi="宋体" w:cs="宋体"/>
                <w:highlight w:val="none"/>
                <w:lang w:eastAsia="zh-CN"/>
              </w:rPr>
              <w:t>33</w:t>
            </w:r>
            <w:r>
              <w:rPr>
                <w:rFonts w:hint="eastAsia" w:ascii="微软雅黑" w:hAnsi="微软雅黑" w:eastAsia="微软雅黑" w:cs="微软雅黑"/>
                <w:highlight w:val="none"/>
                <w:lang w:eastAsia="zh-CN"/>
              </w:rPr>
              <w:t>号</w:t>
            </w:r>
            <w:r>
              <w:rPr>
                <w:rFonts w:hint="eastAsia" w:ascii="宋体" w:hAnsi="宋体" w:cs="宋体"/>
                <w:highlight w:val="none"/>
                <w:lang w:eastAsia="zh-CN"/>
              </w:rPr>
              <w:t xml:space="preserve">               </w:t>
            </w:r>
          </w:p>
          <w:p w14:paraId="4DCE9580">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法定代表人：</w:t>
            </w:r>
            <w:r>
              <w:rPr>
                <w:rFonts w:hint="eastAsia" w:ascii="宋体" w:hAnsi="宋体" w:cs="宋体"/>
                <w:highlight w:val="none"/>
                <w:lang w:eastAsia="zh-CN"/>
              </w:rPr>
              <w:t xml:space="preserve">                                </w:t>
            </w:r>
          </w:p>
          <w:p w14:paraId="2AFBC1D8">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委托代理人（签字）：</w:t>
            </w:r>
            <w:r>
              <w:rPr>
                <w:rFonts w:hint="eastAsia" w:ascii="宋体" w:hAnsi="宋体" w:cs="宋体"/>
                <w:highlight w:val="none"/>
                <w:lang w:eastAsia="zh-CN"/>
              </w:rPr>
              <w:t xml:space="preserve">                         </w:t>
            </w:r>
          </w:p>
          <w:p w14:paraId="729DE29F">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联系电话：</w:t>
            </w:r>
            <w:r>
              <w:rPr>
                <w:rFonts w:hint="eastAsia" w:ascii="宋体" w:hAnsi="宋体" w:cs="宋体"/>
                <w:highlight w:val="none"/>
                <w:lang w:eastAsia="zh-CN"/>
              </w:rPr>
              <w:t xml:space="preserve">                                  </w:t>
            </w:r>
          </w:p>
          <w:p w14:paraId="3F22D52E">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开户银行：</w:t>
            </w:r>
            <w:r>
              <w:rPr>
                <w:rFonts w:hint="eastAsia" w:ascii="微软雅黑" w:hAnsi="微软雅黑" w:eastAsia="微软雅黑" w:cs="微软雅黑"/>
                <w:bCs/>
                <w:highlight w:val="none"/>
                <w:lang w:eastAsia="zh-CN"/>
              </w:rPr>
              <w:t>中国银行扬州分行开发区支行营业部</w:t>
            </w:r>
            <w:r>
              <w:rPr>
                <w:rFonts w:hint="eastAsia" w:ascii="宋体" w:hAnsi="宋体" w:cs="宋体"/>
                <w:highlight w:val="none"/>
                <w:lang w:eastAsia="zh-CN"/>
              </w:rPr>
              <w:t xml:space="preserve">  </w:t>
            </w:r>
          </w:p>
          <w:p w14:paraId="77922844">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户名：南京邮电大学通达学院</w:t>
            </w:r>
            <w:r>
              <w:rPr>
                <w:rFonts w:hint="eastAsia" w:ascii="宋体" w:hAnsi="宋体" w:cs="宋体"/>
                <w:highlight w:val="none"/>
                <w:lang w:eastAsia="zh-CN"/>
              </w:rPr>
              <w:t xml:space="preserve">                  </w:t>
            </w:r>
          </w:p>
          <w:p w14:paraId="4F69E0FD">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账号：</w:t>
            </w:r>
            <w:r>
              <w:rPr>
                <w:rFonts w:ascii="宋体" w:hAnsi="宋体" w:cs="宋体"/>
                <w:bCs/>
                <w:highlight w:val="none"/>
                <w:lang w:eastAsia="zh-CN"/>
              </w:rPr>
              <w:t>489773587772</w:t>
            </w:r>
            <w:r>
              <w:rPr>
                <w:rFonts w:hint="eastAsia" w:ascii="宋体" w:hAnsi="宋体" w:cs="宋体"/>
                <w:highlight w:val="none"/>
                <w:lang w:eastAsia="zh-CN"/>
              </w:rPr>
              <w:t xml:space="preserve">                          </w:t>
            </w:r>
          </w:p>
          <w:p w14:paraId="1500254C">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税号：</w:t>
            </w:r>
            <w:r>
              <w:rPr>
                <w:rFonts w:hint="eastAsia" w:ascii="宋体" w:hAnsi="宋体" w:cs="宋体"/>
                <w:bCs/>
                <w:highlight w:val="none"/>
                <w:lang w:eastAsia="zh-CN"/>
              </w:rPr>
              <w:t>52320000509200179F</w:t>
            </w:r>
            <w:r>
              <w:rPr>
                <w:rFonts w:hint="eastAsia" w:ascii="宋体" w:hAnsi="宋体" w:cs="宋体"/>
                <w:highlight w:val="none"/>
                <w:lang w:eastAsia="zh-CN"/>
              </w:rPr>
              <w:t xml:space="preserve">                    </w:t>
            </w:r>
          </w:p>
          <w:p w14:paraId="41E533E8">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电话：</w:t>
            </w:r>
            <w:r>
              <w:rPr>
                <w:rFonts w:hint="eastAsia" w:ascii="宋体" w:hAnsi="宋体" w:cs="宋体"/>
                <w:highlight w:val="none"/>
                <w:lang w:eastAsia="zh-CN"/>
              </w:rPr>
              <w:t xml:space="preserve">0514-89716081                         </w:t>
            </w:r>
          </w:p>
          <w:p w14:paraId="7781A909">
            <w:pPr>
              <w:spacing w:line="360" w:lineRule="auto"/>
              <w:rPr>
                <w:rFonts w:ascii="宋体" w:hAnsi="宋体" w:cs="宋体"/>
                <w:highlight w:val="none"/>
                <w:lang w:eastAsia="zh-CN"/>
              </w:rPr>
            </w:pPr>
            <w:r>
              <w:rPr>
                <w:rFonts w:hint="eastAsia" w:ascii="微软雅黑" w:hAnsi="微软雅黑" w:eastAsia="微软雅黑" w:cs="微软雅黑"/>
                <w:highlight w:val="none"/>
                <w:lang w:eastAsia="zh-CN"/>
              </w:rPr>
              <w:t>签约日期（即合同生效日期）：</w:t>
            </w:r>
            <w:r>
              <w:rPr>
                <w:rFonts w:hint="eastAsia" w:ascii="宋体" w:hAnsi="宋体" w:cs="宋体"/>
                <w:highlight w:val="none"/>
                <w:lang w:eastAsia="zh-CN"/>
              </w:rPr>
              <w:t xml:space="preserve">    </w:t>
            </w:r>
            <w:r>
              <w:rPr>
                <w:rFonts w:hint="eastAsia" w:ascii="微软雅黑" w:hAnsi="微软雅黑" w:eastAsia="微软雅黑" w:cs="微软雅黑"/>
                <w:highlight w:val="none"/>
                <w:lang w:eastAsia="zh-CN"/>
              </w:rPr>
              <w:t>年</w:t>
            </w:r>
            <w:r>
              <w:rPr>
                <w:rFonts w:hint="eastAsia" w:ascii="宋体" w:hAnsi="宋体" w:cs="宋体"/>
                <w:highlight w:val="none"/>
                <w:lang w:eastAsia="zh-CN"/>
              </w:rPr>
              <w:t xml:space="preserve">   </w:t>
            </w:r>
            <w:r>
              <w:rPr>
                <w:rFonts w:hint="eastAsia" w:ascii="微软雅黑" w:hAnsi="微软雅黑" w:eastAsia="微软雅黑" w:cs="微软雅黑"/>
                <w:highlight w:val="none"/>
                <w:lang w:eastAsia="zh-CN"/>
              </w:rPr>
              <w:t>月</w:t>
            </w:r>
            <w:r>
              <w:rPr>
                <w:rFonts w:hint="eastAsia" w:ascii="宋体" w:hAnsi="宋体" w:cs="宋体"/>
                <w:highlight w:val="none"/>
                <w:lang w:eastAsia="zh-CN"/>
              </w:rPr>
              <w:t xml:space="preserve">    </w:t>
            </w:r>
            <w:r>
              <w:rPr>
                <w:rFonts w:hint="eastAsia" w:ascii="微软雅黑" w:hAnsi="微软雅黑" w:eastAsia="微软雅黑" w:cs="微软雅黑"/>
                <w:highlight w:val="none"/>
                <w:lang w:eastAsia="zh-CN"/>
              </w:rPr>
              <w:t>日</w:t>
            </w:r>
          </w:p>
        </w:tc>
        <w:tc>
          <w:tcPr>
            <w:tcW w:w="4183" w:type="dxa"/>
          </w:tcPr>
          <w:p w14:paraId="5A982BD4">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乙方</w:t>
            </w:r>
          </w:p>
          <w:p w14:paraId="5E18A4A9">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单位名称：</w:t>
            </w:r>
          </w:p>
          <w:p w14:paraId="582B295F">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单位地址：</w:t>
            </w:r>
          </w:p>
          <w:p w14:paraId="52767BEB">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法定代表人：</w:t>
            </w:r>
          </w:p>
          <w:p w14:paraId="54F192DC">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委托代理人（签字）：</w:t>
            </w:r>
          </w:p>
          <w:p w14:paraId="220510E3">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联系电话：</w:t>
            </w:r>
            <w:r>
              <w:rPr>
                <w:rFonts w:hint="eastAsia" w:ascii="宋体" w:hAnsi="宋体" w:cs="宋体"/>
                <w:highlight w:val="none"/>
                <w:lang w:eastAsia="zh-CN"/>
              </w:rPr>
              <w:t xml:space="preserve">       </w:t>
            </w:r>
          </w:p>
          <w:p w14:paraId="69E30696">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开户银行：</w:t>
            </w:r>
            <w:r>
              <w:rPr>
                <w:rFonts w:hint="eastAsia" w:ascii="宋体" w:hAnsi="宋体" w:cs="宋体"/>
                <w:highlight w:val="none"/>
                <w:lang w:eastAsia="zh-CN"/>
              </w:rPr>
              <w:t xml:space="preserve"> </w:t>
            </w:r>
          </w:p>
          <w:p w14:paraId="754547BC">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户名：</w:t>
            </w:r>
            <w:r>
              <w:rPr>
                <w:rFonts w:hint="eastAsia" w:ascii="宋体" w:hAnsi="宋体" w:cs="宋体"/>
                <w:highlight w:val="none"/>
                <w:lang w:eastAsia="zh-CN"/>
              </w:rPr>
              <w:t xml:space="preserve"> </w:t>
            </w:r>
          </w:p>
          <w:p w14:paraId="5A51291B">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账号：</w:t>
            </w:r>
            <w:r>
              <w:rPr>
                <w:rFonts w:hint="eastAsia" w:ascii="宋体" w:hAnsi="宋体" w:cs="宋体"/>
                <w:highlight w:val="none"/>
                <w:lang w:eastAsia="zh-CN"/>
              </w:rPr>
              <w:t xml:space="preserve"> </w:t>
            </w:r>
          </w:p>
          <w:p w14:paraId="3C90F220">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行号：</w:t>
            </w:r>
            <w:r>
              <w:rPr>
                <w:rFonts w:hint="eastAsia" w:ascii="宋体" w:hAnsi="宋体" w:cs="宋体"/>
                <w:highlight w:val="none"/>
                <w:lang w:eastAsia="zh-CN"/>
              </w:rPr>
              <w:t xml:space="preserve">  </w:t>
            </w:r>
          </w:p>
          <w:p w14:paraId="0A388839">
            <w:pPr>
              <w:spacing w:line="360" w:lineRule="auto"/>
              <w:rPr>
                <w:rFonts w:ascii="宋体" w:hAnsi="宋体"/>
                <w:highlight w:val="none"/>
                <w:lang w:eastAsia="zh-CN"/>
              </w:rPr>
            </w:pPr>
            <w:r>
              <w:rPr>
                <w:rFonts w:hint="eastAsia" w:ascii="微软雅黑" w:hAnsi="微软雅黑" w:eastAsia="微软雅黑" w:cs="微软雅黑"/>
                <w:highlight w:val="none"/>
                <w:lang w:eastAsia="zh-CN"/>
              </w:rPr>
              <w:t>项目联系人：</w:t>
            </w:r>
          </w:p>
          <w:p w14:paraId="4DE52BFA">
            <w:pPr>
              <w:spacing w:line="360" w:lineRule="auto"/>
              <w:rPr>
                <w:rFonts w:ascii="宋体" w:hAnsi="宋体" w:cs="宋体"/>
                <w:highlight w:val="none"/>
              </w:rPr>
            </w:pPr>
            <w:r>
              <w:rPr>
                <w:rFonts w:hint="eastAsia" w:ascii="微软雅黑" w:hAnsi="微软雅黑" w:eastAsia="微软雅黑" w:cs="微软雅黑"/>
                <w:highlight w:val="none"/>
              </w:rPr>
              <w:t>联系电话：</w:t>
            </w:r>
          </w:p>
        </w:tc>
      </w:tr>
    </w:tbl>
    <w:p w14:paraId="6F04774C">
      <w:pPr>
        <w:keepNext w:val="0"/>
        <w:keepLines w:val="0"/>
        <w:pageBreakBefore w:val="0"/>
        <w:kinsoku/>
        <w:overflowPunct/>
        <w:topLinePunct w:val="0"/>
        <w:bidi w:val="0"/>
        <w:spacing w:line="360" w:lineRule="auto"/>
        <w:rPr>
          <w:rFonts w:hint="eastAsia"/>
          <w:highlight w:val="none"/>
        </w:rPr>
      </w:pPr>
    </w:p>
    <w:p w14:paraId="4EC5743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08EDB39">
      <w:pPr>
        <w:pStyle w:val="264"/>
        <w:keepNext w:val="0"/>
        <w:keepLines w:val="0"/>
        <w:pageBreakBefore w:val="0"/>
        <w:kinsoku/>
        <w:overflowPunct/>
        <w:topLinePunct w:val="0"/>
        <w:bidi w:val="0"/>
        <w:spacing w:line="360" w:lineRule="auto"/>
        <w:rPr>
          <w:rFonts w:hint="default" w:ascii="宋体" w:hAnsi="宋体" w:eastAsia="黑体"/>
          <w:b/>
          <w:color w:val="000000" w:themeColor="text1"/>
          <w:sz w:val="72"/>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0BF9A629">
      <w:pPr>
        <w:keepNext w:val="0"/>
        <w:keepLines w:val="0"/>
        <w:pageBreakBefore w:val="0"/>
        <w:kinsoku/>
        <w:overflowPunct/>
        <w:topLinePunct w:val="0"/>
        <w:bidi w:val="0"/>
        <w:spacing w:line="360" w:lineRule="auto"/>
        <w:jc w:val="center"/>
        <w:rPr>
          <w:rFonts w:hint="default" w:ascii="宋体" w:hAnsi="宋体" w:eastAsia="宋体"/>
          <w:b/>
          <w:color w:val="000000" w:themeColor="text1"/>
          <w:sz w:val="72"/>
          <w:szCs w:val="72"/>
          <w:highlight w:val="none"/>
          <w:lang w:val="en-US" w:eastAsia="zh-CN"/>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445B9540">
      <w:pPr>
        <w:keepNext w:val="0"/>
        <w:keepLines w:val="0"/>
        <w:pageBreakBefore w:val="0"/>
        <w:kinsoku/>
        <w:overflowPunct/>
        <w:topLinePunct w:val="0"/>
        <w:bidi w:val="0"/>
        <w:spacing w:line="360" w:lineRule="auto"/>
        <w:ind w:firstLine="2472" w:firstLineChars="1026"/>
        <w:rPr>
          <w:rFonts w:ascii="宋体" w:hAnsi="宋体"/>
          <w:b/>
          <w:color w:val="000000" w:themeColor="text1"/>
          <w:sz w:val="24"/>
          <w:highlight w:val="none"/>
          <w14:textFill>
            <w14:solidFill>
              <w14:schemeClr w14:val="tx1"/>
            </w14:solidFill>
          </w14:textFill>
        </w:rPr>
      </w:pPr>
    </w:p>
    <w:p w14:paraId="499E451C">
      <w:pPr>
        <w:keepNext w:val="0"/>
        <w:keepLines w:val="0"/>
        <w:pageBreakBefore w:val="0"/>
        <w:kinsoku/>
        <w:overflowPunct/>
        <w:topLinePunct w:val="0"/>
        <w:bidi w:val="0"/>
        <w:spacing w:line="360" w:lineRule="auto"/>
        <w:jc w:val="center"/>
        <w:rPr>
          <w:rFonts w:ascii="宋体" w:hAnsi="宋体"/>
          <w:b/>
          <w:color w:val="000000" w:themeColor="text1"/>
          <w:sz w:val="24"/>
          <w:highlight w:val="none"/>
          <w14:textFill>
            <w14:solidFill>
              <w14:schemeClr w14:val="tx1"/>
            </w14:solidFill>
          </w14:textFill>
        </w:rPr>
      </w:pPr>
    </w:p>
    <w:p w14:paraId="507ABFF4">
      <w:pPr>
        <w:keepNext w:val="0"/>
        <w:keepLines w:val="0"/>
        <w:pageBreakBefore w:val="0"/>
        <w:kinsoku/>
        <w:overflowPunct/>
        <w:topLinePunct w:val="0"/>
        <w:bidi w:val="0"/>
        <w:spacing w:line="360" w:lineRule="auto"/>
        <w:jc w:val="center"/>
        <w:rPr>
          <w:rFonts w:ascii="宋体" w:hAnsi="宋体"/>
          <w:b/>
          <w:color w:val="000000" w:themeColor="text1"/>
          <w:sz w:val="24"/>
          <w:highlight w:val="none"/>
          <w14:textFill>
            <w14:solidFill>
              <w14:schemeClr w14:val="tx1"/>
            </w14:solidFill>
          </w14:textFill>
        </w:rPr>
      </w:pPr>
    </w:p>
    <w:p w14:paraId="5A5B90BF">
      <w:pPr>
        <w:keepNext w:val="0"/>
        <w:keepLines w:val="0"/>
        <w:pageBreakBefore w:val="0"/>
        <w:kinsoku/>
        <w:overflowPunct/>
        <w:topLinePunct w:val="0"/>
        <w:bidi w:val="0"/>
        <w:spacing w:before="480" w:beforeLines="200" w:line="360" w:lineRule="auto"/>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1C55F9AE">
      <w:pPr>
        <w:keepNext w:val="0"/>
        <w:keepLines w:val="0"/>
        <w:pageBreakBefore w:val="0"/>
        <w:kinsoku/>
        <w:overflowPunct/>
        <w:topLinePunct w:val="0"/>
        <w:bidi w:val="0"/>
        <w:spacing w:line="360" w:lineRule="auto"/>
        <w:jc w:val="center"/>
        <w:rPr>
          <w:rFonts w:ascii="宋体" w:hAnsi="宋体"/>
          <w:b/>
          <w:color w:val="000000" w:themeColor="text1"/>
          <w:sz w:val="24"/>
          <w:highlight w:val="none"/>
          <w14:textFill>
            <w14:solidFill>
              <w14:schemeClr w14:val="tx1"/>
            </w14:solidFill>
          </w14:textFill>
        </w:rPr>
      </w:pPr>
    </w:p>
    <w:p w14:paraId="7A63142C">
      <w:pPr>
        <w:keepNext w:val="0"/>
        <w:keepLines w:val="0"/>
        <w:pageBreakBefore w:val="0"/>
        <w:kinsoku/>
        <w:overflowPunct/>
        <w:topLinePunct w:val="0"/>
        <w:bidi w:val="0"/>
        <w:spacing w:line="360" w:lineRule="auto"/>
        <w:jc w:val="both"/>
        <w:rPr>
          <w:rFonts w:ascii="宋体" w:hAnsi="宋体"/>
          <w:b/>
          <w:color w:val="000000" w:themeColor="text1"/>
          <w:sz w:val="24"/>
          <w:highlight w:val="none"/>
          <w14:textFill>
            <w14:solidFill>
              <w14:schemeClr w14:val="tx1"/>
            </w14:solidFill>
          </w14:textFill>
        </w:rPr>
      </w:pPr>
    </w:p>
    <w:p w14:paraId="4FE79456">
      <w:pPr>
        <w:keepNext w:val="0"/>
        <w:keepLines w:val="0"/>
        <w:pageBreakBefore w:val="0"/>
        <w:kinsoku/>
        <w:overflowPunct/>
        <w:topLinePunct w:val="0"/>
        <w:bidi w:val="0"/>
        <w:spacing w:line="360" w:lineRule="auto"/>
        <w:jc w:val="center"/>
        <w:rPr>
          <w:rFonts w:ascii="宋体" w:hAnsi="宋体"/>
          <w:b/>
          <w:color w:val="000000" w:themeColor="text1"/>
          <w:sz w:val="24"/>
          <w:highlight w:val="none"/>
          <w14:textFill>
            <w14:solidFill>
              <w14:schemeClr w14:val="tx1"/>
            </w14:solidFill>
          </w14:textFill>
        </w:rPr>
      </w:pPr>
    </w:p>
    <w:p w14:paraId="19DDB7BB">
      <w:pPr>
        <w:keepNext w:val="0"/>
        <w:keepLines w:val="0"/>
        <w:pageBreakBefore w:val="0"/>
        <w:kinsoku/>
        <w:overflowPunct/>
        <w:topLinePunct w:val="0"/>
        <w:bidi w:val="0"/>
        <w:spacing w:line="360" w:lineRule="auto"/>
        <w:jc w:val="both"/>
        <w:rPr>
          <w:rFonts w:ascii="宋体" w:hAnsi="宋体"/>
          <w:b/>
          <w:color w:val="000000" w:themeColor="text1"/>
          <w:sz w:val="24"/>
          <w:highlight w:val="none"/>
          <w14:textFill>
            <w14:solidFill>
              <w14:schemeClr w14:val="tx1"/>
            </w14:solidFill>
          </w14:textFill>
        </w:rPr>
      </w:pPr>
    </w:p>
    <w:p w14:paraId="6EB8BF75">
      <w:pPr>
        <w:keepNext w:val="0"/>
        <w:keepLines w:val="0"/>
        <w:pageBreakBefore w:val="0"/>
        <w:kinsoku/>
        <w:overflowPunct/>
        <w:topLinePunct w:val="0"/>
        <w:bidi w:val="0"/>
        <w:spacing w:line="360" w:lineRule="auto"/>
        <w:jc w:val="center"/>
        <w:rPr>
          <w:rFonts w:ascii="宋体" w:hAnsi="宋体"/>
          <w:b/>
          <w:color w:val="000000" w:themeColor="text1"/>
          <w:sz w:val="24"/>
          <w:highlight w:val="none"/>
          <w14:textFill>
            <w14:solidFill>
              <w14:schemeClr w14:val="tx1"/>
            </w14:solidFill>
          </w14:textFill>
        </w:rPr>
      </w:pPr>
    </w:p>
    <w:p w14:paraId="6DA175BB">
      <w:pPr>
        <w:pStyle w:val="256"/>
        <w:keepNext w:val="0"/>
        <w:keepLines w:val="0"/>
        <w:pageBreakBefore w:val="0"/>
        <w:kinsoku/>
        <w:overflowPunct/>
        <w:topLinePunct w:val="0"/>
        <w:bidi w:val="0"/>
        <w:spacing w:line="360" w:lineRule="auto"/>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747F1FC9">
      <w:pPr>
        <w:keepNext w:val="0"/>
        <w:keepLines w:val="0"/>
        <w:pageBreakBefore w:val="0"/>
        <w:kinsoku/>
        <w:overflowPunct/>
        <w:topLinePunct w:val="0"/>
        <w:bidi w:val="0"/>
        <w:spacing w:line="360" w:lineRule="auto"/>
        <w:ind w:firstLine="843" w:firstLineChars="300"/>
        <w:rPr>
          <w:rFonts w:ascii="宋体" w:hAnsi="宋体"/>
          <w:b/>
          <w:color w:val="000000" w:themeColor="text1"/>
          <w:sz w:val="28"/>
          <w:szCs w:val="28"/>
          <w:highlight w:val="none"/>
          <w14:textFill>
            <w14:solidFill>
              <w14:schemeClr w14:val="tx1"/>
            </w14:solidFill>
          </w14:textFill>
        </w:rPr>
      </w:pPr>
    </w:p>
    <w:p w14:paraId="5EC46407">
      <w:pPr>
        <w:pStyle w:val="256"/>
        <w:keepNext w:val="0"/>
        <w:keepLines w:val="0"/>
        <w:pageBreakBefore w:val="0"/>
        <w:kinsoku/>
        <w:overflowPunct/>
        <w:topLinePunct w:val="0"/>
        <w:bidi w:val="0"/>
        <w:spacing w:line="360" w:lineRule="auto"/>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720EE2D2">
      <w:pPr>
        <w:keepNext w:val="0"/>
        <w:keepLines w:val="0"/>
        <w:pageBreakBefore w:val="0"/>
        <w:kinsoku/>
        <w:overflowPunct/>
        <w:topLinePunct w:val="0"/>
        <w:bidi w:val="0"/>
        <w:spacing w:line="360" w:lineRule="auto"/>
        <w:ind w:firstLine="843" w:firstLineChars="300"/>
        <w:rPr>
          <w:rFonts w:ascii="宋体" w:hAnsi="宋体"/>
          <w:b/>
          <w:color w:val="000000" w:themeColor="text1"/>
          <w:sz w:val="28"/>
          <w:szCs w:val="28"/>
          <w:highlight w:val="none"/>
          <w:u w:val="single"/>
          <w14:textFill>
            <w14:solidFill>
              <w14:schemeClr w14:val="tx1"/>
            </w14:solidFill>
          </w14:textFill>
        </w:rPr>
      </w:pPr>
    </w:p>
    <w:p w14:paraId="480D35A6">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p>
    <w:p w14:paraId="2AC94C49">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p>
    <w:p w14:paraId="64E0DC1E">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p>
    <w:p w14:paraId="458EA4D5">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p>
    <w:p w14:paraId="3EE84718">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p>
    <w:p w14:paraId="5AE667D2">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p>
    <w:p w14:paraId="78A3E122">
      <w:pPr>
        <w:keepNext w:val="0"/>
        <w:keepLines w:val="0"/>
        <w:pageBreakBefore w:val="0"/>
        <w:kinsoku/>
        <w:overflowPunct/>
        <w:topLinePunct w:val="0"/>
        <w:bidi w:val="0"/>
        <w:spacing w:line="360" w:lineRule="auto"/>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6E2C30A4">
      <w:pPr>
        <w:keepNext w:val="0"/>
        <w:keepLines w:val="0"/>
        <w:pageBreakBefore w:val="0"/>
        <w:kinsoku/>
        <w:overflowPunct/>
        <w:topLinePunct w:val="0"/>
        <w:bidi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6CC94192">
      <w:pPr>
        <w:keepNext w:val="0"/>
        <w:keepLines w:val="0"/>
        <w:pageBreakBefore w:val="0"/>
        <w:kinsoku/>
        <w:overflowPunct/>
        <w:topLinePunct w:val="0"/>
        <w:bidi w:val="0"/>
        <w:spacing w:line="360" w:lineRule="auto"/>
        <w:jc w:val="both"/>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2"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2DB8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BEB6D4A">
            <w:pPr>
              <w:keepNext w:val="0"/>
              <w:keepLines w:val="0"/>
              <w:pageBreakBefore w:val="0"/>
              <w:kinsoku/>
              <w:overflowPunct/>
              <w:topLinePunct w:val="0"/>
              <w:bidi w:val="0"/>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4F7A0D35">
            <w:pPr>
              <w:keepNext w:val="0"/>
              <w:keepLines w:val="0"/>
              <w:pageBreakBefore w:val="0"/>
              <w:kinsoku/>
              <w:overflowPunct/>
              <w:topLinePunct w:val="0"/>
              <w:bidi w:val="0"/>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6052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47185CB">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7B9A0CCC">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19388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23C83CD9">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6F6F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40E7DE0E">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3C875F87">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3C92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EE70ADF">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6A8DB006">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0A32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89ECD2E">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5775921B">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6173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A1A94A2">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57B48E8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78861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304A6BD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7E6E37B8">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29EF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145244AE">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1641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E014A43">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28E064CF">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530B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70700E5">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0153B319">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7789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56F87A6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4CC29F7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4001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B077343">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447AE21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185D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4ED6A5CB">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7D1CE2D2">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1B66A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3CA1A8CD">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1AC42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4CCBAB1B">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327A5AE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04ED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1F212839">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3DD91064">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3464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2E03ED04">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42CD5801">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542E5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2B37F7FA">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17F4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78E78232">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46DA6FFE">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r w14:paraId="2AF91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6AE8046B">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c>
          <w:tcPr>
            <w:tcW w:w="1783" w:type="pct"/>
          </w:tcPr>
          <w:p w14:paraId="0E9C9456">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tc>
      </w:tr>
    </w:tbl>
    <w:p w14:paraId="5C9B1E28">
      <w:pPr>
        <w:keepNext w:val="0"/>
        <w:keepLines w:val="0"/>
        <w:pageBreakBefore w:val="0"/>
        <w:kinsoku/>
        <w:overflowPunct/>
        <w:topLinePunct w:val="0"/>
        <w:bidi w:val="0"/>
        <w:spacing w:line="360" w:lineRule="auto"/>
        <w:rPr>
          <w:rFonts w:ascii="宋体" w:hAnsi="宋体"/>
          <w:color w:val="000000" w:themeColor="text1"/>
          <w:highlight w:val="none"/>
          <w14:textFill>
            <w14:solidFill>
              <w14:schemeClr w14:val="tx1"/>
            </w14:solidFill>
          </w14:textFill>
        </w:rPr>
      </w:pPr>
    </w:p>
    <w:p w14:paraId="0A41EFA4">
      <w:pPr>
        <w:keepNext w:val="0"/>
        <w:keepLines w:val="0"/>
        <w:pageBreakBefore w:val="0"/>
        <w:kinsoku/>
        <w:overflowPunct/>
        <w:topLinePunct w:val="0"/>
        <w:bidi w:val="0"/>
        <w:spacing w:line="360" w:lineRule="auto"/>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3" w:name="_Toc489655320"/>
    </w:p>
    <w:p w14:paraId="68F0CA68">
      <w:pPr>
        <w:pStyle w:val="263"/>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2"/>
      <w:bookmarkEnd w:id="13"/>
      <w:r>
        <w:rPr>
          <w:color w:val="000000" w:themeColor="text1"/>
          <w:highlight w:val="none"/>
          <w14:textFill>
            <w14:solidFill>
              <w14:schemeClr w14:val="tx1"/>
            </w14:solidFill>
          </w14:textFill>
        </w:rPr>
        <w:t>及相关证明材料格式、附件</w:t>
      </w:r>
    </w:p>
    <w:p w14:paraId="657A3B2A">
      <w:pPr>
        <w:keepNext w:val="0"/>
        <w:keepLines w:val="0"/>
        <w:pageBreakBefore w:val="0"/>
        <w:kinsoku/>
        <w:overflowPunct/>
        <w:topLinePunct w:val="0"/>
        <w:bidi w:val="0"/>
        <w:spacing w:line="360" w:lineRule="auto"/>
        <w:rPr>
          <w:rFonts w:ascii="宋体" w:hAnsi="宋体"/>
          <w:color w:val="000000" w:themeColor="text1"/>
          <w:sz w:val="28"/>
          <w:szCs w:val="28"/>
          <w:highlight w:val="none"/>
          <w14:textFill>
            <w14:solidFill>
              <w14:schemeClr w14:val="tx1"/>
            </w14:solidFill>
          </w14:textFill>
        </w:rPr>
      </w:pPr>
    </w:p>
    <w:p w14:paraId="01289A27">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2D17DA88">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0E766A67">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0D5F2827">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78701362">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4BEA9E43">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2CAF0581">
      <w:pPr>
        <w:keepNext w:val="0"/>
        <w:keepLines w:val="0"/>
        <w:pageBreakBefore w:val="0"/>
        <w:kinsoku/>
        <w:overflowPunct/>
        <w:topLinePunct w:val="0"/>
        <w:bidi w:val="0"/>
        <w:spacing w:line="360" w:lineRule="auto"/>
        <w:ind w:left="2280" w:hanging="720"/>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w:t>
      </w:r>
      <w:r>
        <w:rPr>
          <w:rFonts w:hint="eastAsia" w:ascii="宋体" w:hAnsi="宋体"/>
          <w:color w:val="000000" w:themeColor="text1"/>
          <w:sz w:val="28"/>
          <w:szCs w:val="28"/>
          <w:highlight w:val="none"/>
          <w:lang w:val="en-US" w:eastAsia="zh-CN"/>
          <w14:textFill>
            <w14:solidFill>
              <w14:schemeClr w14:val="tx1"/>
            </w14:solidFill>
          </w14:textFill>
        </w:rPr>
        <w:t>评分项审查材料</w:t>
      </w:r>
    </w:p>
    <w:p w14:paraId="6D4D499E">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7AC6AF4A">
      <w:pPr>
        <w:keepNext w:val="0"/>
        <w:keepLines w:val="0"/>
        <w:pageBreakBefore w:val="0"/>
        <w:kinsoku/>
        <w:overflowPunct/>
        <w:topLinePunct w:val="0"/>
        <w:bidi w:val="0"/>
        <w:spacing w:line="360" w:lineRule="auto"/>
        <w:ind w:left="2280" w:hanging="720"/>
        <w:rPr>
          <w:rFonts w:ascii="宋体" w:hAnsi="宋体"/>
          <w:color w:val="000000" w:themeColor="text1"/>
          <w:sz w:val="28"/>
          <w:szCs w:val="28"/>
          <w:highlight w:val="none"/>
          <w14:textFill>
            <w14:solidFill>
              <w14:schemeClr w14:val="tx1"/>
            </w14:solidFill>
          </w14:textFill>
        </w:rPr>
      </w:pPr>
    </w:p>
    <w:p w14:paraId="2221CC57">
      <w:pPr>
        <w:keepNext w:val="0"/>
        <w:keepLines w:val="0"/>
        <w:pageBreakBefore w:val="0"/>
        <w:kinsoku/>
        <w:overflowPunct/>
        <w:topLinePunct w:val="0"/>
        <w:bidi w:val="0"/>
        <w:spacing w:line="360" w:lineRule="auto"/>
        <w:rPr>
          <w:rFonts w:ascii="宋体" w:hAnsi="宋体"/>
          <w:color w:val="000000" w:themeColor="text1"/>
          <w:sz w:val="28"/>
          <w:szCs w:val="28"/>
          <w:highlight w:val="none"/>
          <w14:textFill>
            <w14:solidFill>
              <w14:schemeClr w14:val="tx1"/>
            </w14:solidFill>
          </w14:textFill>
        </w:rPr>
      </w:pPr>
    </w:p>
    <w:p w14:paraId="225E0E92">
      <w:pPr>
        <w:keepNext w:val="0"/>
        <w:keepLines w:val="0"/>
        <w:pageBreakBefore w:val="0"/>
        <w:kinsoku/>
        <w:overflowPunct/>
        <w:topLinePunct w:val="0"/>
        <w:bidi w:val="0"/>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04958EFC">
      <w:pPr>
        <w:keepNext w:val="0"/>
        <w:keepLines w:val="0"/>
        <w:pageBreakBefore w:val="0"/>
        <w:kinsoku/>
        <w:overflowPunct/>
        <w:topLinePunct w:val="0"/>
        <w:bidi w:val="0"/>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4BFEF61D">
      <w:pPr>
        <w:keepNext w:val="0"/>
        <w:keepLines w:val="0"/>
        <w:pageBreakBefore w:val="0"/>
        <w:kinsoku/>
        <w:overflowPunct/>
        <w:topLinePunct w:val="0"/>
        <w:bidi w:val="0"/>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55EE02F9">
      <w:pPr>
        <w:keepNext w:val="0"/>
        <w:keepLines w:val="0"/>
        <w:pageBreakBefore w:val="0"/>
        <w:kinsoku/>
        <w:overflowPunct/>
        <w:topLinePunct w:val="0"/>
        <w:bidi w:val="0"/>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18E921BD">
      <w:pPr>
        <w:pStyle w:val="17"/>
        <w:keepNext w:val="0"/>
        <w:keepLines w:val="0"/>
        <w:pageBreakBefore w:val="0"/>
        <w:kinsoku/>
        <w:overflowPunct/>
        <w:topLinePunct w:val="0"/>
        <w:bidi w:val="0"/>
        <w:spacing w:line="360" w:lineRule="auto"/>
        <w:ind w:firstLine="0"/>
        <w:outlineLvl w:val="1"/>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一、响应申请及声明格式</w:t>
      </w:r>
    </w:p>
    <w:p w14:paraId="7C932141">
      <w:pPr>
        <w:pStyle w:val="265"/>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16A07759">
      <w:pPr>
        <w:pStyle w:val="17"/>
        <w:keepNext w:val="0"/>
        <w:keepLines w:val="0"/>
        <w:pageBreakBefore w:val="0"/>
        <w:kinsoku/>
        <w:overflowPunct/>
        <w:topLinePunct w:val="0"/>
        <w:bidi w:val="0"/>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0B0C70D0">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6F88C329">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4C068E3F">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36F47099">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7C72F099">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0900AE00">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265B2E64">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65761B80">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75501C1">
      <w:pPr>
        <w:pStyle w:val="17"/>
        <w:keepNext w:val="0"/>
        <w:keepLines w:val="0"/>
        <w:pageBreakBefore w:val="0"/>
        <w:widowControl w:val="0"/>
        <w:numPr>
          <w:ilvl w:val="0"/>
          <w:numId w:val="57"/>
        </w:numPr>
        <w:kinsoku/>
        <w:wordWrap/>
        <w:overflowPunct/>
        <w:topLinePunct w:val="0"/>
        <w:bidi w:val="0"/>
        <w:snapToGrid/>
        <w:spacing w:line="336" w:lineRule="auto"/>
        <w:ind w:firstLineChars="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6D05D85E">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33CF7F8">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5F80EAB0">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6DBFF22D">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4F76F666">
      <w:pPr>
        <w:pStyle w:val="17"/>
        <w:keepNext w:val="0"/>
        <w:keepLines w:val="0"/>
        <w:pageBreakBefore w:val="0"/>
        <w:widowControl w:val="0"/>
        <w:kinsoku/>
        <w:wordWrap/>
        <w:overflowPunct/>
        <w:topLinePunct w:val="0"/>
        <w:bidi w:val="0"/>
        <w:snapToGrid/>
        <w:spacing w:line="336" w:lineRule="auto"/>
        <w:ind w:firstLine="48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1DF7CE54">
      <w:pPr>
        <w:keepNext w:val="0"/>
        <w:keepLines w:val="0"/>
        <w:pageBreakBefore w:val="0"/>
        <w:widowControl w:val="0"/>
        <w:kinsoku/>
        <w:wordWrap/>
        <w:overflowPunct/>
        <w:topLinePunct w:val="0"/>
        <w:autoSpaceDE w:val="0"/>
        <w:autoSpaceDN w:val="0"/>
        <w:bidi w:val="0"/>
        <w:adjustRightInd w:val="0"/>
        <w:snapToGrid/>
        <w:spacing w:line="336" w:lineRule="auto"/>
        <w:ind w:firstLine="420"/>
        <w:textAlignment w:val="auto"/>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14:paraId="43881C00">
      <w:pPr>
        <w:keepNext w:val="0"/>
        <w:keepLines w:val="0"/>
        <w:pageBreakBefore w:val="0"/>
        <w:widowControl w:val="0"/>
        <w:kinsoku/>
        <w:wordWrap/>
        <w:overflowPunct/>
        <w:topLinePunct w:val="0"/>
        <w:autoSpaceDE w:val="0"/>
        <w:autoSpaceDN w:val="0"/>
        <w:bidi w:val="0"/>
        <w:adjustRightInd w:val="0"/>
        <w:snapToGrid/>
        <w:spacing w:line="336" w:lineRule="auto"/>
        <w:ind w:firstLine="420"/>
        <w:textAlignment w:val="auto"/>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FC87A85">
      <w:pPr>
        <w:keepNext w:val="0"/>
        <w:keepLines w:val="0"/>
        <w:pageBreakBefore w:val="0"/>
        <w:widowControl w:val="0"/>
        <w:kinsoku/>
        <w:wordWrap/>
        <w:overflowPunct/>
        <w:topLinePunct w:val="0"/>
        <w:autoSpaceDE w:val="0"/>
        <w:autoSpaceDN w:val="0"/>
        <w:bidi w:val="0"/>
        <w:adjustRightInd w:val="0"/>
        <w:snapToGrid/>
        <w:spacing w:line="336" w:lineRule="auto"/>
        <w:ind w:firstLine="420"/>
        <w:textAlignment w:val="auto"/>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14:paraId="56E4F105">
      <w:pPr>
        <w:keepNext w:val="0"/>
        <w:keepLines w:val="0"/>
        <w:pageBreakBefore w:val="0"/>
        <w:widowControl w:val="0"/>
        <w:kinsoku/>
        <w:wordWrap/>
        <w:overflowPunct/>
        <w:topLinePunct w:val="0"/>
        <w:bidi w:val="0"/>
        <w:snapToGrid/>
        <w:spacing w:line="336" w:lineRule="auto"/>
        <w:jc w:val="left"/>
        <w:textAlignment w:val="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05E2EEE">
      <w:pPr>
        <w:pStyle w:val="17"/>
        <w:keepNext w:val="0"/>
        <w:keepLines w:val="0"/>
        <w:pageBreakBefore w:val="0"/>
        <w:kinsoku/>
        <w:overflowPunct/>
        <w:topLinePunct w:val="0"/>
        <w:bidi w:val="0"/>
        <w:spacing w:line="360" w:lineRule="auto"/>
        <w:ind w:firstLine="0"/>
        <w:outlineLvl w:val="1"/>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二、法定代表人授权书格式</w:t>
      </w:r>
    </w:p>
    <w:p w14:paraId="3CBA6F9F">
      <w:pPr>
        <w:pStyle w:val="265"/>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05957659">
      <w:pPr>
        <w:pStyle w:val="17"/>
        <w:keepNext w:val="0"/>
        <w:keepLines w:val="0"/>
        <w:pageBreakBefore w:val="0"/>
        <w:kinsoku/>
        <w:overflowPunct/>
        <w:topLinePunct w:val="0"/>
        <w:bidi w:val="0"/>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451EAD8D">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6F1CA68F">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373537CB">
      <w:pPr>
        <w:keepNext w:val="0"/>
        <w:keepLines w:val="0"/>
        <w:pageBreakBefore w:val="0"/>
        <w:kinsoku/>
        <w:overflowPunct/>
        <w:topLinePunct w:val="0"/>
        <w:bidi w:val="0"/>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24F0E8E2">
      <w:pPr>
        <w:keepNext w:val="0"/>
        <w:keepLines w:val="0"/>
        <w:pageBreakBefore w:val="0"/>
        <w:kinsoku/>
        <w:overflowPunct/>
        <w:topLinePunct w:val="0"/>
        <w:bidi w:val="0"/>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4D07F7F5">
      <w:pPr>
        <w:keepNext w:val="0"/>
        <w:keepLines w:val="0"/>
        <w:pageBreakBefore w:val="0"/>
        <w:kinsoku/>
        <w:overflowPunct/>
        <w:topLinePunct w:val="0"/>
        <w:bidi w:val="0"/>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14:paraId="5476A944">
      <w:pPr>
        <w:keepNext w:val="0"/>
        <w:keepLines w:val="0"/>
        <w:pageBreakBefore w:val="0"/>
        <w:tabs>
          <w:tab w:val="left" w:pos="1440"/>
        </w:tabs>
        <w:kinsoku/>
        <w:overflowPunct/>
        <w:topLinePunct w:val="0"/>
        <w:bidi w:val="0"/>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499AECC7">
      <w:pPr>
        <w:keepNext w:val="0"/>
        <w:keepLines w:val="0"/>
        <w:pageBreakBefore w:val="0"/>
        <w:tabs>
          <w:tab w:val="left" w:pos="1440"/>
        </w:tabs>
        <w:kinsoku/>
        <w:overflowPunct/>
        <w:topLinePunct w:val="0"/>
        <w:bidi w:val="0"/>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6B0E9D0E">
      <w:pPr>
        <w:keepNext w:val="0"/>
        <w:keepLines w:val="0"/>
        <w:pageBreakBefore w:val="0"/>
        <w:tabs>
          <w:tab w:val="left" w:pos="1440"/>
        </w:tabs>
        <w:kinsoku/>
        <w:overflowPunct/>
        <w:topLinePunct w:val="0"/>
        <w:bidi w:val="0"/>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121AD0FD">
      <w:pPr>
        <w:keepNext w:val="0"/>
        <w:keepLines w:val="0"/>
        <w:pageBreakBefore w:val="0"/>
        <w:tabs>
          <w:tab w:val="left" w:pos="1440"/>
        </w:tabs>
        <w:kinsoku/>
        <w:overflowPunct/>
        <w:topLinePunct w:val="0"/>
        <w:bidi w:val="0"/>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744D680C">
      <w:pPr>
        <w:keepNext w:val="0"/>
        <w:keepLines w:val="0"/>
        <w:pageBreakBefore w:val="0"/>
        <w:tabs>
          <w:tab w:val="left" w:pos="1440"/>
        </w:tabs>
        <w:kinsoku/>
        <w:overflowPunct/>
        <w:topLinePunct w:val="0"/>
        <w:bidi w:val="0"/>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67DECFA0">
      <w:pPr>
        <w:keepNext w:val="0"/>
        <w:keepLines w:val="0"/>
        <w:pageBreakBefore w:val="0"/>
        <w:tabs>
          <w:tab w:val="left" w:pos="1440"/>
        </w:tabs>
        <w:kinsoku/>
        <w:overflowPunct/>
        <w:topLinePunct w:val="0"/>
        <w:bidi w:val="0"/>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171C95DE">
      <w:pPr>
        <w:keepNext w:val="0"/>
        <w:keepLines w:val="0"/>
        <w:pageBreakBefore w:val="0"/>
        <w:tabs>
          <w:tab w:val="left" w:pos="1440"/>
        </w:tabs>
        <w:kinsoku/>
        <w:overflowPunct/>
        <w:topLinePunct w:val="0"/>
        <w:bidi w:val="0"/>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42916B0B">
      <w:pPr>
        <w:keepNext w:val="0"/>
        <w:keepLines w:val="0"/>
        <w:pageBreakBefore w:val="0"/>
        <w:tabs>
          <w:tab w:val="left" w:pos="1440"/>
        </w:tabs>
        <w:kinsoku/>
        <w:overflowPunct/>
        <w:topLinePunct w:val="0"/>
        <w:bidi w:val="0"/>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0D89E8B3">
      <w:pPr>
        <w:keepNext w:val="0"/>
        <w:keepLines w:val="0"/>
        <w:pageBreakBefore w:val="0"/>
        <w:kinsoku/>
        <w:overflowPunct/>
        <w:topLinePunct w:val="0"/>
        <w:bidi w:val="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295583C">
      <w:pPr>
        <w:pStyle w:val="17"/>
        <w:outlineLvl w:val="1"/>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三、响应一览表</w:t>
      </w:r>
    </w:p>
    <w:p w14:paraId="7284C2E3">
      <w:pPr>
        <w:keepNext w:val="0"/>
        <w:keepLines w:val="0"/>
        <w:pageBreakBefore w:val="0"/>
        <w:kinsoku/>
        <w:overflowPunct/>
        <w:topLinePunct w:val="0"/>
        <w:bidi w:val="0"/>
        <w:spacing w:line="360" w:lineRule="auto"/>
        <w:jc w:val="center"/>
        <w:rPr>
          <w:rFonts w:hint="eastAsia" w:asciiTheme="majorEastAsia" w:hAnsiTheme="majorEastAsia" w:eastAsiaTheme="majorEastAsia"/>
          <w:b/>
          <w:sz w:val="24"/>
          <w:highlight w:val="none"/>
        </w:rPr>
      </w:pPr>
      <w:r>
        <w:rPr>
          <w:rFonts w:hint="eastAsia" w:asciiTheme="majorEastAsia" w:hAnsiTheme="majorEastAsia" w:eastAsiaTheme="majorEastAsia"/>
          <w:b/>
          <w:sz w:val="24"/>
          <w:highlight w:val="none"/>
          <w:lang w:val="en-US" w:eastAsia="zh-CN"/>
        </w:rPr>
        <w:t>响应</w:t>
      </w:r>
      <w:r>
        <w:rPr>
          <w:rFonts w:asciiTheme="majorEastAsia" w:hAnsiTheme="majorEastAsia" w:eastAsiaTheme="majorEastAsia"/>
          <w:b/>
          <w:sz w:val="24"/>
          <w:highlight w:val="none"/>
        </w:rPr>
        <w:t>一览表</w:t>
      </w:r>
    </w:p>
    <w:p w14:paraId="1031ECB6">
      <w:pPr>
        <w:pStyle w:val="13"/>
        <w:keepNext w:val="0"/>
        <w:keepLines w:val="0"/>
        <w:pageBreakBefore w:val="0"/>
        <w:kinsoku/>
        <w:overflowPunct/>
        <w:topLinePunct w:val="0"/>
        <w:bidi w:val="0"/>
        <w:spacing w:line="360" w:lineRule="auto"/>
        <w:rPr>
          <w:sz w:val="22"/>
          <w:szCs w:val="22"/>
          <w:highlight w:val="none"/>
        </w:rPr>
      </w:pPr>
      <w:bookmarkStart w:id="14" w:name="_Hlk179882269"/>
      <w:r>
        <w:rPr>
          <w:rFonts w:hint="eastAsia" w:ascii="宋体" w:hAnsi="宋体" w:cs="宋体"/>
          <w:sz w:val="22"/>
          <w:szCs w:val="22"/>
          <w:highlight w:val="none"/>
        </w:rPr>
        <w:t>项目编号：</w:t>
      </w:r>
    </w:p>
    <w:p w14:paraId="4CD23BDB">
      <w:pPr>
        <w:pStyle w:val="13"/>
        <w:keepNext w:val="0"/>
        <w:keepLines w:val="0"/>
        <w:pageBreakBefore w:val="0"/>
        <w:kinsoku/>
        <w:overflowPunct/>
        <w:topLinePunct w:val="0"/>
        <w:bidi w:val="0"/>
        <w:spacing w:line="360" w:lineRule="auto"/>
        <w:ind w:left="840" w:hanging="420"/>
        <w:rPr>
          <w:rFonts w:hint="eastAsia" w:ascii="宋体" w:hAnsi="宋体" w:cs="宋体"/>
          <w:sz w:val="22"/>
          <w:szCs w:val="22"/>
          <w:highlight w:val="none"/>
        </w:rPr>
      </w:pPr>
      <w:r>
        <w:rPr>
          <w:rFonts w:hint="eastAsia" w:ascii="宋体" w:hAnsi="宋体" w:cs="宋体"/>
          <w:sz w:val="22"/>
          <w:szCs w:val="22"/>
          <w:highlight w:val="none"/>
        </w:rPr>
        <w:t>项目名称：</w:t>
      </w:r>
    </w:p>
    <w:p w14:paraId="4C368FBE">
      <w:pPr>
        <w:pStyle w:val="13"/>
        <w:keepNext w:val="0"/>
        <w:keepLines w:val="0"/>
        <w:pageBreakBefore w:val="0"/>
        <w:kinsoku/>
        <w:overflowPunct/>
        <w:topLinePunct w:val="0"/>
        <w:bidi w:val="0"/>
        <w:spacing w:line="360" w:lineRule="auto"/>
        <w:ind w:left="840" w:hanging="420"/>
        <w:rPr>
          <w:rFonts w:hint="eastAsia" w:ascii="宋体" w:hAnsi="宋体" w:cs="宋体"/>
          <w:sz w:val="22"/>
          <w:szCs w:val="22"/>
          <w:highlight w:val="none"/>
        </w:rPr>
      </w:pPr>
    </w:p>
    <w:bookmarkEnd w:id="14"/>
    <w:tbl>
      <w:tblPr>
        <w:tblStyle w:val="44"/>
        <w:tblW w:w="9022"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2382"/>
        <w:gridCol w:w="3544"/>
        <w:gridCol w:w="1701"/>
      </w:tblGrid>
      <w:tr w14:paraId="6015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0" w:type="auto"/>
            <w:vAlign w:val="center"/>
          </w:tcPr>
          <w:p w14:paraId="415DC6FD">
            <w:pPr>
              <w:pStyle w:val="13"/>
              <w:keepNext w:val="0"/>
              <w:keepLines w:val="0"/>
              <w:pageBreakBefore w:val="0"/>
              <w:kinsoku/>
              <w:overflowPunct/>
              <w:topLinePunct w:val="0"/>
              <w:bidi w:val="0"/>
              <w:spacing w:line="360" w:lineRule="auto"/>
              <w:ind w:firstLine="0"/>
              <w:rPr>
                <w:bCs/>
                <w:sz w:val="24"/>
                <w:szCs w:val="24"/>
                <w:highlight w:val="none"/>
              </w:rPr>
            </w:pPr>
            <w:r>
              <w:rPr>
                <w:rFonts w:hint="eastAsia" w:ascii="宋体" w:hAnsi="宋体" w:cs="宋体"/>
                <w:sz w:val="24"/>
                <w:szCs w:val="24"/>
                <w:highlight w:val="none"/>
              </w:rPr>
              <w:t>产品名称</w:t>
            </w:r>
          </w:p>
        </w:tc>
        <w:tc>
          <w:tcPr>
            <w:tcW w:w="2382" w:type="dxa"/>
            <w:vAlign w:val="center"/>
          </w:tcPr>
          <w:p w14:paraId="7235E886">
            <w:pPr>
              <w:pStyle w:val="13"/>
              <w:keepNext w:val="0"/>
              <w:keepLines w:val="0"/>
              <w:pageBreakBefore w:val="0"/>
              <w:kinsoku/>
              <w:overflowPunct/>
              <w:topLinePunct w:val="0"/>
              <w:bidi w:val="0"/>
              <w:spacing w:line="360" w:lineRule="auto"/>
              <w:ind w:firstLine="0"/>
              <w:rPr>
                <w:b/>
                <w:sz w:val="24"/>
                <w:szCs w:val="24"/>
                <w:highlight w:val="none"/>
              </w:rPr>
            </w:pPr>
            <w:r>
              <w:rPr>
                <w:rFonts w:hint="eastAsia" w:ascii="宋体" w:hAnsi="宋体" w:cs="宋体"/>
                <w:sz w:val="24"/>
                <w:szCs w:val="24"/>
                <w:highlight w:val="none"/>
                <w:lang w:val="en-US" w:eastAsia="zh-CN"/>
              </w:rPr>
              <w:t>核心</w:t>
            </w:r>
            <w:r>
              <w:rPr>
                <w:rFonts w:hint="eastAsia" w:ascii="宋体" w:hAnsi="宋体" w:cs="宋体"/>
                <w:sz w:val="24"/>
                <w:szCs w:val="24"/>
                <w:highlight w:val="none"/>
              </w:rPr>
              <w:t>产品品牌/型号</w:t>
            </w:r>
          </w:p>
        </w:tc>
        <w:tc>
          <w:tcPr>
            <w:tcW w:w="3544" w:type="dxa"/>
            <w:vAlign w:val="center"/>
          </w:tcPr>
          <w:p w14:paraId="585C1196">
            <w:pPr>
              <w:pStyle w:val="13"/>
              <w:keepNext w:val="0"/>
              <w:keepLines w:val="0"/>
              <w:pageBreakBefore w:val="0"/>
              <w:kinsoku/>
              <w:overflowPunct/>
              <w:topLinePunct w:val="0"/>
              <w:bidi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报价金额</w:t>
            </w:r>
          </w:p>
        </w:tc>
        <w:tc>
          <w:tcPr>
            <w:tcW w:w="1701" w:type="dxa"/>
            <w:vAlign w:val="center"/>
          </w:tcPr>
          <w:p w14:paraId="68DCE0F1">
            <w:pPr>
              <w:pStyle w:val="13"/>
              <w:keepNext w:val="0"/>
              <w:keepLines w:val="0"/>
              <w:pageBreakBefore w:val="0"/>
              <w:kinsoku/>
              <w:overflowPunct/>
              <w:topLinePunct w:val="0"/>
              <w:bidi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限价</w:t>
            </w:r>
          </w:p>
        </w:tc>
      </w:tr>
      <w:tr w14:paraId="16D1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0" w:type="auto"/>
            <w:vAlign w:val="center"/>
          </w:tcPr>
          <w:p w14:paraId="7168C236">
            <w:pPr>
              <w:pStyle w:val="13"/>
              <w:keepNext w:val="0"/>
              <w:keepLines w:val="0"/>
              <w:pageBreakBefore w:val="0"/>
              <w:kinsoku/>
              <w:overflowPunct/>
              <w:topLinePunct w:val="0"/>
              <w:bidi w:val="0"/>
              <w:spacing w:line="360" w:lineRule="auto"/>
              <w:ind w:firstLine="0"/>
              <w:rPr>
                <w:rFonts w:hint="default" w:eastAsia="宋体"/>
                <w:b/>
                <w:sz w:val="24"/>
                <w:szCs w:val="24"/>
                <w:highlight w:val="none"/>
                <w:lang w:val="en-US" w:eastAsia="zh-CN"/>
              </w:rPr>
            </w:pPr>
            <w:r>
              <w:rPr>
                <w:rFonts w:hint="eastAsia" w:asciiTheme="majorEastAsia" w:hAnsiTheme="majorEastAsia" w:eastAsiaTheme="majorEastAsia"/>
                <w:b w:val="0"/>
                <w:bCs w:val="0"/>
                <w:sz w:val="24"/>
                <w:szCs w:val="24"/>
                <w:highlight w:val="none"/>
                <w:u w:val="none"/>
                <w:lang w:eastAsia="zh-CN"/>
              </w:rPr>
              <w:t>学生公寓消防无线报警装置采购</w:t>
            </w:r>
          </w:p>
        </w:tc>
        <w:tc>
          <w:tcPr>
            <w:tcW w:w="2382" w:type="dxa"/>
            <w:vAlign w:val="center"/>
          </w:tcPr>
          <w:p w14:paraId="53972949">
            <w:pPr>
              <w:pStyle w:val="13"/>
              <w:keepNext w:val="0"/>
              <w:keepLines w:val="0"/>
              <w:pageBreakBefore w:val="0"/>
              <w:kinsoku/>
              <w:overflowPunct/>
              <w:topLinePunct w:val="0"/>
              <w:bidi w:val="0"/>
              <w:spacing w:line="360" w:lineRule="auto"/>
              <w:rPr>
                <w:b/>
                <w:sz w:val="24"/>
                <w:szCs w:val="24"/>
                <w:highlight w:val="none"/>
              </w:rPr>
            </w:pPr>
          </w:p>
        </w:tc>
        <w:tc>
          <w:tcPr>
            <w:tcW w:w="3544" w:type="dxa"/>
            <w:vAlign w:val="center"/>
          </w:tcPr>
          <w:p w14:paraId="5D0B1EE9">
            <w:pPr>
              <w:keepNext w:val="0"/>
              <w:keepLines w:val="0"/>
              <w:pageBreakBefore w:val="0"/>
              <w:kinsoku/>
              <w:overflowPunct/>
              <w:topLinePunct w:val="0"/>
              <w:bidi w:val="0"/>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15D11B44">
            <w:pPr>
              <w:pStyle w:val="13"/>
              <w:keepNext w:val="0"/>
              <w:keepLines w:val="0"/>
              <w:pageBreakBefore w:val="0"/>
              <w:kinsoku/>
              <w:overflowPunct/>
              <w:topLinePunct w:val="0"/>
              <w:bidi w:val="0"/>
              <w:spacing w:line="360" w:lineRule="auto"/>
              <w:ind w:firstLine="0"/>
              <w:rPr>
                <w:b/>
                <w:sz w:val="24"/>
                <w:szCs w:val="24"/>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人民币</w:t>
            </w:r>
          </w:p>
        </w:tc>
        <w:tc>
          <w:tcPr>
            <w:tcW w:w="1701" w:type="dxa"/>
            <w:vAlign w:val="center"/>
          </w:tcPr>
          <w:p w14:paraId="54AE92A8">
            <w:pPr>
              <w:keepNext w:val="0"/>
              <w:keepLines w:val="0"/>
              <w:pageBreakBefore w:val="0"/>
              <w:kinsoku/>
              <w:overflowPunct/>
              <w:topLinePunct w:val="0"/>
              <w:bidi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85</w:t>
            </w:r>
            <w:r>
              <w:rPr>
                <w:rFonts w:hint="eastAsia" w:ascii="宋体" w:hAnsi="宋体" w:cs="宋体"/>
                <w:sz w:val="24"/>
                <w:szCs w:val="24"/>
                <w:highlight w:val="none"/>
              </w:rPr>
              <w:t>万元人民币</w:t>
            </w:r>
          </w:p>
        </w:tc>
      </w:tr>
    </w:tbl>
    <w:p w14:paraId="1DCE65D6">
      <w:pPr>
        <w:keepNext w:val="0"/>
        <w:keepLines w:val="0"/>
        <w:pageBreakBefore w:val="0"/>
        <w:widowControl/>
        <w:shd w:val="clear" w:color="auto" w:fill="FFFFFF"/>
        <w:kinsoku/>
        <w:overflowPunct/>
        <w:topLinePunct w:val="0"/>
        <w:bidi w:val="0"/>
        <w:spacing w:line="360" w:lineRule="auto"/>
        <w:rPr>
          <w:sz w:val="24"/>
          <w:highlight w:val="none"/>
        </w:rPr>
      </w:pPr>
    </w:p>
    <w:p w14:paraId="4D57189A">
      <w:pPr>
        <w:keepNext w:val="0"/>
        <w:keepLines w:val="0"/>
        <w:pageBreakBefore w:val="0"/>
        <w:kinsoku/>
        <w:overflowPunct/>
        <w:topLinePunct w:val="0"/>
        <w:bidi w:val="0"/>
        <w:spacing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lang w:eastAsia="zh-CN"/>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002E2305">
      <w:pPr>
        <w:keepNext w:val="0"/>
        <w:keepLines w:val="0"/>
        <w:pageBreakBefore w:val="0"/>
        <w:kinsoku/>
        <w:overflowPunct/>
        <w:topLinePunct w:val="0"/>
        <w:bidi w:val="0"/>
        <w:spacing w:line="360" w:lineRule="auto"/>
        <w:jc w:val="right"/>
        <w:rPr>
          <w:rFonts w:hint="eastAsia"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6B846D3C">
      <w:pPr>
        <w:keepNext w:val="0"/>
        <w:keepLines w:val="0"/>
        <w:pageBreakBefore w:val="0"/>
        <w:kinsoku/>
        <w:overflowPunct/>
        <w:topLinePunct w:val="0"/>
        <w:bidi w:val="0"/>
        <w:spacing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6C864065">
      <w:pPr>
        <w:keepNext w:val="0"/>
        <w:keepLines w:val="0"/>
        <w:pageBreakBefore w:val="0"/>
        <w:kinsoku/>
        <w:overflowPunct/>
        <w:topLinePunct w:val="0"/>
        <w:bidi w:val="0"/>
        <w:spacing w:line="360" w:lineRule="auto"/>
        <w:rPr>
          <w:rFonts w:hint="eastAsia" w:asciiTheme="majorEastAsia" w:hAnsiTheme="majorEastAsia" w:eastAsiaTheme="majorEastAsia"/>
          <w:b/>
          <w:bCs/>
          <w:highlight w:val="none"/>
        </w:rPr>
      </w:pPr>
      <w:r>
        <w:rPr>
          <w:rFonts w:asciiTheme="majorEastAsia" w:hAnsiTheme="majorEastAsia" w:eastAsiaTheme="majorEastAsia"/>
          <w:b/>
          <w:bCs/>
          <w:highlight w:val="none"/>
        </w:rPr>
        <w:t>注：</w:t>
      </w:r>
    </w:p>
    <w:p w14:paraId="798394E6">
      <w:pPr>
        <w:pStyle w:val="19"/>
        <w:keepNext w:val="0"/>
        <w:keepLines w:val="0"/>
        <w:pageBreakBefore w:val="0"/>
        <w:kinsoku/>
        <w:overflowPunct/>
        <w:topLinePunct w:val="0"/>
        <w:bidi w:val="0"/>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w:t>
      </w:r>
      <w:r>
        <w:rPr>
          <w:rFonts w:hint="eastAsia" w:asciiTheme="majorEastAsia" w:hAnsiTheme="majorEastAsia" w:eastAsiaTheme="majorEastAsia"/>
          <w:szCs w:val="21"/>
          <w:highlight w:val="none"/>
          <w:lang w:val="en-US" w:eastAsia="zh-CN"/>
        </w:rPr>
        <w:t>响应</w:t>
      </w:r>
      <w:r>
        <w:rPr>
          <w:rFonts w:hint="eastAsia" w:asciiTheme="majorEastAsia" w:hAnsiTheme="majorEastAsia" w:eastAsiaTheme="majorEastAsia"/>
          <w:szCs w:val="21"/>
          <w:highlight w:val="none"/>
        </w:rPr>
        <w:t>一览表格式及内容。</w:t>
      </w:r>
    </w:p>
    <w:p w14:paraId="28C0C855">
      <w:pPr>
        <w:keepNext w:val="0"/>
        <w:keepLines w:val="0"/>
        <w:pageBreakBefore w:val="0"/>
        <w:kinsoku/>
        <w:overflowPunct/>
        <w:topLinePunct w:val="0"/>
        <w:bidi w:val="0"/>
        <w:spacing w:line="360" w:lineRule="auto"/>
        <w:rPr>
          <w:highlight w:val="none"/>
        </w:rPr>
      </w:pPr>
      <w:r>
        <w:rPr>
          <w:rFonts w:hint="eastAsia" w:asciiTheme="majorEastAsia" w:hAnsiTheme="majorEastAsia" w:eastAsiaTheme="majorEastAsia"/>
          <w:highlight w:val="none"/>
        </w:rPr>
        <w:t>2.</w:t>
      </w:r>
      <w:r>
        <w:rPr>
          <w:rFonts w:hint="eastAsia" w:asciiTheme="majorEastAsia" w:hAnsiTheme="majorEastAsia" w:eastAsiaTheme="majorEastAsia"/>
          <w:highlight w:val="none"/>
          <w:lang w:val="en-US" w:eastAsia="zh-CN"/>
        </w:rPr>
        <w:t>响应</w:t>
      </w:r>
      <w:r>
        <w:rPr>
          <w:rFonts w:hint="eastAsia" w:asciiTheme="majorEastAsia" w:hAnsiTheme="majorEastAsia" w:eastAsiaTheme="majorEastAsia"/>
          <w:highlight w:val="none"/>
        </w:rPr>
        <w:t>一览表除了装订在</w:t>
      </w:r>
      <w:r>
        <w:rPr>
          <w:rFonts w:hint="eastAsia" w:asciiTheme="majorEastAsia" w:hAnsiTheme="majorEastAsia" w:eastAsiaTheme="majorEastAsia"/>
          <w:highlight w:val="none"/>
          <w:lang w:val="en-US" w:eastAsia="zh-CN"/>
        </w:rPr>
        <w:t>响应</w:t>
      </w:r>
      <w:r>
        <w:rPr>
          <w:rFonts w:hint="eastAsia"/>
          <w:highlight w:val="none"/>
        </w:rPr>
        <w:t>文件中以外，还需要</w:t>
      </w:r>
      <w:r>
        <w:rPr>
          <w:rFonts w:hint="eastAsia"/>
          <w:b/>
          <w:bCs/>
          <w:highlight w:val="none"/>
        </w:rPr>
        <w:t>提供一份单独密封的</w:t>
      </w:r>
      <w:r>
        <w:rPr>
          <w:rFonts w:hint="eastAsia"/>
          <w:b/>
          <w:bCs/>
          <w:highlight w:val="none"/>
          <w:lang w:val="en-US" w:eastAsia="zh-CN"/>
        </w:rPr>
        <w:t>响应</w:t>
      </w:r>
      <w:r>
        <w:rPr>
          <w:rFonts w:hint="eastAsia"/>
          <w:b/>
          <w:bCs/>
          <w:highlight w:val="none"/>
        </w:rPr>
        <w:t>一览表及</w:t>
      </w:r>
      <w:r>
        <w:rPr>
          <w:rFonts w:hint="eastAsia"/>
          <w:b/>
          <w:bCs/>
          <w:highlight w:val="none"/>
          <w:lang w:val="en-US" w:eastAsia="zh-CN"/>
        </w:rPr>
        <w:t>响应</w:t>
      </w:r>
      <w:r>
        <w:rPr>
          <w:rFonts w:hint="eastAsia"/>
          <w:b/>
          <w:bCs/>
          <w:highlight w:val="none"/>
        </w:rPr>
        <w:t>清单</w:t>
      </w:r>
      <w:r>
        <w:rPr>
          <w:rFonts w:hint="eastAsia"/>
          <w:b/>
          <w:bCs/>
          <w:highlight w:val="none"/>
          <w:lang w:eastAsia="zh-CN"/>
        </w:rPr>
        <w:t>（</w:t>
      </w:r>
      <w:r>
        <w:rPr>
          <w:rFonts w:hint="eastAsia"/>
          <w:b/>
          <w:bCs/>
          <w:highlight w:val="none"/>
          <w:lang w:val="en-US" w:eastAsia="zh-CN"/>
        </w:rPr>
        <w:t>如有）</w:t>
      </w:r>
      <w:r>
        <w:rPr>
          <w:rFonts w:hint="eastAsia"/>
          <w:b/>
          <w:bCs/>
          <w:highlight w:val="none"/>
        </w:rPr>
        <w:t>，单独密封的</w:t>
      </w:r>
      <w:r>
        <w:rPr>
          <w:rFonts w:hint="eastAsia"/>
          <w:b/>
          <w:bCs/>
          <w:highlight w:val="none"/>
          <w:lang w:val="en-US" w:eastAsia="zh-CN"/>
        </w:rPr>
        <w:t>响应</w:t>
      </w:r>
      <w:r>
        <w:rPr>
          <w:rFonts w:hint="eastAsia"/>
          <w:b/>
          <w:bCs/>
          <w:highlight w:val="none"/>
        </w:rPr>
        <w:t>一览表及</w:t>
      </w:r>
      <w:r>
        <w:rPr>
          <w:rFonts w:hint="eastAsia"/>
          <w:b/>
          <w:bCs/>
          <w:highlight w:val="none"/>
          <w:lang w:val="en-US" w:eastAsia="zh-CN"/>
        </w:rPr>
        <w:t>响应</w:t>
      </w:r>
      <w:r>
        <w:rPr>
          <w:rFonts w:hint="eastAsia"/>
          <w:b/>
          <w:bCs/>
          <w:highlight w:val="none"/>
        </w:rPr>
        <w:t>清单仅是为方便唱标所用</w:t>
      </w:r>
      <w:r>
        <w:rPr>
          <w:rFonts w:hint="eastAsia"/>
          <w:highlight w:val="none"/>
        </w:rPr>
        <w:t>，如未提供，不构成</w:t>
      </w:r>
      <w:r>
        <w:rPr>
          <w:rFonts w:hint="eastAsia"/>
          <w:highlight w:val="none"/>
          <w:lang w:val="en-US" w:eastAsia="zh-CN"/>
        </w:rPr>
        <w:t>响应</w:t>
      </w:r>
      <w:r>
        <w:rPr>
          <w:rFonts w:hint="eastAsia"/>
          <w:highlight w:val="none"/>
        </w:rPr>
        <w:t>文件的完整性偏离。</w:t>
      </w:r>
    </w:p>
    <w:p w14:paraId="62929BB2">
      <w:pPr>
        <w:keepNext w:val="0"/>
        <w:keepLines w:val="0"/>
        <w:pageBreakBefore w:val="0"/>
        <w:kinsoku/>
        <w:overflowPunct/>
        <w:topLinePunct w:val="0"/>
        <w:bidi w:val="0"/>
        <w:spacing w:line="360" w:lineRule="auto"/>
        <w:rPr>
          <w:rFonts w:hint="eastAsia" w:asciiTheme="majorEastAsia" w:hAnsiTheme="majorEastAsia" w:eastAsiaTheme="majorEastAsia"/>
          <w:highlight w:val="none"/>
        </w:rPr>
      </w:pPr>
      <w:r>
        <w:rPr>
          <w:rFonts w:hint="eastAsia"/>
          <w:highlight w:val="none"/>
        </w:rPr>
        <w:t>4</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lang w:val="en-US" w:eastAsia="zh-CN"/>
        </w:rPr>
        <w:t>响应</w:t>
      </w:r>
      <w:r>
        <w:rPr>
          <w:rFonts w:asciiTheme="majorEastAsia" w:hAnsiTheme="majorEastAsia" w:eastAsiaTheme="majorEastAsia"/>
          <w:highlight w:val="none"/>
        </w:rPr>
        <w:t>报价不得超过最高限价，否则作无效标处理</w:t>
      </w:r>
      <w:r>
        <w:rPr>
          <w:rFonts w:hint="eastAsia" w:asciiTheme="majorEastAsia" w:hAnsiTheme="majorEastAsia" w:eastAsiaTheme="majorEastAsia"/>
          <w:highlight w:val="none"/>
        </w:rPr>
        <w:t>。</w:t>
      </w:r>
    </w:p>
    <w:p w14:paraId="6912AB4E">
      <w:pPr>
        <w:rPr>
          <w:rFonts w:hint="eastAsia" w:asciiTheme="majorEastAsia" w:hAnsiTheme="majorEastAsia" w:eastAsiaTheme="majorEastAsia"/>
          <w:highlight w:val="none"/>
        </w:rPr>
      </w:pPr>
      <w:r>
        <w:rPr>
          <w:rFonts w:hint="eastAsia" w:asciiTheme="majorEastAsia" w:hAnsiTheme="majorEastAsia" w:eastAsiaTheme="majorEastAsia"/>
          <w:highlight w:val="none"/>
        </w:rPr>
        <w:br w:type="page"/>
      </w:r>
    </w:p>
    <w:p w14:paraId="3801B7BD">
      <w:pPr>
        <w:keepNext w:val="0"/>
        <w:keepLines w:val="0"/>
        <w:pageBreakBefore w:val="0"/>
        <w:kinsoku/>
        <w:overflowPunct/>
        <w:topLinePunct w:val="0"/>
        <w:bidi w:val="0"/>
        <w:spacing w:line="360" w:lineRule="auto"/>
        <w:jc w:val="center"/>
        <w:rPr>
          <w:rFonts w:hint="eastAsia" w:asciiTheme="majorEastAsia" w:hAnsiTheme="majorEastAsia" w:eastAsiaTheme="majorEastAsia"/>
          <w:b/>
          <w:bCs/>
          <w:sz w:val="30"/>
          <w:szCs w:val="30"/>
          <w:highlight w:val="none"/>
          <w:lang w:val="en-US" w:eastAsia="zh-CN"/>
        </w:rPr>
      </w:pPr>
      <w:r>
        <w:rPr>
          <w:rFonts w:hint="eastAsia" w:asciiTheme="majorEastAsia" w:hAnsiTheme="majorEastAsia" w:eastAsiaTheme="majorEastAsia"/>
          <w:b/>
          <w:bCs/>
          <w:sz w:val="30"/>
          <w:szCs w:val="30"/>
          <w:highlight w:val="none"/>
          <w:lang w:val="en-US" w:eastAsia="zh-CN"/>
        </w:rPr>
        <w:t>响应清单</w:t>
      </w:r>
    </w:p>
    <w:p w14:paraId="75C50C91">
      <w:pPr>
        <w:pStyle w:val="13"/>
        <w:keepNext w:val="0"/>
        <w:keepLines w:val="0"/>
        <w:pageBreakBefore w:val="0"/>
        <w:kinsoku/>
        <w:overflowPunct/>
        <w:topLinePunct w:val="0"/>
        <w:bidi w:val="0"/>
        <w:spacing w:line="360" w:lineRule="auto"/>
        <w:rPr>
          <w:sz w:val="22"/>
          <w:szCs w:val="22"/>
          <w:highlight w:val="none"/>
        </w:rPr>
      </w:pPr>
      <w:r>
        <w:rPr>
          <w:rFonts w:hint="eastAsia" w:ascii="宋体" w:hAnsi="宋体" w:cs="宋体"/>
          <w:sz w:val="22"/>
          <w:szCs w:val="22"/>
          <w:highlight w:val="none"/>
        </w:rPr>
        <w:t>项目编号：</w:t>
      </w:r>
    </w:p>
    <w:p w14:paraId="75CED8D3">
      <w:pPr>
        <w:pStyle w:val="13"/>
        <w:keepNext w:val="0"/>
        <w:keepLines w:val="0"/>
        <w:pageBreakBefore w:val="0"/>
        <w:kinsoku/>
        <w:overflowPunct/>
        <w:topLinePunct w:val="0"/>
        <w:bidi w:val="0"/>
        <w:spacing w:line="360" w:lineRule="auto"/>
        <w:ind w:left="840" w:hanging="420"/>
        <w:rPr>
          <w:rFonts w:hint="eastAsia" w:asciiTheme="majorEastAsia" w:hAnsiTheme="majorEastAsia" w:eastAsiaTheme="majorEastAsia"/>
          <w:b/>
          <w:bCs/>
          <w:sz w:val="30"/>
          <w:szCs w:val="30"/>
          <w:highlight w:val="none"/>
          <w:lang w:val="en-US" w:eastAsia="zh-CN"/>
        </w:rPr>
      </w:pPr>
      <w:r>
        <w:rPr>
          <w:rFonts w:hint="eastAsia" w:ascii="宋体" w:hAnsi="宋体" w:cs="宋体"/>
          <w:sz w:val="22"/>
          <w:szCs w:val="22"/>
          <w:highlight w:val="none"/>
        </w:rPr>
        <w:t>项目名称：</w:t>
      </w:r>
    </w:p>
    <w:tbl>
      <w:tblPr>
        <w:tblStyle w:val="44"/>
        <w:tblW w:w="98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25"/>
        <w:gridCol w:w="1940"/>
        <w:gridCol w:w="1620"/>
        <w:gridCol w:w="1355"/>
        <w:gridCol w:w="1560"/>
        <w:gridCol w:w="1620"/>
      </w:tblGrid>
      <w:tr w14:paraId="3034E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0F01">
            <w:pPr>
              <w:jc w:val="center"/>
              <w:rPr>
                <w:rFonts w:hint="eastAsia" w:ascii="宋体" w:hAnsi="宋体" w:eastAsia="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序号</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DBC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配置产品</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4E1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37C9B">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单位</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2FEC">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单价（元）</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7E1A3">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总价（元）</w:t>
            </w:r>
          </w:p>
        </w:tc>
      </w:tr>
      <w:tr w14:paraId="79AB0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B8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91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火灾报警传输设备及配件</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977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6455F">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9FD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62B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DE2E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47B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EC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独立式光电 感烟火灾探 测报警器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（LoRa）</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79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3500</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80EAE">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0BEA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18DB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F2A1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6F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D8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手动火灾报 警按钮（Lora）</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85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39B3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E5C7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575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C396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0A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67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火灾声光报 器（Lora）</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60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60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132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BECE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6FB1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25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BA4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消防扬声器</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837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A53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13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B81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2567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10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AF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消防广播一 体机</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8A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A4D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3758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414A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B3F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C47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505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LoRa 消防网 关（以太网）</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B4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130</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376F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A42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CB0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9690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8D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B4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触摸可视化电子屏幕</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C31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EBB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套</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486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1E97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9D1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DBC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50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主消控室智能监控装置</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9B9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261F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2619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20D6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E88D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4B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52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POE交换机</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90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39DA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C63D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AF34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286B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2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B926A9">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合计</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F3D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14:paraId="17B7FB01">
      <w:pPr>
        <w:keepNext w:val="0"/>
        <w:keepLines w:val="0"/>
        <w:pageBreakBefore w:val="0"/>
        <w:kinsoku/>
        <w:overflowPunct/>
        <w:topLinePunct w:val="0"/>
        <w:bidi w:val="0"/>
        <w:spacing w:line="360" w:lineRule="auto"/>
        <w:rPr>
          <w:rFonts w:hint="default" w:asciiTheme="majorEastAsia" w:hAnsiTheme="majorEastAsia" w:eastAsiaTheme="majorEastAsia"/>
          <w:highlight w:val="none"/>
          <w:lang w:val="en-US" w:eastAsia="zh-CN"/>
        </w:rPr>
      </w:pPr>
    </w:p>
    <w:p w14:paraId="25EBAAF5">
      <w:pPr>
        <w:keepNext w:val="0"/>
        <w:keepLines w:val="0"/>
        <w:pageBreakBefore w:val="0"/>
        <w:kinsoku/>
        <w:overflowPunct/>
        <w:topLinePunct w:val="0"/>
        <w:bidi w:val="0"/>
        <w:spacing w:line="360" w:lineRule="auto"/>
        <w:rPr>
          <w:rFonts w:hint="eastAsia" w:asciiTheme="majorEastAsia" w:hAnsiTheme="majorEastAsia" w:eastAsiaTheme="majorEastAsia"/>
          <w:highlight w:val="none"/>
        </w:rPr>
      </w:pPr>
    </w:p>
    <w:p w14:paraId="4E1C5075">
      <w:pPr>
        <w:keepNext w:val="0"/>
        <w:keepLines w:val="0"/>
        <w:pageBreakBefore w:val="0"/>
        <w:kinsoku/>
        <w:overflowPunct/>
        <w:topLinePunct w:val="0"/>
        <w:bidi w:val="0"/>
        <w:spacing w:line="360" w:lineRule="auto"/>
        <w:ind w:firstLine="4620" w:firstLineChars="2200"/>
        <w:jc w:val="both"/>
        <w:rPr>
          <w:rFonts w:hint="eastAsia" w:asciiTheme="majorEastAsia" w:hAnsiTheme="majorEastAsia" w:eastAsiaTheme="majorEastAsia"/>
          <w:highlight w:val="none"/>
        </w:rPr>
      </w:pPr>
      <w:r>
        <w:rPr>
          <w:rFonts w:hint="eastAsia" w:asciiTheme="majorEastAsia" w:hAnsiTheme="majorEastAsia" w:eastAsiaTheme="majorEastAsia"/>
          <w:highlight w:val="none"/>
          <w:lang w:eastAsia="zh-CN"/>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11A76D14">
      <w:pPr>
        <w:keepNext w:val="0"/>
        <w:keepLines w:val="0"/>
        <w:pageBreakBefore w:val="0"/>
        <w:kinsoku/>
        <w:overflowPunct/>
        <w:topLinePunct w:val="0"/>
        <w:bidi w:val="0"/>
        <w:spacing w:line="360" w:lineRule="auto"/>
        <w:jc w:val="right"/>
        <w:rPr>
          <w:rFonts w:hint="eastAsia"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5043AA84">
      <w:pPr>
        <w:keepNext w:val="0"/>
        <w:keepLines w:val="0"/>
        <w:pageBreakBefore w:val="0"/>
        <w:kinsoku/>
        <w:overflowPunct/>
        <w:topLinePunct w:val="0"/>
        <w:bidi w:val="0"/>
        <w:spacing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2D0F043E">
      <w:pPr>
        <w:keepNext w:val="0"/>
        <w:keepLines w:val="0"/>
        <w:pageBreakBefore w:val="0"/>
        <w:kinsoku/>
        <w:overflowPunct/>
        <w:topLinePunct w:val="0"/>
        <w:bidi w:val="0"/>
        <w:spacing w:line="360" w:lineRule="auto"/>
        <w:jc w:val="left"/>
        <w:rPr>
          <w:rFonts w:ascii="宋体" w:hAnsi="宋体" w:cs="宋体"/>
          <w:b/>
          <w:color w:val="000000" w:themeColor="text1"/>
          <w:szCs w:val="21"/>
          <w:highlight w:val="none"/>
          <w:lang w:val="zh-CN"/>
          <w14:textFill>
            <w14:solidFill>
              <w14:schemeClr w14:val="tx1"/>
            </w14:solidFill>
          </w14:textFill>
        </w:rPr>
      </w:pPr>
    </w:p>
    <w:p w14:paraId="785270F1">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r>
    </w:p>
    <w:p w14:paraId="0C401F82">
      <w:pPr>
        <w:pStyle w:val="17"/>
        <w:keepNext w:val="0"/>
        <w:keepLines w:val="0"/>
        <w:pageBreakBefore w:val="0"/>
        <w:kinsoku/>
        <w:overflowPunct/>
        <w:topLinePunct w:val="0"/>
        <w:bidi w:val="0"/>
        <w:spacing w:line="360" w:lineRule="auto"/>
        <w:ind w:firstLine="0"/>
        <w:outlineLvl w:val="1"/>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四、资格证明文件</w:t>
      </w:r>
    </w:p>
    <w:p w14:paraId="32CD349C">
      <w:pPr>
        <w:pStyle w:val="267"/>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bookmarkStart w:id="15" w:name="_Toc489655335"/>
      <w:r>
        <w:rPr>
          <w:color w:val="000000" w:themeColor="text1"/>
          <w:highlight w:val="none"/>
          <w14:textFill>
            <w14:solidFill>
              <w14:schemeClr w14:val="tx1"/>
            </w14:solidFill>
          </w14:textFill>
        </w:rPr>
        <w:t>资格证明文件</w:t>
      </w:r>
      <w:bookmarkEnd w:id="15"/>
    </w:p>
    <w:p w14:paraId="4B8F39A4">
      <w:pPr>
        <w:pStyle w:val="17"/>
        <w:keepNext w:val="0"/>
        <w:keepLines w:val="0"/>
        <w:pageBreakBefore w:val="0"/>
        <w:numPr>
          <w:ilvl w:val="0"/>
          <w:numId w:val="5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48908981">
      <w:pPr>
        <w:pStyle w:val="17"/>
        <w:keepNext w:val="0"/>
        <w:keepLines w:val="0"/>
        <w:pageBreakBefore w:val="0"/>
        <w:numPr>
          <w:ilvl w:val="0"/>
          <w:numId w:val="5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5D0FB8E0">
      <w:pPr>
        <w:pStyle w:val="17"/>
        <w:keepNext w:val="0"/>
        <w:keepLines w:val="0"/>
        <w:pageBreakBefore w:val="0"/>
        <w:numPr>
          <w:ilvl w:val="0"/>
          <w:numId w:val="5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lang w:eastAsia="zh-CN"/>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10</w:t>
      </w:r>
      <w:r>
        <w:rPr>
          <w:rFonts w:hint="eastAsia"/>
          <w:color w:val="000000" w:themeColor="text1"/>
          <w:szCs w:val="24"/>
          <w:highlight w:val="none"/>
          <w:lang w:eastAsia="zh-CN"/>
          <w14:textFill>
            <w14:solidFill>
              <w14:schemeClr w14:val="tx1"/>
            </w14:solidFill>
          </w14:textFill>
        </w:rPr>
        <w:t>月</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中</w:t>
      </w:r>
      <w:r>
        <w:rPr>
          <w:color w:val="000000" w:themeColor="text1"/>
          <w:highlight w:val="none"/>
          <w14:textFill>
            <w14:solidFill>
              <w14:schemeClr w14:val="tx1"/>
            </w14:solidFill>
          </w14:textFill>
        </w:rPr>
        <w:t>至少一个月的财务状况报告</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09C1DCC3">
      <w:pPr>
        <w:pStyle w:val="17"/>
        <w:keepNext w:val="0"/>
        <w:keepLines w:val="0"/>
        <w:pageBreakBefore w:val="0"/>
        <w:numPr>
          <w:ilvl w:val="0"/>
          <w:numId w:val="5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00DF034F">
      <w:pPr>
        <w:pStyle w:val="17"/>
        <w:keepNext w:val="0"/>
        <w:keepLines w:val="0"/>
        <w:pageBreakBefore w:val="0"/>
        <w:numPr>
          <w:ilvl w:val="0"/>
          <w:numId w:val="5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lang w:eastAsia="zh-CN"/>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10</w:t>
      </w:r>
      <w:r>
        <w:rPr>
          <w:rFonts w:hint="eastAsia"/>
          <w:color w:val="000000" w:themeColor="text1"/>
          <w:szCs w:val="24"/>
          <w:highlight w:val="none"/>
          <w:lang w:eastAsia="zh-CN"/>
          <w14:textFill>
            <w14:solidFill>
              <w14:schemeClr w14:val="tx1"/>
            </w14:solidFill>
          </w14:textFill>
        </w:rPr>
        <w:t>月</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中</w:t>
      </w:r>
      <w:r>
        <w:rPr>
          <w:color w:val="000000" w:themeColor="text1"/>
          <w:highlight w:val="none"/>
          <w14:textFill>
            <w14:solidFill>
              <w14:schemeClr w14:val="tx1"/>
            </w14:solidFill>
          </w14:textFill>
        </w:rPr>
        <w:t>至少一个月缴纳税收（企业代缴的个人所得税除外）的凭据复印件加盖公章，并提供缴纳社会保险的凭据</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专用收据或社会保险缴纳清单）复印件加盖公章，根据国家相关政策免缴或迟缴的需提供相关证明材料）；</w:t>
      </w:r>
    </w:p>
    <w:p w14:paraId="5953BED6">
      <w:pPr>
        <w:pStyle w:val="17"/>
        <w:keepNext w:val="0"/>
        <w:keepLines w:val="0"/>
        <w:pageBreakBefore w:val="0"/>
        <w:numPr>
          <w:ilvl w:val="0"/>
          <w:numId w:val="5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CC1F8FB">
      <w:pPr>
        <w:pStyle w:val="17"/>
        <w:keepNext w:val="0"/>
        <w:keepLines w:val="0"/>
        <w:pageBreakBefore w:val="0"/>
        <w:numPr>
          <w:ilvl w:val="0"/>
          <w:numId w:val="59"/>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61DD2A67">
      <w:pPr>
        <w:pStyle w:val="17"/>
        <w:keepNext w:val="0"/>
        <w:keepLines w:val="0"/>
        <w:pageBreakBefore w:val="0"/>
        <w:numPr>
          <w:ilvl w:val="0"/>
          <w:numId w:val="58"/>
        </w:numPr>
        <w:kinsoku/>
        <w:overflowPunct/>
        <w:topLinePunct w:val="0"/>
        <w:bidi w:val="0"/>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2074EF6B">
      <w:pPr>
        <w:pStyle w:val="17"/>
        <w:keepNext w:val="0"/>
        <w:keepLines w:val="0"/>
        <w:pageBreakBefore w:val="0"/>
        <w:numPr>
          <w:ilvl w:val="0"/>
          <w:numId w:val="0"/>
        </w:numPr>
        <w:kinsoku/>
        <w:overflowPunct/>
        <w:topLinePunct w:val="0"/>
        <w:bidi w:val="0"/>
        <w:spacing w:line="360" w:lineRule="auto"/>
        <w:ind w:left="482" w:left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4C8DAB22">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47C3A96E">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274D6793">
      <w:pPr>
        <w:pStyle w:val="17"/>
        <w:keepNext w:val="0"/>
        <w:keepLines w:val="0"/>
        <w:pageBreakBefore w:val="0"/>
        <w:kinsoku/>
        <w:overflowPunct/>
        <w:topLinePunct w:val="0"/>
        <w:bidi w:val="0"/>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020A581A">
      <w:pPr>
        <w:keepNext w:val="0"/>
        <w:keepLines w:val="0"/>
        <w:pageBreakBefore w:val="0"/>
        <w:kinsoku/>
        <w:overflowPunct/>
        <w:topLinePunct w:val="0"/>
        <w:bidi w:val="0"/>
        <w:spacing w:line="360" w:lineRule="auto"/>
        <w:rPr>
          <w:rFonts w:ascii="宋体" w:hAnsi="宋体" w:cs="宋体"/>
          <w:b/>
          <w:color w:val="000000" w:themeColor="text1"/>
          <w:szCs w:val="21"/>
          <w:highlight w:val="none"/>
          <w:lang w:val="zh-CN"/>
          <w14:textFill>
            <w14:solidFill>
              <w14:schemeClr w14:val="tx1"/>
            </w14:solidFill>
          </w14:textFill>
        </w:rPr>
      </w:pPr>
    </w:p>
    <w:p w14:paraId="7F7ED775">
      <w:pPr>
        <w:pStyle w:val="17"/>
        <w:keepNext w:val="0"/>
        <w:keepLines w:val="0"/>
        <w:pageBreakBefore w:val="0"/>
        <w:kinsoku/>
        <w:overflowPunct/>
        <w:topLinePunct w:val="0"/>
        <w:bidi w:val="0"/>
        <w:spacing w:line="360" w:lineRule="auto"/>
        <w:ind w:firstLine="0"/>
        <w:outlineLvl w:val="1"/>
        <w:rPr>
          <w:rFonts w:hint="eastAsia"/>
          <w:b/>
          <w:color w:val="000000" w:themeColor="text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五</w:t>
      </w:r>
      <w:r>
        <w:rPr>
          <w:rFonts w:hint="eastAsia"/>
          <w:b/>
          <w:color w:val="000000" w:themeColor="text1"/>
          <w:highlight w:val="none"/>
          <w14:textFill>
            <w14:solidFill>
              <w14:schemeClr w14:val="tx1"/>
            </w14:solidFill>
          </w14:textFill>
        </w:rPr>
        <w:t>、技术条款偏离表格式</w:t>
      </w:r>
    </w:p>
    <w:p w14:paraId="065207BE">
      <w:pPr>
        <w:pStyle w:val="265"/>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7" w:type="pct"/>
        <w:jc w:val="center"/>
        <w:tblLayout w:type="autofit"/>
        <w:tblCellMar>
          <w:top w:w="0" w:type="dxa"/>
          <w:left w:w="0" w:type="dxa"/>
          <w:bottom w:w="0" w:type="dxa"/>
          <w:right w:w="0" w:type="dxa"/>
        </w:tblCellMar>
      </w:tblPr>
      <w:tblGrid>
        <w:gridCol w:w="522"/>
        <w:gridCol w:w="1439"/>
        <w:gridCol w:w="2025"/>
        <w:gridCol w:w="1066"/>
        <w:gridCol w:w="1365"/>
        <w:gridCol w:w="1552"/>
        <w:gridCol w:w="1493"/>
      </w:tblGrid>
      <w:tr w14:paraId="771F9AD3">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13AA7854">
            <w:pPr>
              <w:keepNext w:val="0"/>
              <w:keepLines w:val="0"/>
              <w:pageBreakBefore w:val="0"/>
              <w:kinsoku/>
              <w:overflowPunct/>
              <w:topLinePunct w:val="0"/>
              <w:bidi w:val="0"/>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41" w:type="pct"/>
            <w:gridSpan w:val="2"/>
            <w:tcBorders>
              <w:top w:val="nil"/>
              <w:left w:val="nil"/>
              <w:bottom w:val="single" w:color="auto" w:sz="6" w:space="0"/>
              <w:right w:val="nil"/>
            </w:tcBorders>
            <w:vAlign w:val="center"/>
          </w:tcPr>
          <w:p w14:paraId="7A39CBEF">
            <w:pPr>
              <w:keepNext w:val="0"/>
              <w:keepLines w:val="0"/>
              <w:pageBreakBefore w:val="0"/>
              <w:kinsoku/>
              <w:overflowPunct/>
              <w:topLinePunct w:val="0"/>
              <w:bidi w:val="0"/>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789" w:type="pct"/>
            <w:tcBorders>
              <w:top w:val="nil"/>
              <w:left w:val="nil"/>
              <w:bottom w:val="single" w:color="auto" w:sz="6" w:space="0"/>
              <w:right w:val="nil"/>
            </w:tcBorders>
            <w:vAlign w:val="center"/>
          </w:tcPr>
          <w:p w14:paraId="229E8C93">
            <w:pPr>
              <w:keepNext w:val="0"/>
              <w:keepLines w:val="0"/>
              <w:pageBreakBefore w:val="0"/>
              <w:kinsoku/>
              <w:overflowPunct/>
              <w:topLinePunct w:val="0"/>
              <w:bidi w:val="0"/>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tc>
      </w:tr>
      <w:tr w14:paraId="5A6CFA5B">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1BBE6D66">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4E7151A0">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04A011EC">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3C4E823">
            <w:pPr>
              <w:keepNext w:val="0"/>
              <w:keepLines w:val="0"/>
              <w:pageBreakBefore w:val="0"/>
              <w:kinsoku/>
              <w:overflowPunct/>
              <w:topLinePunct w:val="0"/>
              <w:bidi w:val="0"/>
              <w:adjustRightInd w:val="0"/>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lang w:val="en-US" w:eastAsia="zh-CN"/>
                <w14:textFill>
                  <w14:solidFill>
                    <w14:schemeClr w14:val="tx1"/>
                  </w14:solidFill>
                </w14:textFill>
              </w:rPr>
              <w:t>情况</w:t>
            </w:r>
          </w:p>
        </w:tc>
        <w:tc>
          <w:tcPr>
            <w:tcW w:w="818" w:type="pct"/>
            <w:tcBorders>
              <w:top w:val="single" w:color="auto" w:sz="6" w:space="0"/>
              <w:left w:val="single" w:color="auto" w:sz="6" w:space="0"/>
              <w:bottom w:val="single" w:color="auto" w:sz="6" w:space="0"/>
              <w:right w:val="single" w:color="auto" w:sz="6" w:space="0"/>
            </w:tcBorders>
            <w:vAlign w:val="center"/>
          </w:tcPr>
          <w:p w14:paraId="6E787729">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789" w:type="pct"/>
            <w:tcBorders>
              <w:top w:val="single" w:color="auto" w:sz="6" w:space="0"/>
              <w:left w:val="single" w:color="auto" w:sz="6" w:space="0"/>
              <w:bottom w:val="single" w:color="auto" w:sz="6" w:space="0"/>
              <w:right w:val="single" w:color="auto" w:sz="6" w:space="0"/>
            </w:tcBorders>
            <w:vAlign w:val="center"/>
          </w:tcPr>
          <w:p w14:paraId="013615C1">
            <w:pPr>
              <w:keepNext w:val="0"/>
              <w:keepLines w:val="0"/>
              <w:pageBreakBefore w:val="0"/>
              <w:kinsoku/>
              <w:overflowPunct/>
              <w:topLinePunct w:val="0"/>
              <w:bidi w:val="0"/>
              <w:adjustRightInd w:val="0"/>
              <w:spacing w:line="360" w:lineRule="auto"/>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对应页码</w:t>
            </w:r>
          </w:p>
        </w:tc>
      </w:tr>
      <w:tr w14:paraId="2D617306">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27D5EDE3">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288E2B3">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36A9F78F">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49FD9087">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818" w:type="pct"/>
            <w:tcBorders>
              <w:top w:val="single" w:color="auto" w:sz="6" w:space="0"/>
              <w:left w:val="single" w:color="auto" w:sz="6" w:space="0"/>
              <w:bottom w:val="single" w:color="auto" w:sz="6" w:space="0"/>
              <w:right w:val="single" w:color="auto" w:sz="6" w:space="0"/>
            </w:tcBorders>
            <w:vAlign w:val="center"/>
          </w:tcPr>
          <w:p w14:paraId="02CC1684">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89" w:type="pct"/>
            <w:tcBorders>
              <w:top w:val="single" w:color="auto" w:sz="6" w:space="0"/>
              <w:left w:val="single" w:color="auto" w:sz="6" w:space="0"/>
              <w:bottom w:val="single" w:color="auto" w:sz="6" w:space="0"/>
              <w:right w:val="single" w:color="auto" w:sz="6" w:space="0"/>
            </w:tcBorders>
            <w:vAlign w:val="center"/>
          </w:tcPr>
          <w:p w14:paraId="2AD23F15">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0C528836">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2857BB33">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B80207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5AD92A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5D9611E">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818" w:type="pct"/>
            <w:tcBorders>
              <w:top w:val="single" w:color="auto" w:sz="6" w:space="0"/>
              <w:left w:val="single" w:color="auto" w:sz="6" w:space="0"/>
              <w:bottom w:val="single" w:color="auto" w:sz="6" w:space="0"/>
              <w:right w:val="single" w:color="auto" w:sz="6" w:space="0"/>
            </w:tcBorders>
            <w:vAlign w:val="center"/>
          </w:tcPr>
          <w:p w14:paraId="0A1F25B8">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89" w:type="pct"/>
            <w:tcBorders>
              <w:top w:val="single" w:color="auto" w:sz="6" w:space="0"/>
              <w:left w:val="single" w:color="auto" w:sz="6" w:space="0"/>
              <w:bottom w:val="single" w:color="auto" w:sz="6" w:space="0"/>
              <w:right w:val="single" w:color="auto" w:sz="6" w:space="0"/>
            </w:tcBorders>
            <w:vAlign w:val="center"/>
          </w:tcPr>
          <w:p w14:paraId="0CA9000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30131360">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5E3F589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7D2827DE">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0C4F1625">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7A2B0727">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818" w:type="pct"/>
            <w:tcBorders>
              <w:top w:val="single" w:color="auto" w:sz="6" w:space="0"/>
              <w:left w:val="single" w:color="auto" w:sz="6" w:space="0"/>
              <w:bottom w:val="single" w:color="auto" w:sz="6" w:space="0"/>
              <w:right w:val="single" w:color="auto" w:sz="6" w:space="0"/>
            </w:tcBorders>
            <w:vAlign w:val="center"/>
          </w:tcPr>
          <w:p w14:paraId="7A12C608">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89" w:type="pct"/>
            <w:tcBorders>
              <w:top w:val="single" w:color="auto" w:sz="6" w:space="0"/>
              <w:left w:val="single" w:color="auto" w:sz="6" w:space="0"/>
              <w:bottom w:val="single" w:color="auto" w:sz="6" w:space="0"/>
              <w:right w:val="single" w:color="auto" w:sz="6" w:space="0"/>
            </w:tcBorders>
            <w:vAlign w:val="center"/>
          </w:tcPr>
          <w:p w14:paraId="7B04C46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58D0B8F9">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57639D80">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5540792">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064E3534">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095C69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818" w:type="pct"/>
            <w:tcBorders>
              <w:top w:val="single" w:color="auto" w:sz="6" w:space="0"/>
              <w:left w:val="single" w:color="auto" w:sz="6" w:space="0"/>
              <w:bottom w:val="single" w:color="auto" w:sz="6" w:space="0"/>
              <w:right w:val="single" w:color="auto" w:sz="6" w:space="0"/>
            </w:tcBorders>
            <w:vAlign w:val="center"/>
          </w:tcPr>
          <w:p w14:paraId="3FD64643">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89" w:type="pct"/>
            <w:tcBorders>
              <w:top w:val="single" w:color="auto" w:sz="6" w:space="0"/>
              <w:left w:val="single" w:color="auto" w:sz="6" w:space="0"/>
              <w:bottom w:val="single" w:color="auto" w:sz="6" w:space="0"/>
              <w:right w:val="single" w:color="auto" w:sz="6" w:space="0"/>
            </w:tcBorders>
            <w:vAlign w:val="center"/>
          </w:tcPr>
          <w:p w14:paraId="3CE7F6CC">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60A50817">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1F9AB92C">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17FC179">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79347017">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3FFFF7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818" w:type="pct"/>
            <w:tcBorders>
              <w:top w:val="single" w:color="auto" w:sz="6" w:space="0"/>
              <w:left w:val="single" w:color="auto" w:sz="6" w:space="0"/>
              <w:bottom w:val="single" w:color="auto" w:sz="6" w:space="0"/>
              <w:right w:val="single" w:color="auto" w:sz="6" w:space="0"/>
            </w:tcBorders>
            <w:vAlign w:val="center"/>
          </w:tcPr>
          <w:p w14:paraId="79255175">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89" w:type="pct"/>
            <w:tcBorders>
              <w:top w:val="single" w:color="auto" w:sz="6" w:space="0"/>
              <w:left w:val="single" w:color="auto" w:sz="6" w:space="0"/>
              <w:bottom w:val="single" w:color="auto" w:sz="6" w:space="0"/>
              <w:right w:val="single" w:color="auto" w:sz="6" w:space="0"/>
            </w:tcBorders>
            <w:vAlign w:val="center"/>
          </w:tcPr>
          <w:p w14:paraId="6D7C4EA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3B9DC7DC">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46A89AD4">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9F6362C">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3E598AC8">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B63A30F">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818" w:type="pct"/>
            <w:tcBorders>
              <w:top w:val="single" w:color="auto" w:sz="6" w:space="0"/>
              <w:left w:val="single" w:color="auto" w:sz="6" w:space="0"/>
              <w:bottom w:val="single" w:color="auto" w:sz="6" w:space="0"/>
              <w:right w:val="single" w:color="auto" w:sz="6" w:space="0"/>
            </w:tcBorders>
            <w:vAlign w:val="center"/>
          </w:tcPr>
          <w:p w14:paraId="7FDF7F8C">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89" w:type="pct"/>
            <w:tcBorders>
              <w:top w:val="single" w:color="auto" w:sz="6" w:space="0"/>
              <w:left w:val="single" w:color="auto" w:sz="6" w:space="0"/>
              <w:bottom w:val="single" w:color="auto" w:sz="6" w:space="0"/>
              <w:right w:val="single" w:color="auto" w:sz="6" w:space="0"/>
            </w:tcBorders>
            <w:vAlign w:val="center"/>
          </w:tcPr>
          <w:p w14:paraId="3C8ADDB8">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bl>
    <w:p w14:paraId="33923007">
      <w:pPr>
        <w:keepNext w:val="0"/>
        <w:keepLines w:val="0"/>
        <w:pageBreakBefore w:val="0"/>
        <w:kinsoku/>
        <w:overflowPunct/>
        <w:topLinePunct w:val="0"/>
        <w:bidi w:val="0"/>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4E305C9A">
      <w:pPr>
        <w:keepNext w:val="0"/>
        <w:keepLines w:val="0"/>
        <w:pageBreakBefore w:val="0"/>
        <w:kinsoku/>
        <w:overflowPunct/>
        <w:topLinePunct w:val="0"/>
        <w:bidi w:val="0"/>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7D3C8A8">
      <w:pPr>
        <w:keepNext w:val="0"/>
        <w:keepLines w:val="0"/>
        <w:pageBreakBefore w:val="0"/>
        <w:widowControl/>
        <w:kinsoku/>
        <w:overflowPunct/>
        <w:topLinePunct w:val="0"/>
        <w:bidi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2D79B94B">
      <w:pPr>
        <w:pStyle w:val="17"/>
        <w:keepNext w:val="0"/>
        <w:keepLines w:val="0"/>
        <w:pageBreakBefore w:val="0"/>
        <w:widowControl/>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C84BE76">
      <w:pPr>
        <w:pStyle w:val="17"/>
        <w:keepNext w:val="0"/>
        <w:keepLines w:val="0"/>
        <w:pageBreakBefore w:val="0"/>
        <w:widowControl/>
        <w:numPr>
          <w:ilvl w:val="0"/>
          <w:numId w:val="60"/>
        </w:numPr>
        <w:kinsoku/>
        <w:overflowPunct/>
        <w:topLinePunct w:val="0"/>
        <w:bidi w:val="0"/>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w:t>
      </w:r>
      <w:r>
        <w:rPr>
          <w:rFonts w:hint="eastAsia" w:asciiTheme="majorEastAsia" w:hAnsiTheme="majorEastAsia" w:eastAsiaTheme="majorEastAsia"/>
          <w:b/>
          <w:highlight w:val="none"/>
          <w:lang w:val="en-US" w:eastAsia="zh-CN"/>
        </w:rPr>
        <w:t>指标</w:t>
      </w:r>
      <w:r>
        <w:rPr>
          <w:rFonts w:hint="eastAsia" w:asciiTheme="majorEastAsia" w:hAnsiTheme="majorEastAsia" w:eastAsiaTheme="majorEastAsia"/>
          <w:b/>
          <w:highlight w:val="none"/>
        </w:rPr>
        <w:t>”</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lang w:eastAsia="zh-CN"/>
        </w:rPr>
        <w:t>，</w:t>
      </w:r>
      <w:r>
        <w:rPr>
          <w:color w:val="000000" w:themeColor="text1"/>
          <w:highlight w:val="none"/>
          <w14:textFill>
            <w14:solidFill>
              <w14:schemeClr w14:val="tx1"/>
            </w14:solidFill>
          </w14:textFill>
        </w:rPr>
        <w:t>如果行数不够，请自行增加；</w:t>
      </w:r>
    </w:p>
    <w:p w14:paraId="168F273B">
      <w:pPr>
        <w:pStyle w:val="17"/>
        <w:keepNext w:val="0"/>
        <w:keepLines w:val="0"/>
        <w:pageBreakBefore w:val="0"/>
        <w:widowControl/>
        <w:numPr>
          <w:ilvl w:val="0"/>
          <w:numId w:val="6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391FF5DE">
      <w:pPr>
        <w:pStyle w:val="17"/>
        <w:keepNext w:val="0"/>
        <w:keepLines w:val="0"/>
        <w:pageBreakBefore w:val="0"/>
        <w:widowControl/>
        <w:numPr>
          <w:ilvl w:val="0"/>
          <w:numId w:val="60"/>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lang w:val="en-US" w:eastAsia="zh-CN"/>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符合</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“满足”。</w:t>
      </w:r>
    </w:p>
    <w:p w14:paraId="29C4C893">
      <w:pPr>
        <w:keepNext w:val="0"/>
        <w:keepLines w:val="0"/>
        <w:pageBreakBefore w:val="0"/>
        <w:kinsoku/>
        <w:overflowPunct/>
        <w:topLinePunct w:val="0"/>
        <w:bidi w:val="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1CF8EE3">
      <w:pPr>
        <w:pStyle w:val="17"/>
        <w:keepNext w:val="0"/>
        <w:keepLines w:val="0"/>
        <w:pageBreakBefore w:val="0"/>
        <w:kinsoku/>
        <w:overflowPunct/>
        <w:topLinePunct w:val="0"/>
        <w:bidi w:val="0"/>
        <w:spacing w:line="360" w:lineRule="auto"/>
        <w:ind w:firstLine="0"/>
        <w:outlineLvl w:val="1"/>
        <w:rPr>
          <w:rFonts w:hint="eastAsia"/>
          <w:b/>
          <w:color w:val="000000" w:themeColor="text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六</w:t>
      </w:r>
      <w:r>
        <w:rPr>
          <w:rFonts w:hint="eastAsia"/>
          <w:b/>
          <w:color w:val="000000" w:themeColor="text1"/>
          <w:highlight w:val="none"/>
          <w14:textFill>
            <w14:solidFill>
              <w14:schemeClr w14:val="tx1"/>
            </w14:solidFill>
          </w14:textFill>
        </w:rPr>
        <w:t>、商务条款偏离表格式</w:t>
      </w:r>
    </w:p>
    <w:p w14:paraId="6EBB26EA">
      <w:pPr>
        <w:pStyle w:val="265"/>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0883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C6F56AD">
            <w:pPr>
              <w:keepNext w:val="0"/>
              <w:keepLines w:val="0"/>
              <w:pageBreakBefore w:val="0"/>
              <w:kinsoku/>
              <w:overflowPunct/>
              <w:topLinePunct w:val="0"/>
              <w:bidi w:val="0"/>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23A4151E">
            <w:pPr>
              <w:keepNext w:val="0"/>
              <w:keepLines w:val="0"/>
              <w:pageBreakBefore w:val="0"/>
              <w:kinsoku/>
              <w:overflowPunct/>
              <w:topLinePunct w:val="0"/>
              <w:bidi w:val="0"/>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5227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BEB8110">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68575933">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08EBE286">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4C617353">
            <w:pPr>
              <w:keepNext w:val="0"/>
              <w:keepLines w:val="0"/>
              <w:pageBreakBefore w:val="0"/>
              <w:kinsoku/>
              <w:overflowPunct/>
              <w:topLinePunct w:val="0"/>
              <w:bidi w:val="0"/>
              <w:adjustRightInd w:val="0"/>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lang w:val="en-US" w:eastAsia="zh-CN"/>
                <w14:textFill>
                  <w14:solidFill>
                    <w14:schemeClr w14:val="tx1"/>
                  </w14:solidFill>
                </w14:textFill>
              </w:rPr>
              <w:t>情况</w:t>
            </w:r>
          </w:p>
        </w:tc>
        <w:tc>
          <w:tcPr>
            <w:tcW w:w="709" w:type="pct"/>
            <w:vAlign w:val="center"/>
          </w:tcPr>
          <w:p w14:paraId="3BDDFBFF">
            <w:pPr>
              <w:keepNext w:val="0"/>
              <w:keepLines w:val="0"/>
              <w:pageBreakBefore w:val="0"/>
              <w:kinsoku/>
              <w:overflowPunct/>
              <w:topLinePunct w:val="0"/>
              <w:bidi w:val="0"/>
              <w:adjustRightInd w:val="0"/>
              <w:spacing w:line="360" w:lineRule="auto"/>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0D69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60B8F3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08F71D7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0FD22B10">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375FEC2B">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37E1E3F9">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602D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4BF17C7">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23E225D7">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3E1C813">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5E9D70C0">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50D3704F">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7607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0262D8C">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7397555B">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332C666">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1724E48">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56AF0D4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66B2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59BC82B">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522B2CA9">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68CE569B">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C5BE872">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5980A16">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7C541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BB1ABC4">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F985D26">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7657E0D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86CD0EA">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12E01A3D">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2F39D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9E0566E">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530087BB">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6FDE49FC">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1B9BA42">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04F5D83">
            <w:pPr>
              <w:keepNext w:val="0"/>
              <w:keepLines w:val="0"/>
              <w:pageBreakBefore w:val="0"/>
              <w:kinsoku/>
              <w:overflowPunct/>
              <w:topLinePunct w:val="0"/>
              <w:bidi w:val="0"/>
              <w:adjustRightInd w:val="0"/>
              <w:spacing w:line="360" w:lineRule="auto"/>
              <w:jc w:val="center"/>
              <w:rPr>
                <w:rFonts w:ascii="宋体" w:hAnsi="宋体" w:cs="宋体"/>
                <w:color w:val="000000" w:themeColor="text1"/>
                <w:szCs w:val="21"/>
                <w:highlight w:val="none"/>
                <w:lang w:val="zh-CN"/>
                <w14:textFill>
                  <w14:solidFill>
                    <w14:schemeClr w14:val="tx1"/>
                  </w14:solidFill>
                </w14:textFill>
              </w:rPr>
            </w:pPr>
          </w:p>
        </w:tc>
      </w:tr>
      <w:tr w14:paraId="3792E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F24AFCD">
            <w:pPr>
              <w:keepNext w:val="0"/>
              <w:keepLines w:val="0"/>
              <w:pageBreakBefore w:val="0"/>
              <w:kinsoku/>
              <w:overflowPunct/>
              <w:topLinePunct w:val="0"/>
              <w:bidi w:val="0"/>
              <w:spacing w:line="360" w:lineRule="auto"/>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5F00330E">
            <w:pPr>
              <w:keepNext w:val="0"/>
              <w:keepLines w:val="0"/>
              <w:pageBreakBefore w:val="0"/>
              <w:kinsoku/>
              <w:overflowPunct/>
              <w:topLinePunct w:val="0"/>
              <w:bidi w:val="0"/>
              <w:spacing w:line="360" w:lineRule="auto"/>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5AFF24B3">
            <w:pPr>
              <w:keepNext w:val="0"/>
              <w:keepLines w:val="0"/>
              <w:pageBreakBefore w:val="0"/>
              <w:kinsoku/>
              <w:overflowPunct/>
              <w:topLinePunct w:val="0"/>
              <w:bidi w:val="0"/>
              <w:spacing w:line="360" w:lineRule="auto"/>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01626EF9">
            <w:pPr>
              <w:keepNext w:val="0"/>
              <w:keepLines w:val="0"/>
              <w:pageBreakBefore w:val="0"/>
              <w:kinsoku/>
              <w:overflowPunct/>
              <w:topLinePunct w:val="0"/>
              <w:bidi w:val="0"/>
              <w:spacing w:line="360" w:lineRule="auto"/>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6B46257F">
            <w:pPr>
              <w:keepNext w:val="0"/>
              <w:keepLines w:val="0"/>
              <w:pageBreakBefore w:val="0"/>
              <w:kinsoku/>
              <w:overflowPunct/>
              <w:topLinePunct w:val="0"/>
              <w:bidi w:val="0"/>
              <w:spacing w:line="360" w:lineRule="auto"/>
              <w:jc w:val="center"/>
              <w:rPr>
                <w:rFonts w:ascii="宋体" w:hAnsi="宋体" w:cs="Arial"/>
                <w:color w:val="000000" w:themeColor="text1"/>
                <w:szCs w:val="21"/>
                <w:highlight w:val="none"/>
                <w14:textFill>
                  <w14:solidFill>
                    <w14:schemeClr w14:val="tx1"/>
                  </w14:solidFill>
                </w14:textFill>
              </w:rPr>
            </w:pPr>
          </w:p>
        </w:tc>
      </w:tr>
    </w:tbl>
    <w:p w14:paraId="08DD1FC5">
      <w:pPr>
        <w:keepNext w:val="0"/>
        <w:keepLines w:val="0"/>
        <w:pageBreakBefore w:val="0"/>
        <w:kinsoku/>
        <w:overflowPunct/>
        <w:topLinePunct w:val="0"/>
        <w:bidi w:val="0"/>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29BF29D4">
      <w:pPr>
        <w:keepNext w:val="0"/>
        <w:keepLines w:val="0"/>
        <w:pageBreakBefore w:val="0"/>
        <w:kinsoku/>
        <w:overflowPunct/>
        <w:topLinePunct w:val="0"/>
        <w:bidi w:val="0"/>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3F27E58F">
      <w:pPr>
        <w:keepNext w:val="0"/>
        <w:keepLines w:val="0"/>
        <w:pageBreakBefore w:val="0"/>
        <w:widowControl/>
        <w:kinsoku/>
        <w:overflowPunct/>
        <w:topLinePunct w:val="0"/>
        <w:bidi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1C2C7EF8">
      <w:pPr>
        <w:pStyle w:val="17"/>
        <w:keepNext w:val="0"/>
        <w:keepLines w:val="0"/>
        <w:pageBreakBefore w:val="0"/>
        <w:widowControl/>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BA60A6D">
      <w:pPr>
        <w:pStyle w:val="17"/>
        <w:keepNext w:val="0"/>
        <w:keepLines w:val="0"/>
        <w:pageBreakBefore w:val="0"/>
        <w:widowControl/>
        <w:numPr>
          <w:ilvl w:val="0"/>
          <w:numId w:val="6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134AEB66">
      <w:pPr>
        <w:pStyle w:val="17"/>
        <w:keepNext w:val="0"/>
        <w:keepLines w:val="0"/>
        <w:pageBreakBefore w:val="0"/>
        <w:widowControl/>
        <w:numPr>
          <w:ilvl w:val="0"/>
          <w:numId w:val="61"/>
        </w:numPr>
        <w:kinsoku/>
        <w:overflowPunct/>
        <w:topLinePunct w:val="0"/>
        <w:bidi w:val="0"/>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006F31B4">
      <w:pPr>
        <w:pStyle w:val="17"/>
        <w:keepNext w:val="0"/>
        <w:keepLines w:val="0"/>
        <w:pageBreakBefore w:val="0"/>
        <w:widowControl/>
        <w:numPr>
          <w:ilvl w:val="0"/>
          <w:numId w:val="61"/>
        </w:numPr>
        <w:kinsoku/>
        <w:overflowPunct/>
        <w:topLinePunct w:val="0"/>
        <w:bidi w:val="0"/>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供应商</w:t>
      </w:r>
      <w:r>
        <w:rPr>
          <w:rFonts w:hint="eastAsia"/>
          <w:color w:val="000000" w:themeColor="text1"/>
          <w:highlight w:val="none"/>
          <w14:textFill>
            <w14:solidFill>
              <w14:schemeClr w14:val="tx1"/>
            </w14:solidFill>
          </w14:textFill>
        </w:rPr>
        <w:t>必须仔细阅读</w:t>
      </w:r>
      <w:r>
        <w:rPr>
          <w:rFonts w:hint="eastAsia"/>
          <w:color w:val="000000" w:themeColor="text1"/>
          <w:highlight w:val="none"/>
          <w:lang w:eastAsia="zh-CN"/>
          <w14:textFill>
            <w14:solidFill>
              <w14:schemeClr w14:val="tx1"/>
            </w14:solidFill>
          </w14:textFill>
        </w:rPr>
        <w:t>比选文件</w:t>
      </w:r>
      <w:r>
        <w:rPr>
          <w:rFonts w:hint="eastAsia"/>
          <w:color w:val="000000" w:themeColor="text1"/>
          <w:highlight w:val="none"/>
          <w14:textFill>
            <w14:solidFill>
              <w14:schemeClr w14:val="tx1"/>
            </w14:solidFill>
          </w14:textFill>
        </w:rPr>
        <w:t>第四章“项目需求”中所有商务条款和相关服务要求</w:t>
      </w:r>
      <w:r>
        <w:rPr>
          <w:rFonts w:hint="eastAsia"/>
          <w:color w:val="000000" w:themeColor="text1"/>
          <w:highlight w:val="none"/>
          <w:lang w:val="en-US" w:eastAsia="zh-CN"/>
          <w14:textFill>
            <w14:solidFill>
              <w14:schemeClr w14:val="tx1"/>
            </w14:solidFill>
          </w14:textFill>
        </w:rPr>
        <w:t>以及第五章“合同主要条款及格式”</w:t>
      </w:r>
      <w:r>
        <w:rPr>
          <w:rFonts w:hint="eastAsia"/>
          <w:color w:val="000000" w:themeColor="text1"/>
          <w:highlight w:val="none"/>
          <w14:textFill>
            <w14:solidFill>
              <w14:schemeClr w14:val="tx1"/>
            </w14:solidFill>
          </w14:textFill>
        </w:rPr>
        <w:t>，并对所有商务条款和服务要求偏离的条目列入上表。</w:t>
      </w:r>
      <w:r>
        <w:rPr>
          <w:color w:val="000000" w:themeColor="text1"/>
          <w:highlight w:val="none"/>
          <w14:textFill>
            <w14:solidFill>
              <w14:schemeClr w14:val="tx1"/>
            </w14:solidFill>
          </w14:textFill>
        </w:rPr>
        <w:t>响应</w:t>
      </w:r>
      <w:r>
        <w:rPr>
          <w:rFonts w:hint="eastAsia"/>
          <w:color w:val="000000" w:themeColor="text1"/>
          <w:highlight w:val="none"/>
          <w:lang w:val="en-US" w:eastAsia="zh-CN"/>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64EF58D2">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25127024">
      <w:pPr>
        <w:pStyle w:val="17"/>
        <w:keepNext w:val="0"/>
        <w:keepLines w:val="0"/>
        <w:pageBreakBefore w:val="0"/>
        <w:kinsoku/>
        <w:overflowPunct/>
        <w:topLinePunct w:val="0"/>
        <w:bidi w:val="0"/>
        <w:spacing w:line="360" w:lineRule="auto"/>
        <w:outlineLvl w:val="1"/>
        <w:rPr>
          <w:rFonts w:hint="eastAsia" w:ascii="Times New Roman" w:hAnsi="Times New Roman" w:eastAsia="宋体" w:cs="Times New Roman"/>
          <w:b/>
          <w:color w:val="000000" w:themeColor="text1"/>
          <w:sz w:val="24"/>
          <w:highlight w:val="none"/>
          <w:lang w:val="en-US" w:eastAsia="zh-CN" w:bidi="ar-SA"/>
          <w14:textFill>
            <w14:solidFill>
              <w14:schemeClr w14:val="tx1"/>
            </w14:solidFill>
          </w14:textFill>
        </w:rPr>
      </w:pPr>
      <w:bookmarkStart w:id="16" w:name="_Toc202786551"/>
      <w:bookmarkStart w:id="17" w:name="_Toc87364929"/>
      <w:r>
        <w:rPr>
          <w:rFonts w:hint="eastAsia" w:cs="Times New Roman"/>
          <w:b/>
          <w:color w:val="000000" w:themeColor="text1"/>
          <w:sz w:val="24"/>
          <w:highlight w:val="none"/>
          <w:lang w:val="en-US" w:eastAsia="zh-CN" w:bidi="ar-SA"/>
          <w14:textFill>
            <w14:solidFill>
              <w14:schemeClr w14:val="tx1"/>
            </w14:solidFill>
          </w14:textFill>
        </w:rPr>
        <w:t>七</w:t>
      </w:r>
      <w:r>
        <w:rPr>
          <w:rFonts w:hint="eastAsia" w:ascii="Times New Roman" w:hAnsi="Times New Roman" w:eastAsia="宋体" w:cs="Times New Roman"/>
          <w:b/>
          <w:color w:val="000000" w:themeColor="text1"/>
          <w:sz w:val="24"/>
          <w:highlight w:val="none"/>
          <w:lang w:val="en-US" w:eastAsia="zh-CN" w:bidi="ar-SA"/>
          <w14:textFill>
            <w14:solidFill>
              <w14:schemeClr w14:val="tx1"/>
            </w14:solidFill>
          </w14:textFill>
        </w:rPr>
        <w:t>、</w:t>
      </w:r>
      <w:r>
        <w:rPr>
          <w:rFonts w:ascii="Times New Roman" w:hAnsi="Times New Roman" w:eastAsia="宋体" w:cs="Times New Roman"/>
          <w:b/>
          <w:color w:val="000000" w:themeColor="text1"/>
          <w:sz w:val="24"/>
          <w:highlight w:val="none"/>
          <w:lang w:val="en-US" w:eastAsia="zh-CN" w:bidi="ar-SA"/>
          <w14:textFill>
            <w14:solidFill>
              <w14:schemeClr w14:val="tx1"/>
            </w14:solidFill>
          </w14:textFill>
        </w:rPr>
        <w:t>评分项审查材料</w:t>
      </w:r>
      <w:bookmarkEnd w:id="16"/>
      <w:bookmarkEnd w:id="17"/>
    </w:p>
    <w:p w14:paraId="2FB5A9BD">
      <w:pPr>
        <w:pStyle w:val="3"/>
        <w:rPr>
          <w:highlight w:val="none"/>
        </w:rPr>
      </w:pPr>
    </w:p>
    <w:p w14:paraId="4314C4BD">
      <w:pPr>
        <w:pStyle w:val="60"/>
        <w:keepNext w:val="0"/>
        <w:keepLines w:val="0"/>
        <w:pageBreakBefore w:val="0"/>
        <w:kinsoku/>
        <w:overflowPunct/>
        <w:topLinePunct w:val="0"/>
        <w:bidi w:val="0"/>
        <w:spacing w:line="360" w:lineRule="auto"/>
        <w:ind w:firstLine="0" w:firstLineChars="0"/>
        <w:jc w:val="lef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7</w:t>
      </w:r>
      <w:r>
        <w:rPr>
          <w:rFonts w:hint="eastAsia" w:ascii="宋体" w:hAnsi="宋体" w:eastAsia="宋体" w:cs="宋体"/>
          <w:b w:val="0"/>
          <w:bCs/>
          <w:sz w:val="24"/>
          <w:szCs w:val="24"/>
          <w:highlight w:val="none"/>
        </w:rPr>
        <w:t>.1</w:t>
      </w:r>
      <w:r>
        <w:rPr>
          <w:rFonts w:hint="eastAsia" w:ascii="宋体" w:hAnsi="宋体" w:eastAsia="宋体" w:cs="宋体"/>
          <w:b w:val="0"/>
          <w:bCs/>
          <w:sz w:val="24"/>
          <w:szCs w:val="24"/>
          <w:highlight w:val="none"/>
          <w:lang w:val="en-US" w:eastAsia="zh-CN"/>
        </w:rPr>
        <w:t xml:space="preserve"> 实施方案</w:t>
      </w:r>
    </w:p>
    <w:p w14:paraId="438B12E6">
      <w:pPr>
        <w:jc w:val="left"/>
        <w:rPr>
          <w:rFonts w:hint="eastAsia" w:ascii="宋体" w:hAnsi="宋体" w:eastAsia="宋体" w:cs="宋体"/>
          <w:bCs/>
          <w:sz w:val="24"/>
          <w:szCs w:val="24"/>
          <w:highlight w:val="none"/>
          <w:lang w:val="en-US" w:eastAsia="zh-CN"/>
        </w:rPr>
      </w:pPr>
      <w:r>
        <w:rPr>
          <w:rFonts w:hint="eastAsia" w:ascii="宋体" w:hAnsi="宋体" w:eastAsia="宋体" w:cs="宋体"/>
          <w:b w:val="0"/>
          <w:bCs/>
          <w:sz w:val="24"/>
          <w:szCs w:val="24"/>
          <w:highlight w:val="none"/>
          <w:lang w:val="en-US" w:eastAsia="zh-CN"/>
        </w:rPr>
        <w:t>按要求提供实施方案</w:t>
      </w:r>
    </w:p>
    <w:p w14:paraId="19F7A29F">
      <w:pPr>
        <w:jc w:val="left"/>
        <w:rPr>
          <w:rFonts w:hint="eastAsia" w:ascii="宋体" w:hAnsi="宋体" w:eastAsia="宋体" w:cs="宋体"/>
          <w:bCs/>
          <w:sz w:val="24"/>
          <w:szCs w:val="24"/>
          <w:highlight w:val="none"/>
          <w:lang w:val="en-US" w:eastAsia="zh-CN"/>
        </w:rPr>
      </w:pPr>
    </w:p>
    <w:p w14:paraId="025A3024">
      <w:pPr>
        <w:jc w:val="left"/>
        <w:rPr>
          <w:rFonts w:hint="eastAsia" w:ascii="宋体" w:hAnsi="宋体" w:eastAsia="宋体" w:cs="宋体"/>
          <w:bCs/>
          <w:sz w:val="24"/>
          <w:szCs w:val="24"/>
          <w:highlight w:val="none"/>
          <w:lang w:val="en-US" w:eastAsia="zh-CN"/>
        </w:rPr>
      </w:pPr>
    </w:p>
    <w:p w14:paraId="4A47C2A6">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7.2售后服务方案</w:t>
      </w:r>
    </w:p>
    <w:p w14:paraId="6D3356A3">
      <w:pPr>
        <w:pStyle w:val="60"/>
        <w:keepNext w:val="0"/>
        <w:keepLines w:val="0"/>
        <w:pageBreakBefore w:val="0"/>
        <w:kinsoku/>
        <w:overflowPunct/>
        <w:topLinePunct w:val="0"/>
        <w:bidi w:val="0"/>
        <w:spacing w:line="360" w:lineRule="auto"/>
        <w:ind w:firstLine="0"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按要求提供售后服务方案</w:t>
      </w:r>
    </w:p>
    <w:p w14:paraId="4F8BFA82">
      <w:pPr>
        <w:jc w:val="left"/>
        <w:rPr>
          <w:rFonts w:hint="eastAsia" w:ascii="宋体" w:hAnsi="宋体" w:eastAsia="宋体" w:cs="宋体"/>
          <w:bCs/>
          <w:sz w:val="24"/>
          <w:szCs w:val="24"/>
          <w:highlight w:val="none"/>
          <w:lang w:val="en-US" w:eastAsia="zh-CN"/>
        </w:rPr>
      </w:pPr>
    </w:p>
    <w:p w14:paraId="57139884">
      <w:pPr>
        <w:jc w:val="left"/>
        <w:rPr>
          <w:rFonts w:hint="eastAsia" w:ascii="宋体" w:hAnsi="宋体" w:eastAsia="宋体" w:cs="宋体"/>
          <w:bCs/>
          <w:sz w:val="24"/>
          <w:szCs w:val="24"/>
          <w:highlight w:val="none"/>
          <w:lang w:val="en-US" w:eastAsia="zh-CN"/>
        </w:rPr>
      </w:pPr>
    </w:p>
    <w:p w14:paraId="23B90B7A">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sz w:val="24"/>
          <w:szCs w:val="24"/>
          <w:highlight w:val="none"/>
          <w:lang w:val="en-US" w:eastAsia="zh-CN"/>
        </w:rPr>
        <w:t>7.3</w:t>
      </w:r>
      <w:r>
        <w:rPr>
          <w:rFonts w:hint="eastAsia" w:ascii="宋体" w:hAnsi="宋体" w:eastAsia="宋体" w:cs="宋体"/>
          <w:b w:val="0"/>
          <w:bCs/>
          <w:color w:val="auto"/>
          <w:sz w:val="24"/>
          <w:szCs w:val="24"/>
          <w:highlight w:val="none"/>
          <w:lang w:val="en-US" w:eastAsia="zh-CN"/>
        </w:rPr>
        <w:t>培训方案</w:t>
      </w:r>
    </w:p>
    <w:p w14:paraId="09904461">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按要求提供培训方案</w:t>
      </w:r>
    </w:p>
    <w:p w14:paraId="1CDA97D4">
      <w:pPr>
        <w:jc w:val="left"/>
        <w:rPr>
          <w:rFonts w:hint="eastAsia" w:ascii="宋体" w:hAnsi="宋体" w:eastAsia="宋体" w:cs="宋体"/>
          <w:b w:val="0"/>
          <w:bCs/>
          <w:color w:val="auto"/>
          <w:sz w:val="24"/>
          <w:szCs w:val="24"/>
          <w:highlight w:val="none"/>
          <w:lang w:val="en-US" w:eastAsia="zh-CN"/>
        </w:rPr>
      </w:pPr>
    </w:p>
    <w:p w14:paraId="065E3932">
      <w:pPr>
        <w:jc w:val="left"/>
        <w:rPr>
          <w:rFonts w:hint="eastAsia" w:ascii="宋体" w:hAnsi="宋体" w:eastAsia="宋体" w:cs="宋体"/>
          <w:b w:val="0"/>
          <w:bCs/>
          <w:color w:val="auto"/>
          <w:sz w:val="24"/>
          <w:szCs w:val="24"/>
          <w:highlight w:val="none"/>
          <w:lang w:val="en-US" w:eastAsia="zh-CN"/>
        </w:rPr>
      </w:pPr>
    </w:p>
    <w:p w14:paraId="3F9EBF3E">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7.4服务</w:t>
      </w:r>
      <w:r>
        <w:rPr>
          <w:rFonts w:hint="eastAsia" w:ascii="宋体" w:hAnsi="宋体" w:eastAsia="宋体" w:cs="宋体"/>
          <w:b w:val="0"/>
          <w:bCs/>
          <w:color w:val="auto"/>
          <w:sz w:val="24"/>
          <w:szCs w:val="24"/>
          <w:highlight w:val="none"/>
        </w:rPr>
        <w:t>能力</w:t>
      </w:r>
    </w:p>
    <w:p w14:paraId="155F204D">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按要求提供相关材料</w:t>
      </w:r>
    </w:p>
    <w:p w14:paraId="3C7C8776">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sz w:val="24"/>
          <w:szCs w:val="24"/>
          <w:highlight w:val="none"/>
          <w:lang w:val="en-US" w:eastAsia="zh-CN"/>
        </w:rPr>
      </w:pPr>
    </w:p>
    <w:p w14:paraId="6427087C">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sz w:val="24"/>
          <w:szCs w:val="24"/>
          <w:highlight w:val="none"/>
          <w:lang w:val="en-US" w:eastAsia="zh-CN"/>
        </w:rPr>
      </w:pPr>
    </w:p>
    <w:p w14:paraId="3FA0DE72">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sz w:val="24"/>
          <w:szCs w:val="24"/>
          <w:highlight w:val="none"/>
          <w:lang w:val="en-US" w:eastAsia="zh-CN"/>
        </w:rPr>
        <w:t>7.5</w:t>
      </w:r>
      <w:r>
        <w:rPr>
          <w:rFonts w:hint="eastAsia" w:ascii="宋体" w:hAnsi="宋体" w:eastAsia="宋体" w:cs="宋体"/>
          <w:b w:val="0"/>
          <w:bCs/>
          <w:color w:val="auto"/>
          <w:kern w:val="0"/>
          <w:sz w:val="24"/>
          <w:szCs w:val="24"/>
          <w:highlight w:val="none"/>
        </w:rPr>
        <w:t>业绩</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8"/>
        <w:gridCol w:w="3228"/>
        <w:gridCol w:w="3228"/>
      </w:tblGrid>
      <w:tr w14:paraId="2535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8" w:type="dxa"/>
          </w:tcPr>
          <w:p w14:paraId="31AA33BD">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vertAlign w:val="baseline"/>
                <w:lang w:val="en-US" w:eastAsia="zh-CN"/>
              </w:rPr>
            </w:pPr>
            <w:r>
              <w:rPr>
                <w:rFonts w:hint="eastAsia" w:ascii="宋体" w:hAnsi="宋体" w:eastAsia="宋体" w:cs="宋体"/>
                <w:b w:val="0"/>
                <w:bCs/>
                <w:color w:val="auto"/>
                <w:kern w:val="0"/>
                <w:sz w:val="24"/>
                <w:szCs w:val="24"/>
                <w:highlight w:val="none"/>
                <w:vertAlign w:val="baseline"/>
                <w:lang w:val="en-US" w:eastAsia="zh-CN"/>
              </w:rPr>
              <w:t>序号</w:t>
            </w:r>
          </w:p>
        </w:tc>
        <w:tc>
          <w:tcPr>
            <w:tcW w:w="3228" w:type="dxa"/>
          </w:tcPr>
          <w:p w14:paraId="158817A9">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vertAlign w:val="baseline"/>
                <w:lang w:val="en-US" w:eastAsia="zh-CN"/>
              </w:rPr>
            </w:pPr>
            <w:r>
              <w:rPr>
                <w:rFonts w:hint="eastAsia" w:ascii="宋体" w:hAnsi="宋体" w:eastAsia="宋体" w:cs="宋体"/>
                <w:b w:val="0"/>
                <w:bCs/>
                <w:color w:val="auto"/>
                <w:kern w:val="0"/>
                <w:sz w:val="24"/>
                <w:szCs w:val="24"/>
                <w:highlight w:val="none"/>
                <w:vertAlign w:val="baseline"/>
                <w:lang w:val="en-US" w:eastAsia="zh-CN"/>
              </w:rPr>
              <w:t>合同名称</w:t>
            </w:r>
          </w:p>
        </w:tc>
        <w:tc>
          <w:tcPr>
            <w:tcW w:w="3228" w:type="dxa"/>
          </w:tcPr>
          <w:p w14:paraId="36BB9BAF">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vertAlign w:val="baseline"/>
                <w:lang w:val="en-US" w:eastAsia="zh-CN"/>
              </w:rPr>
            </w:pPr>
            <w:r>
              <w:rPr>
                <w:rFonts w:hint="eastAsia" w:ascii="宋体" w:hAnsi="宋体" w:eastAsia="宋体" w:cs="宋体"/>
                <w:b w:val="0"/>
                <w:bCs/>
                <w:color w:val="auto"/>
                <w:kern w:val="0"/>
                <w:sz w:val="24"/>
                <w:szCs w:val="24"/>
                <w:highlight w:val="none"/>
                <w:vertAlign w:val="baseline"/>
                <w:lang w:val="en-US" w:eastAsia="zh-CN"/>
              </w:rPr>
              <w:t>签订时间</w:t>
            </w:r>
          </w:p>
        </w:tc>
      </w:tr>
      <w:tr w14:paraId="4F08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8" w:type="dxa"/>
          </w:tcPr>
          <w:p w14:paraId="39A315FF">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vertAlign w:val="baseline"/>
                <w:lang w:val="en-US" w:eastAsia="zh-CN"/>
              </w:rPr>
            </w:pPr>
          </w:p>
        </w:tc>
        <w:tc>
          <w:tcPr>
            <w:tcW w:w="3228" w:type="dxa"/>
          </w:tcPr>
          <w:p w14:paraId="4126B0B2">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vertAlign w:val="baseline"/>
                <w:lang w:val="en-US" w:eastAsia="zh-CN"/>
              </w:rPr>
            </w:pPr>
          </w:p>
        </w:tc>
        <w:tc>
          <w:tcPr>
            <w:tcW w:w="3228" w:type="dxa"/>
          </w:tcPr>
          <w:p w14:paraId="291358B0">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vertAlign w:val="baseline"/>
                <w:lang w:val="en-US" w:eastAsia="zh-CN"/>
              </w:rPr>
            </w:pPr>
          </w:p>
        </w:tc>
      </w:tr>
    </w:tbl>
    <w:p w14:paraId="451640AA">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lang w:val="en-US" w:eastAsia="zh-CN"/>
        </w:rPr>
      </w:pPr>
    </w:p>
    <w:p w14:paraId="79B3D773">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val="0"/>
          <w:bCs/>
          <w:color w:val="auto"/>
          <w:kern w:val="0"/>
          <w:sz w:val="24"/>
          <w:szCs w:val="24"/>
          <w:highlight w:val="none"/>
          <w:lang w:val="en-US" w:eastAsia="zh-CN"/>
        </w:rPr>
      </w:pPr>
    </w:p>
    <w:p w14:paraId="7D002EC1">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7.6质保期</w:t>
      </w:r>
    </w:p>
    <w:p w14:paraId="3326B60A">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提供质保期承诺</w:t>
      </w:r>
    </w:p>
    <w:p w14:paraId="53579BA8">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6246759">
      <w:pPr>
        <w:rPr>
          <w:rFonts w:hint="eastAsia"/>
          <w:b/>
          <w:color w:val="000000" w:themeColor="text1"/>
          <w:highlight w:val="none"/>
          <w:lang w:val="en-US"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br w:type="page"/>
      </w:r>
    </w:p>
    <w:p w14:paraId="1C453916">
      <w:pPr>
        <w:pStyle w:val="17"/>
        <w:outlineLvl w:val="1"/>
        <w:rPr>
          <w:rFonts w:hint="eastAsia"/>
          <w:b/>
          <w:color w:val="000000" w:themeColor="text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八</w:t>
      </w:r>
      <w:r>
        <w:rPr>
          <w:rFonts w:hint="eastAsia"/>
          <w:b/>
          <w:color w:val="000000" w:themeColor="text1"/>
          <w:highlight w:val="none"/>
          <w14:textFill>
            <w14:solidFill>
              <w14:schemeClr w14:val="tx1"/>
            </w14:solidFill>
          </w14:textFill>
        </w:rPr>
        <w:t>、响应需要的其他证明文件及材料</w:t>
      </w:r>
    </w:p>
    <w:p w14:paraId="7CD19FE3">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p w14:paraId="1DAD3D43">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p w14:paraId="672C41B2">
      <w:pPr>
        <w:pStyle w:val="267"/>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响应需要的其他证明文件及材料（若有）</w:t>
      </w:r>
    </w:p>
    <w:p w14:paraId="1D39D0B3">
      <w:pPr>
        <w:pStyle w:val="262"/>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14:paraId="63F44123">
      <w:pPr>
        <w:keepNext w:val="0"/>
        <w:keepLines w:val="0"/>
        <w:pageBreakBefore w:val="0"/>
        <w:kinsoku/>
        <w:overflowPunct/>
        <w:topLinePunct w:val="0"/>
        <w:bidi w:val="0"/>
        <w:adjustRightInd w:val="0"/>
        <w:spacing w:line="360" w:lineRule="auto"/>
        <w:rPr>
          <w:rFonts w:ascii="宋体" w:hAnsi="宋体"/>
          <w:b/>
          <w:color w:val="000000" w:themeColor="text1"/>
          <w:highlight w:val="none"/>
          <w14:textFill>
            <w14:solidFill>
              <w14:schemeClr w14:val="tx1"/>
            </w14:solidFill>
          </w14:textFill>
        </w:rPr>
      </w:pPr>
    </w:p>
    <w:p w14:paraId="70278974">
      <w:pPr>
        <w:pStyle w:val="267"/>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273527E0">
      <w:pPr>
        <w:keepNext w:val="0"/>
        <w:keepLines w:val="0"/>
        <w:pageBreakBefore w:val="0"/>
        <w:kinsoku/>
        <w:overflowPunct/>
        <w:topLinePunct w:val="0"/>
        <w:bidi w:val="0"/>
        <w:spacing w:line="360" w:lineRule="auto"/>
        <w:rPr>
          <w:rFonts w:ascii="宋体" w:hAnsi="宋体"/>
          <w:color w:val="000000" w:themeColor="text1"/>
          <w:highlight w:val="none"/>
          <w14:textFill>
            <w14:solidFill>
              <w14:schemeClr w14:val="tx1"/>
            </w14:solidFill>
          </w14:textFill>
        </w:rPr>
      </w:pPr>
    </w:p>
    <w:p w14:paraId="27E1A2B4">
      <w:pPr>
        <w:pStyle w:val="17"/>
        <w:keepNext w:val="0"/>
        <w:keepLines w:val="0"/>
        <w:pageBreakBefore w:val="0"/>
        <w:kinsoku/>
        <w:overflowPunct/>
        <w:topLinePunct w:val="0"/>
        <w:bidi w:val="0"/>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65BE581">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6A564896">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1026EBDD">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1A377543">
      <w:pPr>
        <w:keepNext w:val="0"/>
        <w:keepLines w:val="0"/>
        <w:pageBreakBefore w:val="0"/>
        <w:kinsoku/>
        <w:overflowPunct/>
        <w:topLinePunct w:val="0"/>
        <w:bidi w:val="0"/>
        <w:spacing w:line="360" w:lineRule="auto"/>
        <w:rPr>
          <w:rFonts w:ascii="宋体" w:hAnsi="宋体" w:cs="宋体"/>
          <w:color w:val="000000" w:themeColor="text1"/>
          <w:sz w:val="24"/>
          <w:szCs w:val="24"/>
          <w:highlight w:val="none"/>
          <w14:textFill>
            <w14:solidFill>
              <w14:schemeClr w14:val="tx1"/>
            </w14:solidFill>
          </w14:textFill>
        </w:rPr>
      </w:pPr>
    </w:p>
    <w:p w14:paraId="1FB8CBBF">
      <w:pPr>
        <w:keepNext w:val="0"/>
        <w:keepLines w:val="0"/>
        <w:pageBreakBefore w:val="0"/>
        <w:kinsoku/>
        <w:overflowPunct/>
        <w:topLinePunct w:val="0"/>
        <w:bidi w:val="0"/>
        <w:spacing w:line="360" w:lineRule="auto"/>
        <w:rPr>
          <w:rFonts w:ascii="宋体" w:hAnsi="宋体" w:cs="宋体"/>
          <w:color w:val="000000" w:themeColor="text1"/>
          <w:sz w:val="24"/>
          <w:szCs w:val="24"/>
          <w:highlight w:val="none"/>
          <w14:textFill>
            <w14:solidFill>
              <w14:schemeClr w14:val="tx1"/>
            </w14:solidFill>
          </w14:textFill>
        </w:rPr>
      </w:pPr>
    </w:p>
    <w:p w14:paraId="4C026FF6">
      <w:pPr>
        <w:keepNext w:val="0"/>
        <w:keepLines w:val="0"/>
        <w:pageBreakBefore w:val="0"/>
        <w:kinsoku/>
        <w:overflowPunct/>
        <w:topLinePunct w:val="0"/>
        <w:bidi w:val="0"/>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633EB14F">
      <w:pPr>
        <w:keepNext w:val="0"/>
        <w:keepLines w:val="0"/>
        <w:pageBreakBefore w:val="0"/>
        <w:kinsoku/>
        <w:overflowPunct/>
        <w:topLinePunct w:val="0"/>
        <w:bidi w:val="0"/>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43034E9A">
      <w:pPr>
        <w:pStyle w:val="43"/>
        <w:keepNext w:val="0"/>
        <w:keepLines w:val="0"/>
        <w:pageBreakBefore w:val="0"/>
        <w:kinsoku/>
        <w:overflowPunct/>
        <w:topLinePunct w:val="0"/>
        <w:bidi w:val="0"/>
        <w:spacing w:line="360" w:lineRule="auto"/>
        <w:ind w:left="0" w:leftChars="0" w:firstLine="0" w:firstLineChars="0"/>
        <w:rPr>
          <w:color w:val="000000" w:themeColor="text1"/>
          <w:highlight w:val="none"/>
          <w14:textFill>
            <w14:solidFill>
              <w14:schemeClr w14:val="tx1"/>
            </w14:solidFill>
          </w14:textFill>
        </w:rPr>
      </w:pPr>
    </w:p>
    <w:p w14:paraId="7A03B021">
      <w:pPr>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p>
    <w:p w14:paraId="1E6CA3E0">
      <w:pPr>
        <w:keepNext w:val="0"/>
        <w:keepLines w:val="0"/>
        <w:pageBreakBefore w:val="0"/>
        <w:kinsoku/>
        <w:overflowPunct/>
        <w:topLinePunct w:val="0"/>
        <w:bidi w:val="0"/>
        <w:spacing w:line="360" w:lineRule="auto"/>
        <w:rPr>
          <w:rFonts w:ascii="宋体" w:hAnsi="宋体"/>
          <w:b/>
          <w:color w:val="000000" w:themeColor="text1"/>
          <w:highlight w:val="none"/>
          <w14:textFill>
            <w14:solidFill>
              <w14:schemeClr w14:val="tx1"/>
            </w14:solidFill>
          </w14:textFill>
        </w:rPr>
      </w:pPr>
    </w:p>
    <w:p w14:paraId="3BF45BF0">
      <w:pPr>
        <w:pStyle w:val="262"/>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3BD6B571">
      <w:pPr>
        <w:pStyle w:val="267"/>
        <w:keepNext w:val="0"/>
        <w:keepLines w:val="0"/>
        <w:pageBreakBefore w:val="0"/>
        <w:kinsoku/>
        <w:overflowPunct/>
        <w:topLinePunct w:val="0"/>
        <w:bidi w:val="0"/>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02D5CCDB">
      <w:pPr>
        <w:pStyle w:val="17"/>
        <w:keepNext w:val="0"/>
        <w:keepLines w:val="0"/>
        <w:pageBreakBefore w:val="0"/>
        <w:kinsoku/>
        <w:overflowPunct/>
        <w:topLinePunct w:val="0"/>
        <w:bidi w:val="0"/>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920B44E">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76A7E720">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271D850">
      <w:pPr>
        <w:pStyle w:val="17"/>
        <w:keepNext w:val="0"/>
        <w:keepLines w:val="0"/>
        <w:pageBreakBefore w:val="0"/>
        <w:kinsoku/>
        <w:overflowPunct/>
        <w:topLinePunct w:val="0"/>
        <w:bidi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15725062">
      <w:pPr>
        <w:keepNext w:val="0"/>
        <w:keepLines w:val="0"/>
        <w:pageBreakBefore w:val="0"/>
        <w:kinsoku/>
        <w:overflowPunct/>
        <w:topLinePunct w:val="0"/>
        <w:bidi w:val="0"/>
        <w:spacing w:line="360" w:lineRule="auto"/>
        <w:rPr>
          <w:rFonts w:ascii="宋体" w:hAnsi="宋体" w:cs="宋体"/>
          <w:color w:val="000000" w:themeColor="text1"/>
          <w:sz w:val="24"/>
          <w:highlight w:val="none"/>
          <w14:textFill>
            <w14:solidFill>
              <w14:schemeClr w14:val="tx1"/>
            </w14:solidFill>
          </w14:textFill>
        </w:rPr>
      </w:pPr>
    </w:p>
    <w:p w14:paraId="5C7A543D">
      <w:pPr>
        <w:keepNext w:val="0"/>
        <w:keepLines w:val="0"/>
        <w:pageBreakBefore w:val="0"/>
        <w:kinsoku/>
        <w:overflowPunct/>
        <w:topLinePunct w:val="0"/>
        <w:bidi w:val="0"/>
        <w:spacing w:line="360" w:lineRule="auto"/>
        <w:rPr>
          <w:rFonts w:ascii="宋体" w:hAnsi="宋体" w:cs="宋体"/>
          <w:color w:val="000000" w:themeColor="text1"/>
          <w:sz w:val="24"/>
          <w:highlight w:val="none"/>
          <w14:textFill>
            <w14:solidFill>
              <w14:schemeClr w14:val="tx1"/>
            </w14:solidFill>
          </w14:textFill>
        </w:rPr>
      </w:pPr>
    </w:p>
    <w:p w14:paraId="388D67F5">
      <w:pPr>
        <w:keepNext w:val="0"/>
        <w:keepLines w:val="0"/>
        <w:pageBreakBefore w:val="0"/>
        <w:kinsoku/>
        <w:overflowPunct/>
        <w:topLinePunct w:val="0"/>
        <w:bidi w:val="0"/>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2E6222C2">
      <w:pPr>
        <w:keepNext w:val="0"/>
        <w:keepLines w:val="0"/>
        <w:pageBreakBefore w:val="0"/>
        <w:kinsoku/>
        <w:overflowPunct/>
        <w:topLinePunct w:val="0"/>
        <w:bidi w:val="0"/>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57F1A853">
      <w:pPr>
        <w:keepNext w:val="0"/>
        <w:keepLines w:val="0"/>
        <w:pageBreakBefore w:val="0"/>
        <w:kinsoku/>
        <w:overflowPunct/>
        <w:topLinePunct w:val="0"/>
        <w:bidi w:val="0"/>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14:paraId="2FFC1ACB">
      <w:pPr>
        <w:keepNext w:val="0"/>
        <w:keepLines w:val="0"/>
        <w:pageBreakBefore w:val="0"/>
        <w:kinsoku/>
        <w:overflowPunct/>
        <w:topLinePunct w:val="0"/>
        <w:bidi w:val="0"/>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14:paraId="15535936">
      <w:pPr>
        <w:pStyle w:val="262"/>
        <w:keepNext w:val="0"/>
        <w:keepLines w:val="0"/>
        <w:pageBreakBefore w:val="0"/>
        <w:kinsoku/>
        <w:overflowPunct/>
        <w:topLinePunct w:val="0"/>
        <w:bidi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1BE96223">
      <w:pPr>
        <w:keepNext w:val="0"/>
        <w:keepLines w:val="0"/>
        <w:pageBreakBefore w:val="0"/>
        <w:kinsoku/>
        <w:overflowPunct/>
        <w:topLinePunct w:val="0"/>
        <w:bidi w:val="0"/>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23C8F189">
      <w:pPr>
        <w:keepNext w:val="0"/>
        <w:keepLines w:val="0"/>
        <w:pageBreakBefore w:val="0"/>
        <w:kinsoku/>
        <w:overflowPunct/>
        <w:topLinePunct w:val="0"/>
        <w:bidi w:val="0"/>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72CEE61F">
      <w:pPr>
        <w:keepNext w:val="0"/>
        <w:keepLines w:val="0"/>
        <w:pageBreakBefore w:val="0"/>
        <w:kinsoku/>
        <w:overflowPunct/>
        <w:topLinePunct w:val="0"/>
        <w:bidi w:val="0"/>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339DC549">
      <w:pPr>
        <w:keepNext w:val="0"/>
        <w:keepLines w:val="0"/>
        <w:pageBreakBefore w:val="0"/>
        <w:kinsoku/>
        <w:overflowPunct/>
        <w:topLinePunct w:val="0"/>
        <w:bidi w:val="0"/>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1957865F">
      <w:pPr>
        <w:keepNext w:val="0"/>
        <w:keepLines w:val="0"/>
        <w:pageBreakBefore w:val="0"/>
        <w:kinsoku/>
        <w:overflowPunct/>
        <w:topLinePunct w:val="0"/>
        <w:bidi w:val="0"/>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sectPr>
      <w:headerReference r:id="rId6" w:type="default"/>
      <w:footerReference r:id="rId7"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A88CA">
    <w:pPr>
      <w:spacing w:line="176" w:lineRule="auto"/>
      <w:ind w:left="4475"/>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A6115">
    <w:pPr>
      <w:spacing w:line="176" w:lineRule="auto"/>
      <w:ind w:left="4485"/>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141D1">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728ADA51">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728ADA51">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2542B">
    <w:pPr>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537EB">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3C6E106"/>
    <w:multiLevelType w:val="singleLevel"/>
    <w:tmpl w:val="A3C6E106"/>
    <w:lvl w:ilvl="0" w:tentative="0">
      <w:start w:val="1"/>
      <w:numFmt w:val="chineseCounting"/>
      <w:suff w:val="nothing"/>
      <w:lvlText w:val="%1、"/>
      <w:lvlJc w:val="left"/>
      <w:pPr>
        <w:ind w:left="0" w:firstLine="420"/>
      </w:pPr>
      <w:rPr>
        <w:rFonts w:hint="eastAsia"/>
      </w:rPr>
    </w:lvl>
  </w:abstractNum>
  <w:abstractNum w:abstractNumId="12">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3">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045335A"/>
    <w:multiLevelType w:val="singleLevel"/>
    <w:tmpl w:val="E045335A"/>
    <w:lvl w:ilvl="0" w:tentative="0">
      <w:start w:val="2"/>
      <w:numFmt w:val="chineseCounting"/>
      <w:suff w:val="nothing"/>
      <w:lvlText w:val="%1、"/>
      <w:lvlJc w:val="left"/>
      <w:rPr>
        <w:rFonts w:hint="eastAsia"/>
      </w:rPr>
    </w:lvl>
  </w:abstractNum>
  <w:abstractNum w:abstractNumId="26">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7">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8">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9">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0">
    <w:nsid w:val="F02EE604"/>
    <w:multiLevelType w:val="singleLevel"/>
    <w:tmpl w:val="F02EE604"/>
    <w:lvl w:ilvl="0" w:tentative="0">
      <w:start w:val="1"/>
      <w:numFmt w:val="chineseCounting"/>
      <w:suff w:val="nothing"/>
      <w:lvlText w:val="（%1）"/>
      <w:lvlJc w:val="left"/>
      <w:pPr>
        <w:ind w:left="0" w:firstLine="420"/>
      </w:pPr>
      <w:rPr>
        <w:rFonts w:hint="eastAsia"/>
      </w:rPr>
    </w:lvl>
  </w:abstractNum>
  <w:abstractNum w:abstractNumId="31">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2">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3">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4">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5">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6">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7">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6">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7">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8">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9">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0">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0"/>
  </w:num>
  <w:num w:numId="2">
    <w:abstractNumId w:val="14"/>
  </w:num>
  <w:num w:numId="3">
    <w:abstractNumId w:val="39"/>
  </w:num>
  <w:num w:numId="4">
    <w:abstractNumId w:val="59"/>
  </w:num>
  <w:num w:numId="5">
    <w:abstractNumId w:val="56"/>
  </w:num>
  <w:num w:numId="6">
    <w:abstractNumId w:val="35"/>
  </w:num>
  <w:num w:numId="7">
    <w:abstractNumId w:val="21"/>
  </w:num>
  <w:num w:numId="8">
    <w:abstractNumId w:val="46"/>
  </w:num>
  <w:num w:numId="9">
    <w:abstractNumId w:val="42"/>
  </w:num>
  <w:num w:numId="10">
    <w:abstractNumId w:val="8"/>
  </w:num>
  <w:num w:numId="11">
    <w:abstractNumId w:val="17"/>
  </w:num>
  <w:num w:numId="12">
    <w:abstractNumId w:val="49"/>
  </w:num>
  <w:num w:numId="13">
    <w:abstractNumId w:val="60"/>
  </w:num>
  <w:num w:numId="14">
    <w:abstractNumId w:val="13"/>
  </w:num>
  <w:num w:numId="15">
    <w:abstractNumId w:val="57"/>
  </w:num>
  <w:num w:numId="16">
    <w:abstractNumId w:val="41"/>
  </w:num>
  <w:num w:numId="17">
    <w:abstractNumId w:val="55"/>
  </w:num>
  <w:num w:numId="18">
    <w:abstractNumId w:val="44"/>
  </w:num>
  <w:num w:numId="19">
    <w:abstractNumId w:val="34"/>
  </w:num>
  <w:num w:numId="20">
    <w:abstractNumId w:val="38"/>
  </w:num>
  <w:num w:numId="21">
    <w:abstractNumId w:val="15"/>
  </w:num>
  <w:num w:numId="22">
    <w:abstractNumId w:val="26"/>
  </w:num>
  <w:num w:numId="23">
    <w:abstractNumId w:val="33"/>
  </w:num>
  <w:num w:numId="24">
    <w:abstractNumId w:val="47"/>
  </w:num>
  <w:num w:numId="25">
    <w:abstractNumId w:val="28"/>
  </w:num>
  <w:num w:numId="26">
    <w:abstractNumId w:val="6"/>
  </w:num>
  <w:num w:numId="27">
    <w:abstractNumId w:val="48"/>
  </w:num>
  <w:num w:numId="28">
    <w:abstractNumId w:val="16"/>
  </w:num>
  <w:num w:numId="29">
    <w:abstractNumId w:val="2"/>
  </w:num>
  <w:num w:numId="30">
    <w:abstractNumId w:val="51"/>
  </w:num>
  <w:num w:numId="31">
    <w:abstractNumId w:val="45"/>
  </w:num>
  <w:num w:numId="32">
    <w:abstractNumId w:val="36"/>
  </w:num>
  <w:num w:numId="33">
    <w:abstractNumId w:val="7"/>
  </w:num>
  <w:num w:numId="34">
    <w:abstractNumId w:val="37"/>
  </w:num>
  <w:num w:numId="35">
    <w:abstractNumId w:val="53"/>
  </w:num>
  <w:num w:numId="36">
    <w:abstractNumId w:val="52"/>
  </w:num>
  <w:num w:numId="37">
    <w:abstractNumId w:val="3"/>
  </w:num>
  <w:num w:numId="38">
    <w:abstractNumId w:val="29"/>
  </w:num>
  <w:num w:numId="39">
    <w:abstractNumId w:val="54"/>
  </w:num>
  <w:num w:numId="40">
    <w:abstractNumId w:val="24"/>
  </w:num>
  <w:num w:numId="41">
    <w:abstractNumId w:val="9"/>
  </w:num>
  <w:num w:numId="42">
    <w:abstractNumId w:val="4"/>
  </w:num>
  <w:num w:numId="43">
    <w:abstractNumId w:val="10"/>
  </w:num>
  <w:num w:numId="44">
    <w:abstractNumId w:val="31"/>
  </w:num>
  <w:num w:numId="45">
    <w:abstractNumId w:val="18"/>
  </w:num>
  <w:num w:numId="46">
    <w:abstractNumId w:val="27"/>
  </w:num>
  <w:num w:numId="47">
    <w:abstractNumId w:val="19"/>
  </w:num>
  <w:num w:numId="48">
    <w:abstractNumId w:val="58"/>
  </w:num>
  <w:num w:numId="49">
    <w:abstractNumId w:val="20"/>
  </w:num>
  <w:num w:numId="50">
    <w:abstractNumId w:val="23"/>
  </w:num>
  <w:num w:numId="51">
    <w:abstractNumId w:val="1"/>
  </w:num>
  <w:num w:numId="52">
    <w:abstractNumId w:val="5"/>
  </w:num>
  <w:num w:numId="53">
    <w:abstractNumId w:val="43"/>
  </w:num>
  <w:num w:numId="54">
    <w:abstractNumId w:val="11"/>
  </w:num>
  <w:num w:numId="55">
    <w:abstractNumId w:val="25"/>
  </w:num>
  <w:num w:numId="56">
    <w:abstractNumId w:val="30"/>
  </w:num>
  <w:num w:numId="57">
    <w:abstractNumId w:val="0"/>
  </w:num>
  <w:num w:numId="58">
    <w:abstractNumId w:val="40"/>
  </w:num>
  <w:num w:numId="59">
    <w:abstractNumId w:val="12"/>
  </w:num>
  <w:num w:numId="60">
    <w:abstractNumId w:val="32"/>
  </w:num>
  <w:num w:numId="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4E5FFB"/>
    <w:rsid w:val="01866528"/>
    <w:rsid w:val="01933E55"/>
    <w:rsid w:val="01BF6469"/>
    <w:rsid w:val="027C6AB9"/>
    <w:rsid w:val="02DF21EF"/>
    <w:rsid w:val="045046FF"/>
    <w:rsid w:val="047F24B6"/>
    <w:rsid w:val="0486671D"/>
    <w:rsid w:val="057069E3"/>
    <w:rsid w:val="05CB3586"/>
    <w:rsid w:val="060D10D2"/>
    <w:rsid w:val="066C72D7"/>
    <w:rsid w:val="07E86EA8"/>
    <w:rsid w:val="07EF7321"/>
    <w:rsid w:val="08564CB9"/>
    <w:rsid w:val="085A6539"/>
    <w:rsid w:val="086A2D1A"/>
    <w:rsid w:val="08823813"/>
    <w:rsid w:val="08A40BE4"/>
    <w:rsid w:val="08B07D72"/>
    <w:rsid w:val="091D123B"/>
    <w:rsid w:val="09684681"/>
    <w:rsid w:val="096B4234"/>
    <w:rsid w:val="098053F7"/>
    <w:rsid w:val="09865C52"/>
    <w:rsid w:val="098D5F59"/>
    <w:rsid w:val="09ED3120"/>
    <w:rsid w:val="0A1318AA"/>
    <w:rsid w:val="0A1554BB"/>
    <w:rsid w:val="0A170B9C"/>
    <w:rsid w:val="0A1D4625"/>
    <w:rsid w:val="0A702F25"/>
    <w:rsid w:val="0B0D419A"/>
    <w:rsid w:val="0BAA1044"/>
    <w:rsid w:val="0BF16C73"/>
    <w:rsid w:val="0C06116B"/>
    <w:rsid w:val="0C9534E4"/>
    <w:rsid w:val="0CA64C54"/>
    <w:rsid w:val="0D4B59D5"/>
    <w:rsid w:val="0DC64FDA"/>
    <w:rsid w:val="0DCF4D92"/>
    <w:rsid w:val="0E5626EA"/>
    <w:rsid w:val="0E7F4BD9"/>
    <w:rsid w:val="0EAC78F2"/>
    <w:rsid w:val="0EFA6269"/>
    <w:rsid w:val="0FE50224"/>
    <w:rsid w:val="0FE67D3D"/>
    <w:rsid w:val="1101240C"/>
    <w:rsid w:val="113C6649"/>
    <w:rsid w:val="119D6FA6"/>
    <w:rsid w:val="11C34ECA"/>
    <w:rsid w:val="11ED31A7"/>
    <w:rsid w:val="124A36D5"/>
    <w:rsid w:val="12721277"/>
    <w:rsid w:val="12A83E03"/>
    <w:rsid w:val="12B979DD"/>
    <w:rsid w:val="130726B9"/>
    <w:rsid w:val="134358DA"/>
    <w:rsid w:val="1345230E"/>
    <w:rsid w:val="13B8520A"/>
    <w:rsid w:val="15060EBD"/>
    <w:rsid w:val="15B33C35"/>
    <w:rsid w:val="15EF5D0A"/>
    <w:rsid w:val="16052AC0"/>
    <w:rsid w:val="160A26DF"/>
    <w:rsid w:val="17163A31"/>
    <w:rsid w:val="1720639D"/>
    <w:rsid w:val="177B5642"/>
    <w:rsid w:val="179B7A92"/>
    <w:rsid w:val="18056F1E"/>
    <w:rsid w:val="181E6B1A"/>
    <w:rsid w:val="18766A0E"/>
    <w:rsid w:val="18824714"/>
    <w:rsid w:val="18AE6841"/>
    <w:rsid w:val="18E611E1"/>
    <w:rsid w:val="19063631"/>
    <w:rsid w:val="1951749F"/>
    <w:rsid w:val="1959610D"/>
    <w:rsid w:val="19933EEE"/>
    <w:rsid w:val="19CB13F6"/>
    <w:rsid w:val="19E34F52"/>
    <w:rsid w:val="19E55985"/>
    <w:rsid w:val="19F85670"/>
    <w:rsid w:val="1A0836F9"/>
    <w:rsid w:val="1A4426FE"/>
    <w:rsid w:val="1A5852A5"/>
    <w:rsid w:val="1A6C60CD"/>
    <w:rsid w:val="1B1875CE"/>
    <w:rsid w:val="1B835B95"/>
    <w:rsid w:val="1B9B2CF3"/>
    <w:rsid w:val="1BA842D2"/>
    <w:rsid w:val="1BAC3218"/>
    <w:rsid w:val="1BB97CCD"/>
    <w:rsid w:val="1BCD48DA"/>
    <w:rsid w:val="1C8D00AF"/>
    <w:rsid w:val="1C8E057A"/>
    <w:rsid w:val="1CA11867"/>
    <w:rsid w:val="1CBA19FF"/>
    <w:rsid w:val="1D2422D8"/>
    <w:rsid w:val="1D7F5DED"/>
    <w:rsid w:val="1D88230D"/>
    <w:rsid w:val="1E036392"/>
    <w:rsid w:val="1EF63F47"/>
    <w:rsid w:val="1F6E6475"/>
    <w:rsid w:val="1F951903"/>
    <w:rsid w:val="1FE5032F"/>
    <w:rsid w:val="200636BC"/>
    <w:rsid w:val="207E43F5"/>
    <w:rsid w:val="209D7852"/>
    <w:rsid w:val="20C067BC"/>
    <w:rsid w:val="20DA31C7"/>
    <w:rsid w:val="20E83E89"/>
    <w:rsid w:val="214720F7"/>
    <w:rsid w:val="21AF7EF2"/>
    <w:rsid w:val="21C30CB0"/>
    <w:rsid w:val="21D104C4"/>
    <w:rsid w:val="21E6112F"/>
    <w:rsid w:val="22017635"/>
    <w:rsid w:val="222334A6"/>
    <w:rsid w:val="229D231D"/>
    <w:rsid w:val="231A029A"/>
    <w:rsid w:val="23325476"/>
    <w:rsid w:val="235E3DED"/>
    <w:rsid w:val="241E2177"/>
    <w:rsid w:val="24341C05"/>
    <w:rsid w:val="2445396E"/>
    <w:rsid w:val="247D6DFF"/>
    <w:rsid w:val="2557368E"/>
    <w:rsid w:val="25643BBA"/>
    <w:rsid w:val="25FE6C33"/>
    <w:rsid w:val="26203303"/>
    <w:rsid w:val="26B03760"/>
    <w:rsid w:val="27897907"/>
    <w:rsid w:val="27DE4458"/>
    <w:rsid w:val="27E9484A"/>
    <w:rsid w:val="283F5126"/>
    <w:rsid w:val="288844C9"/>
    <w:rsid w:val="28920A3E"/>
    <w:rsid w:val="291B6C85"/>
    <w:rsid w:val="29331FB8"/>
    <w:rsid w:val="293449E4"/>
    <w:rsid w:val="293B10D5"/>
    <w:rsid w:val="29945580"/>
    <w:rsid w:val="299B7DC6"/>
    <w:rsid w:val="29FD7462"/>
    <w:rsid w:val="2A337FFE"/>
    <w:rsid w:val="2A830F86"/>
    <w:rsid w:val="2A953067"/>
    <w:rsid w:val="2B1E2A5D"/>
    <w:rsid w:val="2B2140BD"/>
    <w:rsid w:val="2B5736C6"/>
    <w:rsid w:val="2B867186"/>
    <w:rsid w:val="2B9C1C62"/>
    <w:rsid w:val="2BDB3C20"/>
    <w:rsid w:val="2BFF27DA"/>
    <w:rsid w:val="2C4C35F9"/>
    <w:rsid w:val="2CA040B5"/>
    <w:rsid w:val="2D900EBE"/>
    <w:rsid w:val="2DB27BB8"/>
    <w:rsid w:val="2DE31D62"/>
    <w:rsid w:val="2E0E74C0"/>
    <w:rsid w:val="2E165C6D"/>
    <w:rsid w:val="2E6B55BE"/>
    <w:rsid w:val="2E94506D"/>
    <w:rsid w:val="2EDD678B"/>
    <w:rsid w:val="2EEC39D8"/>
    <w:rsid w:val="2EED10C4"/>
    <w:rsid w:val="2F057E2F"/>
    <w:rsid w:val="2F3321FA"/>
    <w:rsid w:val="2F544C9F"/>
    <w:rsid w:val="2F751905"/>
    <w:rsid w:val="2FFB046F"/>
    <w:rsid w:val="30271FE8"/>
    <w:rsid w:val="304B06CD"/>
    <w:rsid w:val="305A25CD"/>
    <w:rsid w:val="30731155"/>
    <w:rsid w:val="30AD0B0B"/>
    <w:rsid w:val="30B8216E"/>
    <w:rsid w:val="30BB2399"/>
    <w:rsid w:val="30CC43CF"/>
    <w:rsid w:val="30D56E57"/>
    <w:rsid w:val="31B00187"/>
    <w:rsid w:val="31FC517A"/>
    <w:rsid w:val="32D36F23"/>
    <w:rsid w:val="33265EB1"/>
    <w:rsid w:val="33637328"/>
    <w:rsid w:val="338F44F8"/>
    <w:rsid w:val="339C4E66"/>
    <w:rsid w:val="33B201E6"/>
    <w:rsid w:val="33B43DDA"/>
    <w:rsid w:val="34017A8A"/>
    <w:rsid w:val="340E7F4B"/>
    <w:rsid w:val="350B7DFE"/>
    <w:rsid w:val="35702107"/>
    <w:rsid w:val="35CD57AB"/>
    <w:rsid w:val="35ED3757"/>
    <w:rsid w:val="367A15B2"/>
    <w:rsid w:val="36B24E78"/>
    <w:rsid w:val="36F01751"/>
    <w:rsid w:val="37315AF4"/>
    <w:rsid w:val="373A0C1E"/>
    <w:rsid w:val="374959C5"/>
    <w:rsid w:val="37C64260"/>
    <w:rsid w:val="37FA7A6D"/>
    <w:rsid w:val="38496D6C"/>
    <w:rsid w:val="388D1222"/>
    <w:rsid w:val="3892621E"/>
    <w:rsid w:val="38B663C8"/>
    <w:rsid w:val="38C904AC"/>
    <w:rsid w:val="38CA2129"/>
    <w:rsid w:val="38E05B90"/>
    <w:rsid w:val="395020B7"/>
    <w:rsid w:val="395A7356"/>
    <w:rsid w:val="39A90FEE"/>
    <w:rsid w:val="3A744447"/>
    <w:rsid w:val="3A8853A8"/>
    <w:rsid w:val="3AA30888"/>
    <w:rsid w:val="3AC6563A"/>
    <w:rsid w:val="3ADD5E57"/>
    <w:rsid w:val="3AFB3576"/>
    <w:rsid w:val="3B173D7F"/>
    <w:rsid w:val="3BA548E8"/>
    <w:rsid w:val="3BA7763C"/>
    <w:rsid w:val="3BC44F5A"/>
    <w:rsid w:val="3BD74CEB"/>
    <w:rsid w:val="3BED091B"/>
    <w:rsid w:val="3C2A1253"/>
    <w:rsid w:val="3C33208F"/>
    <w:rsid w:val="3C60699C"/>
    <w:rsid w:val="3C7701A2"/>
    <w:rsid w:val="3CF60458"/>
    <w:rsid w:val="3D042809"/>
    <w:rsid w:val="3DD05746"/>
    <w:rsid w:val="3E8743FE"/>
    <w:rsid w:val="3E927B50"/>
    <w:rsid w:val="3EC05EAD"/>
    <w:rsid w:val="3F992808"/>
    <w:rsid w:val="3FB83028"/>
    <w:rsid w:val="3FBE048B"/>
    <w:rsid w:val="3FEB6F5A"/>
    <w:rsid w:val="4067627C"/>
    <w:rsid w:val="409265EE"/>
    <w:rsid w:val="411D42F0"/>
    <w:rsid w:val="415218E2"/>
    <w:rsid w:val="41C9151C"/>
    <w:rsid w:val="41F213A1"/>
    <w:rsid w:val="41F221ED"/>
    <w:rsid w:val="431C742A"/>
    <w:rsid w:val="43283EE7"/>
    <w:rsid w:val="43D74118"/>
    <w:rsid w:val="444F53BD"/>
    <w:rsid w:val="44737C99"/>
    <w:rsid w:val="44CE05FF"/>
    <w:rsid w:val="44ED5664"/>
    <w:rsid w:val="44F364BA"/>
    <w:rsid w:val="45250B74"/>
    <w:rsid w:val="454F18BF"/>
    <w:rsid w:val="456A6701"/>
    <w:rsid w:val="45842F5F"/>
    <w:rsid w:val="45A1630C"/>
    <w:rsid w:val="45D756FD"/>
    <w:rsid w:val="45F24ED8"/>
    <w:rsid w:val="473A796F"/>
    <w:rsid w:val="47726C6E"/>
    <w:rsid w:val="479B6934"/>
    <w:rsid w:val="4835253A"/>
    <w:rsid w:val="48616533"/>
    <w:rsid w:val="486C49B0"/>
    <w:rsid w:val="489610DE"/>
    <w:rsid w:val="48E73DE4"/>
    <w:rsid w:val="494476DB"/>
    <w:rsid w:val="496F29A9"/>
    <w:rsid w:val="49A454A8"/>
    <w:rsid w:val="49B22A94"/>
    <w:rsid w:val="49BC0661"/>
    <w:rsid w:val="49BF63F4"/>
    <w:rsid w:val="49C66341"/>
    <w:rsid w:val="49EA771C"/>
    <w:rsid w:val="4A8E3303"/>
    <w:rsid w:val="4AA743C5"/>
    <w:rsid w:val="4B1E03E7"/>
    <w:rsid w:val="4B30329B"/>
    <w:rsid w:val="4BA95F1B"/>
    <w:rsid w:val="4BD9754E"/>
    <w:rsid w:val="4BE920DE"/>
    <w:rsid w:val="4C054A64"/>
    <w:rsid w:val="4C4C4730"/>
    <w:rsid w:val="4C6D6F48"/>
    <w:rsid w:val="4D1A109E"/>
    <w:rsid w:val="4D371A30"/>
    <w:rsid w:val="4D4B3442"/>
    <w:rsid w:val="4D8602C2"/>
    <w:rsid w:val="4DA30E74"/>
    <w:rsid w:val="4E0C23A2"/>
    <w:rsid w:val="4E6D3230"/>
    <w:rsid w:val="4E922C96"/>
    <w:rsid w:val="4E934692"/>
    <w:rsid w:val="4EA053B3"/>
    <w:rsid w:val="4EBF3E71"/>
    <w:rsid w:val="4EC77780"/>
    <w:rsid w:val="4EF3271A"/>
    <w:rsid w:val="4F8A257E"/>
    <w:rsid w:val="4FA94B75"/>
    <w:rsid w:val="4FD55530"/>
    <w:rsid w:val="504656BE"/>
    <w:rsid w:val="50AF3052"/>
    <w:rsid w:val="50B667D3"/>
    <w:rsid w:val="512E27E4"/>
    <w:rsid w:val="51E11D57"/>
    <w:rsid w:val="52345B11"/>
    <w:rsid w:val="52562E9B"/>
    <w:rsid w:val="5314255F"/>
    <w:rsid w:val="53402E60"/>
    <w:rsid w:val="534D533B"/>
    <w:rsid w:val="535029F5"/>
    <w:rsid w:val="536F0303"/>
    <w:rsid w:val="53C15FC4"/>
    <w:rsid w:val="53D86EF5"/>
    <w:rsid w:val="5402266C"/>
    <w:rsid w:val="54043CE9"/>
    <w:rsid w:val="543842E0"/>
    <w:rsid w:val="54803E83"/>
    <w:rsid w:val="54A67309"/>
    <w:rsid w:val="5623455D"/>
    <w:rsid w:val="563228AA"/>
    <w:rsid w:val="563B3C13"/>
    <w:rsid w:val="56C43C09"/>
    <w:rsid w:val="56EA18C1"/>
    <w:rsid w:val="57106FCA"/>
    <w:rsid w:val="57A23F4A"/>
    <w:rsid w:val="57A46D66"/>
    <w:rsid w:val="57B42F13"/>
    <w:rsid w:val="58070251"/>
    <w:rsid w:val="584C2108"/>
    <w:rsid w:val="58827087"/>
    <w:rsid w:val="58CC32A4"/>
    <w:rsid w:val="58F5454D"/>
    <w:rsid w:val="592D018B"/>
    <w:rsid w:val="592D4AAA"/>
    <w:rsid w:val="5A237C84"/>
    <w:rsid w:val="5A253D2B"/>
    <w:rsid w:val="5A7B154E"/>
    <w:rsid w:val="5B1E0FAE"/>
    <w:rsid w:val="5B355BAF"/>
    <w:rsid w:val="5B7F1DF1"/>
    <w:rsid w:val="5BCF7320"/>
    <w:rsid w:val="5BDE1EE0"/>
    <w:rsid w:val="5C292E8C"/>
    <w:rsid w:val="5C3165A1"/>
    <w:rsid w:val="5C6F779B"/>
    <w:rsid w:val="5CA761D1"/>
    <w:rsid w:val="5CBF734C"/>
    <w:rsid w:val="5CD2438D"/>
    <w:rsid w:val="5CDD77D2"/>
    <w:rsid w:val="5CEF3C87"/>
    <w:rsid w:val="5CFF31EA"/>
    <w:rsid w:val="5D0E5BDE"/>
    <w:rsid w:val="5D24191A"/>
    <w:rsid w:val="5DB91881"/>
    <w:rsid w:val="5DC559D7"/>
    <w:rsid w:val="5E007347"/>
    <w:rsid w:val="5E394EDC"/>
    <w:rsid w:val="5E4F64AE"/>
    <w:rsid w:val="5E6466ED"/>
    <w:rsid w:val="5E8A0297"/>
    <w:rsid w:val="5E954808"/>
    <w:rsid w:val="5EB84053"/>
    <w:rsid w:val="5EC545E4"/>
    <w:rsid w:val="5EC92704"/>
    <w:rsid w:val="5F4B4C7B"/>
    <w:rsid w:val="5F4C3A48"/>
    <w:rsid w:val="5F7A1C50"/>
    <w:rsid w:val="5FCD6552"/>
    <w:rsid w:val="5FE40D63"/>
    <w:rsid w:val="605303A5"/>
    <w:rsid w:val="60687CFB"/>
    <w:rsid w:val="610E445E"/>
    <w:rsid w:val="61377E0E"/>
    <w:rsid w:val="61614E76"/>
    <w:rsid w:val="61785D1C"/>
    <w:rsid w:val="61F33B70"/>
    <w:rsid w:val="62451DF4"/>
    <w:rsid w:val="627113EF"/>
    <w:rsid w:val="62A019CE"/>
    <w:rsid w:val="637569B7"/>
    <w:rsid w:val="63F024E1"/>
    <w:rsid w:val="642301C1"/>
    <w:rsid w:val="64276A3B"/>
    <w:rsid w:val="6497136C"/>
    <w:rsid w:val="64C45DE1"/>
    <w:rsid w:val="64D03589"/>
    <w:rsid w:val="64D56979"/>
    <w:rsid w:val="65420B1A"/>
    <w:rsid w:val="65817895"/>
    <w:rsid w:val="671F556E"/>
    <w:rsid w:val="67AA29A7"/>
    <w:rsid w:val="67BE0FFB"/>
    <w:rsid w:val="67E27EFB"/>
    <w:rsid w:val="67E934CF"/>
    <w:rsid w:val="681C5653"/>
    <w:rsid w:val="686F7E78"/>
    <w:rsid w:val="69154ABB"/>
    <w:rsid w:val="6A040A94"/>
    <w:rsid w:val="6A241BB5"/>
    <w:rsid w:val="6A31115D"/>
    <w:rsid w:val="6A927A03"/>
    <w:rsid w:val="6AF503DD"/>
    <w:rsid w:val="6B305DF9"/>
    <w:rsid w:val="6B603B25"/>
    <w:rsid w:val="6B7457A6"/>
    <w:rsid w:val="6B9D3794"/>
    <w:rsid w:val="6C863145"/>
    <w:rsid w:val="6D0244F4"/>
    <w:rsid w:val="6D1A5E1C"/>
    <w:rsid w:val="6DC72BAB"/>
    <w:rsid w:val="6E2D0DB9"/>
    <w:rsid w:val="6F0A08FB"/>
    <w:rsid w:val="6F33787F"/>
    <w:rsid w:val="6F7A7103"/>
    <w:rsid w:val="6FB70357"/>
    <w:rsid w:val="6FDC61FC"/>
    <w:rsid w:val="7009478C"/>
    <w:rsid w:val="704C0ECD"/>
    <w:rsid w:val="70813A4D"/>
    <w:rsid w:val="7098054B"/>
    <w:rsid w:val="70A703CB"/>
    <w:rsid w:val="70E33C39"/>
    <w:rsid w:val="72624905"/>
    <w:rsid w:val="728C28C5"/>
    <w:rsid w:val="72AF3062"/>
    <w:rsid w:val="72DA7920"/>
    <w:rsid w:val="7371347D"/>
    <w:rsid w:val="73E630B6"/>
    <w:rsid w:val="74547A54"/>
    <w:rsid w:val="74591FEB"/>
    <w:rsid w:val="748B4BCA"/>
    <w:rsid w:val="74CF1C9F"/>
    <w:rsid w:val="74E00EDF"/>
    <w:rsid w:val="751A2E95"/>
    <w:rsid w:val="757C1E26"/>
    <w:rsid w:val="75CF430F"/>
    <w:rsid w:val="75EF25F8"/>
    <w:rsid w:val="75F2239C"/>
    <w:rsid w:val="762E05D3"/>
    <w:rsid w:val="76373B19"/>
    <w:rsid w:val="76521EAA"/>
    <w:rsid w:val="76BD44A5"/>
    <w:rsid w:val="76F07991"/>
    <w:rsid w:val="77456248"/>
    <w:rsid w:val="77FA652A"/>
    <w:rsid w:val="78283BA0"/>
    <w:rsid w:val="788E6CCB"/>
    <w:rsid w:val="79312F28"/>
    <w:rsid w:val="79BF22E2"/>
    <w:rsid w:val="7A094544"/>
    <w:rsid w:val="7AF81F4F"/>
    <w:rsid w:val="7B0004F2"/>
    <w:rsid w:val="7B1C3E77"/>
    <w:rsid w:val="7B8C08E9"/>
    <w:rsid w:val="7C036340"/>
    <w:rsid w:val="7C3E609C"/>
    <w:rsid w:val="7D1961AD"/>
    <w:rsid w:val="7D3812BF"/>
    <w:rsid w:val="7D3927A9"/>
    <w:rsid w:val="7D553A71"/>
    <w:rsid w:val="7DA67B57"/>
    <w:rsid w:val="7E0D1B42"/>
    <w:rsid w:val="7E8B5ECB"/>
    <w:rsid w:val="7E912651"/>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7"/>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8"/>
    <w:autoRedefine/>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9"/>
    <w:autoRedefine/>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70"/>
    <w:autoRedefine/>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1"/>
    <w:autoRedefine/>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2"/>
    <w:autoRedefine/>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3"/>
    <w:autoRedefine/>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4"/>
    <w:autoRedefine/>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5"/>
    <w:autoRedefine/>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3">
    <w:name w:val="List Paragraph"/>
    <w:basedOn w:val="1"/>
    <w:autoRedefine/>
    <w:qFormat/>
    <w:uiPriority w:val="99"/>
    <w:pPr>
      <w:ind w:firstLine="420" w:firstLineChars="200"/>
    </w:pPr>
  </w:style>
  <w:style w:type="paragraph" w:styleId="12">
    <w:name w:val="toc 7"/>
    <w:basedOn w:val="1"/>
    <w:next w:val="1"/>
    <w:autoRedefine/>
    <w:unhideWhenUsed/>
    <w:qFormat/>
    <w:uiPriority w:val="39"/>
    <w:pPr>
      <w:spacing w:after="57"/>
      <w:ind w:left="1701"/>
    </w:pPr>
  </w:style>
  <w:style w:type="paragraph" w:styleId="13">
    <w:name w:val="Normal Indent"/>
    <w:basedOn w:val="1"/>
    <w:autoRedefine/>
    <w:qFormat/>
    <w:uiPriority w:val="99"/>
    <w:pPr>
      <w:ind w:firstLine="420"/>
    </w:pPr>
    <w:rPr>
      <w:rFonts w:ascii="Times New Roman" w:hAnsi="Times New Roman"/>
      <w:szCs w:val="24"/>
    </w:rPr>
  </w:style>
  <w:style w:type="paragraph" w:styleId="14">
    <w:name w:val="caption"/>
    <w:basedOn w:val="1"/>
    <w:next w:val="1"/>
    <w:autoRedefine/>
    <w:qFormat/>
    <w:uiPriority w:val="35"/>
    <w:pPr>
      <w:spacing w:line="276" w:lineRule="auto"/>
    </w:pPr>
    <w:rPr>
      <w:b/>
      <w:bCs/>
      <w:color w:val="5B9BD5"/>
      <w:sz w:val="18"/>
      <w:szCs w:val="18"/>
    </w:rPr>
  </w:style>
  <w:style w:type="paragraph" w:styleId="15">
    <w:name w:val="toa heading"/>
    <w:basedOn w:val="1"/>
    <w:next w:val="1"/>
    <w:autoRedefine/>
    <w:unhideWhenUsed/>
    <w:qFormat/>
    <w:uiPriority w:val="99"/>
    <w:pPr>
      <w:spacing w:before="120"/>
    </w:pPr>
    <w:rPr>
      <w:rFonts w:ascii="Arial" w:hAnsi="Arial"/>
      <w:sz w:val="24"/>
    </w:rPr>
  </w:style>
  <w:style w:type="paragraph" w:styleId="16">
    <w:name w:val="annotation text"/>
    <w:basedOn w:val="1"/>
    <w:link w:val="76"/>
    <w:autoRedefine/>
    <w:unhideWhenUsed/>
    <w:qFormat/>
    <w:uiPriority w:val="99"/>
    <w:pPr>
      <w:jc w:val="left"/>
    </w:pPr>
  </w:style>
  <w:style w:type="paragraph" w:styleId="17">
    <w:name w:val="Body Text"/>
    <w:basedOn w:val="1"/>
    <w:next w:val="13"/>
    <w:link w:val="77"/>
    <w:autoRedefine/>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autoRedefine/>
    <w:qFormat/>
    <w:uiPriority w:val="0"/>
    <w:pPr>
      <w:spacing w:line="480" w:lineRule="exact"/>
      <w:ind w:firstLine="480" w:firstLineChars="200"/>
    </w:pPr>
    <w:rPr>
      <w:rFonts w:ascii="宋体" w:hAnsi="宋体"/>
      <w:sz w:val="24"/>
    </w:rPr>
  </w:style>
  <w:style w:type="paragraph" w:styleId="19">
    <w:name w:val="index 4"/>
    <w:basedOn w:val="1"/>
    <w:next w:val="1"/>
    <w:autoRedefine/>
    <w:qFormat/>
    <w:uiPriority w:val="99"/>
    <w:pPr>
      <w:ind w:left="600" w:leftChars="600"/>
    </w:pPr>
    <w:rPr>
      <w:rFonts w:ascii="Verdana" w:hAnsi="Verdana"/>
    </w:rPr>
  </w:style>
  <w:style w:type="paragraph" w:styleId="20">
    <w:name w:val="toc 5"/>
    <w:basedOn w:val="1"/>
    <w:next w:val="1"/>
    <w:autoRedefine/>
    <w:unhideWhenUsed/>
    <w:qFormat/>
    <w:uiPriority w:val="39"/>
    <w:pPr>
      <w:spacing w:after="57"/>
      <w:ind w:left="1134"/>
    </w:pPr>
  </w:style>
  <w:style w:type="paragraph" w:styleId="21">
    <w:name w:val="toc 3"/>
    <w:basedOn w:val="1"/>
    <w:next w:val="1"/>
    <w:autoRedefine/>
    <w:qFormat/>
    <w:uiPriority w:val="39"/>
    <w:pPr>
      <w:ind w:left="840"/>
    </w:pPr>
  </w:style>
  <w:style w:type="paragraph" w:styleId="22">
    <w:name w:val="Plain Text"/>
    <w:basedOn w:val="1"/>
    <w:link w:val="78"/>
    <w:autoRedefine/>
    <w:qFormat/>
    <w:uiPriority w:val="0"/>
    <w:rPr>
      <w:rFonts w:ascii="宋体" w:hAnsi="Courier New"/>
    </w:rPr>
  </w:style>
  <w:style w:type="paragraph" w:styleId="23">
    <w:name w:val="toc 8"/>
    <w:basedOn w:val="1"/>
    <w:next w:val="1"/>
    <w:autoRedefine/>
    <w:unhideWhenUsed/>
    <w:qFormat/>
    <w:uiPriority w:val="39"/>
    <w:pPr>
      <w:spacing w:after="57"/>
      <w:ind w:left="1984"/>
    </w:pPr>
  </w:style>
  <w:style w:type="paragraph" w:styleId="24">
    <w:name w:val="Date"/>
    <w:basedOn w:val="1"/>
    <w:next w:val="1"/>
    <w:link w:val="79"/>
    <w:autoRedefine/>
    <w:qFormat/>
    <w:uiPriority w:val="0"/>
    <w:pPr>
      <w:ind w:left="100"/>
    </w:pPr>
    <w:rPr>
      <w:rFonts w:ascii="Times New Roman" w:hAnsi="Times New Roman"/>
      <w:szCs w:val="24"/>
    </w:rPr>
  </w:style>
  <w:style w:type="paragraph" w:styleId="25">
    <w:name w:val="Body Text Indent 2"/>
    <w:basedOn w:val="1"/>
    <w:autoRedefine/>
    <w:qFormat/>
    <w:uiPriority w:val="99"/>
    <w:pPr>
      <w:spacing w:line="400" w:lineRule="exact"/>
      <w:ind w:firstLine="480"/>
    </w:pPr>
    <w:rPr>
      <w:rFonts w:ascii="宋体" w:hAnsi="宋体"/>
      <w:sz w:val="24"/>
      <w:szCs w:val="20"/>
    </w:rPr>
  </w:style>
  <w:style w:type="paragraph" w:styleId="26">
    <w:name w:val="endnote text"/>
    <w:basedOn w:val="1"/>
    <w:link w:val="80"/>
    <w:autoRedefine/>
    <w:unhideWhenUsed/>
    <w:qFormat/>
    <w:uiPriority w:val="99"/>
    <w:rPr>
      <w:sz w:val="20"/>
    </w:rPr>
  </w:style>
  <w:style w:type="paragraph" w:styleId="27">
    <w:name w:val="Balloon Text"/>
    <w:basedOn w:val="1"/>
    <w:link w:val="81"/>
    <w:autoRedefine/>
    <w:unhideWhenUsed/>
    <w:qFormat/>
    <w:uiPriority w:val="99"/>
    <w:rPr>
      <w:sz w:val="18"/>
      <w:szCs w:val="18"/>
    </w:rPr>
  </w:style>
  <w:style w:type="paragraph" w:styleId="28">
    <w:name w:val="footer"/>
    <w:basedOn w:val="1"/>
    <w:link w:val="82"/>
    <w:autoRedefine/>
    <w:unhideWhenUsed/>
    <w:qFormat/>
    <w:uiPriority w:val="99"/>
    <w:pPr>
      <w:tabs>
        <w:tab w:val="center" w:pos="4153"/>
        <w:tab w:val="right" w:pos="8306"/>
      </w:tabs>
      <w:jc w:val="left"/>
    </w:pPr>
    <w:rPr>
      <w:sz w:val="18"/>
      <w:szCs w:val="18"/>
    </w:rPr>
  </w:style>
  <w:style w:type="paragraph" w:styleId="29">
    <w:name w:val="envelope return"/>
    <w:basedOn w:val="1"/>
    <w:autoRedefine/>
    <w:qFormat/>
    <w:uiPriority w:val="0"/>
    <w:pPr>
      <w:snapToGrid w:val="0"/>
    </w:pPr>
    <w:rPr>
      <w:rFonts w:ascii="Arial" w:hAnsi="Arial"/>
    </w:rPr>
  </w:style>
  <w:style w:type="paragraph" w:styleId="30">
    <w:name w:val="header"/>
    <w:basedOn w:val="1"/>
    <w:link w:val="83"/>
    <w:autoRedefine/>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autoRedefine/>
    <w:qFormat/>
    <w:uiPriority w:val="39"/>
  </w:style>
  <w:style w:type="paragraph" w:styleId="32">
    <w:name w:val="toc 4"/>
    <w:basedOn w:val="1"/>
    <w:next w:val="1"/>
    <w:autoRedefine/>
    <w:unhideWhenUsed/>
    <w:qFormat/>
    <w:uiPriority w:val="39"/>
    <w:pPr>
      <w:spacing w:after="57"/>
      <w:ind w:left="850"/>
    </w:pPr>
  </w:style>
  <w:style w:type="paragraph" w:styleId="33">
    <w:name w:val="Subtitle"/>
    <w:next w:val="1"/>
    <w:link w:val="84"/>
    <w:autoRedefine/>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5"/>
    <w:autoRedefine/>
    <w:unhideWhenUsed/>
    <w:qFormat/>
    <w:uiPriority w:val="99"/>
    <w:pPr>
      <w:spacing w:after="40"/>
    </w:pPr>
    <w:rPr>
      <w:sz w:val="18"/>
    </w:rPr>
  </w:style>
  <w:style w:type="paragraph" w:styleId="35">
    <w:name w:val="toc 6"/>
    <w:basedOn w:val="1"/>
    <w:next w:val="1"/>
    <w:autoRedefine/>
    <w:unhideWhenUsed/>
    <w:qFormat/>
    <w:uiPriority w:val="39"/>
    <w:pPr>
      <w:spacing w:after="57"/>
      <w:ind w:left="1417"/>
    </w:pPr>
  </w:style>
  <w:style w:type="paragraph" w:styleId="36">
    <w:name w:val="table of figures"/>
    <w:basedOn w:val="1"/>
    <w:next w:val="1"/>
    <w:autoRedefine/>
    <w:unhideWhenUsed/>
    <w:qFormat/>
    <w:uiPriority w:val="99"/>
  </w:style>
  <w:style w:type="paragraph" w:styleId="37">
    <w:name w:val="toc 2"/>
    <w:basedOn w:val="1"/>
    <w:next w:val="1"/>
    <w:autoRedefine/>
    <w:qFormat/>
    <w:uiPriority w:val="39"/>
    <w:pPr>
      <w:ind w:left="420"/>
    </w:pPr>
  </w:style>
  <w:style w:type="paragraph" w:styleId="38">
    <w:name w:val="toc 9"/>
    <w:basedOn w:val="1"/>
    <w:next w:val="1"/>
    <w:autoRedefine/>
    <w:unhideWhenUsed/>
    <w:qFormat/>
    <w:uiPriority w:val="39"/>
    <w:pPr>
      <w:spacing w:after="57"/>
      <w:ind w:left="2268"/>
    </w:pPr>
  </w:style>
  <w:style w:type="paragraph" w:styleId="39">
    <w:name w:val="HTML Preformatted"/>
    <w:basedOn w:val="1"/>
    <w:link w:val="8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7"/>
    <w:autoRedefine/>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8"/>
    <w:autoRedefine/>
    <w:unhideWhenUsed/>
    <w:qFormat/>
    <w:uiPriority w:val="99"/>
    <w:rPr>
      <w:b/>
      <w:bCs/>
    </w:rPr>
  </w:style>
  <w:style w:type="paragraph" w:styleId="43">
    <w:name w:val="Body Text First Indent 2"/>
    <w:basedOn w:val="18"/>
    <w:next w:val="1"/>
    <w:autoRedefine/>
    <w:qFormat/>
    <w:uiPriority w:val="0"/>
    <w:pPr>
      <w:spacing w:after="120" w:line="240" w:lineRule="auto"/>
      <w:ind w:left="420" w:leftChars="200" w:firstLine="200"/>
    </w:pPr>
    <w:rPr>
      <w:sz w:val="21"/>
    </w:rPr>
  </w:style>
  <w:style w:type="table" w:styleId="45">
    <w:name w:val="Table Grid"/>
    <w:basedOn w:val="44"/>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autoRedefine/>
    <w:qFormat/>
    <w:uiPriority w:val="22"/>
    <w:rPr>
      <w:b/>
      <w:bCs/>
    </w:rPr>
  </w:style>
  <w:style w:type="character" w:styleId="48">
    <w:name w:val="endnote reference"/>
    <w:autoRedefine/>
    <w:unhideWhenUsed/>
    <w:qFormat/>
    <w:uiPriority w:val="99"/>
    <w:rPr>
      <w:vertAlign w:val="superscript"/>
    </w:rPr>
  </w:style>
  <w:style w:type="character" w:styleId="49">
    <w:name w:val="FollowedHyperlink"/>
    <w:autoRedefine/>
    <w:qFormat/>
    <w:uiPriority w:val="0"/>
    <w:rPr>
      <w:color w:val="800080"/>
      <w:u w:val="single"/>
    </w:rPr>
  </w:style>
  <w:style w:type="character" w:styleId="50">
    <w:name w:val="Emphasis"/>
    <w:autoRedefine/>
    <w:qFormat/>
    <w:uiPriority w:val="20"/>
    <w:rPr>
      <w:i/>
    </w:rPr>
  </w:style>
  <w:style w:type="character" w:styleId="51">
    <w:name w:val="HTML Typewriter"/>
    <w:basedOn w:val="46"/>
    <w:autoRedefine/>
    <w:semiHidden/>
    <w:unhideWhenUsed/>
    <w:qFormat/>
    <w:uiPriority w:val="99"/>
    <w:rPr>
      <w:rFonts w:hint="default" w:ascii="monospace" w:hAnsi="monospace" w:eastAsia="monospace" w:cs="monospace"/>
      <w:sz w:val="20"/>
    </w:rPr>
  </w:style>
  <w:style w:type="character" w:styleId="52">
    <w:name w:val="HTML Acronym"/>
    <w:basedOn w:val="46"/>
    <w:autoRedefine/>
    <w:semiHidden/>
    <w:unhideWhenUsed/>
    <w:qFormat/>
    <w:uiPriority w:val="99"/>
  </w:style>
  <w:style w:type="character" w:styleId="53">
    <w:name w:val="Hyperlink"/>
    <w:basedOn w:val="46"/>
    <w:autoRedefine/>
    <w:unhideWhenUsed/>
    <w:qFormat/>
    <w:uiPriority w:val="99"/>
    <w:rPr>
      <w:color w:val="0563C1"/>
      <w:u w:val="single"/>
    </w:rPr>
  </w:style>
  <w:style w:type="character" w:styleId="54">
    <w:name w:val="HTML Code"/>
    <w:basedOn w:val="46"/>
    <w:autoRedefine/>
    <w:semiHidden/>
    <w:unhideWhenUsed/>
    <w:qFormat/>
    <w:uiPriority w:val="99"/>
    <w:rPr>
      <w:rFonts w:hint="default" w:ascii="monospace" w:hAnsi="monospace" w:eastAsia="monospace" w:cs="monospace"/>
      <w:sz w:val="20"/>
    </w:rPr>
  </w:style>
  <w:style w:type="character" w:styleId="55">
    <w:name w:val="annotation reference"/>
    <w:basedOn w:val="46"/>
    <w:autoRedefine/>
    <w:unhideWhenUsed/>
    <w:qFormat/>
    <w:uiPriority w:val="0"/>
    <w:rPr>
      <w:sz w:val="21"/>
      <w:szCs w:val="21"/>
    </w:rPr>
  </w:style>
  <w:style w:type="character" w:styleId="56">
    <w:name w:val="footnote reference"/>
    <w:autoRedefine/>
    <w:unhideWhenUsed/>
    <w:qFormat/>
    <w:uiPriority w:val="99"/>
    <w:rPr>
      <w:vertAlign w:val="superscript"/>
    </w:rPr>
  </w:style>
  <w:style w:type="character" w:styleId="57">
    <w:name w:val="HTML Keyboard"/>
    <w:basedOn w:val="46"/>
    <w:autoRedefine/>
    <w:semiHidden/>
    <w:unhideWhenUsed/>
    <w:qFormat/>
    <w:uiPriority w:val="99"/>
    <w:rPr>
      <w:rFonts w:hint="default" w:ascii="monospace" w:hAnsi="monospace" w:eastAsia="monospace" w:cs="monospace"/>
      <w:sz w:val="20"/>
    </w:rPr>
  </w:style>
  <w:style w:type="character" w:styleId="58">
    <w:name w:val="HTML Sample"/>
    <w:basedOn w:val="46"/>
    <w:autoRedefine/>
    <w:semiHidden/>
    <w:unhideWhenUsed/>
    <w:qFormat/>
    <w:uiPriority w:val="99"/>
    <w:rPr>
      <w:rFonts w:ascii="monospace" w:hAnsi="monospace" w:eastAsia="monospace" w:cs="monospace"/>
    </w:rPr>
  </w:style>
  <w:style w:type="paragraph" w:customStyle="1" w:styleId="59">
    <w:name w:val="首行缩进"/>
    <w:basedOn w:val="1"/>
    <w:autoRedefine/>
    <w:qFormat/>
    <w:uiPriority w:val="0"/>
    <w:pPr>
      <w:ind w:firstLine="480"/>
    </w:pPr>
    <w:rPr>
      <w:rFonts w:eastAsia="楷体_GB2312"/>
      <w:sz w:val="26"/>
      <w:lang w:val="zh-CN"/>
    </w:rPr>
  </w:style>
  <w:style w:type="paragraph" w:customStyle="1" w:styleId="60">
    <w:name w:val="BodyText1I2"/>
    <w:basedOn w:val="61"/>
    <w:next w:val="1"/>
    <w:autoRedefine/>
    <w:qFormat/>
    <w:uiPriority w:val="0"/>
    <w:pPr>
      <w:ind w:firstLine="420" w:firstLineChars="200"/>
    </w:pPr>
    <w:rPr>
      <w:rFonts w:ascii="Calibri" w:hAnsi="Calibri"/>
    </w:rPr>
  </w:style>
  <w:style w:type="paragraph" w:customStyle="1" w:styleId="61">
    <w:name w:val="BodyTextIndent"/>
    <w:basedOn w:val="1"/>
    <w:next w:val="62"/>
    <w:autoRedefine/>
    <w:qFormat/>
    <w:uiPriority w:val="0"/>
    <w:pPr>
      <w:snapToGrid w:val="0"/>
      <w:spacing w:line="440" w:lineRule="exact"/>
      <w:ind w:firstLine="403" w:firstLineChars="192"/>
      <w:textAlignment w:val="baseline"/>
    </w:pPr>
    <w:rPr>
      <w:rFonts w:ascii="宋体" w:hAnsi="宋体"/>
    </w:rPr>
  </w:style>
  <w:style w:type="paragraph" w:customStyle="1" w:styleId="62">
    <w:name w:val="EnvelopeReturn"/>
    <w:basedOn w:val="1"/>
    <w:autoRedefine/>
    <w:qFormat/>
    <w:uiPriority w:val="0"/>
    <w:pPr>
      <w:snapToGrid w:val="0"/>
      <w:textAlignment w:val="baseline"/>
    </w:pPr>
    <w:rPr>
      <w:rFonts w:ascii="Arial" w:hAnsi="Arial"/>
    </w:rPr>
  </w:style>
  <w:style w:type="paragraph" w:customStyle="1" w:styleId="63">
    <w:name w:val="标题 41"/>
    <w:basedOn w:val="1"/>
    <w:next w:val="1"/>
    <w:autoRedefine/>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autoRedefine/>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autoRedefine/>
    <w:qFormat/>
    <w:uiPriority w:val="0"/>
    <w:pPr>
      <w:widowControl/>
      <w:ind w:firstLine="200"/>
    </w:pPr>
    <w:rPr>
      <w:rFonts w:hint="eastAsia" w:ascii="宋体"/>
      <w:szCs w:val="20"/>
    </w:rPr>
  </w:style>
  <w:style w:type="character" w:customStyle="1" w:styleId="67">
    <w:name w:val="标题 1 字符"/>
    <w:link w:val="2"/>
    <w:autoRedefine/>
    <w:qFormat/>
    <w:uiPriority w:val="99"/>
    <w:rPr>
      <w:rFonts w:ascii="宋体" w:hAnsi="宋体" w:eastAsia="宋体" w:cs="Times New Roman"/>
      <w:b/>
      <w:bCs/>
      <w:sz w:val="14"/>
      <w:szCs w:val="14"/>
    </w:rPr>
  </w:style>
  <w:style w:type="character" w:customStyle="1" w:styleId="68">
    <w:name w:val="标题 2 字符"/>
    <w:link w:val="4"/>
    <w:autoRedefine/>
    <w:qFormat/>
    <w:uiPriority w:val="0"/>
    <w:rPr>
      <w:rFonts w:ascii="Arial" w:hAnsi="Arial" w:eastAsia="黑体" w:cs="Arial"/>
      <w:b/>
      <w:bCs/>
      <w:sz w:val="32"/>
      <w:szCs w:val="32"/>
    </w:rPr>
  </w:style>
  <w:style w:type="character" w:customStyle="1" w:styleId="69">
    <w:name w:val="标题 3 字符"/>
    <w:link w:val="5"/>
    <w:autoRedefine/>
    <w:qFormat/>
    <w:uiPriority w:val="0"/>
    <w:rPr>
      <w:rFonts w:ascii="Times New Roman" w:hAnsi="Times New Roman" w:eastAsia="宋体" w:cs="Times New Roman"/>
      <w:b/>
      <w:bCs/>
      <w:sz w:val="32"/>
      <w:szCs w:val="32"/>
    </w:rPr>
  </w:style>
  <w:style w:type="character" w:customStyle="1" w:styleId="70">
    <w:name w:val="标题 4 字符"/>
    <w:link w:val="6"/>
    <w:autoRedefine/>
    <w:qFormat/>
    <w:uiPriority w:val="9"/>
    <w:rPr>
      <w:rFonts w:ascii="Calibri Light" w:hAnsi="Calibri Light" w:eastAsia="黑体" w:cs="Times New Roman"/>
      <w:b/>
      <w:bCs/>
      <w:sz w:val="28"/>
      <w:szCs w:val="28"/>
    </w:rPr>
  </w:style>
  <w:style w:type="character" w:customStyle="1" w:styleId="71">
    <w:name w:val="标题 5 字符"/>
    <w:link w:val="7"/>
    <w:autoRedefine/>
    <w:qFormat/>
    <w:uiPriority w:val="9"/>
    <w:rPr>
      <w:rFonts w:ascii="Arial" w:hAnsi="Arial" w:eastAsia="Arial" w:cs="Arial"/>
      <w:b/>
      <w:bCs/>
      <w:sz w:val="24"/>
      <w:szCs w:val="24"/>
    </w:rPr>
  </w:style>
  <w:style w:type="character" w:customStyle="1" w:styleId="72">
    <w:name w:val="标题 6 字符"/>
    <w:link w:val="8"/>
    <w:autoRedefine/>
    <w:qFormat/>
    <w:uiPriority w:val="9"/>
    <w:rPr>
      <w:rFonts w:ascii="Arial" w:hAnsi="Arial" w:eastAsia="Arial" w:cs="Arial"/>
      <w:b/>
      <w:bCs/>
      <w:sz w:val="22"/>
      <w:szCs w:val="22"/>
    </w:rPr>
  </w:style>
  <w:style w:type="character" w:customStyle="1" w:styleId="73">
    <w:name w:val="标题 7 字符"/>
    <w:link w:val="9"/>
    <w:autoRedefine/>
    <w:qFormat/>
    <w:uiPriority w:val="9"/>
    <w:rPr>
      <w:rFonts w:ascii="Arial" w:hAnsi="Arial" w:eastAsia="Arial" w:cs="Arial"/>
      <w:b/>
      <w:bCs/>
      <w:i/>
      <w:iCs/>
      <w:sz w:val="22"/>
      <w:szCs w:val="22"/>
    </w:rPr>
  </w:style>
  <w:style w:type="character" w:customStyle="1" w:styleId="74">
    <w:name w:val="标题 8 字符"/>
    <w:link w:val="10"/>
    <w:autoRedefine/>
    <w:qFormat/>
    <w:uiPriority w:val="9"/>
    <w:rPr>
      <w:rFonts w:ascii="Arial" w:hAnsi="Arial" w:eastAsia="Arial" w:cs="Arial"/>
      <w:i/>
      <w:iCs/>
      <w:sz w:val="22"/>
      <w:szCs w:val="22"/>
    </w:rPr>
  </w:style>
  <w:style w:type="character" w:customStyle="1" w:styleId="75">
    <w:name w:val="标题 9 字符"/>
    <w:link w:val="11"/>
    <w:autoRedefine/>
    <w:qFormat/>
    <w:uiPriority w:val="9"/>
    <w:rPr>
      <w:rFonts w:ascii="Arial" w:hAnsi="Arial" w:eastAsia="Arial" w:cs="Arial"/>
      <w:i/>
      <w:iCs/>
      <w:sz w:val="21"/>
      <w:szCs w:val="21"/>
    </w:rPr>
  </w:style>
  <w:style w:type="character" w:customStyle="1" w:styleId="76">
    <w:name w:val="批注文字 字符"/>
    <w:link w:val="16"/>
    <w:autoRedefine/>
    <w:qFormat/>
    <w:uiPriority w:val="0"/>
    <w:rPr>
      <w:rFonts w:ascii="Calibri" w:hAnsi="Calibri" w:eastAsia="宋体" w:cs="Times New Roman"/>
      <w:sz w:val="21"/>
      <w:szCs w:val="22"/>
    </w:rPr>
  </w:style>
  <w:style w:type="character" w:customStyle="1" w:styleId="77">
    <w:name w:val="正文文本 字符"/>
    <w:link w:val="17"/>
    <w:autoRedefine/>
    <w:qFormat/>
    <w:uiPriority w:val="99"/>
    <w:rPr>
      <w:rFonts w:ascii="Times New Roman" w:hAnsi="Times New Roman" w:eastAsia="宋体" w:cs="Times New Roman"/>
      <w:sz w:val="24"/>
      <w:szCs w:val="24"/>
    </w:rPr>
  </w:style>
  <w:style w:type="character" w:customStyle="1" w:styleId="78">
    <w:name w:val="纯文本 字符"/>
    <w:link w:val="22"/>
    <w:autoRedefine/>
    <w:qFormat/>
    <w:uiPriority w:val="0"/>
    <w:rPr>
      <w:rFonts w:ascii="宋体" w:hAnsi="Courier New"/>
      <w:sz w:val="21"/>
      <w:szCs w:val="22"/>
    </w:rPr>
  </w:style>
  <w:style w:type="character" w:customStyle="1" w:styleId="79">
    <w:name w:val="日期 字符"/>
    <w:link w:val="24"/>
    <w:autoRedefine/>
    <w:qFormat/>
    <w:uiPriority w:val="0"/>
    <w:rPr>
      <w:rFonts w:ascii="Times New Roman" w:hAnsi="Times New Roman" w:eastAsia="宋体" w:cs="Times New Roman"/>
      <w:sz w:val="21"/>
      <w:szCs w:val="24"/>
    </w:rPr>
  </w:style>
  <w:style w:type="character" w:customStyle="1" w:styleId="80">
    <w:name w:val="尾注文本 字符"/>
    <w:link w:val="26"/>
    <w:autoRedefine/>
    <w:qFormat/>
    <w:uiPriority w:val="99"/>
    <w:rPr>
      <w:sz w:val="20"/>
    </w:rPr>
  </w:style>
  <w:style w:type="character" w:customStyle="1" w:styleId="81">
    <w:name w:val="批注框文本 字符"/>
    <w:link w:val="27"/>
    <w:autoRedefine/>
    <w:semiHidden/>
    <w:qFormat/>
    <w:uiPriority w:val="99"/>
    <w:rPr>
      <w:sz w:val="18"/>
      <w:szCs w:val="18"/>
    </w:rPr>
  </w:style>
  <w:style w:type="character" w:customStyle="1" w:styleId="82">
    <w:name w:val="页脚 字符"/>
    <w:link w:val="28"/>
    <w:autoRedefine/>
    <w:qFormat/>
    <w:uiPriority w:val="99"/>
    <w:rPr>
      <w:sz w:val="18"/>
      <w:szCs w:val="18"/>
    </w:rPr>
  </w:style>
  <w:style w:type="character" w:customStyle="1" w:styleId="83">
    <w:name w:val="页眉 字符"/>
    <w:link w:val="30"/>
    <w:autoRedefine/>
    <w:qFormat/>
    <w:uiPriority w:val="99"/>
    <w:rPr>
      <w:sz w:val="18"/>
      <w:szCs w:val="18"/>
    </w:rPr>
  </w:style>
  <w:style w:type="character" w:customStyle="1" w:styleId="84">
    <w:name w:val="副标题 字符"/>
    <w:link w:val="33"/>
    <w:autoRedefine/>
    <w:qFormat/>
    <w:uiPriority w:val="11"/>
    <w:rPr>
      <w:sz w:val="24"/>
      <w:szCs w:val="24"/>
    </w:rPr>
  </w:style>
  <w:style w:type="character" w:customStyle="1" w:styleId="85">
    <w:name w:val="脚注文本 字符"/>
    <w:link w:val="34"/>
    <w:autoRedefine/>
    <w:qFormat/>
    <w:uiPriority w:val="99"/>
    <w:rPr>
      <w:sz w:val="18"/>
    </w:rPr>
  </w:style>
  <w:style w:type="character" w:customStyle="1" w:styleId="86">
    <w:name w:val="HTML 预设格式 字符"/>
    <w:link w:val="39"/>
    <w:autoRedefine/>
    <w:qFormat/>
    <w:uiPriority w:val="99"/>
    <w:rPr>
      <w:rFonts w:ascii="Arial" w:hAnsi="Arial" w:eastAsia="宋体" w:cs="Times New Roman"/>
      <w:sz w:val="11"/>
      <w:szCs w:val="11"/>
    </w:rPr>
  </w:style>
  <w:style w:type="character" w:customStyle="1" w:styleId="87">
    <w:name w:val="标题 字符"/>
    <w:link w:val="41"/>
    <w:autoRedefine/>
    <w:qFormat/>
    <w:uiPriority w:val="0"/>
    <w:rPr>
      <w:rFonts w:ascii="Cambria" w:hAnsi="Cambria" w:eastAsia="黑体" w:cs="Times New Roman"/>
      <w:b/>
      <w:bCs/>
      <w:sz w:val="52"/>
      <w:szCs w:val="32"/>
    </w:rPr>
  </w:style>
  <w:style w:type="character" w:customStyle="1" w:styleId="88">
    <w:name w:val="批注主题 字符"/>
    <w:link w:val="42"/>
    <w:autoRedefine/>
    <w:semiHidden/>
    <w:qFormat/>
    <w:uiPriority w:val="99"/>
    <w:rPr>
      <w:rFonts w:ascii="Calibri" w:hAnsi="Calibri" w:eastAsia="宋体" w:cs="Times New Roman"/>
      <w:b/>
      <w:bCs/>
      <w:sz w:val="21"/>
      <w:szCs w:val="22"/>
    </w:rPr>
  </w:style>
  <w:style w:type="paragraph" w:customStyle="1" w:styleId="89">
    <w:name w:val="正文（缩进）"/>
    <w:basedOn w:val="1"/>
    <w:next w:val="90"/>
    <w:autoRedefine/>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autoRedefine/>
    <w:qFormat/>
    <w:uiPriority w:val="99"/>
    <w:pPr>
      <w:ind w:left="360" w:firstLine="5784"/>
    </w:pPr>
  </w:style>
  <w:style w:type="paragraph" w:customStyle="1" w:styleId="91">
    <w:name w:val="正文文本 21"/>
    <w:basedOn w:val="1"/>
    <w:next w:val="92"/>
    <w:autoRedefine/>
    <w:qFormat/>
    <w:uiPriority w:val="99"/>
    <w:pPr>
      <w:widowControl/>
      <w:ind w:left="720" w:firstLine="5680"/>
    </w:pPr>
  </w:style>
  <w:style w:type="paragraph" w:customStyle="1" w:styleId="92">
    <w:name w:val="默认段落字体 Para Char Char Char Char Char Char Char"/>
    <w:basedOn w:val="1"/>
    <w:next w:val="93"/>
    <w:autoRedefine/>
    <w:qFormat/>
    <w:uiPriority w:val="99"/>
    <w:pPr>
      <w:ind w:firstLine="200" w:firstLineChars="200"/>
    </w:pPr>
    <w:rPr>
      <w:rFonts w:cs="Arial"/>
    </w:rPr>
  </w:style>
  <w:style w:type="paragraph" w:customStyle="1" w:styleId="93">
    <w:name w:val="样式 首行缩进:  2 字符"/>
    <w:basedOn w:val="1"/>
    <w:next w:val="94"/>
    <w:autoRedefine/>
    <w:qFormat/>
    <w:uiPriority w:val="99"/>
    <w:pPr>
      <w:spacing w:line="360" w:lineRule="auto"/>
      <w:ind w:left="480" w:firstLine="5856"/>
    </w:pPr>
  </w:style>
  <w:style w:type="paragraph" w:customStyle="1" w:styleId="94">
    <w:name w:val="样式 段后: 0.25 行"/>
    <w:basedOn w:val="1"/>
    <w:next w:val="95"/>
    <w:autoRedefine/>
    <w:qFormat/>
    <w:uiPriority w:val="99"/>
    <w:pPr>
      <w:widowControl/>
      <w:spacing w:line="300" w:lineRule="auto"/>
      <w:ind w:left="420" w:firstLine="5796"/>
    </w:pPr>
  </w:style>
  <w:style w:type="paragraph" w:customStyle="1" w:styleId="95">
    <w:name w:val="正文 New New New New New New New New New New New New New New"/>
    <w:next w:val="38"/>
    <w:autoRedefine/>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autoRedefine/>
    <w:qFormat/>
    <w:uiPriority w:val="9"/>
    <w:rPr>
      <w:rFonts w:ascii="Arial" w:hAnsi="Arial" w:eastAsia="Arial" w:cs="Arial"/>
      <w:sz w:val="40"/>
      <w:szCs w:val="40"/>
    </w:rPr>
  </w:style>
  <w:style w:type="character" w:customStyle="1" w:styleId="97">
    <w:name w:val="Heading 2 Char"/>
    <w:autoRedefine/>
    <w:qFormat/>
    <w:uiPriority w:val="9"/>
    <w:rPr>
      <w:rFonts w:ascii="Arial" w:hAnsi="Arial" w:eastAsia="Arial" w:cs="Arial"/>
      <w:sz w:val="34"/>
    </w:rPr>
  </w:style>
  <w:style w:type="character" w:customStyle="1" w:styleId="98">
    <w:name w:val="Heading 3 Char"/>
    <w:autoRedefine/>
    <w:qFormat/>
    <w:uiPriority w:val="9"/>
    <w:rPr>
      <w:rFonts w:ascii="Arial" w:hAnsi="Arial" w:eastAsia="Arial" w:cs="Arial"/>
      <w:sz w:val="30"/>
      <w:szCs w:val="30"/>
    </w:rPr>
  </w:style>
  <w:style w:type="character" w:customStyle="1" w:styleId="99">
    <w:name w:val="Heading 4 Char"/>
    <w:autoRedefine/>
    <w:qFormat/>
    <w:uiPriority w:val="9"/>
    <w:rPr>
      <w:rFonts w:ascii="Arial" w:hAnsi="Arial" w:eastAsia="Arial" w:cs="Arial"/>
      <w:b/>
      <w:bCs/>
      <w:sz w:val="26"/>
      <w:szCs w:val="26"/>
    </w:rPr>
  </w:style>
  <w:style w:type="character" w:customStyle="1" w:styleId="100">
    <w:name w:val="Title Char"/>
    <w:autoRedefine/>
    <w:qFormat/>
    <w:uiPriority w:val="10"/>
    <w:rPr>
      <w:sz w:val="48"/>
      <w:szCs w:val="48"/>
    </w:rPr>
  </w:style>
  <w:style w:type="paragraph" w:customStyle="1" w:styleId="101">
    <w:name w:val="引用1"/>
    <w:basedOn w:val="1"/>
    <w:next w:val="1"/>
    <w:link w:val="102"/>
    <w:autoRedefine/>
    <w:qFormat/>
    <w:uiPriority w:val="29"/>
    <w:pPr>
      <w:ind w:left="720" w:right="720"/>
    </w:pPr>
    <w:rPr>
      <w:i/>
    </w:rPr>
  </w:style>
  <w:style w:type="character" w:customStyle="1" w:styleId="102">
    <w:name w:val="引用 Char"/>
    <w:link w:val="101"/>
    <w:autoRedefine/>
    <w:qFormat/>
    <w:uiPriority w:val="29"/>
    <w:rPr>
      <w:i/>
    </w:rPr>
  </w:style>
  <w:style w:type="paragraph" w:customStyle="1" w:styleId="103">
    <w:name w:val="明显引用1"/>
    <w:basedOn w:val="1"/>
    <w:next w:val="1"/>
    <w:link w:val="10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autoRedefine/>
    <w:qFormat/>
    <w:uiPriority w:val="30"/>
    <w:rPr>
      <w:i/>
    </w:rPr>
  </w:style>
  <w:style w:type="character" w:customStyle="1" w:styleId="105">
    <w:name w:val="Header Char"/>
    <w:autoRedefine/>
    <w:qFormat/>
    <w:uiPriority w:val="99"/>
  </w:style>
  <w:style w:type="character" w:customStyle="1" w:styleId="106">
    <w:name w:val="Footer Char"/>
    <w:qFormat/>
    <w:uiPriority w:val="99"/>
  </w:style>
  <w:style w:type="character" w:customStyle="1" w:styleId="107">
    <w:name w:val="Caption Char"/>
    <w:autoRedefine/>
    <w:qFormat/>
    <w:uiPriority w:val="99"/>
  </w:style>
  <w:style w:type="table" w:customStyle="1" w:styleId="108">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4"/>
    <w:autoRedefine/>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4"/>
    <w:autoRedefine/>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4"/>
    <w:autoRedefine/>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4"/>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4"/>
    <w:autoRedefine/>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4"/>
    <w:autoRedefine/>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
    <w:basedOn w:val="44"/>
    <w:autoRedefine/>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
    <w:basedOn w:val="44"/>
    <w:autoRedefine/>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
    <w:basedOn w:val="44"/>
    <w:autoRedefine/>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
    <w:basedOn w:val="44"/>
    <w:autoRedefine/>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
    <w:basedOn w:val="44"/>
    <w:autoRedefine/>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
    <w:basedOn w:val="44"/>
    <w:autoRedefine/>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4"/>
    <w:autoRedefine/>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
    <w:basedOn w:val="44"/>
    <w:autoRedefine/>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
    <w:basedOn w:val="44"/>
    <w:autoRedefine/>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
    <w:basedOn w:val="44"/>
    <w:autoRedefine/>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
    <w:basedOn w:val="44"/>
    <w:autoRedefine/>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
    <w:basedOn w:val="44"/>
    <w:autoRedefine/>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
    <w:basedOn w:val="44"/>
    <w:autoRedefine/>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4"/>
    <w:autoRedefine/>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
    <w:basedOn w:val="44"/>
    <w:autoRedefine/>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
    <w:basedOn w:val="44"/>
    <w:autoRedefine/>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
    <w:basedOn w:val="44"/>
    <w:autoRedefine/>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
    <w:basedOn w:val="44"/>
    <w:autoRedefine/>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4"/>
    <w:autoRedefine/>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
    <w:basedOn w:val="44"/>
    <w:autoRedefine/>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
    <w:basedOn w:val="44"/>
    <w:autoRedefine/>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
    <w:basedOn w:val="44"/>
    <w:autoRedefine/>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
    <w:basedOn w:val="44"/>
    <w:autoRedefine/>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
    <w:basedOn w:val="44"/>
    <w:autoRedefine/>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
    <w:basedOn w:val="44"/>
    <w:autoRedefine/>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
    <w:basedOn w:val="4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4"/>
    <w:autoRedefine/>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
    <w:basedOn w:val="44"/>
    <w:autoRedefine/>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
    <w:basedOn w:val="44"/>
    <w:autoRedefine/>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
    <w:basedOn w:val="44"/>
    <w:autoRedefine/>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
    <w:basedOn w:val="44"/>
    <w:autoRedefine/>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
    <w:basedOn w:val="44"/>
    <w:autoRedefine/>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
    <w:basedOn w:val="44"/>
    <w:autoRedefine/>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4"/>
    <w:autoRedefine/>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
    <w:basedOn w:val="44"/>
    <w:autoRedefine/>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
    <w:basedOn w:val="44"/>
    <w:autoRedefine/>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
    <w:basedOn w:val="44"/>
    <w:autoRedefine/>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
    <w:basedOn w:val="44"/>
    <w:autoRedefine/>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
    <w:basedOn w:val="44"/>
    <w:autoRedefine/>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
    <w:basedOn w:val="44"/>
    <w:autoRedefine/>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4"/>
    <w:autoRedefine/>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
    <w:basedOn w:val="44"/>
    <w:autoRedefine/>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
    <w:basedOn w:val="44"/>
    <w:autoRedefine/>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
    <w:basedOn w:val="44"/>
    <w:autoRedefine/>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
    <w:basedOn w:val="44"/>
    <w:autoRedefine/>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
    <w:basedOn w:val="44"/>
    <w:autoRedefine/>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
    <w:basedOn w:val="44"/>
    <w:autoRedefine/>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4"/>
    <w:autoRedefine/>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
    <w:basedOn w:val="44"/>
    <w:autoRedefine/>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
    <w:basedOn w:val="44"/>
    <w:autoRedefine/>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
    <w:basedOn w:val="44"/>
    <w:autoRedefine/>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
    <w:basedOn w:val="44"/>
    <w:autoRedefine/>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
    <w:basedOn w:val="44"/>
    <w:autoRedefine/>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
    <w:basedOn w:val="44"/>
    <w:autoRedefine/>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4"/>
    <w:autoRedefine/>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
    <w:basedOn w:val="44"/>
    <w:autoRedefine/>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
    <w:basedOn w:val="44"/>
    <w:autoRedefine/>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
    <w:basedOn w:val="44"/>
    <w:autoRedefine/>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
    <w:basedOn w:val="44"/>
    <w:autoRedefine/>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
    <w:basedOn w:val="44"/>
    <w:autoRedefine/>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
    <w:basedOn w:val="44"/>
    <w:autoRedefine/>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4"/>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
    <w:basedOn w:val="44"/>
    <w:autoRedefine/>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
    <w:basedOn w:val="44"/>
    <w:autoRedefine/>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
    <w:basedOn w:val="44"/>
    <w:autoRedefine/>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
    <w:basedOn w:val="44"/>
    <w:autoRedefine/>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
    <w:basedOn w:val="44"/>
    <w:autoRedefine/>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
    <w:basedOn w:val="44"/>
    <w:autoRedefine/>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4"/>
    <w:autoRedefine/>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
    <w:basedOn w:val="44"/>
    <w:autoRedefine/>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
    <w:basedOn w:val="44"/>
    <w:autoRedefine/>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
    <w:basedOn w:val="44"/>
    <w:autoRedefine/>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
    <w:basedOn w:val="44"/>
    <w:autoRedefine/>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
    <w:basedOn w:val="44"/>
    <w:autoRedefine/>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
    <w:basedOn w:val="44"/>
    <w:autoRedefine/>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4"/>
    <w:autoRedefine/>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
    <w:basedOn w:val="44"/>
    <w:autoRedefine/>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
    <w:basedOn w:val="44"/>
    <w:autoRedefine/>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
    <w:basedOn w:val="44"/>
    <w:autoRedefine/>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
    <w:basedOn w:val="44"/>
    <w:autoRedefine/>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
    <w:basedOn w:val="44"/>
    <w:autoRedefine/>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
    <w:basedOn w:val="44"/>
    <w:autoRedefine/>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4"/>
    <w:autoRedefine/>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
    <w:basedOn w:val="44"/>
    <w:autoRedefine/>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
    <w:basedOn w:val="44"/>
    <w:autoRedefine/>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
    <w:basedOn w:val="44"/>
    <w:autoRedefine/>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
    <w:basedOn w:val="44"/>
    <w:autoRedefine/>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
    <w:basedOn w:val="44"/>
    <w:autoRedefine/>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
    <w:basedOn w:val="44"/>
    <w:autoRedefine/>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4"/>
    <w:autoRedefine/>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4"/>
    <w:autoRedefine/>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4"/>
    <w:autoRedefine/>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4"/>
    <w:autoRedefine/>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4"/>
    <w:autoRedefine/>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4"/>
    <w:autoRedefine/>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4"/>
    <w:autoRedefine/>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4"/>
    <w:autoRedefine/>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4"/>
    <w:autoRedefine/>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4"/>
    <w:autoRedefine/>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4"/>
    <w:autoRedefine/>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4"/>
    <w:autoRedefine/>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4"/>
    <w:autoRedefine/>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4"/>
    <w:autoRedefine/>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4"/>
    <w:autoRedefine/>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4"/>
    <w:autoRedefine/>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4"/>
    <w:autoRedefine/>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4"/>
    <w:autoRedefine/>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4"/>
    <w:autoRedefine/>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4"/>
    <w:autoRedefine/>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4"/>
    <w:autoRedefine/>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autoRedefine/>
    <w:unhideWhenUsed/>
    <w:qFormat/>
    <w:uiPriority w:val="39"/>
    <w:rPr>
      <w:rFonts w:ascii="Times New Roman" w:hAnsi="Times New Roman" w:eastAsia="宋体" w:cs="Times New Roman"/>
      <w:lang w:val="en-US" w:eastAsia="zh-CN" w:bidi="ar-SA"/>
    </w:rPr>
  </w:style>
  <w:style w:type="paragraph" w:customStyle="1" w:styleId="234">
    <w:name w:val="列出段落1"/>
    <w:basedOn w:val="1"/>
    <w:autoRedefine/>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autoRedefine/>
    <w:qFormat/>
    <w:uiPriority w:val="99"/>
    <w:pPr>
      <w:spacing w:line="360" w:lineRule="auto"/>
      <w:ind w:firstLine="420"/>
    </w:pPr>
    <w:rPr>
      <w:rFonts w:ascii="宋体" w:hAnsi="宋体" w:cs="宋体"/>
      <w:color w:val="000000"/>
      <w:szCs w:val="21"/>
    </w:rPr>
  </w:style>
  <w:style w:type="character" w:customStyle="1" w:styleId="237">
    <w:name w:val="正文2 Char Char"/>
    <w:link w:val="236"/>
    <w:autoRedefine/>
    <w:qFormat/>
    <w:uiPriority w:val="99"/>
    <w:rPr>
      <w:rFonts w:ascii="宋体" w:hAnsi="宋体" w:eastAsia="宋体" w:cs="宋体"/>
      <w:color w:val="000000"/>
      <w:sz w:val="21"/>
      <w:szCs w:val="21"/>
    </w:rPr>
  </w:style>
  <w:style w:type="paragraph" w:customStyle="1" w:styleId="238">
    <w:name w:val="Table Paragraph"/>
    <w:basedOn w:val="1"/>
    <w:autoRedefine/>
    <w:qFormat/>
    <w:uiPriority w:val="1"/>
    <w:pPr>
      <w:jc w:val="left"/>
    </w:pPr>
    <w:rPr>
      <w:rFonts w:ascii="宋体" w:hAnsi="宋体" w:cs="宋体"/>
      <w:sz w:val="22"/>
      <w:lang w:val="zh-CN" w:bidi="zh-CN"/>
    </w:rPr>
  </w:style>
  <w:style w:type="paragraph" w:customStyle="1" w:styleId="239">
    <w:name w:val="contentarticle"/>
    <w:basedOn w:val="1"/>
    <w:autoRedefine/>
    <w:qFormat/>
    <w:uiPriority w:val="0"/>
    <w:pPr>
      <w:widowControl/>
      <w:spacing w:before="100" w:beforeAutospacing="1" w:after="100" w:afterAutospacing="1"/>
      <w:jc w:val="left"/>
    </w:pPr>
    <w:rPr>
      <w:rFonts w:ascii="宋体" w:hAnsi="宋体" w:cs="宋体"/>
      <w:sz w:val="24"/>
    </w:rPr>
  </w:style>
  <w:style w:type="character" w:customStyle="1" w:styleId="240">
    <w:name w:val="p21"/>
    <w:autoRedefine/>
    <w:qFormat/>
    <w:uiPriority w:val="0"/>
    <w:rPr>
      <w:sz w:val="9"/>
      <w:szCs w:val="9"/>
    </w:rPr>
  </w:style>
  <w:style w:type="paragraph" w:customStyle="1" w:styleId="241">
    <w:name w:val="t_black_12_b"/>
    <w:basedOn w:val="1"/>
    <w:autoRedefine/>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5"/>
    <w:autoRedefine/>
    <w:qFormat/>
    <w:uiPriority w:val="0"/>
    <w:pPr>
      <w:spacing w:before="0" w:after="0" w:line="400" w:lineRule="exact"/>
    </w:pPr>
    <w:rPr>
      <w:rFonts w:eastAsia="黑体" w:cs="宋体"/>
      <w:b w:val="0"/>
    </w:rPr>
  </w:style>
  <w:style w:type="paragraph" w:customStyle="1" w:styleId="243">
    <w:name w:val="标题3"/>
    <w:basedOn w:val="1"/>
    <w:link w:val="244"/>
    <w:autoRedefine/>
    <w:qFormat/>
    <w:uiPriority w:val="0"/>
    <w:pPr>
      <w:pageBreakBefore/>
      <w:jc w:val="center"/>
      <w:outlineLvl w:val="2"/>
    </w:pPr>
    <w:rPr>
      <w:rFonts w:ascii="黑体" w:hAnsi="黑体" w:eastAsia="黑体"/>
      <w:b/>
      <w:sz w:val="32"/>
      <w:szCs w:val="32"/>
    </w:rPr>
  </w:style>
  <w:style w:type="character" w:customStyle="1" w:styleId="244">
    <w:name w:val="标题3 Char"/>
    <w:link w:val="243"/>
    <w:autoRedefine/>
    <w:qFormat/>
    <w:uiPriority w:val="0"/>
    <w:rPr>
      <w:rFonts w:ascii="黑体" w:hAnsi="黑体" w:eastAsia="黑体" w:cs="Times New Roman"/>
      <w:b/>
      <w:sz w:val="32"/>
      <w:szCs w:val="32"/>
    </w:rPr>
  </w:style>
  <w:style w:type="paragraph" w:customStyle="1" w:styleId="245">
    <w:name w:val="TOC 标题11"/>
    <w:basedOn w:val="2"/>
    <w:next w:val="1"/>
    <w:autoRedefine/>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autoRedefine/>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autoRedefine/>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autoRedefine/>
    <w:unhideWhenUsed/>
    <w:qFormat/>
    <w:uiPriority w:val="99"/>
    <w:rPr>
      <w:rFonts w:ascii="Calibri" w:hAnsi="Calibri" w:eastAsia="宋体" w:cs="Times New Roman"/>
      <w:sz w:val="21"/>
      <w:szCs w:val="22"/>
      <w:lang w:val="en-US" w:eastAsia="zh-CN" w:bidi="ar-SA"/>
    </w:rPr>
  </w:style>
  <w:style w:type="paragraph" w:customStyle="1" w:styleId="252">
    <w:name w:val="BodyText"/>
    <w:basedOn w:val="1"/>
    <w:autoRedefine/>
    <w:qFormat/>
    <w:uiPriority w:val="0"/>
    <w:pPr>
      <w:spacing w:after="120"/>
    </w:pPr>
    <w:rPr>
      <w:rFonts w:hAnsi="Times New Roman"/>
      <w:sz w:val="20"/>
      <w:szCs w:val="20"/>
    </w:rPr>
  </w:style>
  <w:style w:type="table" w:customStyle="1" w:styleId="253">
    <w:name w:val="Table Normal"/>
    <w:basedOn w:val="44"/>
    <w:autoRedefine/>
    <w:semiHidden/>
    <w:qFormat/>
    <w:uiPriority w:val="2"/>
    <w:tblPr>
      <w:tblCellMar>
        <w:left w:w="0" w:type="dxa"/>
        <w:right w:w="0" w:type="dxa"/>
      </w:tblCellMar>
    </w:tblPr>
  </w:style>
  <w:style w:type="paragraph" w:customStyle="1" w:styleId="254">
    <w:name w:val="列出段落11"/>
    <w:basedOn w:val="1"/>
    <w:autoRedefine/>
    <w:qFormat/>
    <w:uiPriority w:val="99"/>
    <w:pPr>
      <w:ind w:firstLine="420"/>
    </w:pPr>
    <w:rPr>
      <w:rFonts w:ascii="Times New Roman" w:hAnsi="Times New Roman"/>
      <w:szCs w:val="24"/>
    </w:rPr>
  </w:style>
  <w:style w:type="paragraph" w:customStyle="1" w:styleId="255">
    <w:name w:val="hk正文"/>
    <w:basedOn w:val="1"/>
    <w:autoRedefine/>
    <w:qFormat/>
    <w:uiPriority w:val="0"/>
    <w:pPr>
      <w:spacing w:line="440" w:lineRule="exact"/>
      <w:ind w:firstLine="560"/>
    </w:pPr>
    <w:rPr>
      <w:rFonts w:ascii="Arial" w:hAnsi="Arial" w:cs="宋体"/>
      <w:szCs w:val="28"/>
    </w:rPr>
  </w:style>
  <w:style w:type="paragraph" w:customStyle="1" w:styleId="256">
    <w:name w:val="普通正文"/>
    <w:basedOn w:val="1"/>
    <w:autoRedefine/>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autoRedefine/>
    <w:semiHidden/>
    <w:qFormat/>
    <w:uiPriority w:val="0"/>
    <w:rPr>
      <w:rFonts w:ascii="Arial" w:hAnsi="Arial" w:eastAsia="Arial" w:cs="Arial"/>
      <w:szCs w:val="21"/>
      <w:lang w:eastAsia="en-US"/>
    </w:rPr>
  </w:style>
  <w:style w:type="paragraph" w:customStyle="1" w:styleId="258">
    <w:name w:val="列表段落1"/>
    <w:basedOn w:val="1"/>
    <w:autoRedefine/>
    <w:qFormat/>
    <w:uiPriority w:val="34"/>
    <w:pPr>
      <w:ind w:left="223" w:firstLine="420"/>
    </w:pPr>
  </w:style>
  <w:style w:type="paragraph" w:customStyle="1" w:styleId="259">
    <w:name w:val="修订2"/>
    <w:autoRedefine/>
    <w:hidden/>
    <w:unhideWhenUsed/>
    <w:qFormat/>
    <w:uiPriority w:val="99"/>
    <w:rPr>
      <w:rFonts w:ascii="Calibri" w:hAnsi="Calibri" w:eastAsia="宋体" w:cs="Times New Roman"/>
      <w:sz w:val="21"/>
      <w:szCs w:val="22"/>
      <w:lang w:val="en-US" w:eastAsia="zh-CN" w:bidi="ar-SA"/>
    </w:rPr>
  </w:style>
  <w:style w:type="paragraph" w:customStyle="1" w:styleId="260">
    <w:name w:val="修订3"/>
    <w:autoRedefine/>
    <w:hidden/>
    <w:unhideWhenUsed/>
    <w:qFormat/>
    <w:uiPriority w:val="99"/>
    <w:rPr>
      <w:rFonts w:ascii="Calibri" w:hAnsi="Calibri" w:eastAsia="宋体" w:cs="Times New Roman"/>
      <w:sz w:val="21"/>
      <w:szCs w:val="22"/>
      <w:lang w:val="en-US" w:eastAsia="zh-CN" w:bidi="ar-SA"/>
    </w:rPr>
  </w:style>
  <w:style w:type="paragraph" w:customStyle="1" w:styleId="261">
    <w:name w:val="修订4"/>
    <w:autoRedefine/>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autoRedefine/>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autoRedefine/>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autoRedefine/>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autoRedefine/>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autoRedefine/>
    <w:qFormat/>
    <w:uiPriority w:val="0"/>
    <w:rPr>
      <w:rFonts w:ascii="Calibri" w:hAnsi="Calibri"/>
      <w:b/>
      <w:sz w:val="24"/>
    </w:rPr>
  </w:style>
  <w:style w:type="paragraph" w:customStyle="1" w:styleId="267">
    <w:name w:val="内嵌文档标题2"/>
    <w:next w:val="1"/>
    <w:autoRedefine/>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autoRedefine/>
    <w:qFormat/>
    <w:uiPriority w:val="1"/>
    <w:pPr>
      <w:ind w:left="680"/>
      <w:outlineLvl w:val="6"/>
    </w:pPr>
    <w:rPr>
      <w:sz w:val="24"/>
      <w:szCs w:val="24"/>
    </w:rPr>
  </w:style>
  <w:style w:type="paragraph" w:customStyle="1" w:styleId="269">
    <w:name w:val="标题 51"/>
    <w:basedOn w:val="1"/>
    <w:autoRedefine/>
    <w:qFormat/>
    <w:uiPriority w:val="1"/>
    <w:pPr>
      <w:spacing w:before="3"/>
      <w:ind w:left="680"/>
      <w:outlineLvl w:val="5"/>
    </w:pPr>
    <w:rPr>
      <w:b/>
      <w:bCs/>
      <w:sz w:val="24"/>
      <w:szCs w:val="24"/>
    </w:rPr>
  </w:style>
  <w:style w:type="paragraph" w:customStyle="1" w:styleId="270">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autoRedefine/>
    <w:semiHidden/>
    <w:qFormat/>
    <w:uiPriority w:val="0"/>
    <w:rPr>
      <w:rFonts w:ascii="Calibri" w:hAnsi="Calibri" w:eastAsia="宋体" w:cs="Times New Roman"/>
      <w:sz w:val="21"/>
      <w:szCs w:val="22"/>
      <w:lang w:val="en-US" w:eastAsia="zh-CN" w:bidi="ar-SA"/>
    </w:rPr>
  </w:style>
  <w:style w:type="character" w:customStyle="1" w:styleId="272">
    <w:name w:val="批注文字 字符1"/>
    <w:autoRedefine/>
    <w:qFormat/>
    <w:uiPriority w:val="99"/>
    <w:rPr>
      <w:kern w:val="2"/>
      <w:sz w:val="21"/>
      <w:szCs w:val="24"/>
    </w:rPr>
  </w:style>
  <w:style w:type="paragraph" w:customStyle="1" w:styleId="273">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4">
    <w:name w:val="No Spacing"/>
    <w:autoRedefine/>
    <w:qFormat/>
    <w:uiPriority w:val="99"/>
    <w:pPr>
      <w:widowControl w:val="0"/>
      <w:jc w:val="both"/>
    </w:pPr>
    <w:rPr>
      <w:rFonts w:ascii="Calibri" w:hAnsi="Calibri" w:eastAsia="宋体" w:cs="Times New Roman"/>
      <w:kern w:val="2"/>
      <w:sz w:val="24"/>
      <w:szCs w:val="22"/>
      <w:lang w:val="en-US" w:eastAsia="zh-CN" w:bidi="ar-SA"/>
    </w:rPr>
  </w:style>
  <w:style w:type="paragraph" w:customStyle="1" w:styleId="275">
    <w:name w:val="正文文本1"/>
    <w:basedOn w:val="1"/>
    <w:qFormat/>
    <w:uiPriority w:val="99"/>
    <w:rPr>
      <w:rFonts w:ascii="楷体_GB2312" w:hAnsi="Arial" w:eastAsia="楷体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12231</Words>
  <Characters>12835</Characters>
  <Lines>140</Lines>
  <Paragraphs>39</Paragraphs>
  <TotalTime>733</TotalTime>
  <ScaleCrop>false</ScaleCrop>
  <LinksUpToDate>false</LinksUpToDate>
  <CharactersWithSpaces>12866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13901</cp:lastModifiedBy>
  <dcterms:modified xsi:type="dcterms:W3CDTF">2025-11-20T10:58:29Z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F372F5F859C743FAA48A8B7980D05514_13</vt:lpwstr>
  </property>
  <property fmtid="{D5CDD505-2E9C-101B-9397-08002B2CF9AE}" pid="4" name="KSOTemplateDocerSaveRecord">
    <vt:lpwstr>eyJoZGlkIjoiY2E4MWQ3MjAwZWZlOWQxMmZkYWZiOWQ0OGRlNWYyNWIiLCJ1c2VySWQiOiI1NTM2NDU2NzEifQ==</vt:lpwstr>
  </property>
</Properties>
</file>