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652F6">
      <w:pPr>
        <w:pStyle w:val="16"/>
        <w:adjustRightInd w:val="0"/>
        <w:snapToGrid w:val="0"/>
        <w:spacing w:after="0" w:line="360" w:lineRule="auto"/>
        <w:ind w:firstLine="0" w:firstLineChars="0"/>
        <w:jc w:val="center"/>
        <w:rPr>
          <w:rFonts w:hint="eastAsia" w:ascii="宋体" w:hAnsi="宋体"/>
          <w:b/>
          <w:color w:val="auto"/>
          <w:sz w:val="44"/>
          <w:highlight w:val="none"/>
          <w:shd w:val="clear" w:color="auto" w:fill="FFFFFF"/>
        </w:rPr>
      </w:pPr>
    </w:p>
    <w:p w14:paraId="053CC2B8">
      <w:pPr>
        <w:pStyle w:val="16"/>
        <w:adjustRightInd w:val="0"/>
        <w:snapToGrid w:val="0"/>
        <w:spacing w:after="0" w:line="360" w:lineRule="auto"/>
        <w:ind w:firstLine="0" w:firstLineChars="0"/>
        <w:jc w:val="center"/>
        <w:rPr>
          <w:rFonts w:hint="eastAsia" w:ascii="宋体" w:hAnsi="宋体"/>
          <w:b/>
          <w:color w:val="auto"/>
          <w:sz w:val="44"/>
          <w:highlight w:val="none"/>
          <w:shd w:val="clear" w:color="auto" w:fill="FFFFFF"/>
        </w:rPr>
      </w:pPr>
    </w:p>
    <w:p w14:paraId="09F9D444">
      <w:pPr>
        <w:pStyle w:val="16"/>
        <w:adjustRightInd w:val="0"/>
        <w:snapToGrid w:val="0"/>
        <w:spacing w:after="0" w:line="360" w:lineRule="auto"/>
        <w:ind w:firstLine="0" w:firstLineChars="0"/>
        <w:jc w:val="center"/>
        <w:rPr>
          <w:rFonts w:hint="eastAsia" w:ascii="宋体" w:hAnsi="宋体" w:eastAsia="宋体"/>
          <w:color w:val="auto"/>
          <w:sz w:val="32"/>
          <w:szCs w:val="28"/>
          <w:highlight w:val="none"/>
          <w:lang w:eastAsia="zh-CN"/>
        </w:rPr>
      </w:pPr>
      <w:r>
        <w:rPr>
          <w:rFonts w:hint="eastAsia" w:ascii="宋体" w:hAnsi="宋体" w:cs="宋体"/>
          <w:b/>
          <w:color w:val="auto"/>
          <w:sz w:val="52"/>
          <w:szCs w:val="28"/>
          <w:highlight w:val="none"/>
          <w:shd w:val="clear" w:color="auto" w:fill="FFFFFF"/>
        </w:rPr>
        <w:t>南京邮电大学</w:t>
      </w:r>
      <w:r>
        <w:rPr>
          <w:rFonts w:hint="eastAsia" w:ascii="宋体" w:hAnsi="宋体" w:cs="宋体"/>
          <w:b/>
          <w:color w:val="auto"/>
          <w:sz w:val="52"/>
          <w:szCs w:val="28"/>
          <w:highlight w:val="none"/>
          <w:shd w:val="clear" w:color="auto" w:fill="FFFFFF"/>
          <w:lang w:eastAsia="zh-CN"/>
        </w:rPr>
        <w:t>仙林校区北操东看台电力改造</w:t>
      </w:r>
    </w:p>
    <w:p w14:paraId="66E8595C">
      <w:pPr>
        <w:pStyle w:val="16"/>
        <w:adjustRightInd w:val="0"/>
        <w:snapToGrid w:val="0"/>
        <w:spacing w:after="0" w:line="360" w:lineRule="auto"/>
        <w:ind w:firstLine="0" w:firstLineChars="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 </w:t>
      </w:r>
    </w:p>
    <w:p w14:paraId="41A59E6B">
      <w:pPr>
        <w:pStyle w:val="16"/>
        <w:adjustRightInd w:val="0"/>
        <w:snapToGrid w:val="0"/>
        <w:spacing w:after="0" w:line="360" w:lineRule="auto"/>
        <w:ind w:firstLine="0" w:firstLineChars="0"/>
        <w:jc w:val="center"/>
        <w:rPr>
          <w:rFonts w:ascii="宋体" w:hAnsi="宋体"/>
          <w:color w:val="auto"/>
          <w:highlight w:val="none"/>
        </w:rPr>
      </w:pPr>
    </w:p>
    <w:p w14:paraId="0E104DB0">
      <w:pPr>
        <w:adjustRightInd w:val="0"/>
        <w:snapToGrid w:val="0"/>
        <w:spacing w:line="360" w:lineRule="auto"/>
        <w:jc w:val="center"/>
        <w:rPr>
          <w:rFonts w:ascii="宋体" w:hAnsi="宋体" w:cs="宋体"/>
          <w:b/>
          <w:color w:val="auto"/>
          <w:sz w:val="32"/>
          <w:highlight w:val="none"/>
          <w:shd w:val="clear" w:color="auto" w:fill="FFFFFF"/>
        </w:rPr>
      </w:pPr>
    </w:p>
    <w:p w14:paraId="01D7054A">
      <w:pPr>
        <w:adjustRightInd w:val="0"/>
        <w:snapToGrid w:val="0"/>
        <w:spacing w:line="360" w:lineRule="auto"/>
        <w:jc w:val="center"/>
        <w:rPr>
          <w:rFonts w:ascii="宋体" w:hAnsi="宋体" w:cs="宋体"/>
          <w:b/>
          <w:color w:val="auto"/>
          <w:sz w:val="32"/>
          <w:highlight w:val="none"/>
          <w:shd w:val="clear" w:color="auto" w:fill="FFFFFF"/>
        </w:rPr>
      </w:pPr>
    </w:p>
    <w:p w14:paraId="3C0BECEF">
      <w:pPr>
        <w:adjustRightInd w:val="0"/>
        <w:snapToGrid w:val="0"/>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2E38A67F">
      <w:pPr>
        <w:adjustRightInd w:val="0"/>
        <w:snapToGrid w:val="0"/>
        <w:spacing w:line="360" w:lineRule="auto"/>
        <w:jc w:val="center"/>
        <w:rPr>
          <w:rFonts w:ascii="宋体" w:hAnsi="宋体" w:cs="宋体"/>
          <w:b/>
          <w:color w:val="auto"/>
          <w:sz w:val="36"/>
          <w:highlight w:val="none"/>
        </w:rPr>
      </w:pPr>
      <w:r>
        <w:rPr>
          <w:rFonts w:ascii="宋体" w:hAnsi="宋体" w:cs="宋体"/>
          <w:b/>
          <w:color w:val="auto"/>
          <w:sz w:val="28"/>
          <w:highlight w:val="none"/>
        </w:rPr>
        <w:t>项目编号：</w:t>
      </w:r>
      <w:r>
        <w:rPr>
          <w:rFonts w:hint="eastAsia" w:ascii="宋体" w:hAnsi="宋体"/>
          <w:b/>
          <w:color w:val="auto"/>
          <w:w w:val="90"/>
          <w:sz w:val="32"/>
          <w:szCs w:val="32"/>
          <w:highlight w:val="none"/>
        </w:rPr>
        <w:t>FSCG2025-1828（0675-256JOC004745）</w:t>
      </w:r>
    </w:p>
    <w:p w14:paraId="65420AC0">
      <w:pPr>
        <w:adjustRightInd w:val="0"/>
        <w:snapToGrid w:val="0"/>
        <w:spacing w:line="360" w:lineRule="auto"/>
        <w:jc w:val="center"/>
        <w:rPr>
          <w:rFonts w:hint="eastAsia" w:ascii="宋体" w:hAnsi="宋体" w:cs="宋体"/>
          <w:b/>
          <w:color w:val="auto"/>
          <w:sz w:val="36"/>
          <w:highlight w:val="none"/>
        </w:rPr>
      </w:pPr>
    </w:p>
    <w:p w14:paraId="1EFF11EB">
      <w:pPr>
        <w:adjustRightInd w:val="0"/>
        <w:snapToGrid w:val="0"/>
        <w:spacing w:line="360" w:lineRule="auto"/>
        <w:jc w:val="center"/>
        <w:rPr>
          <w:rFonts w:hint="eastAsia" w:ascii="宋体" w:hAnsi="宋体" w:cs="宋体"/>
          <w:b/>
          <w:color w:val="auto"/>
          <w:sz w:val="36"/>
          <w:highlight w:val="none"/>
        </w:rPr>
      </w:pPr>
    </w:p>
    <w:p w14:paraId="1468E305">
      <w:pPr>
        <w:adjustRightInd w:val="0"/>
        <w:snapToGrid w:val="0"/>
        <w:spacing w:line="360" w:lineRule="auto"/>
        <w:jc w:val="center"/>
        <w:rPr>
          <w:rFonts w:hint="eastAsia" w:ascii="宋体" w:hAnsi="宋体" w:cs="宋体"/>
          <w:b/>
          <w:color w:val="auto"/>
          <w:sz w:val="36"/>
          <w:highlight w:val="none"/>
        </w:rPr>
      </w:pPr>
    </w:p>
    <w:p w14:paraId="71A7D2B6">
      <w:pPr>
        <w:adjustRightInd w:val="0"/>
        <w:snapToGrid w:val="0"/>
        <w:spacing w:line="360" w:lineRule="auto"/>
        <w:jc w:val="center"/>
        <w:rPr>
          <w:rFonts w:ascii="宋体" w:hAnsi="宋体" w:cs="宋体"/>
          <w:b/>
          <w:color w:val="auto"/>
          <w:sz w:val="36"/>
          <w:highlight w:val="none"/>
        </w:rPr>
      </w:pPr>
    </w:p>
    <w:p w14:paraId="0EDC74E6">
      <w:pPr>
        <w:pStyle w:val="16"/>
        <w:adjustRightInd w:val="0"/>
        <w:snapToGrid w:val="0"/>
        <w:spacing w:after="0" w:line="360" w:lineRule="auto"/>
        <w:ind w:firstLine="0" w:firstLineChars="0"/>
        <w:jc w:val="center"/>
        <w:rPr>
          <w:rFonts w:ascii="宋体" w:hAnsi="宋体"/>
          <w:color w:val="auto"/>
          <w:highlight w:val="none"/>
        </w:rPr>
      </w:pPr>
    </w:p>
    <w:p w14:paraId="70E9682B">
      <w:pPr>
        <w:adjustRightInd w:val="0"/>
        <w:snapToGrid w:val="0"/>
        <w:spacing w:line="360" w:lineRule="auto"/>
        <w:jc w:val="center"/>
        <w:rPr>
          <w:rFonts w:ascii="宋体" w:hAnsi="宋体" w:cs="宋体"/>
          <w:b/>
          <w:color w:val="auto"/>
          <w:sz w:val="32"/>
          <w:szCs w:val="32"/>
          <w:highlight w:val="none"/>
        </w:rPr>
      </w:pPr>
      <w:r>
        <w:rPr>
          <w:rFonts w:ascii="宋体" w:hAnsi="宋体" w:cs="宋体"/>
          <w:b/>
          <w:color w:val="auto"/>
          <w:sz w:val="32"/>
          <w:szCs w:val="32"/>
          <w:highlight w:val="none"/>
        </w:rPr>
        <w:t>采购人：</w:t>
      </w:r>
      <w:r>
        <w:rPr>
          <w:rFonts w:hint="eastAsia" w:ascii="宋体" w:hAnsi="宋体"/>
          <w:b/>
          <w:color w:val="auto"/>
          <w:sz w:val="32"/>
          <w:szCs w:val="32"/>
          <w:highlight w:val="none"/>
        </w:rPr>
        <w:t>南京邮电大学</w:t>
      </w:r>
    </w:p>
    <w:p w14:paraId="2F73E34A">
      <w:pPr>
        <w:adjustRightInd w:val="0"/>
        <w:snapToGrid w:val="0"/>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采购</w:t>
      </w:r>
      <w:r>
        <w:rPr>
          <w:rFonts w:ascii="宋体" w:hAnsi="宋体" w:cs="宋体"/>
          <w:b/>
          <w:color w:val="auto"/>
          <w:sz w:val="32"/>
          <w:szCs w:val="32"/>
          <w:highlight w:val="none"/>
        </w:rPr>
        <w:t>代理机构：</w:t>
      </w:r>
      <w:r>
        <w:rPr>
          <w:rFonts w:hint="eastAsia" w:ascii="宋体" w:hAnsi="宋体" w:cs="宋体"/>
          <w:b/>
          <w:color w:val="auto"/>
          <w:sz w:val="32"/>
          <w:szCs w:val="32"/>
          <w:highlight w:val="none"/>
        </w:rPr>
        <w:t>江苏海外集团国际工程咨询有限公司</w:t>
      </w:r>
    </w:p>
    <w:p w14:paraId="421009C9">
      <w:pPr>
        <w:adjustRightInd w:val="0"/>
        <w:snapToGrid w:val="0"/>
        <w:spacing w:line="360" w:lineRule="auto"/>
        <w:jc w:val="center"/>
        <w:rPr>
          <w:rFonts w:hint="eastAsia" w:ascii="宋体" w:hAnsi="宋体" w:cs="宋体"/>
          <w:b/>
          <w:color w:val="auto"/>
          <w:sz w:val="36"/>
          <w:highlight w:val="none"/>
        </w:rPr>
      </w:pPr>
      <w:r>
        <w:rPr>
          <w:rFonts w:ascii="宋体" w:hAnsi="宋体" w:cs="宋体"/>
          <w:b/>
          <w:color w:val="auto"/>
          <w:sz w:val="32"/>
          <w:szCs w:val="32"/>
          <w:highlight w:val="none"/>
        </w:rPr>
        <w:t>日期：二〇二</w:t>
      </w:r>
      <w:r>
        <w:rPr>
          <w:rFonts w:hint="eastAsia" w:ascii="宋体" w:hAnsi="宋体" w:cs="宋体"/>
          <w:b/>
          <w:color w:val="auto"/>
          <w:sz w:val="32"/>
          <w:szCs w:val="32"/>
          <w:highlight w:val="none"/>
        </w:rPr>
        <w:t>五</w:t>
      </w:r>
      <w:r>
        <w:rPr>
          <w:rFonts w:ascii="宋体" w:hAnsi="宋体" w:cs="宋体"/>
          <w:b/>
          <w:color w:val="auto"/>
          <w:sz w:val="32"/>
          <w:szCs w:val="32"/>
          <w:highlight w:val="none"/>
        </w:rPr>
        <w:t>年</w:t>
      </w:r>
      <w:r>
        <w:rPr>
          <w:rFonts w:hint="eastAsia" w:ascii="宋体" w:hAnsi="宋体" w:cs="宋体"/>
          <w:b/>
          <w:color w:val="auto"/>
          <w:sz w:val="32"/>
          <w:szCs w:val="32"/>
          <w:highlight w:val="none"/>
        </w:rPr>
        <w:t>十</w:t>
      </w:r>
      <w:r>
        <w:rPr>
          <w:rFonts w:ascii="宋体" w:hAnsi="宋体" w:cs="宋体"/>
          <w:b/>
          <w:color w:val="auto"/>
          <w:sz w:val="32"/>
          <w:szCs w:val="32"/>
          <w:highlight w:val="none"/>
        </w:rPr>
        <w:t>月</w:t>
      </w:r>
    </w:p>
    <w:p w14:paraId="6BEF15E3">
      <w:pPr>
        <w:pStyle w:val="43"/>
        <w:adjustRightInd w:val="0"/>
        <w:snapToGrid w:val="0"/>
        <w:spacing w:after="0" w:line="360" w:lineRule="auto"/>
        <w:ind w:left="0" w:leftChars="0" w:firstLine="0" w:firstLineChars="0"/>
        <w:rPr>
          <w:color w:val="auto"/>
          <w:highlight w:val="none"/>
        </w:rPr>
      </w:pPr>
    </w:p>
    <w:p w14:paraId="0B32D4E9">
      <w:pPr>
        <w:jc w:val="center"/>
        <w:outlineLvl w:val="0"/>
        <w:rPr>
          <w:rFonts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3B601EAA">
      <w:pPr>
        <w:pStyle w:val="16"/>
        <w:numPr>
          <w:ilvl w:val="0"/>
          <w:numId w:val="2"/>
        </w:numPr>
        <w:ind w:firstLineChars="0"/>
        <w:rPr>
          <w:b/>
          <w:color w:val="auto"/>
          <w:highlight w:val="none"/>
        </w:rPr>
      </w:pPr>
      <w:r>
        <w:rPr>
          <w:b/>
          <w:color w:val="auto"/>
          <w:highlight w:val="none"/>
        </w:rPr>
        <w:t>项目基本情况</w:t>
      </w:r>
    </w:p>
    <w:p w14:paraId="77E3DF33">
      <w:pPr>
        <w:pStyle w:val="16"/>
        <w:numPr>
          <w:ilvl w:val="0"/>
          <w:numId w:val="3"/>
        </w:numPr>
        <w:ind w:firstLineChars="0"/>
        <w:rPr>
          <w:color w:val="auto"/>
          <w:highlight w:val="none"/>
        </w:rPr>
      </w:pPr>
      <w:r>
        <w:rPr>
          <w:color w:val="auto"/>
          <w:highlight w:val="none"/>
        </w:rPr>
        <w:t>项目编号：</w:t>
      </w:r>
      <w:r>
        <w:rPr>
          <w:rFonts w:hint="eastAsia"/>
          <w:color w:val="auto"/>
          <w:highlight w:val="none"/>
        </w:rPr>
        <w:t>FSCG2025-1828（0675-256JOC004745）</w:t>
      </w:r>
      <w:r>
        <w:rPr>
          <w:color w:val="auto"/>
          <w:highlight w:val="none"/>
        </w:rPr>
        <w:t>；</w:t>
      </w:r>
    </w:p>
    <w:p w14:paraId="51C02818">
      <w:pPr>
        <w:pStyle w:val="16"/>
        <w:numPr>
          <w:ilvl w:val="0"/>
          <w:numId w:val="3"/>
        </w:numPr>
        <w:ind w:firstLineChars="0"/>
        <w:rPr>
          <w:color w:val="auto"/>
          <w:highlight w:val="none"/>
        </w:rPr>
      </w:pPr>
      <w:r>
        <w:rPr>
          <w:color w:val="auto"/>
          <w:highlight w:val="none"/>
        </w:rPr>
        <w:t>项目名称：</w:t>
      </w:r>
      <w:r>
        <w:rPr>
          <w:rFonts w:hint="eastAsia"/>
          <w:color w:val="auto"/>
          <w:highlight w:val="none"/>
        </w:rPr>
        <w:t>南京邮电大学</w:t>
      </w:r>
      <w:r>
        <w:rPr>
          <w:rFonts w:hint="eastAsia"/>
          <w:color w:val="auto"/>
          <w:highlight w:val="none"/>
          <w:lang w:eastAsia="zh-CN"/>
        </w:rPr>
        <w:t>仙林校区北操东看台电力改造</w:t>
      </w:r>
      <w:r>
        <w:rPr>
          <w:color w:val="auto"/>
          <w:highlight w:val="none"/>
        </w:rPr>
        <w:t>；</w:t>
      </w:r>
    </w:p>
    <w:p w14:paraId="02024115">
      <w:pPr>
        <w:pStyle w:val="16"/>
        <w:numPr>
          <w:ilvl w:val="0"/>
          <w:numId w:val="3"/>
        </w:numPr>
        <w:ind w:firstLineChars="0"/>
        <w:rPr>
          <w:color w:val="auto"/>
          <w:highlight w:val="none"/>
        </w:rPr>
      </w:pPr>
      <w:r>
        <w:rPr>
          <w:color w:val="auto"/>
          <w:highlight w:val="none"/>
        </w:rPr>
        <w:t>预算金额：</w:t>
      </w:r>
      <w:r>
        <w:rPr>
          <w:rFonts w:hint="eastAsia"/>
          <w:color w:val="auto"/>
          <w:highlight w:val="none"/>
        </w:rPr>
        <w:t>19.8</w:t>
      </w:r>
      <w:r>
        <w:rPr>
          <w:color w:val="auto"/>
          <w:highlight w:val="none"/>
        </w:rPr>
        <w:t>万元；</w:t>
      </w:r>
    </w:p>
    <w:p w14:paraId="71B31E46">
      <w:pPr>
        <w:pStyle w:val="16"/>
        <w:numPr>
          <w:ilvl w:val="0"/>
          <w:numId w:val="3"/>
        </w:numPr>
        <w:ind w:firstLineChars="0"/>
        <w:rPr>
          <w:color w:val="auto"/>
          <w:highlight w:val="none"/>
        </w:rPr>
      </w:pPr>
      <w:r>
        <w:rPr>
          <w:color w:val="auto"/>
          <w:highlight w:val="none"/>
        </w:rPr>
        <w:t>最高限价：</w:t>
      </w:r>
      <w:r>
        <w:rPr>
          <w:rFonts w:hint="eastAsia"/>
          <w:color w:val="auto"/>
          <w:highlight w:val="none"/>
        </w:rPr>
        <w:t>19.8</w:t>
      </w:r>
      <w:r>
        <w:rPr>
          <w:color w:val="auto"/>
          <w:highlight w:val="none"/>
        </w:rPr>
        <w:t>万元</w:t>
      </w:r>
      <w:r>
        <w:rPr>
          <w:rFonts w:hint="eastAsia"/>
          <w:color w:val="auto"/>
          <w:highlight w:val="none"/>
          <w:lang w:eastAsia="zh-CN"/>
        </w:rPr>
        <w:t>，</w:t>
      </w:r>
      <w:r>
        <w:rPr>
          <w:rFonts w:hint="eastAsia"/>
          <w:color w:val="auto"/>
          <w:highlight w:val="none"/>
        </w:rPr>
        <w:t>响应报价超过单价最高限价的，响应文件作无效处理。</w:t>
      </w:r>
    </w:p>
    <w:p w14:paraId="7BDF9A75">
      <w:pPr>
        <w:pStyle w:val="16"/>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0D832D94">
      <w:pPr>
        <w:pStyle w:val="16"/>
        <w:rPr>
          <w:rFonts w:hint="eastAsia" w:ascii="宋体" w:hAnsi="宋体" w:cs="宋体"/>
          <w:color w:val="auto"/>
          <w:szCs w:val="21"/>
          <w:highlight w:val="none"/>
        </w:rPr>
      </w:pPr>
      <w:r>
        <w:rPr>
          <w:rFonts w:hint="eastAsia"/>
          <w:color w:val="auto"/>
          <w:highlight w:val="none"/>
        </w:rPr>
        <w:t>6、</w:t>
      </w:r>
      <w:r>
        <w:rPr>
          <w:color w:val="auto"/>
          <w:highlight w:val="none"/>
        </w:rPr>
        <w:t>采购需求：</w:t>
      </w:r>
      <w:r>
        <w:rPr>
          <w:rFonts w:hint="eastAsia"/>
          <w:color w:val="auto"/>
          <w:highlight w:val="none"/>
          <w:lang w:val="en-US" w:eastAsia="zh-CN"/>
        </w:rPr>
        <w:t>完成</w:t>
      </w:r>
      <w:r>
        <w:rPr>
          <w:rFonts w:hint="eastAsia"/>
          <w:color w:val="auto"/>
          <w:highlight w:val="none"/>
          <w:lang w:eastAsia="zh-CN"/>
        </w:rPr>
        <w:t>北操东看台</w:t>
      </w:r>
      <w:r>
        <w:rPr>
          <w:rFonts w:hint="eastAsia" w:ascii="宋体" w:hAnsi="宋体" w:cs="宋体"/>
          <w:color w:val="auto"/>
          <w:szCs w:val="21"/>
          <w:highlight w:val="none"/>
        </w:rPr>
        <w:t>配电总柜至房间</w:t>
      </w:r>
      <w:r>
        <w:rPr>
          <w:rFonts w:hint="eastAsia" w:ascii="宋体" w:hAnsi="宋体" w:cs="宋体"/>
          <w:color w:val="auto"/>
          <w:szCs w:val="21"/>
          <w:highlight w:val="none"/>
          <w:lang w:val="en-US" w:eastAsia="zh-CN"/>
        </w:rPr>
        <w:t>线路改造</w:t>
      </w:r>
      <w:r>
        <w:rPr>
          <w:rFonts w:hint="eastAsia" w:ascii="宋体" w:hAnsi="宋体" w:cs="宋体"/>
          <w:color w:val="auto"/>
          <w:szCs w:val="21"/>
          <w:highlight w:val="none"/>
        </w:rPr>
        <w:t>，需从</w:t>
      </w:r>
      <w:r>
        <w:rPr>
          <w:rFonts w:hint="eastAsia" w:ascii="宋体" w:hAnsi="宋体" w:cs="宋体"/>
          <w:color w:val="auto"/>
          <w:szCs w:val="21"/>
          <w:highlight w:val="none"/>
          <w:lang w:val="en-US" w:eastAsia="zh-CN"/>
        </w:rPr>
        <w:t>配电总柜</w:t>
      </w:r>
      <w:r>
        <w:rPr>
          <w:rFonts w:hint="eastAsia" w:ascii="宋体" w:hAnsi="宋体" w:cs="宋体"/>
          <w:color w:val="auto"/>
          <w:szCs w:val="21"/>
          <w:highlight w:val="none"/>
        </w:rPr>
        <w:t>敷设电缆到</w:t>
      </w:r>
      <w:r>
        <w:rPr>
          <w:rFonts w:hint="eastAsia" w:ascii="宋体" w:hAnsi="宋体" w:cs="宋体"/>
          <w:color w:val="auto"/>
          <w:szCs w:val="21"/>
          <w:highlight w:val="none"/>
          <w:lang w:val="en-US" w:eastAsia="zh-CN"/>
        </w:rPr>
        <w:t>每户电箱并完成房间内部线路改造。按照设计图纸敷设电缆，安装每户电源分支箱，含内部空开等。</w:t>
      </w:r>
      <w:r>
        <w:rPr>
          <w:rFonts w:hint="eastAsia" w:ascii="宋体" w:hAnsi="宋体" w:cs="宋体"/>
          <w:color w:val="auto"/>
          <w:szCs w:val="21"/>
          <w:highlight w:val="none"/>
        </w:rPr>
        <w:t>详见施工图及工程量清单。</w:t>
      </w:r>
    </w:p>
    <w:p w14:paraId="22DAD58F">
      <w:pPr>
        <w:pStyle w:val="16"/>
        <w:ind w:left="480" w:firstLine="0" w:firstLineChars="0"/>
        <w:rPr>
          <w:color w:val="auto"/>
          <w:highlight w:val="none"/>
        </w:rPr>
      </w:pPr>
      <w:r>
        <w:rPr>
          <w:rFonts w:hint="eastAsia"/>
          <w:color w:val="auto"/>
          <w:highlight w:val="none"/>
        </w:rPr>
        <w:t>7、</w:t>
      </w:r>
      <w:r>
        <w:rPr>
          <w:rFonts w:hint="eastAsia"/>
          <w:color w:val="auto"/>
          <w:highlight w:val="none"/>
          <w:lang w:val="en-US" w:eastAsia="zh-CN"/>
        </w:rPr>
        <w:t>工期</w:t>
      </w:r>
      <w:r>
        <w:rPr>
          <w:rFonts w:hint="eastAsia"/>
          <w:color w:val="auto"/>
          <w:highlight w:val="none"/>
        </w:rPr>
        <w:t>：</w:t>
      </w:r>
      <w:r>
        <w:rPr>
          <w:rFonts w:hint="eastAsia"/>
          <w:color w:val="auto"/>
          <w:highlight w:val="none"/>
          <w:lang w:val="en-US" w:eastAsia="zh-CN"/>
        </w:rPr>
        <w:t>合同签订后20个日历天内。</w:t>
      </w:r>
    </w:p>
    <w:p w14:paraId="6E303AA6">
      <w:pPr>
        <w:pStyle w:val="16"/>
        <w:ind w:left="480" w:firstLine="0" w:firstLineChars="0"/>
        <w:rPr>
          <w:color w:val="auto"/>
          <w:highlight w:val="none"/>
        </w:rPr>
      </w:pPr>
      <w:r>
        <w:rPr>
          <w:rFonts w:hint="eastAsia"/>
          <w:color w:val="auto"/>
          <w:highlight w:val="none"/>
        </w:rPr>
        <w:t>8、</w:t>
      </w:r>
      <w:r>
        <w:rPr>
          <w:color w:val="auto"/>
          <w:highlight w:val="none"/>
        </w:rPr>
        <w:t>本项目是否接受联合体响应：不接受。</w:t>
      </w:r>
    </w:p>
    <w:p w14:paraId="3F79A163">
      <w:pPr>
        <w:pStyle w:val="16"/>
        <w:numPr>
          <w:ilvl w:val="0"/>
          <w:numId w:val="2"/>
        </w:numPr>
        <w:ind w:firstLineChars="0"/>
        <w:rPr>
          <w:b/>
          <w:color w:val="auto"/>
          <w:highlight w:val="none"/>
        </w:rPr>
      </w:pPr>
      <w:r>
        <w:rPr>
          <w:b/>
          <w:color w:val="auto"/>
          <w:highlight w:val="none"/>
        </w:rPr>
        <w:t>申请人的资格要求：</w:t>
      </w:r>
    </w:p>
    <w:p w14:paraId="0DC9C730">
      <w:pPr>
        <w:pStyle w:val="16"/>
        <w:numPr>
          <w:ilvl w:val="0"/>
          <w:numId w:val="4"/>
        </w:numPr>
        <w:ind w:firstLineChars="0"/>
        <w:rPr>
          <w:b/>
          <w:color w:val="auto"/>
          <w:highlight w:val="none"/>
        </w:rPr>
      </w:pPr>
      <w:r>
        <w:rPr>
          <w:b/>
          <w:color w:val="auto"/>
          <w:highlight w:val="none"/>
        </w:rPr>
        <w:t>满足《中华人民共和国政府采购法》第二十二条规定：</w:t>
      </w:r>
    </w:p>
    <w:p w14:paraId="69A124FE">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（1）具有独立承担民事责任的能力（提供法人或者其他组织的营业执照）；</w:t>
      </w:r>
    </w:p>
    <w:p w14:paraId="7F212444">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（2）具有良好的商业信誉和健全的财务会计制度（</w:t>
      </w:r>
      <w:r>
        <w:rPr>
          <w:rFonts w:hint="eastAsia" w:ascii="宋体" w:hAnsi="宋体" w:eastAsia="宋体" w:cs="宋体"/>
          <w:color w:val="auto"/>
          <w:sz w:val="24"/>
          <w:szCs w:val="21"/>
          <w:highlight w:val="none"/>
          <w:lang w:val="zh-TW" w:eastAsia="zh-TW" w:bidi="ar-SA"/>
        </w:rPr>
        <w:t>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hAnsi="宋体" w:eastAsia="宋体" w:cs="宋体"/>
          <w:color w:val="auto"/>
          <w:sz w:val="24"/>
          <w:szCs w:val="21"/>
          <w:highlight w:val="none"/>
          <w:lang w:val="en-US" w:eastAsia="zh-CN" w:bidi="ar-SA"/>
        </w:rPr>
        <w:t>）；</w:t>
      </w:r>
    </w:p>
    <w:p w14:paraId="58807A6A">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（3）具有履行合同所必需的设备和专业技术能力（根据履行采购项目合同需要，提供履行合同所必需的设备和专业技术能力的证明材料或相关加盖公章的承诺函）；</w:t>
      </w:r>
    </w:p>
    <w:p w14:paraId="459EB88C">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4）有依法缴纳税收和社会保障资金的良好记录（提供参加本次政府采购活动前半年内（2025年4月-2025年9月）至少一个月缴纳增值税，或营业税，或企业所得税的凭据；并提供缴纳社会保险的凭据（专用收据，或社会保险缴纳清单））；</w:t>
      </w:r>
    </w:p>
    <w:p w14:paraId="56404A0A">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（5）参加政府采购活动前三年内，在经营活动中没有重大违法记录（提供承诺书）；</w:t>
      </w:r>
    </w:p>
    <w:p w14:paraId="0BC7DF93">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（6）法律、行政法规规定的其他条件：无。</w:t>
      </w:r>
    </w:p>
    <w:p w14:paraId="33FE5175">
      <w:pPr>
        <w:pStyle w:val="16"/>
        <w:numPr>
          <w:ilvl w:val="0"/>
          <w:numId w:val="4"/>
        </w:numPr>
        <w:ind w:firstLine="0" w:firstLineChars="0"/>
        <w:rPr>
          <w:color w:val="auto"/>
          <w:highlight w:val="none"/>
        </w:rPr>
      </w:pPr>
      <w:r>
        <w:rPr>
          <w:color w:val="auto"/>
          <w:highlight w:val="none"/>
        </w:rPr>
        <w:t>本项目的特定资格要求：</w:t>
      </w:r>
    </w:p>
    <w:p w14:paraId="7764F504">
      <w:pPr>
        <w:pStyle w:val="16"/>
        <w:ind w:firstLine="480"/>
        <w:rPr>
          <w:rFonts w:hint="eastAsia"/>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）供应商具备</w:t>
      </w:r>
      <w:r>
        <w:rPr>
          <w:rFonts w:hint="eastAsia"/>
          <w:color w:val="auto"/>
          <w:highlight w:val="none"/>
          <w:lang w:val="en-US" w:eastAsia="zh-CN"/>
        </w:rPr>
        <w:t>施工总承包三级及以上</w:t>
      </w:r>
      <w:r>
        <w:rPr>
          <w:rFonts w:hint="eastAsia"/>
          <w:color w:val="auto"/>
          <w:highlight w:val="none"/>
        </w:rPr>
        <w:t>资质且具备安全生产许可证；（提供有效期内的证书复印件加盖供应商公章）</w:t>
      </w:r>
    </w:p>
    <w:p w14:paraId="6851DFDB">
      <w:pPr>
        <w:pStyle w:val="16"/>
        <w:ind w:firstLine="480"/>
        <w:rPr>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）拟派项目经理须具有机电工程专业注册建造师二级及以上，且具备有效的安全B证</w:t>
      </w:r>
      <w:r>
        <w:rPr>
          <w:rFonts w:hint="eastAsia"/>
          <w:color w:val="auto"/>
          <w:highlight w:val="none"/>
          <w:lang w:eastAsia="zh-CN"/>
        </w:rPr>
        <w:t>，</w:t>
      </w:r>
      <w:r>
        <w:rPr>
          <w:rFonts w:hint="eastAsia"/>
          <w:color w:val="auto"/>
          <w:highlight w:val="none"/>
        </w:rPr>
        <w:t>同时提供供应商为其缴纳的社保机构出具的近半年(2025年4月-2025年9月)连续6个月的养老保险缴费证明材料并加盖社保中心章或社保中心参保缴费证明电子专用章。（提供有效期内的证书复印件加盖公章）；</w:t>
      </w:r>
    </w:p>
    <w:p w14:paraId="7530C245">
      <w:pPr>
        <w:pStyle w:val="16"/>
        <w:ind w:firstLine="0" w:firstLineChars="0"/>
        <w:rPr>
          <w:color w:val="auto"/>
          <w:highlight w:val="none"/>
        </w:rPr>
      </w:pPr>
      <w:r>
        <w:rPr>
          <w:rFonts w:hint="eastAsia"/>
          <w:color w:val="auto"/>
          <w:highlight w:val="none"/>
        </w:rPr>
        <w:t>3、</w:t>
      </w:r>
      <w:r>
        <w:rPr>
          <w:color w:val="auto"/>
          <w:highlight w:val="none"/>
        </w:rPr>
        <w:t>拒绝下述供应商参加本次</w:t>
      </w:r>
      <w:r>
        <w:rPr>
          <w:rFonts w:hint="eastAsia"/>
          <w:color w:val="auto"/>
          <w:highlight w:val="none"/>
        </w:rPr>
        <w:t>采购</w:t>
      </w:r>
      <w:r>
        <w:rPr>
          <w:color w:val="auto"/>
          <w:highlight w:val="none"/>
        </w:rPr>
        <w:t>：</w:t>
      </w:r>
    </w:p>
    <w:p w14:paraId="26333A46">
      <w:pPr>
        <w:pStyle w:val="16"/>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4337BAD4">
      <w:pPr>
        <w:pStyle w:val="16"/>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4D98DEA6">
      <w:pPr>
        <w:pStyle w:val="16"/>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7A40557E">
      <w:pPr>
        <w:pStyle w:val="16"/>
        <w:numPr>
          <w:ilvl w:val="0"/>
          <w:numId w:val="2"/>
        </w:numPr>
        <w:ind w:firstLineChars="0"/>
        <w:rPr>
          <w:b/>
          <w:color w:val="auto"/>
          <w:highlight w:val="none"/>
        </w:rPr>
      </w:pPr>
      <w:r>
        <w:rPr>
          <w:b/>
          <w:color w:val="auto"/>
          <w:highlight w:val="none"/>
        </w:rPr>
        <w:t>获取采购文件</w:t>
      </w:r>
    </w:p>
    <w:p w14:paraId="0C5F245C">
      <w:pPr>
        <w:pStyle w:val="16"/>
        <w:numPr>
          <w:ilvl w:val="0"/>
          <w:numId w:val="5"/>
        </w:numPr>
        <w:ind w:firstLineChars="0"/>
        <w:rPr>
          <w:color w:val="auto"/>
          <w:highlight w:val="none"/>
        </w:rPr>
      </w:pPr>
      <w:r>
        <w:rPr>
          <w:color w:val="auto"/>
          <w:highlight w:val="none"/>
        </w:rPr>
        <w:t>时间：2025年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24</w:t>
      </w:r>
      <w:r>
        <w:rPr>
          <w:color w:val="auto"/>
          <w:highlight w:val="none"/>
        </w:rPr>
        <w:t>日上午09:00至2025年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29</w:t>
      </w:r>
      <w:r>
        <w:rPr>
          <w:color w:val="auto"/>
          <w:highlight w:val="none"/>
        </w:rPr>
        <w:t>日17:00（北京时间）</w:t>
      </w:r>
    </w:p>
    <w:p w14:paraId="23481AD7">
      <w:pPr>
        <w:pStyle w:val="16"/>
        <w:numPr>
          <w:ilvl w:val="0"/>
          <w:numId w:val="5"/>
        </w:numPr>
        <w:ind w:firstLineChars="0"/>
        <w:rPr>
          <w:color w:val="auto"/>
          <w:highlight w:val="none"/>
        </w:rPr>
      </w:pPr>
      <w:r>
        <w:rPr>
          <w:color w:val="auto"/>
          <w:highlight w:val="none"/>
        </w:rPr>
        <w:t>获取方式：</w:t>
      </w:r>
      <w:r>
        <w:rPr>
          <w:rFonts w:hint="eastAsia"/>
          <w:color w:val="auto"/>
          <w:highlight w:val="none"/>
        </w:rPr>
        <w:t>供应商登录https://www.joccon.cn/hwzb/平台免费获取采购文件。在获取采购文件前，前往https://www.joccon.cn/hwzb/（江苏海外电子招投标平台）免费注册，平台审核通过后可以登录平台参与项目。（</w:t>
      </w:r>
      <w:r>
        <w:rPr>
          <w:rFonts w:hint="eastAsia" w:ascii="宋体" w:hAnsi="宋体" w:cs="宋体"/>
          <w:color w:val="auto"/>
          <w:szCs w:val="21"/>
          <w:highlight w:val="none"/>
        </w:rPr>
        <w:t>需提供（1）企业营业执照；（2）企业介绍信或法人授权委托书（包含身份证）。）</w:t>
      </w:r>
    </w:p>
    <w:p w14:paraId="467540DE">
      <w:pPr>
        <w:pStyle w:val="16"/>
        <w:ind w:firstLine="480"/>
        <w:rPr>
          <w:color w:val="auto"/>
          <w:highlight w:val="none"/>
        </w:rPr>
      </w:pPr>
      <w:r>
        <w:rPr>
          <w:color w:val="auto"/>
          <w:highlight w:val="none"/>
        </w:rPr>
        <w:t>未按照上述要求合法获取采购文件的，采购人将不予受理其响应。</w:t>
      </w:r>
    </w:p>
    <w:p w14:paraId="5B23AF6A">
      <w:pPr>
        <w:pStyle w:val="16"/>
        <w:ind w:firstLine="480"/>
        <w:rPr>
          <w:color w:val="auto"/>
          <w:highlight w:val="none"/>
        </w:rPr>
      </w:pPr>
      <w:r>
        <w:rPr>
          <w:rFonts w:hint="eastAsia"/>
          <w:color w:val="auto"/>
          <w:highlight w:val="none"/>
        </w:rPr>
        <w:t>平台服务费每包500元，不予退还</w:t>
      </w:r>
      <w:r>
        <w:rPr>
          <w:color w:val="auto"/>
          <w:highlight w:val="none"/>
        </w:rPr>
        <w:t>。</w:t>
      </w:r>
    </w:p>
    <w:p w14:paraId="60640BFE">
      <w:pPr>
        <w:pStyle w:val="16"/>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734DD130">
      <w:pPr>
        <w:pStyle w:val="16"/>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10</w:t>
      </w:r>
      <w:r>
        <w:rPr>
          <w:color w:val="auto"/>
          <w:highlight w:val="none"/>
          <w:u w:val="single"/>
        </w:rPr>
        <w:t>月</w:t>
      </w:r>
      <w:r>
        <w:rPr>
          <w:rFonts w:hint="eastAsia"/>
          <w:color w:val="auto"/>
          <w:highlight w:val="none"/>
          <w:u w:val="single"/>
          <w:lang w:val="en-US" w:eastAsia="zh-CN"/>
        </w:rPr>
        <w:t>30</w:t>
      </w:r>
      <w:r>
        <w:rPr>
          <w:color w:val="auto"/>
          <w:highlight w:val="none"/>
          <w:u w:val="single"/>
        </w:rPr>
        <w:t>日</w:t>
      </w:r>
      <w:r>
        <w:rPr>
          <w:rFonts w:hint="eastAsia"/>
          <w:color w:val="auto"/>
          <w:highlight w:val="none"/>
          <w:u w:val="single"/>
        </w:rPr>
        <w:t>13</w:t>
      </w:r>
      <w:r>
        <w:rPr>
          <w:color w:val="auto"/>
          <w:highlight w:val="none"/>
          <w:u w:val="single"/>
        </w:rPr>
        <w:t>时</w:t>
      </w:r>
      <w:r>
        <w:rPr>
          <w:rFonts w:hint="eastAsia"/>
          <w:color w:val="auto"/>
          <w:highlight w:val="none"/>
          <w:u w:val="single"/>
        </w:rPr>
        <w:t>30</w:t>
      </w:r>
      <w:r>
        <w:rPr>
          <w:color w:val="auto"/>
          <w:highlight w:val="none"/>
          <w:u w:val="single"/>
        </w:rPr>
        <w:t>分；</w:t>
      </w:r>
    </w:p>
    <w:p w14:paraId="35EE6329">
      <w:pPr>
        <w:pStyle w:val="16"/>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10</w:t>
      </w:r>
      <w:r>
        <w:rPr>
          <w:color w:val="auto"/>
          <w:highlight w:val="none"/>
          <w:u w:val="single"/>
        </w:rPr>
        <w:t>月</w:t>
      </w:r>
      <w:r>
        <w:rPr>
          <w:rFonts w:hint="eastAsia"/>
          <w:color w:val="auto"/>
          <w:highlight w:val="none"/>
          <w:u w:val="single"/>
          <w:lang w:val="en-US" w:eastAsia="zh-CN"/>
        </w:rPr>
        <w:t>30</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50253865">
      <w:pPr>
        <w:pStyle w:val="16"/>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lang w:eastAsia="zh-CN"/>
        </w:rPr>
        <w:t>南京邮电大学仙林校区门诊楼409室</w:t>
      </w:r>
      <w:r>
        <w:rPr>
          <w:rFonts w:hint="eastAsia"/>
          <w:color w:val="auto"/>
          <w:highlight w:val="none"/>
        </w:rPr>
        <w:t>。</w:t>
      </w:r>
    </w:p>
    <w:p w14:paraId="408B3A58">
      <w:pPr>
        <w:pStyle w:val="16"/>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3F3E5E79">
      <w:pPr>
        <w:pStyle w:val="16"/>
        <w:numPr>
          <w:ilvl w:val="0"/>
          <w:numId w:val="2"/>
        </w:numPr>
        <w:ind w:firstLineChars="0"/>
        <w:rPr>
          <w:b/>
          <w:color w:val="auto"/>
          <w:highlight w:val="none"/>
        </w:rPr>
      </w:pPr>
      <w:bookmarkStart w:id="0" w:name="六、公告期限"/>
      <w:bookmarkEnd w:id="0"/>
      <w:r>
        <w:rPr>
          <w:b/>
          <w:color w:val="auto"/>
          <w:highlight w:val="none"/>
        </w:rPr>
        <w:t>公告期限</w:t>
      </w:r>
    </w:p>
    <w:p w14:paraId="14BB9C97">
      <w:pPr>
        <w:pStyle w:val="16"/>
        <w:ind w:firstLine="480"/>
        <w:rPr>
          <w:color w:val="auto"/>
          <w:highlight w:val="none"/>
        </w:rPr>
      </w:pPr>
      <w:bookmarkStart w:id="1" w:name="自本公告发布之日起5个工作日。"/>
      <w:bookmarkEnd w:id="1"/>
      <w:r>
        <w:rPr>
          <w:color w:val="auto"/>
          <w:highlight w:val="none"/>
        </w:rPr>
        <w:t>自本公告发布之日起</w:t>
      </w:r>
      <w:r>
        <w:rPr>
          <w:rFonts w:hint="eastAsia"/>
          <w:color w:val="auto"/>
          <w:highlight w:val="none"/>
          <w:lang w:val="en-US" w:eastAsia="zh-CN"/>
        </w:rPr>
        <w:t>3个工作日</w:t>
      </w:r>
      <w:r>
        <w:rPr>
          <w:color w:val="auto"/>
          <w:highlight w:val="none"/>
        </w:rPr>
        <w:t>。</w:t>
      </w:r>
    </w:p>
    <w:p w14:paraId="0632D7F9">
      <w:pPr>
        <w:pStyle w:val="16"/>
        <w:numPr>
          <w:ilvl w:val="0"/>
          <w:numId w:val="2"/>
        </w:numPr>
        <w:ind w:firstLineChars="0"/>
        <w:rPr>
          <w:b/>
          <w:color w:val="auto"/>
          <w:highlight w:val="none"/>
        </w:rPr>
      </w:pPr>
      <w:r>
        <w:rPr>
          <w:b/>
          <w:color w:val="auto"/>
          <w:highlight w:val="none"/>
        </w:rPr>
        <w:t>其他补充事宜</w:t>
      </w:r>
    </w:p>
    <w:p w14:paraId="151528F3">
      <w:pPr>
        <w:pStyle w:val="16"/>
        <w:numPr>
          <w:ilvl w:val="0"/>
          <w:numId w:val="6"/>
        </w:numPr>
        <w:ind w:firstLineChars="0"/>
        <w:rPr>
          <w:color w:val="auto"/>
          <w:highlight w:val="none"/>
        </w:rPr>
      </w:pPr>
      <w:r>
        <w:rPr>
          <w:color w:val="auto"/>
          <w:highlight w:val="none"/>
        </w:rPr>
        <w:t>响应文件份数：一式</w:t>
      </w:r>
      <w:r>
        <w:rPr>
          <w:rFonts w:hint="eastAsia"/>
          <w:color w:val="auto"/>
          <w:highlight w:val="none"/>
        </w:rPr>
        <w:t>叁</w:t>
      </w:r>
      <w:r>
        <w:rPr>
          <w:color w:val="auto"/>
          <w:highlight w:val="none"/>
        </w:rPr>
        <w:t>份（壹份正本、</w:t>
      </w:r>
      <w:r>
        <w:rPr>
          <w:rFonts w:hint="eastAsia"/>
          <w:color w:val="auto"/>
          <w:highlight w:val="none"/>
        </w:rPr>
        <w:t>贰</w:t>
      </w:r>
      <w:r>
        <w:rPr>
          <w:color w:val="auto"/>
          <w:highlight w:val="none"/>
        </w:rPr>
        <w:t>份副本），电子版响应文件壹份（一般应为PDF格式、U盘形式或光盘形式，随纸质正本文件一并提交）。当纸质正本文件和电子版文件不一致时，以纸质正本文件为准。</w:t>
      </w:r>
    </w:p>
    <w:p w14:paraId="121AFDF5">
      <w:pPr>
        <w:pStyle w:val="16"/>
        <w:numPr>
          <w:ilvl w:val="0"/>
          <w:numId w:val="6"/>
        </w:numPr>
        <w:ind w:firstLineChars="0"/>
        <w:rPr>
          <w:color w:val="auto"/>
          <w:highlight w:val="none"/>
        </w:rPr>
      </w:pPr>
      <w:r>
        <w:rPr>
          <w:rFonts w:hint="eastAsia"/>
          <w:color w:val="auto"/>
          <w:highlight w:val="none"/>
        </w:rPr>
        <w:t>落实政府采购政策满足的资格要求：无。</w:t>
      </w:r>
    </w:p>
    <w:p w14:paraId="642A29FB">
      <w:pPr>
        <w:pStyle w:val="16"/>
        <w:numPr>
          <w:ilvl w:val="0"/>
          <w:numId w:val="6"/>
        </w:numPr>
        <w:ind w:firstLineChars="0"/>
        <w:rPr>
          <w:color w:val="auto"/>
          <w:highlight w:val="none"/>
        </w:rPr>
      </w:pPr>
      <w:r>
        <w:rPr>
          <w:rFonts w:hint="eastAsia"/>
          <w:color w:val="auto"/>
          <w:highlight w:val="none"/>
        </w:rPr>
        <w:t>本项目属于校内分散采购，按《南京邮电大学校内分散采购管理实施细则（修订）》执行。</w:t>
      </w:r>
    </w:p>
    <w:p w14:paraId="735D4806">
      <w:pPr>
        <w:pStyle w:val="16"/>
        <w:numPr>
          <w:ilvl w:val="0"/>
          <w:numId w:val="2"/>
        </w:numPr>
        <w:ind w:firstLineChars="0"/>
        <w:rPr>
          <w:b/>
          <w:color w:val="auto"/>
          <w:highlight w:val="none"/>
        </w:rPr>
      </w:pPr>
      <w:r>
        <w:rPr>
          <w:b/>
          <w:color w:val="auto"/>
          <w:highlight w:val="none"/>
        </w:rPr>
        <w:t>发布公告的媒介</w:t>
      </w:r>
    </w:p>
    <w:p w14:paraId="7ADCFB73">
      <w:pPr>
        <w:pStyle w:val="16"/>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0251D6D2">
      <w:pPr>
        <w:pStyle w:val="16"/>
        <w:numPr>
          <w:ilvl w:val="0"/>
          <w:numId w:val="2"/>
        </w:numPr>
        <w:ind w:firstLineChars="0"/>
        <w:rPr>
          <w:b/>
          <w:color w:val="auto"/>
          <w:highlight w:val="none"/>
        </w:rPr>
      </w:pPr>
      <w:r>
        <w:rPr>
          <w:b/>
          <w:color w:val="auto"/>
          <w:highlight w:val="none"/>
        </w:rPr>
        <w:t>对本次采购提出询问，请按以下方式联系。</w:t>
      </w:r>
    </w:p>
    <w:p w14:paraId="5F593E79">
      <w:pPr>
        <w:pStyle w:val="16"/>
        <w:ind w:firstLine="480" w:firstLineChars="0"/>
        <w:rPr>
          <w:color w:val="auto"/>
          <w:highlight w:val="none"/>
        </w:rPr>
      </w:pPr>
      <w:r>
        <w:rPr>
          <w:color w:val="auto"/>
          <w:highlight w:val="none"/>
        </w:rPr>
        <w:t>1、采购人信息</w:t>
      </w:r>
    </w:p>
    <w:p w14:paraId="265F7CCB">
      <w:pPr>
        <w:pStyle w:val="16"/>
        <w:ind w:firstLine="480"/>
        <w:rPr>
          <w:color w:val="auto"/>
          <w:highlight w:val="none"/>
        </w:rPr>
      </w:pPr>
      <w:r>
        <w:rPr>
          <w:color w:val="auto"/>
          <w:highlight w:val="none"/>
        </w:rPr>
        <w:t>名称：南京邮电大学</w:t>
      </w:r>
    </w:p>
    <w:p w14:paraId="2E227D7E">
      <w:pPr>
        <w:pStyle w:val="16"/>
        <w:ind w:firstLine="480"/>
        <w:rPr>
          <w:color w:val="auto"/>
          <w:highlight w:val="none"/>
        </w:rPr>
      </w:pPr>
      <w:r>
        <w:rPr>
          <w:color w:val="auto"/>
          <w:highlight w:val="none"/>
        </w:rPr>
        <w:t>地址：南京市栖霞区文苑路9号</w:t>
      </w:r>
    </w:p>
    <w:p w14:paraId="4FD4D3F5">
      <w:pPr>
        <w:pStyle w:val="16"/>
        <w:ind w:firstLine="480"/>
        <w:rPr>
          <w:color w:val="auto"/>
          <w:highlight w:val="none"/>
          <w:u w:val="single"/>
        </w:rPr>
      </w:pPr>
      <w:r>
        <w:rPr>
          <w:color w:val="auto"/>
          <w:highlight w:val="none"/>
        </w:rPr>
        <w:t>联系人：</w:t>
      </w:r>
      <w:r>
        <w:rPr>
          <w:rFonts w:hint="eastAsia"/>
          <w:color w:val="auto"/>
          <w:highlight w:val="none"/>
        </w:rPr>
        <w:t>孙</w:t>
      </w:r>
      <w:r>
        <w:rPr>
          <w:color w:val="auto"/>
          <w:highlight w:val="none"/>
        </w:rPr>
        <w:t>老师</w:t>
      </w:r>
    </w:p>
    <w:p w14:paraId="6C198207">
      <w:pPr>
        <w:pStyle w:val="16"/>
        <w:ind w:firstLine="480"/>
        <w:rPr>
          <w:color w:val="auto"/>
          <w:highlight w:val="none"/>
        </w:rPr>
      </w:pPr>
      <w:r>
        <w:rPr>
          <w:color w:val="auto"/>
          <w:highlight w:val="none"/>
        </w:rPr>
        <w:t>联系方式：025-85866561</w:t>
      </w:r>
    </w:p>
    <w:p w14:paraId="1606F600">
      <w:pPr>
        <w:pStyle w:val="16"/>
        <w:ind w:firstLine="480" w:firstLineChars="0"/>
        <w:rPr>
          <w:color w:val="auto"/>
          <w:highlight w:val="none"/>
        </w:rPr>
      </w:pPr>
      <w:r>
        <w:rPr>
          <w:color w:val="auto"/>
          <w:highlight w:val="none"/>
        </w:rPr>
        <w:t>2、采购代理机构信息</w:t>
      </w:r>
    </w:p>
    <w:p w14:paraId="4213D2E5">
      <w:pPr>
        <w:pStyle w:val="16"/>
        <w:ind w:firstLine="480" w:firstLineChars="0"/>
        <w:rPr>
          <w:color w:val="auto"/>
          <w:highlight w:val="none"/>
        </w:rPr>
      </w:pPr>
      <w:r>
        <w:rPr>
          <w:rFonts w:hint="eastAsia"/>
          <w:color w:val="auto"/>
          <w:highlight w:val="none"/>
        </w:rPr>
        <w:t>名 称：江苏海外集团国际工程咨询有限公司</w:t>
      </w:r>
    </w:p>
    <w:p w14:paraId="61E29CED">
      <w:pPr>
        <w:pStyle w:val="16"/>
        <w:ind w:firstLine="480" w:firstLineChars="0"/>
        <w:rPr>
          <w:color w:val="auto"/>
          <w:highlight w:val="none"/>
        </w:rPr>
      </w:pPr>
      <w:r>
        <w:rPr>
          <w:rFonts w:hint="eastAsia"/>
          <w:color w:val="auto"/>
          <w:highlight w:val="none"/>
        </w:rPr>
        <w:t>地 址：南京市建邺区云龙山路56号大唐科技大厦A座高区15楼</w:t>
      </w:r>
    </w:p>
    <w:p w14:paraId="5A8E5FA5">
      <w:pPr>
        <w:pStyle w:val="16"/>
        <w:ind w:firstLine="480" w:firstLineChars="0"/>
        <w:rPr>
          <w:color w:val="auto"/>
          <w:highlight w:val="none"/>
        </w:rPr>
      </w:pPr>
      <w:r>
        <w:rPr>
          <w:rFonts w:hint="eastAsia"/>
          <w:color w:val="auto"/>
          <w:highlight w:val="none"/>
        </w:rPr>
        <w:t>联系方式：025-84795941</w:t>
      </w:r>
    </w:p>
    <w:p w14:paraId="58342EE6">
      <w:pPr>
        <w:pStyle w:val="16"/>
        <w:ind w:firstLine="480" w:firstLineChars="0"/>
        <w:rPr>
          <w:color w:val="auto"/>
          <w:highlight w:val="none"/>
        </w:rPr>
      </w:pPr>
      <w:r>
        <w:rPr>
          <w:color w:val="auto"/>
          <w:highlight w:val="none"/>
        </w:rPr>
        <w:t>3、项目联系方式</w:t>
      </w:r>
    </w:p>
    <w:p w14:paraId="7F521FA1">
      <w:pPr>
        <w:pStyle w:val="16"/>
        <w:ind w:firstLine="480"/>
        <w:rPr>
          <w:color w:val="auto"/>
          <w:highlight w:val="none"/>
        </w:rPr>
      </w:pPr>
      <w:r>
        <w:rPr>
          <w:color w:val="auto"/>
          <w:highlight w:val="none"/>
        </w:rPr>
        <w:t xml:space="preserve">项目联系人： </w:t>
      </w:r>
      <w:r>
        <w:rPr>
          <w:rFonts w:hint="eastAsia" w:ascii="宋体" w:hAnsi="宋体" w:cs="宋体"/>
          <w:color w:val="auto"/>
          <w:szCs w:val="21"/>
          <w:highlight w:val="none"/>
        </w:rPr>
        <w:t>孙夏卉 任艳秋  陶冉  周兵</w:t>
      </w:r>
    </w:p>
    <w:p w14:paraId="1EBCCE4E">
      <w:pPr>
        <w:pStyle w:val="16"/>
        <w:ind w:firstLine="480"/>
        <w:rPr>
          <w:rFonts w:ascii="宋体" w:hAnsi="宋体" w:cs="宋体"/>
          <w:color w:val="auto"/>
          <w:szCs w:val="21"/>
          <w:highlight w:val="none"/>
        </w:rPr>
      </w:pPr>
      <w:r>
        <w:rPr>
          <w:color w:val="auto"/>
          <w:highlight w:val="none"/>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14:paraId="5D0B32D1">
      <w:pPr>
        <w:pStyle w:val="16"/>
        <w:ind w:firstLine="480"/>
        <w:rPr>
          <w:rFonts w:ascii="宋体" w:hAnsi="宋体" w:cs="宋体"/>
          <w:color w:val="auto"/>
          <w:szCs w:val="21"/>
          <w:highlight w:val="none"/>
        </w:rPr>
      </w:pPr>
      <w:r>
        <w:rPr>
          <w:rFonts w:hint="eastAsia" w:ascii="宋体" w:hAnsi="宋体" w:cs="宋体"/>
          <w:color w:val="auto"/>
          <w:szCs w:val="21"/>
          <w:highlight w:val="none"/>
        </w:rPr>
        <w:t>邮 箱：sxh@jocite.com</w:t>
      </w:r>
    </w:p>
    <w:p w14:paraId="648B265E">
      <w:pPr>
        <w:pStyle w:val="16"/>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627"/>
      <w:bookmarkStart w:id="3" w:name="_Toc28359008"/>
      <w:bookmarkStart w:id="4" w:name="_Toc28359085"/>
      <w:bookmarkStart w:id="5" w:name="_Toc35393796"/>
    </w:p>
    <w:bookmarkEnd w:id="2"/>
    <w:bookmarkEnd w:id="3"/>
    <w:bookmarkEnd w:id="4"/>
    <w:bookmarkEnd w:id="5"/>
    <w:p w14:paraId="0AB3F350">
      <w:pPr>
        <w:rPr>
          <w:rFonts w:ascii="宋体" w:hAnsi="宋体" w:cs="黑体"/>
          <w:color w:val="auto"/>
          <w:sz w:val="36"/>
          <w:highlight w:val="none"/>
        </w:rPr>
      </w:pPr>
      <w:r>
        <w:rPr>
          <w:rFonts w:ascii="宋体" w:hAnsi="宋体" w:cs="黑体"/>
          <w:color w:val="auto"/>
          <w:sz w:val="36"/>
          <w:highlight w:val="none"/>
        </w:rPr>
        <w:br w:type="page"/>
      </w:r>
    </w:p>
    <w:p w14:paraId="7D651691">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6E9EAF31">
      <w:pPr>
        <w:pStyle w:val="16"/>
        <w:numPr>
          <w:ilvl w:val="0"/>
          <w:numId w:val="7"/>
        </w:numPr>
        <w:ind w:firstLineChars="0"/>
        <w:rPr>
          <w:b/>
          <w:color w:val="auto"/>
          <w:highlight w:val="none"/>
        </w:rPr>
      </w:pPr>
      <w:r>
        <w:rPr>
          <w:b/>
          <w:color w:val="auto"/>
          <w:highlight w:val="none"/>
        </w:rPr>
        <w:t>总则</w:t>
      </w:r>
    </w:p>
    <w:p w14:paraId="1029AB19">
      <w:pPr>
        <w:pStyle w:val="16"/>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69AC197F">
      <w:pPr>
        <w:pStyle w:val="16"/>
        <w:ind w:firstLine="480"/>
        <w:rPr>
          <w:color w:val="auto"/>
          <w:highlight w:val="none"/>
        </w:rPr>
      </w:pPr>
      <w:r>
        <w:rPr>
          <w:color w:val="auto"/>
          <w:highlight w:val="none"/>
        </w:rPr>
        <w:t xml:space="preserve">1.1 </w:t>
      </w:r>
      <w:r>
        <w:rPr>
          <w:rFonts w:hint="eastAsia"/>
          <w:color w:val="auto"/>
          <w:highlight w:val="none"/>
        </w:rPr>
        <w:t>本采购项目为非政府采购项目</w:t>
      </w:r>
      <w:r>
        <w:rPr>
          <w:rFonts w:hint="eastAsia"/>
          <w:color w:val="auto"/>
          <w:highlight w:val="none"/>
        </w:rPr>
        <w:t>，本次采购适用《南京邮电大学采购招标管理办法（修订）》（校发〔2025〕34号）关于印发《南京邮电大学校内分散采购管理实施细则（修订）》</w:t>
      </w:r>
      <w:r>
        <w:rPr>
          <w:color w:val="auto"/>
          <w:highlight w:val="none"/>
        </w:rPr>
        <w:t>《南京邮电大学</w:t>
      </w:r>
      <w:r>
        <w:rPr>
          <w:color w:val="auto"/>
          <w:highlight w:val="none"/>
        </w:rPr>
        <w:t>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7813949">
      <w:pPr>
        <w:pStyle w:val="16"/>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1BA9809C">
      <w:pPr>
        <w:pStyle w:val="16"/>
        <w:numPr>
          <w:ilvl w:val="0"/>
          <w:numId w:val="8"/>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5C5E758E">
      <w:pPr>
        <w:pStyle w:val="16"/>
        <w:numPr>
          <w:ilvl w:val="0"/>
          <w:numId w:val="8"/>
        </w:numPr>
        <w:ind w:firstLineChars="0"/>
        <w:rPr>
          <w:color w:val="auto"/>
          <w:highlight w:val="none"/>
        </w:rPr>
      </w:pPr>
      <w:r>
        <w:rPr>
          <w:rFonts w:hint="eastAsia"/>
          <w:color w:val="auto"/>
          <w:highlight w:val="none"/>
        </w:rPr>
        <w:t>“</w:t>
      </w:r>
      <w:r>
        <w:rPr>
          <w:rFonts w:hint="eastAsia"/>
          <w:color w:val="auto"/>
          <w:highlight w:val="none"/>
          <w:lang w:eastAsia="zh-CN"/>
        </w:rPr>
        <w:t>工程</w:t>
      </w:r>
      <w:r>
        <w:rPr>
          <w:rFonts w:hint="eastAsia"/>
          <w:color w:val="auto"/>
          <w:highlight w:val="none"/>
        </w:rPr>
        <w:t>”</w:t>
      </w:r>
      <w:r>
        <w:rPr>
          <w:color w:val="auto"/>
          <w:highlight w:val="none"/>
        </w:rPr>
        <w:t>是指本采购文件中所述相关</w:t>
      </w:r>
      <w:r>
        <w:rPr>
          <w:rFonts w:hint="eastAsia"/>
          <w:color w:val="auto"/>
          <w:highlight w:val="none"/>
          <w:lang w:eastAsia="zh-CN"/>
        </w:rPr>
        <w:t>工程</w:t>
      </w:r>
      <w:r>
        <w:rPr>
          <w:color w:val="auto"/>
          <w:highlight w:val="none"/>
        </w:rPr>
        <w:t>。</w:t>
      </w:r>
    </w:p>
    <w:p w14:paraId="6BB45B9B">
      <w:pPr>
        <w:pStyle w:val="16"/>
        <w:numPr>
          <w:ilvl w:val="0"/>
          <w:numId w:val="8"/>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08BED34D">
      <w:pPr>
        <w:pStyle w:val="16"/>
        <w:numPr>
          <w:ilvl w:val="0"/>
          <w:numId w:val="7"/>
        </w:numPr>
        <w:ind w:firstLineChars="0"/>
        <w:rPr>
          <w:b/>
          <w:color w:val="auto"/>
          <w:highlight w:val="none"/>
        </w:rPr>
      </w:pPr>
      <w:r>
        <w:rPr>
          <w:b/>
          <w:color w:val="auto"/>
          <w:highlight w:val="none"/>
        </w:rPr>
        <w:t>采购文件</w:t>
      </w:r>
    </w:p>
    <w:p w14:paraId="27C9A000">
      <w:pPr>
        <w:pStyle w:val="16"/>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3063D452">
      <w:pPr>
        <w:pStyle w:val="16"/>
        <w:numPr>
          <w:ilvl w:val="0"/>
          <w:numId w:val="9"/>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6FF062AC">
      <w:pPr>
        <w:pStyle w:val="16"/>
        <w:numPr>
          <w:ilvl w:val="0"/>
          <w:numId w:val="9"/>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11A98561">
      <w:pPr>
        <w:pStyle w:val="16"/>
        <w:widowControl/>
        <w:numPr>
          <w:ilvl w:val="0"/>
          <w:numId w:val="9"/>
        </w:numPr>
        <w:ind w:firstLineChars="0"/>
        <w:rPr>
          <w:color w:val="auto"/>
          <w:highlight w:val="none"/>
        </w:rPr>
      </w:pPr>
      <w:r>
        <w:rPr>
          <w:color w:val="auto"/>
          <w:highlight w:val="none"/>
        </w:rPr>
        <w:t>采购文件如果要求供应商提交备选方案的，供应商可以提交备选方案，否则，不接受备选方案。</w:t>
      </w:r>
    </w:p>
    <w:p w14:paraId="578B3D3D">
      <w:pPr>
        <w:pStyle w:val="16"/>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206E9438">
      <w:pPr>
        <w:pStyle w:val="16"/>
        <w:numPr>
          <w:ilvl w:val="0"/>
          <w:numId w:val="10"/>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25BD8A7E">
      <w:pPr>
        <w:pStyle w:val="16"/>
        <w:numPr>
          <w:ilvl w:val="0"/>
          <w:numId w:val="10"/>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3625DE23">
      <w:pPr>
        <w:pStyle w:val="16"/>
        <w:numPr>
          <w:ilvl w:val="0"/>
          <w:numId w:val="10"/>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6C164B82">
      <w:pPr>
        <w:pStyle w:val="16"/>
        <w:numPr>
          <w:ilvl w:val="0"/>
          <w:numId w:val="7"/>
        </w:numPr>
        <w:ind w:firstLineChars="0"/>
        <w:rPr>
          <w:b/>
          <w:color w:val="auto"/>
          <w:highlight w:val="none"/>
        </w:rPr>
      </w:pPr>
      <w:r>
        <w:rPr>
          <w:rFonts w:hint="eastAsia"/>
          <w:b/>
          <w:color w:val="auto"/>
          <w:highlight w:val="none"/>
        </w:rPr>
        <w:t>响应</w:t>
      </w:r>
    </w:p>
    <w:p w14:paraId="4187C918">
      <w:pPr>
        <w:pStyle w:val="16"/>
        <w:numPr>
          <w:ilvl w:val="0"/>
          <w:numId w:val="11"/>
        </w:numPr>
        <w:ind w:firstLineChars="0"/>
        <w:rPr>
          <w:b/>
          <w:color w:val="auto"/>
          <w:highlight w:val="none"/>
        </w:rPr>
      </w:pPr>
      <w:r>
        <w:rPr>
          <w:b/>
          <w:color w:val="auto"/>
          <w:highlight w:val="none"/>
        </w:rPr>
        <w:t>响应文件的语言、计量单位、货币、技术标准和编制</w:t>
      </w:r>
    </w:p>
    <w:p w14:paraId="61FD6814">
      <w:pPr>
        <w:pStyle w:val="16"/>
        <w:numPr>
          <w:ilvl w:val="0"/>
          <w:numId w:val="12"/>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64400E83">
      <w:pPr>
        <w:pStyle w:val="16"/>
        <w:numPr>
          <w:ilvl w:val="0"/>
          <w:numId w:val="12"/>
        </w:numPr>
        <w:ind w:firstLineChars="0"/>
        <w:rPr>
          <w:color w:val="auto"/>
          <w:highlight w:val="none"/>
        </w:rPr>
      </w:pPr>
      <w:r>
        <w:rPr>
          <w:color w:val="auto"/>
          <w:highlight w:val="none"/>
        </w:rPr>
        <w:t>供应商所使用的计量单位应为国家法定计量单位。</w:t>
      </w:r>
    </w:p>
    <w:p w14:paraId="14E813DD">
      <w:pPr>
        <w:pStyle w:val="16"/>
        <w:numPr>
          <w:ilvl w:val="0"/>
          <w:numId w:val="12"/>
        </w:numPr>
        <w:ind w:firstLineChars="0"/>
        <w:rPr>
          <w:color w:val="auto"/>
          <w:highlight w:val="none"/>
        </w:rPr>
      </w:pPr>
      <w:r>
        <w:rPr>
          <w:color w:val="auto"/>
          <w:highlight w:val="none"/>
        </w:rPr>
        <w:t>供应商应用人民币报价。</w:t>
      </w:r>
    </w:p>
    <w:p w14:paraId="49BB5375">
      <w:pPr>
        <w:pStyle w:val="16"/>
        <w:numPr>
          <w:ilvl w:val="0"/>
          <w:numId w:val="12"/>
        </w:numPr>
        <w:ind w:firstLineChars="0"/>
        <w:rPr>
          <w:color w:val="auto"/>
          <w:highlight w:val="none"/>
        </w:rPr>
      </w:pPr>
      <w:r>
        <w:rPr>
          <w:color w:val="auto"/>
          <w:highlight w:val="none"/>
        </w:rPr>
        <w:t>响应文件应字迹清楚、内容齐全、不得涂改。如有修改，修改处须有响应文件签署人签字或加盖公章。</w:t>
      </w:r>
    </w:p>
    <w:p w14:paraId="4A476769">
      <w:pPr>
        <w:pStyle w:val="16"/>
        <w:numPr>
          <w:ilvl w:val="0"/>
          <w:numId w:val="12"/>
        </w:numPr>
        <w:ind w:firstLineChars="0"/>
        <w:rPr>
          <w:color w:val="auto"/>
          <w:highlight w:val="none"/>
        </w:rPr>
      </w:pPr>
      <w:r>
        <w:rPr>
          <w:color w:val="auto"/>
          <w:highlight w:val="none"/>
        </w:rPr>
        <w:t>供应商所使用的技术标准应遵循国家最新标准及规范。</w:t>
      </w:r>
    </w:p>
    <w:p w14:paraId="141463EA">
      <w:pPr>
        <w:pStyle w:val="16"/>
        <w:numPr>
          <w:ilvl w:val="0"/>
          <w:numId w:val="11"/>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04B90E20">
      <w:pPr>
        <w:pStyle w:val="16"/>
        <w:numPr>
          <w:ilvl w:val="0"/>
          <w:numId w:val="13"/>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6F951FF0">
      <w:pPr>
        <w:pStyle w:val="16"/>
        <w:numPr>
          <w:ilvl w:val="0"/>
          <w:numId w:val="13"/>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1380AB8">
      <w:pPr>
        <w:pStyle w:val="16"/>
        <w:numPr>
          <w:ilvl w:val="0"/>
          <w:numId w:val="13"/>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45E21895">
      <w:pPr>
        <w:pStyle w:val="16"/>
        <w:numPr>
          <w:ilvl w:val="0"/>
          <w:numId w:val="11"/>
        </w:numPr>
        <w:ind w:firstLineChars="0"/>
        <w:rPr>
          <w:b/>
          <w:color w:val="auto"/>
          <w:highlight w:val="none"/>
        </w:rPr>
      </w:pPr>
      <w:r>
        <w:rPr>
          <w:rFonts w:hint="eastAsia"/>
          <w:b/>
          <w:color w:val="auto"/>
          <w:highlight w:val="none"/>
        </w:rPr>
        <w:t>响应</w:t>
      </w:r>
      <w:r>
        <w:rPr>
          <w:b/>
          <w:color w:val="auto"/>
          <w:highlight w:val="none"/>
        </w:rPr>
        <w:t>费用</w:t>
      </w:r>
    </w:p>
    <w:p w14:paraId="5050BBCD">
      <w:pPr>
        <w:pStyle w:val="16"/>
        <w:numPr>
          <w:ilvl w:val="0"/>
          <w:numId w:val="14"/>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2240207B">
      <w:pPr>
        <w:pStyle w:val="16"/>
        <w:numPr>
          <w:ilvl w:val="0"/>
          <w:numId w:val="14"/>
        </w:numPr>
        <w:ind w:firstLineChars="0"/>
        <w:rPr>
          <w:color w:val="auto"/>
          <w:highlight w:val="none"/>
        </w:rPr>
      </w:pPr>
      <w:r>
        <w:rPr>
          <w:rFonts w:hint="eastAsia"/>
          <w:color w:val="auto"/>
          <w:highlight w:val="none"/>
        </w:rPr>
        <w:t>校内分散采购项目代理费按固定标准执行，货物类项目收费2500元/个；服务类项目收费2500元/个；工程类项目收费3300元/个</w:t>
      </w:r>
      <w:r>
        <w:rPr>
          <w:rFonts w:hint="eastAsia"/>
          <w:color w:val="auto"/>
          <w:highlight w:val="none"/>
          <w:lang w:eastAsia="zh-CN"/>
        </w:rPr>
        <w:t>。</w:t>
      </w:r>
    </w:p>
    <w:p w14:paraId="57DD6529">
      <w:pPr>
        <w:pStyle w:val="16"/>
        <w:numPr>
          <w:ilvl w:val="0"/>
          <w:numId w:val="14"/>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7D4C9A5D">
      <w:pPr>
        <w:pStyle w:val="16"/>
        <w:numPr>
          <w:ilvl w:val="0"/>
          <w:numId w:val="11"/>
        </w:numPr>
        <w:ind w:firstLineChars="0"/>
        <w:rPr>
          <w:b/>
          <w:color w:val="auto"/>
          <w:highlight w:val="none"/>
        </w:rPr>
      </w:pPr>
      <w:r>
        <w:rPr>
          <w:b/>
          <w:color w:val="auto"/>
          <w:highlight w:val="none"/>
        </w:rPr>
        <w:t>响应文件组成</w:t>
      </w:r>
    </w:p>
    <w:p w14:paraId="744BA3F7">
      <w:pPr>
        <w:pStyle w:val="16"/>
        <w:numPr>
          <w:ilvl w:val="0"/>
          <w:numId w:val="15"/>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1B84F2D">
      <w:pPr>
        <w:pStyle w:val="16"/>
        <w:numPr>
          <w:ilvl w:val="0"/>
          <w:numId w:val="15"/>
        </w:numPr>
        <w:ind w:firstLineChars="0"/>
        <w:rPr>
          <w:color w:val="auto"/>
          <w:highlight w:val="none"/>
        </w:rPr>
      </w:pPr>
      <w:r>
        <w:rPr>
          <w:color w:val="auto"/>
          <w:highlight w:val="none"/>
        </w:rPr>
        <w:t>响应文件由商务部分、技术部分、价格部分，以及其他部分组成。</w:t>
      </w:r>
    </w:p>
    <w:p w14:paraId="6FFBB6F1">
      <w:pPr>
        <w:pStyle w:val="16"/>
        <w:numPr>
          <w:ilvl w:val="0"/>
          <w:numId w:val="11"/>
        </w:numPr>
        <w:ind w:firstLineChars="0"/>
        <w:rPr>
          <w:b/>
          <w:color w:val="auto"/>
          <w:highlight w:val="none"/>
        </w:rPr>
      </w:pPr>
      <w:r>
        <w:rPr>
          <w:b/>
          <w:color w:val="auto"/>
          <w:highlight w:val="none"/>
        </w:rPr>
        <w:t>响应文件的商务部分</w:t>
      </w:r>
    </w:p>
    <w:p w14:paraId="38E74D92">
      <w:pPr>
        <w:pStyle w:val="16"/>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F48D010">
      <w:pPr>
        <w:pStyle w:val="16"/>
        <w:widowControl/>
        <w:numPr>
          <w:ilvl w:val="0"/>
          <w:numId w:val="16"/>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1ADEF984">
      <w:pPr>
        <w:pStyle w:val="16"/>
        <w:widowControl/>
        <w:numPr>
          <w:ilvl w:val="0"/>
          <w:numId w:val="16"/>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182E5F4E">
      <w:pPr>
        <w:pStyle w:val="16"/>
        <w:widowControl/>
        <w:numPr>
          <w:ilvl w:val="0"/>
          <w:numId w:val="16"/>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2C9423B7">
      <w:pPr>
        <w:pStyle w:val="16"/>
        <w:widowControl/>
        <w:numPr>
          <w:ilvl w:val="0"/>
          <w:numId w:val="16"/>
        </w:numPr>
        <w:ind w:firstLineChars="0"/>
        <w:rPr>
          <w:color w:val="auto"/>
          <w:highlight w:val="none"/>
        </w:rPr>
      </w:pPr>
      <w:r>
        <w:rPr>
          <w:color w:val="auto"/>
          <w:highlight w:val="none"/>
        </w:rPr>
        <w:t>《商务条款偏离表》；</w:t>
      </w:r>
    </w:p>
    <w:p w14:paraId="1D0F2AD9">
      <w:pPr>
        <w:pStyle w:val="16"/>
        <w:numPr>
          <w:ilvl w:val="0"/>
          <w:numId w:val="16"/>
        </w:numPr>
        <w:ind w:firstLineChars="0"/>
        <w:rPr>
          <w:color w:val="auto"/>
          <w:highlight w:val="none"/>
        </w:rPr>
      </w:pPr>
      <w:r>
        <w:rPr>
          <w:color w:val="auto"/>
          <w:highlight w:val="none"/>
        </w:rPr>
        <w:t>合同条款；</w:t>
      </w:r>
    </w:p>
    <w:p w14:paraId="493F3672">
      <w:pPr>
        <w:pStyle w:val="16"/>
        <w:numPr>
          <w:ilvl w:val="0"/>
          <w:numId w:val="16"/>
        </w:numPr>
        <w:ind w:firstLineChars="0"/>
        <w:rPr>
          <w:color w:val="auto"/>
          <w:highlight w:val="none"/>
        </w:rPr>
      </w:pPr>
      <w:r>
        <w:rPr>
          <w:color w:val="auto"/>
          <w:highlight w:val="none"/>
        </w:rPr>
        <w:t>供应商认为需要提供的其他资格证明文件和商务资料。</w:t>
      </w:r>
    </w:p>
    <w:p w14:paraId="5E9649D8">
      <w:pPr>
        <w:pStyle w:val="16"/>
        <w:numPr>
          <w:ilvl w:val="0"/>
          <w:numId w:val="11"/>
        </w:numPr>
        <w:ind w:firstLineChars="0"/>
        <w:rPr>
          <w:b/>
          <w:color w:val="auto"/>
          <w:highlight w:val="none"/>
        </w:rPr>
      </w:pPr>
      <w:r>
        <w:rPr>
          <w:b/>
          <w:color w:val="auto"/>
          <w:highlight w:val="none"/>
        </w:rPr>
        <w:t>响应文件的技术部分</w:t>
      </w:r>
    </w:p>
    <w:p w14:paraId="7CED43E5">
      <w:pPr>
        <w:pStyle w:val="16"/>
        <w:numPr>
          <w:ilvl w:val="0"/>
          <w:numId w:val="17"/>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280631EA">
      <w:pPr>
        <w:pStyle w:val="16"/>
        <w:numPr>
          <w:ilvl w:val="0"/>
          <w:numId w:val="17"/>
        </w:numPr>
        <w:ind w:firstLineChars="0"/>
        <w:rPr>
          <w:color w:val="auto"/>
          <w:highlight w:val="none"/>
        </w:rPr>
      </w:pPr>
      <w:r>
        <w:rPr>
          <w:color w:val="auto"/>
          <w:highlight w:val="none"/>
        </w:rPr>
        <w:t>若提供的服务与采购文件要求有不符之处，应说明其差别之所在。</w:t>
      </w:r>
    </w:p>
    <w:p w14:paraId="30E1FAE1">
      <w:pPr>
        <w:pStyle w:val="16"/>
        <w:numPr>
          <w:ilvl w:val="0"/>
          <w:numId w:val="17"/>
        </w:numPr>
        <w:ind w:firstLineChars="0"/>
        <w:rPr>
          <w:color w:val="auto"/>
          <w:highlight w:val="none"/>
        </w:rPr>
      </w:pPr>
      <w:r>
        <w:rPr>
          <w:color w:val="auto"/>
          <w:highlight w:val="none"/>
        </w:rPr>
        <w:t>响应文件应按照采购文件要求提供服务说明，技术资料、文件和有关证明，包括但不限于以下材料：</w:t>
      </w:r>
    </w:p>
    <w:p w14:paraId="255D2043">
      <w:pPr>
        <w:pStyle w:val="16"/>
        <w:numPr>
          <w:ilvl w:val="0"/>
          <w:numId w:val="18"/>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5C9F170C">
      <w:pPr>
        <w:pStyle w:val="16"/>
        <w:numPr>
          <w:ilvl w:val="0"/>
          <w:numId w:val="18"/>
        </w:numPr>
        <w:ind w:firstLineChars="0"/>
        <w:rPr>
          <w:color w:val="auto"/>
          <w:highlight w:val="none"/>
        </w:rPr>
      </w:pPr>
      <w:r>
        <w:rPr>
          <w:color w:val="auto"/>
          <w:highlight w:val="none"/>
        </w:rPr>
        <w:t>《技术条款偏离表》；</w:t>
      </w:r>
    </w:p>
    <w:p w14:paraId="0EDF8EAE">
      <w:pPr>
        <w:pStyle w:val="16"/>
        <w:numPr>
          <w:ilvl w:val="0"/>
          <w:numId w:val="18"/>
        </w:numPr>
        <w:ind w:firstLineChars="0"/>
        <w:rPr>
          <w:color w:val="auto"/>
          <w:highlight w:val="none"/>
        </w:rPr>
      </w:pPr>
      <w:r>
        <w:rPr>
          <w:color w:val="auto"/>
          <w:highlight w:val="none"/>
        </w:rPr>
        <w:t>服务承诺；</w:t>
      </w:r>
    </w:p>
    <w:p w14:paraId="0603CD1B">
      <w:pPr>
        <w:pStyle w:val="16"/>
        <w:numPr>
          <w:ilvl w:val="0"/>
          <w:numId w:val="18"/>
        </w:numPr>
        <w:ind w:firstLineChars="0"/>
        <w:rPr>
          <w:color w:val="auto"/>
          <w:highlight w:val="none"/>
        </w:rPr>
      </w:pPr>
      <w:r>
        <w:rPr>
          <w:color w:val="auto"/>
          <w:highlight w:val="none"/>
        </w:rPr>
        <w:t>供应商拟投入本项目的设备、人员情况一览表；</w:t>
      </w:r>
    </w:p>
    <w:p w14:paraId="1BC77B56">
      <w:pPr>
        <w:pStyle w:val="16"/>
        <w:widowControl/>
        <w:numPr>
          <w:ilvl w:val="0"/>
          <w:numId w:val="18"/>
        </w:numPr>
        <w:ind w:firstLineChars="0"/>
        <w:rPr>
          <w:color w:val="auto"/>
          <w:highlight w:val="none"/>
        </w:rPr>
      </w:pPr>
      <w:r>
        <w:rPr>
          <w:color w:val="auto"/>
          <w:highlight w:val="none"/>
        </w:rPr>
        <w:t>供应商认为需要提供的其他技术资料。</w:t>
      </w:r>
    </w:p>
    <w:p w14:paraId="4BD1CAE8">
      <w:pPr>
        <w:pStyle w:val="16"/>
        <w:numPr>
          <w:ilvl w:val="0"/>
          <w:numId w:val="11"/>
        </w:numPr>
        <w:ind w:firstLineChars="0"/>
        <w:rPr>
          <w:b/>
          <w:color w:val="auto"/>
          <w:highlight w:val="none"/>
        </w:rPr>
      </w:pPr>
      <w:r>
        <w:rPr>
          <w:b/>
          <w:color w:val="auto"/>
          <w:highlight w:val="none"/>
        </w:rPr>
        <w:t>响应文件的价格部分</w:t>
      </w:r>
    </w:p>
    <w:p w14:paraId="51AE0581">
      <w:pPr>
        <w:pStyle w:val="16"/>
        <w:numPr>
          <w:ilvl w:val="0"/>
          <w:numId w:val="19"/>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26CACABC">
      <w:pPr>
        <w:pStyle w:val="16"/>
        <w:numPr>
          <w:ilvl w:val="0"/>
          <w:numId w:val="19"/>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3CFD4536">
      <w:pPr>
        <w:pStyle w:val="16"/>
        <w:numPr>
          <w:ilvl w:val="0"/>
          <w:numId w:val="19"/>
        </w:numPr>
        <w:ind w:firstLineChars="0"/>
        <w:rPr>
          <w:color w:val="auto"/>
          <w:highlight w:val="none"/>
        </w:rPr>
      </w:pPr>
      <w:r>
        <w:rPr>
          <w:color w:val="auto"/>
          <w:highlight w:val="none"/>
        </w:rPr>
        <w:t>供应商的任何错漏、优惠、竞争性报价不得作为减轻责任、减少服务、增加收费、降低质量的理由。</w:t>
      </w:r>
    </w:p>
    <w:p w14:paraId="016FB966">
      <w:pPr>
        <w:pStyle w:val="16"/>
        <w:numPr>
          <w:ilvl w:val="0"/>
          <w:numId w:val="19"/>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明提供单价、总价以及分项报价。</w:t>
      </w:r>
    </w:p>
    <w:p w14:paraId="404D7F97">
      <w:pPr>
        <w:pStyle w:val="16"/>
        <w:numPr>
          <w:ilvl w:val="0"/>
          <w:numId w:val="11"/>
        </w:numPr>
        <w:ind w:firstLineChars="0"/>
        <w:rPr>
          <w:b/>
          <w:color w:val="auto"/>
          <w:highlight w:val="none"/>
        </w:rPr>
      </w:pPr>
      <w:r>
        <w:rPr>
          <w:b/>
          <w:color w:val="auto"/>
          <w:highlight w:val="none"/>
        </w:rPr>
        <w:t>响应文件的其他部分</w:t>
      </w:r>
    </w:p>
    <w:p w14:paraId="5007700D">
      <w:pPr>
        <w:pStyle w:val="16"/>
        <w:ind w:firstLine="480"/>
        <w:rPr>
          <w:color w:val="auto"/>
          <w:highlight w:val="none"/>
        </w:rPr>
      </w:pPr>
      <w:r>
        <w:rPr>
          <w:color w:val="auto"/>
          <w:highlight w:val="none"/>
        </w:rPr>
        <w:t>供应商编制响应文件需要提供的其他相关文件。</w:t>
      </w:r>
    </w:p>
    <w:p w14:paraId="1B238019">
      <w:pPr>
        <w:pStyle w:val="16"/>
        <w:numPr>
          <w:ilvl w:val="0"/>
          <w:numId w:val="11"/>
        </w:numPr>
        <w:ind w:firstLineChars="0"/>
        <w:rPr>
          <w:b/>
          <w:color w:val="auto"/>
          <w:highlight w:val="none"/>
        </w:rPr>
      </w:pPr>
      <w:r>
        <w:rPr>
          <w:b/>
          <w:color w:val="auto"/>
          <w:highlight w:val="none"/>
        </w:rPr>
        <w:t>响应保证金：无。</w:t>
      </w:r>
    </w:p>
    <w:p w14:paraId="6425AEEC">
      <w:pPr>
        <w:pStyle w:val="16"/>
        <w:numPr>
          <w:ilvl w:val="0"/>
          <w:numId w:val="11"/>
        </w:numPr>
        <w:ind w:firstLineChars="0"/>
        <w:rPr>
          <w:b/>
          <w:color w:val="auto"/>
          <w:highlight w:val="none"/>
        </w:rPr>
      </w:pPr>
      <w:r>
        <w:rPr>
          <w:b/>
          <w:color w:val="auto"/>
          <w:highlight w:val="none"/>
        </w:rPr>
        <w:t>响应有效期</w:t>
      </w:r>
    </w:p>
    <w:p w14:paraId="04562A83">
      <w:pPr>
        <w:pStyle w:val="16"/>
        <w:numPr>
          <w:ilvl w:val="0"/>
          <w:numId w:val="20"/>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19A3B9A4">
      <w:pPr>
        <w:pStyle w:val="16"/>
        <w:numPr>
          <w:ilvl w:val="0"/>
          <w:numId w:val="20"/>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7980F9D">
      <w:pPr>
        <w:pStyle w:val="16"/>
        <w:numPr>
          <w:ilvl w:val="0"/>
          <w:numId w:val="11"/>
        </w:numPr>
        <w:ind w:firstLineChars="0"/>
        <w:rPr>
          <w:b/>
          <w:color w:val="auto"/>
          <w:highlight w:val="none"/>
        </w:rPr>
      </w:pPr>
      <w:r>
        <w:rPr>
          <w:b/>
          <w:color w:val="auto"/>
          <w:highlight w:val="none"/>
        </w:rPr>
        <w:t>响应文件的份数、签署</w:t>
      </w:r>
    </w:p>
    <w:p w14:paraId="1265DEEB">
      <w:pPr>
        <w:pStyle w:val="16"/>
        <w:numPr>
          <w:ilvl w:val="0"/>
          <w:numId w:val="21"/>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4B8F0440">
      <w:pPr>
        <w:pStyle w:val="16"/>
        <w:numPr>
          <w:ilvl w:val="0"/>
          <w:numId w:val="21"/>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6B32051">
      <w:pPr>
        <w:pStyle w:val="16"/>
        <w:numPr>
          <w:ilvl w:val="0"/>
          <w:numId w:val="21"/>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59DC0CAB">
      <w:pPr>
        <w:pStyle w:val="16"/>
        <w:numPr>
          <w:ilvl w:val="0"/>
          <w:numId w:val="11"/>
        </w:numPr>
        <w:ind w:firstLineChars="0"/>
        <w:rPr>
          <w:b/>
          <w:color w:val="auto"/>
          <w:highlight w:val="none"/>
        </w:rPr>
      </w:pPr>
      <w:r>
        <w:rPr>
          <w:b/>
          <w:color w:val="auto"/>
          <w:highlight w:val="none"/>
        </w:rPr>
        <w:t>响应文件的密封和递交</w:t>
      </w:r>
    </w:p>
    <w:p w14:paraId="1C736A75">
      <w:pPr>
        <w:pStyle w:val="16"/>
        <w:numPr>
          <w:ilvl w:val="0"/>
          <w:numId w:val="22"/>
        </w:numPr>
        <w:ind w:firstLineChars="0"/>
        <w:rPr>
          <w:color w:val="auto"/>
          <w:highlight w:val="none"/>
        </w:rPr>
      </w:pPr>
      <w:r>
        <w:rPr>
          <w:color w:val="auto"/>
          <w:highlight w:val="none"/>
        </w:rPr>
        <w:t>供应商应当将响应文件密封。</w:t>
      </w:r>
    </w:p>
    <w:p w14:paraId="35658EFE">
      <w:pPr>
        <w:pStyle w:val="16"/>
        <w:numPr>
          <w:ilvl w:val="0"/>
          <w:numId w:val="22"/>
        </w:numPr>
        <w:ind w:firstLineChars="0"/>
        <w:rPr>
          <w:color w:val="auto"/>
          <w:highlight w:val="none"/>
        </w:rPr>
      </w:pPr>
      <w:r>
        <w:rPr>
          <w:color w:val="auto"/>
          <w:highlight w:val="none"/>
        </w:rPr>
        <w:t>供应商应当在采购文件要求提交响应文件的截止时间前，将密封的响应文件送达响应地点。</w:t>
      </w:r>
    </w:p>
    <w:p w14:paraId="19C92E2F">
      <w:pPr>
        <w:pStyle w:val="16"/>
        <w:numPr>
          <w:ilvl w:val="0"/>
          <w:numId w:val="11"/>
        </w:numPr>
        <w:ind w:firstLineChars="0"/>
        <w:rPr>
          <w:b/>
          <w:color w:val="auto"/>
          <w:highlight w:val="none"/>
        </w:rPr>
      </w:pPr>
      <w:r>
        <w:rPr>
          <w:b/>
          <w:color w:val="auto"/>
          <w:highlight w:val="none"/>
        </w:rPr>
        <w:t>有下列情形之一的响应文件将被拒收</w:t>
      </w:r>
    </w:p>
    <w:p w14:paraId="5795CA4E">
      <w:pPr>
        <w:pStyle w:val="16"/>
        <w:numPr>
          <w:ilvl w:val="0"/>
          <w:numId w:val="23"/>
        </w:numPr>
        <w:ind w:firstLineChars="0"/>
        <w:rPr>
          <w:color w:val="auto"/>
          <w:highlight w:val="none"/>
        </w:rPr>
      </w:pPr>
      <w:r>
        <w:rPr>
          <w:color w:val="auto"/>
          <w:highlight w:val="none"/>
        </w:rPr>
        <w:t>在采购文件要求提交响应文件的截止时间之后送达的。</w:t>
      </w:r>
    </w:p>
    <w:p w14:paraId="193B57D9">
      <w:pPr>
        <w:pStyle w:val="16"/>
        <w:numPr>
          <w:ilvl w:val="0"/>
          <w:numId w:val="23"/>
        </w:numPr>
        <w:ind w:firstLineChars="0"/>
        <w:rPr>
          <w:color w:val="auto"/>
          <w:highlight w:val="none"/>
        </w:rPr>
      </w:pPr>
      <w:r>
        <w:rPr>
          <w:color w:val="auto"/>
          <w:highlight w:val="none"/>
        </w:rPr>
        <w:t>响应文件未密封的。</w:t>
      </w:r>
    </w:p>
    <w:p w14:paraId="12DA9E49">
      <w:pPr>
        <w:pStyle w:val="16"/>
        <w:numPr>
          <w:ilvl w:val="0"/>
          <w:numId w:val="11"/>
        </w:numPr>
        <w:ind w:firstLineChars="0"/>
        <w:rPr>
          <w:b/>
          <w:color w:val="auto"/>
          <w:highlight w:val="none"/>
        </w:rPr>
      </w:pPr>
      <w:r>
        <w:rPr>
          <w:b/>
          <w:color w:val="auto"/>
          <w:highlight w:val="none"/>
        </w:rPr>
        <w:t>响应文件的修改和撤回</w:t>
      </w:r>
    </w:p>
    <w:p w14:paraId="5BAD8FE2">
      <w:pPr>
        <w:pStyle w:val="16"/>
        <w:numPr>
          <w:ilvl w:val="0"/>
          <w:numId w:val="24"/>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26DA5BC7">
      <w:pPr>
        <w:pStyle w:val="16"/>
        <w:numPr>
          <w:ilvl w:val="0"/>
          <w:numId w:val="24"/>
        </w:numPr>
        <w:ind w:firstLineChars="0"/>
        <w:rPr>
          <w:color w:val="auto"/>
          <w:highlight w:val="none"/>
        </w:rPr>
      </w:pPr>
      <w:r>
        <w:rPr>
          <w:color w:val="auto"/>
          <w:highlight w:val="none"/>
        </w:rPr>
        <w:t>响应截止时间之后，响应文件不得撤回。</w:t>
      </w:r>
    </w:p>
    <w:p w14:paraId="4E1A4D51">
      <w:pPr>
        <w:pStyle w:val="16"/>
        <w:numPr>
          <w:ilvl w:val="0"/>
          <w:numId w:val="7"/>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03973A14">
      <w:pPr>
        <w:pStyle w:val="16"/>
        <w:numPr>
          <w:ilvl w:val="0"/>
          <w:numId w:val="25"/>
        </w:numPr>
        <w:ind w:firstLineChars="0"/>
        <w:rPr>
          <w:b/>
          <w:color w:val="auto"/>
          <w:highlight w:val="none"/>
        </w:rPr>
      </w:pPr>
      <w:r>
        <w:rPr>
          <w:rFonts w:hint="eastAsia"/>
          <w:b/>
          <w:color w:val="auto"/>
          <w:highlight w:val="none"/>
        </w:rPr>
        <w:t>响应文件开启</w:t>
      </w:r>
    </w:p>
    <w:p w14:paraId="1038F82A">
      <w:pPr>
        <w:pStyle w:val="16"/>
        <w:numPr>
          <w:ilvl w:val="0"/>
          <w:numId w:val="26"/>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0F13B713">
      <w:pPr>
        <w:pStyle w:val="16"/>
        <w:numPr>
          <w:ilvl w:val="0"/>
          <w:numId w:val="26"/>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DD104F9">
      <w:pPr>
        <w:pStyle w:val="16"/>
        <w:numPr>
          <w:ilvl w:val="0"/>
          <w:numId w:val="26"/>
        </w:numPr>
        <w:ind w:firstLineChars="0"/>
        <w:rPr>
          <w:color w:val="auto"/>
          <w:highlight w:val="none"/>
        </w:rPr>
      </w:pPr>
      <w:r>
        <w:rPr>
          <w:color w:val="auto"/>
          <w:highlight w:val="none"/>
        </w:rPr>
        <w:t>未宣读的响应价格、价格折扣和采购文件允许提供的备选响应方案等实质性内容，评审时不予承认。</w:t>
      </w:r>
    </w:p>
    <w:p w14:paraId="14787862">
      <w:pPr>
        <w:pStyle w:val="16"/>
        <w:numPr>
          <w:ilvl w:val="0"/>
          <w:numId w:val="26"/>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35C947DB">
      <w:pPr>
        <w:pStyle w:val="16"/>
        <w:numPr>
          <w:ilvl w:val="0"/>
          <w:numId w:val="26"/>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20EF526D">
      <w:pPr>
        <w:pStyle w:val="16"/>
        <w:numPr>
          <w:ilvl w:val="0"/>
          <w:numId w:val="26"/>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4D40A42F">
      <w:pPr>
        <w:pStyle w:val="16"/>
        <w:numPr>
          <w:ilvl w:val="0"/>
          <w:numId w:val="26"/>
        </w:numPr>
        <w:ind w:firstLineChars="0"/>
        <w:rPr>
          <w:color w:val="auto"/>
          <w:highlight w:val="none"/>
        </w:rPr>
      </w:pPr>
      <w:r>
        <w:rPr>
          <w:color w:val="auto"/>
          <w:highlight w:val="none"/>
        </w:rPr>
        <w:t>总价金额与按单价汇总金额不一致的，以单价金额计算结果为准。</w:t>
      </w:r>
    </w:p>
    <w:p w14:paraId="35FD9A0F">
      <w:pPr>
        <w:pStyle w:val="16"/>
        <w:numPr>
          <w:ilvl w:val="0"/>
          <w:numId w:val="26"/>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53B06F2F">
      <w:pPr>
        <w:pStyle w:val="16"/>
        <w:numPr>
          <w:ilvl w:val="0"/>
          <w:numId w:val="26"/>
        </w:numPr>
        <w:ind w:firstLineChars="0"/>
        <w:rPr>
          <w:color w:val="auto"/>
          <w:highlight w:val="none"/>
        </w:rPr>
      </w:pPr>
      <w:r>
        <w:rPr>
          <w:color w:val="auto"/>
          <w:highlight w:val="none"/>
        </w:rPr>
        <w:t>对不同文字文本响应文件的解释发生异议的，以中文文本为准。</w:t>
      </w:r>
    </w:p>
    <w:p w14:paraId="21A7D9EF">
      <w:pPr>
        <w:pStyle w:val="16"/>
        <w:numPr>
          <w:ilvl w:val="0"/>
          <w:numId w:val="26"/>
        </w:numPr>
        <w:ind w:firstLineChars="0"/>
        <w:rPr>
          <w:rFonts w:hint="eastAsia"/>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04EB516E">
      <w:pPr>
        <w:pStyle w:val="16"/>
        <w:adjustRightInd w:val="0"/>
        <w:snapToGrid w:val="0"/>
        <w:spacing w:after="0"/>
        <w:ind w:firstLine="480"/>
        <w:rPr>
          <w:color w:val="auto"/>
          <w:highlight w:val="none"/>
        </w:rPr>
      </w:pPr>
      <w:r>
        <w:rPr>
          <w:rFonts w:hint="eastAsia"/>
          <w:color w:val="auto"/>
          <w:highlight w:val="none"/>
        </w:rPr>
        <w:t>采用公开方式征集供应商的，响应供应商或者合格供应商只有两家或者一家，采购文件没有不合理条款，且采购程序符合规定，可以根据实际情况确定已有合格供应商均参加后续采购程序，继续开展采购活动，或采用其他方式采购。</w:t>
      </w:r>
    </w:p>
    <w:p w14:paraId="446BD8A8">
      <w:pPr>
        <w:pStyle w:val="16"/>
        <w:numPr>
          <w:ilvl w:val="0"/>
          <w:numId w:val="25"/>
        </w:numPr>
        <w:ind w:firstLineChars="0"/>
        <w:rPr>
          <w:b/>
          <w:color w:val="auto"/>
          <w:highlight w:val="none"/>
        </w:rPr>
      </w:pPr>
      <w:r>
        <w:rPr>
          <w:b/>
          <w:color w:val="auto"/>
          <w:highlight w:val="none"/>
        </w:rPr>
        <w:t>评审</w:t>
      </w:r>
    </w:p>
    <w:p w14:paraId="721350F2">
      <w:pPr>
        <w:pStyle w:val="16"/>
        <w:numPr>
          <w:ilvl w:val="0"/>
          <w:numId w:val="27"/>
        </w:numPr>
        <w:ind w:firstLineChars="0"/>
        <w:rPr>
          <w:b/>
          <w:color w:val="auto"/>
          <w:highlight w:val="none"/>
        </w:rPr>
      </w:pPr>
      <w:r>
        <w:rPr>
          <w:b/>
          <w:color w:val="auto"/>
          <w:highlight w:val="none"/>
        </w:rPr>
        <w:t>评审组织</w:t>
      </w:r>
    </w:p>
    <w:p w14:paraId="1EF0F0F8">
      <w:pPr>
        <w:pStyle w:val="16"/>
        <w:numPr>
          <w:ilvl w:val="0"/>
          <w:numId w:val="28"/>
        </w:numPr>
        <w:ind w:firstLineChars="0"/>
        <w:rPr>
          <w:color w:val="auto"/>
          <w:highlight w:val="none"/>
        </w:rPr>
      </w:pPr>
      <w:r>
        <w:rPr>
          <w:color w:val="auto"/>
          <w:highlight w:val="none"/>
        </w:rPr>
        <w:t>评审工作由代理机构组织，具体评审事务由依法组建的评审小组负责，并独立履行下列职责：</w:t>
      </w:r>
    </w:p>
    <w:p w14:paraId="4B33DB01">
      <w:pPr>
        <w:pStyle w:val="16"/>
        <w:numPr>
          <w:ilvl w:val="0"/>
          <w:numId w:val="29"/>
        </w:numPr>
        <w:ind w:firstLineChars="0"/>
        <w:rPr>
          <w:color w:val="auto"/>
          <w:highlight w:val="none"/>
        </w:rPr>
      </w:pPr>
      <w:r>
        <w:rPr>
          <w:color w:val="auto"/>
          <w:highlight w:val="none"/>
        </w:rPr>
        <w:t>审查、评价响应文件是否符合采购文件的商务、技术等实质性要求；</w:t>
      </w:r>
    </w:p>
    <w:p w14:paraId="2E35E5A3">
      <w:pPr>
        <w:pStyle w:val="16"/>
        <w:numPr>
          <w:ilvl w:val="0"/>
          <w:numId w:val="29"/>
        </w:numPr>
        <w:ind w:firstLineChars="0"/>
        <w:rPr>
          <w:color w:val="auto"/>
          <w:highlight w:val="none"/>
        </w:rPr>
      </w:pPr>
      <w:r>
        <w:rPr>
          <w:color w:val="auto"/>
          <w:highlight w:val="none"/>
        </w:rPr>
        <w:t>要求供应商对响应文件有关事项作出澄清或者说明；</w:t>
      </w:r>
    </w:p>
    <w:p w14:paraId="23D6EE79">
      <w:pPr>
        <w:pStyle w:val="16"/>
        <w:numPr>
          <w:ilvl w:val="0"/>
          <w:numId w:val="29"/>
        </w:numPr>
        <w:ind w:firstLineChars="0"/>
        <w:rPr>
          <w:color w:val="auto"/>
          <w:highlight w:val="none"/>
        </w:rPr>
      </w:pPr>
      <w:r>
        <w:rPr>
          <w:color w:val="auto"/>
          <w:highlight w:val="none"/>
        </w:rPr>
        <w:t>对响应文件进行比较和评价；</w:t>
      </w:r>
    </w:p>
    <w:p w14:paraId="62A24AA4">
      <w:pPr>
        <w:pStyle w:val="16"/>
        <w:numPr>
          <w:ilvl w:val="0"/>
          <w:numId w:val="29"/>
        </w:numPr>
        <w:ind w:firstLineChars="0"/>
        <w:rPr>
          <w:color w:val="auto"/>
          <w:highlight w:val="none"/>
        </w:rPr>
      </w:pPr>
      <w:r>
        <w:rPr>
          <w:color w:val="auto"/>
          <w:highlight w:val="none"/>
        </w:rPr>
        <w:t>推荐成交候选人或根据采购人委托直接确定成交供应商；</w:t>
      </w:r>
    </w:p>
    <w:p w14:paraId="183BEF8F">
      <w:pPr>
        <w:pStyle w:val="16"/>
        <w:numPr>
          <w:ilvl w:val="0"/>
          <w:numId w:val="29"/>
        </w:numPr>
        <w:ind w:firstLineChars="0"/>
        <w:rPr>
          <w:color w:val="auto"/>
          <w:highlight w:val="none"/>
        </w:rPr>
      </w:pPr>
      <w:r>
        <w:rPr>
          <w:color w:val="auto"/>
          <w:highlight w:val="none"/>
        </w:rPr>
        <w:t>向采购人报告评审中发现的违法行为。</w:t>
      </w:r>
    </w:p>
    <w:p w14:paraId="5AB090A5">
      <w:pPr>
        <w:pStyle w:val="16"/>
        <w:numPr>
          <w:ilvl w:val="0"/>
          <w:numId w:val="28"/>
        </w:numPr>
        <w:ind w:firstLineChars="0"/>
        <w:rPr>
          <w:color w:val="auto"/>
          <w:highlight w:val="none"/>
        </w:rPr>
      </w:pPr>
      <w:r>
        <w:rPr>
          <w:color w:val="auto"/>
          <w:highlight w:val="none"/>
        </w:rPr>
        <w:t>评审小组由采购人代表和有关技术、经济等方面的专家组成，独立开展评审工作。</w:t>
      </w:r>
    </w:p>
    <w:p w14:paraId="7EF1646B">
      <w:pPr>
        <w:pStyle w:val="16"/>
        <w:numPr>
          <w:ilvl w:val="0"/>
          <w:numId w:val="27"/>
        </w:numPr>
        <w:ind w:firstLineChars="0"/>
        <w:rPr>
          <w:b/>
          <w:color w:val="auto"/>
          <w:highlight w:val="none"/>
        </w:rPr>
      </w:pPr>
      <w:r>
        <w:rPr>
          <w:b/>
          <w:color w:val="auto"/>
          <w:highlight w:val="none"/>
        </w:rPr>
        <w:t>评审程序</w:t>
      </w:r>
    </w:p>
    <w:p w14:paraId="4552F154">
      <w:pPr>
        <w:pStyle w:val="16"/>
        <w:numPr>
          <w:ilvl w:val="0"/>
          <w:numId w:val="30"/>
        </w:numPr>
        <w:ind w:firstLineChars="0"/>
        <w:rPr>
          <w:b/>
          <w:color w:val="auto"/>
          <w:highlight w:val="none"/>
        </w:rPr>
      </w:pPr>
      <w:r>
        <w:rPr>
          <w:b/>
          <w:color w:val="auto"/>
          <w:highlight w:val="none"/>
        </w:rPr>
        <w:t>响应文件的审查</w:t>
      </w:r>
    </w:p>
    <w:p w14:paraId="1195DBC6">
      <w:pPr>
        <w:pStyle w:val="16"/>
        <w:numPr>
          <w:ilvl w:val="0"/>
          <w:numId w:val="31"/>
        </w:numPr>
        <w:ind w:firstLineChars="0"/>
        <w:rPr>
          <w:color w:val="auto"/>
          <w:highlight w:val="none"/>
        </w:rPr>
      </w:pPr>
      <w:r>
        <w:rPr>
          <w:rFonts w:hint="eastAsia"/>
          <w:color w:val="auto"/>
          <w:highlight w:val="none"/>
        </w:rPr>
        <w:t>评审小组</w:t>
      </w:r>
      <w:r>
        <w:rPr>
          <w:color w:val="auto"/>
          <w:highlight w:val="none"/>
        </w:rPr>
        <w:t>依法对供应商的</w:t>
      </w:r>
      <w:r>
        <w:rPr>
          <w:rFonts w:hint="eastAsia"/>
          <w:color w:val="auto"/>
          <w:highlight w:val="none"/>
        </w:rPr>
        <w:t>符合性</w:t>
      </w:r>
      <w:r>
        <w:rPr>
          <w:color w:val="auto"/>
          <w:highlight w:val="none"/>
        </w:rPr>
        <w:t>进行审查。</w:t>
      </w:r>
    </w:p>
    <w:p w14:paraId="061F4EE6">
      <w:pPr>
        <w:pStyle w:val="16"/>
        <w:widowControl/>
        <w:numPr>
          <w:ilvl w:val="0"/>
          <w:numId w:val="31"/>
        </w:numPr>
        <w:ind w:firstLineChars="0"/>
        <w:rPr>
          <w:b/>
          <w:color w:val="auto"/>
          <w:highlight w:val="none"/>
        </w:rPr>
      </w:pPr>
      <w:r>
        <w:rPr>
          <w:b/>
          <w:color w:val="auto"/>
          <w:highlight w:val="none"/>
        </w:rPr>
        <w:t>响应文件有下列情况之一的，在审查时按照无效响应处理</w:t>
      </w:r>
    </w:p>
    <w:p w14:paraId="7872AE83">
      <w:pPr>
        <w:pStyle w:val="16"/>
        <w:widowControl/>
        <w:numPr>
          <w:ilvl w:val="0"/>
          <w:numId w:val="32"/>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4D18E496">
      <w:pPr>
        <w:pStyle w:val="16"/>
        <w:numPr>
          <w:ilvl w:val="0"/>
          <w:numId w:val="30"/>
        </w:numPr>
        <w:ind w:firstLineChars="0"/>
        <w:rPr>
          <w:b/>
          <w:color w:val="auto"/>
          <w:highlight w:val="none"/>
        </w:rPr>
      </w:pPr>
      <w:r>
        <w:rPr>
          <w:b/>
          <w:color w:val="auto"/>
          <w:highlight w:val="none"/>
        </w:rPr>
        <w:t>响应文件的符合性审查</w:t>
      </w:r>
    </w:p>
    <w:p w14:paraId="7DC83BE5">
      <w:pPr>
        <w:pStyle w:val="16"/>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.2.2.1评审小组将依据法律法规和采购文件的规定，对响应文件的有效性、完整性和对采购文件的响应程度进行审查，以确定是否对采购文件的实质性要求作出响应。</w:t>
      </w:r>
    </w:p>
    <w:p w14:paraId="07C302D4">
      <w:pPr>
        <w:pStyle w:val="16"/>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12893051">
      <w:pPr>
        <w:pStyle w:val="16"/>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.2.2.3如果响应文件实质上没有响应采购文件的要求，评审小组将予以拒绝，供应商不得通过修改或撤销不符合要求的偏离而使其响应成为实质性响应的响应。</w:t>
      </w:r>
    </w:p>
    <w:p w14:paraId="7CAEBFC8">
      <w:pPr>
        <w:pStyle w:val="16"/>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38FC904A">
      <w:pPr>
        <w:pStyle w:val="16"/>
        <w:widowControl/>
        <w:numPr>
          <w:ilvl w:val="0"/>
          <w:numId w:val="33"/>
        </w:numPr>
        <w:ind w:firstLineChars="0"/>
        <w:rPr>
          <w:color w:val="auto"/>
          <w:highlight w:val="none"/>
        </w:rPr>
      </w:pPr>
      <w:r>
        <w:rPr>
          <w:rFonts w:hint="eastAsia"/>
          <w:color w:val="auto"/>
          <w:highlight w:val="none"/>
        </w:rPr>
        <w:t>报价超过采购文件中规定的预算金额或者最高限价的；</w:t>
      </w:r>
    </w:p>
    <w:p w14:paraId="75D70010">
      <w:pPr>
        <w:pStyle w:val="16"/>
        <w:widowControl/>
        <w:numPr>
          <w:ilvl w:val="0"/>
          <w:numId w:val="33"/>
        </w:numPr>
        <w:ind w:firstLineChars="0"/>
        <w:rPr>
          <w:color w:val="auto"/>
          <w:highlight w:val="none"/>
        </w:rPr>
      </w:pPr>
      <w:r>
        <w:rPr>
          <w:rFonts w:hint="eastAsia"/>
          <w:color w:val="auto"/>
          <w:highlight w:val="none"/>
        </w:rPr>
        <w:t>响应文件含有采购人不能接受的附加条件的；</w:t>
      </w:r>
    </w:p>
    <w:p w14:paraId="5757B643">
      <w:pPr>
        <w:pStyle w:val="16"/>
        <w:widowControl/>
        <w:numPr>
          <w:ilvl w:val="0"/>
          <w:numId w:val="33"/>
        </w:numPr>
        <w:ind w:firstLineChars="0"/>
        <w:rPr>
          <w:color w:val="auto"/>
          <w:highlight w:val="none"/>
        </w:rPr>
      </w:pPr>
      <w:r>
        <w:rPr>
          <w:rFonts w:hint="eastAsia"/>
          <w:color w:val="auto"/>
          <w:highlight w:val="none"/>
        </w:rPr>
        <w:t>响应文件不符合采购文件中规定的其它实质性要求的；</w:t>
      </w:r>
    </w:p>
    <w:p w14:paraId="67D3F06D">
      <w:pPr>
        <w:pStyle w:val="16"/>
        <w:widowControl/>
        <w:numPr>
          <w:ilvl w:val="0"/>
          <w:numId w:val="33"/>
        </w:numPr>
        <w:ind w:firstLineChars="0"/>
        <w:rPr>
          <w:color w:val="auto"/>
          <w:highlight w:val="none"/>
        </w:rPr>
      </w:pPr>
      <w:r>
        <w:rPr>
          <w:color w:val="auto"/>
          <w:highlight w:val="none"/>
        </w:rPr>
        <w:t>评审小组认为供应商的报价明显低于其他通过符合性审查供应商的报价，有可能影响服务质量或者不能诚信履约的，未在评审现场合理的时间内提供书面说明或相关证明材料，不能证明其报价合理的。</w:t>
      </w:r>
    </w:p>
    <w:p w14:paraId="1BE2EE02">
      <w:pPr>
        <w:pStyle w:val="16"/>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450679B8">
      <w:pPr>
        <w:pStyle w:val="16"/>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0657F9DE">
      <w:pPr>
        <w:pStyle w:val="16"/>
        <w:numPr>
          <w:ilvl w:val="0"/>
          <w:numId w:val="34"/>
        </w:numPr>
        <w:ind w:firstLineChars="0"/>
        <w:rPr>
          <w:color w:val="auto"/>
          <w:highlight w:val="none"/>
        </w:rPr>
      </w:pPr>
      <w:r>
        <w:rPr>
          <w:color w:val="auto"/>
          <w:highlight w:val="none"/>
        </w:rPr>
        <w:t>出现影响采购公正的违法、违规行为的；</w:t>
      </w:r>
    </w:p>
    <w:p w14:paraId="5A4BE27A">
      <w:pPr>
        <w:pStyle w:val="16"/>
        <w:widowControl/>
        <w:numPr>
          <w:ilvl w:val="0"/>
          <w:numId w:val="34"/>
        </w:numPr>
        <w:ind w:firstLineChars="0"/>
        <w:rPr>
          <w:color w:val="auto"/>
          <w:highlight w:val="none"/>
        </w:rPr>
      </w:pPr>
      <w:r>
        <w:rPr>
          <w:color w:val="auto"/>
          <w:highlight w:val="none"/>
        </w:rPr>
        <w:t>因重大变故，采购任务取消的；</w:t>
      </w:r>
    </w:p>
    <w:p w14:paraId="12F0E8EB">
      <w:pPr>
        <w:pStyle w:val="16"/>
        <w:widowControl/>
        <w:numPr>
          <w:ilvl w:val="0"/>
          <w:numId w:val="34"/>
        </w:numPr>
        <w:ind w:firstLineChars="0"/>
        <w:rPr>
          <w:color w:val="auto"/>
          <w:highlight w:val="none"/>
        </w:rPr>
      </w:pPr>
      <w:r>
        <w:rPr>
          <w:color w:val="auto"/>
          <w:highlight w:val="none"/>
        </w:rPr>
        <w:t>采购文件存在歧义、重大缺陷，或者采购文件内容违反国家有关强制性规定的；</w:t>
      </w:r>
    </w:p>
    <w:p w14:paraId="0B9617A6">
      <w:pPr>
        <w:pStyle w:val="16"/>
        <w:numPr>
          <w:ilvl w:val="0"/>
          <w:numId w:val="30"/>
        </w:numPr>
        <w:ind w:firstLineChars="0"/>
        <w:rPr>
          <w:b/>
          <w:color w:val="auto"/>
          <w:highlight w:val="none"/>
        </w:rPr>
      </w:pPr>
      <w:r>
        <w:rPr>
          <w:b/>
          <w:color w:val="auto"/>
          <w:highlight w:val="none"/>
        </w:rPr>
        <w:t>响应文件的进一步评审</w:t>
      </w:r>
    </w:p>
    <w:p w14:paraId="7F74D477">
      <w:pPr>
        <w:pStyle w:val="16"/>
        <w:numPr>
          <w:ilvl w:val="0"/>
          <w:numId w:val="35"/>
        </w:numPr>
        <w:ind w:firstLineChars="0"/>
        <w:rPr>
          <w:color w:val="auto"/>
          <w:highlight w:val="none"/>
        </w:rPr>
      </w:pPr>
      <w:r>
        <w:rPr>
          <w:color w:val="auto"/>
          <w:highlight w:val="none"/>
        </w:rPr>
        <w:t>评审小组将对确定为实质性响应的响应文件进行进一步评审，看其是否有计算上或累加上的算术错误，修正错误的原则如下：</w:t>
      </w:r>
    </w:p>
    <w:p w14:paraId="42C9617F">
      <w:pPr>
        <w:pStyle w:val="16"/>
        <w:numPr>
          <w:ilvl w:val="0"/>
          <w:numId w:val="36"/>
        </w:numPr>
        <w:ind w:firstLineChars="0"/>
        <w:rPr>
          <w:color w:val="auto"/>
          <w:highlight w:val="none"/>
        </w:rPr>
      </w:pPr>
      <w:r>
        <w:rPr>
          <w:color w:val="auto"/>
          <w:highlight w:val="none"/>
        </w:rPr>
        <w:t>如果用数字表示的金额和用文字表示的金额不一致时，应以文字表示的金额为准进行修正；</w:t>
      </w:r>
    </w:p>
    <w:p w14:paraId="42D67927">
      <w:pPr>
        <w:pStyle w:val="16"/>
        <w:numPr>
          <w:ilvl w:val="0"/>
          <w:numId w:val="36"/>
        </w:numPr>
        <w:ind w:firstLineChars="0"/>
        <w:rPr>
          <w:color w:val="auto"/>
          <w:highlight w:val="none"/>
        </w:rPr>
      </w:pPr>
      <w:r>
        <w:rPr>
          <w:color w:val="auto"/>
          <w:highlight w:val="none"/>
        </w:rPr>
        <w:t>当单价与数量的乘积和总价不一致时，以单价为准进行修正。只有在评审小组认为单价有明显的小数点错误时，才能以标出的总价为准，并修改单价。</w:t>
      </w:r>
    </w:p>
    <w:p w14:paraId="5E140EC3">
      <w:pPr>
        <w:pStyle w:val="16"/>
        <w:numPr>
          <w:ilvl w:val="0"/>
          <w:numId w:val="35"/>
        </w:numPr>
        <w:ind w:firstLineChars="0"/>
        <w:rPr>
          <w:color w:val="auto"/>
          <w:highlight w:val="none"/>
        </w:rPr>
      </w:pPr>
      <w:r>
        <w:rPr>
          <w:color w:val="auto"/>
          <w:highlight w:val="none"/>
        </w:rPr>
        <w:t>评审小组将按上述修正错误的方法调整响应文件中的响应价，调整后的价格应对供应商具有约束力。如果供应商不接受修正后的价格，则其响应将被拒绝。</w:t>
      </w:r>
    </w:p>
    <w:p w14:paraId="1769B174">
      <w:pPr>
        <w:pStyle w:val="16"/>
        <w:numPr>
          <w:ilvl w:val="0"/>
          <w:numId w:val="35"/>
        </w:numPr>
        <w:ind w:firstLineChars="0"/>
        <w:rPr>
          <w:color w:val="auto"/>
          <w:highlight w:val="none"/>
        </w:rPr>
      </w:pPr>
      <w:r>
        <w:rPr>
          <w:color w:val="auto"/>
          <w:highlight w:val="none"/>
        </w:rPr>
        <w:t>评审小组将允许修正响应文件中不构成重大偏离的、微小的、非正规的、不一致的或不规则的地方，但这些修改不能影响任何供应商相应的名次排列。</w:t>
      </w:r>
    </w:p>
    <w:p w14:paraId="080F0528">
      <w:pPr>
        <w:pStyle w:val="16"/>
        <w:widowControl/>
        <w:numPr>
          <w:ilvl w:val="0"/>
          <w:numId w:val="35"/>
        </w:numPr>
        <w:ind w:firstLineChars="0"/>
        <w:rPr>
          <w:color w:val="auto"/>
          <w:highlight w:val="none"/>
        </w:rPr>
      </w:pPr>
      <w:r>
        <w:rPr>
          <w:color w:val="auto"/>
          <w:highlight w:val="none"/>
        </w:rPr>
        <w:t>澄清有关问题。对响应文件中含义不明确、同类问题表述不一致或者明显文字错误的内容，评审小组可以要求供应商作出必要的澄清、说明或者补正。供应商的澄清、说明、补正应当采用书面形式，由其授权代表签字，但不得超出响应文件的范围或者改变响应文件的实质性内容。</w:t>
      </w:r>
    </w:p>
    <w:p w14:paraId="43D18B37">
      <w:pPr>
        <w:pStyle w:val="16"/>
        <w:widowControl/>
        <w:numPr>
          <w:ilvl w:val="0"/>
          <w:numId w:val="35"/>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142095ED">
      <w:pPr>
        <w:pStyle w:val="16"/>
        <w:widowControl/>
        <w:numPr>
          <w:ilvl w:val="0"/>
          <w:numId w:val="27"/>
        </w:numPr>
        <w:ind w:firstLineChars="0"/>
        <w:rPr>
          <w:b/>
          <w:color w:val="auto"/>
          <w:highlight w:val="none"/>
        </w:rPr>
      </w:pPr>
      <w:r>
        <w:rPr>
          <w:b/>
          <w:color w:val="auto"/>
          <w:highlight w:val="none"/>
        </w:rPr>
        <w:t>评审方法和标准</w:t>
      </w:r>
    </w:p>
    <w:p w14:paraId="49C0CFD2">
      <w:pPr>
        <w:pStyle w:val="16"/>
        <w:widowControl/>
        <w:numPr>
          <w:ilvl w:val="0"/>
          <w:numId w:val="37"/>
        </w:numPr>
        <w:ind w:firstLineChars="0"/>
        <w:rPr>
          <w:color w:val="auto"/>
          <w:highlight w:val="none"/>
        </w:rPr>
      </w:pPr>
      <w:r>
        <w:rPr>
          <w:color w:val="auto"/>
          <w:highlight w:val="none"/>
        </w:rPr>
        <w:t>采用综合评分法。即在响应文件满足采购文件全部实质性要求前提下，按照评审因素的量化指标评分。</w:t>
      </w:r>
    </w:p>
    <w:p w14:paraId="40F10A55">
      <w:pPr>
        <w:pStyle w:val="16"/>
        <w:numPr>
          <w:ilvl w:val="0"/>
          <w:numId w:val="37"/>
        </w:numPr>
        <w:ind w:firstLineChars="0"/>
        <w:rPr>
          <w:color w:val="auto"/>
          <w:highlight w:val="none"/>
        </w:rPr>
      </w:pPr>
      <w:r>
        <w:rPr>
          <w:color w:val="auto"/>
          <w:highlight w:val="none"/>
        </w:rPr>
        <w:t>综合评分的主要因素是：价格、技术、服务、业绩、履约能力等。</w:t>
      </w:r>
    </w:p>
    <w:p w14:paraId="33096DD9">
      <w:pPr>
        <w:pStyle w:val="16"/>
        <w:numPr>
          <w:ilvl w:val="0"/>
          <w:numId w:val="37"/>
        </w:numPr>
        <w:ind w:firstLineChars="0"/>
        <w:rPr>
          <w:color w:val="auto"/>
          <w:highlight w:val="none"/>
        </w:rPr>
      </w:pPr>
      <w:r>
        <w:rPr>
          <w:color w:val="auto"/>
          <w:highlight w:val="none"/>
        </w:rPr>
        <w:t>评分标准详见文件第三章。</w:t>
      </w:r>
    </w:p>
    <w:p w14:paraId="3E75F76C">
      <w:pPr>
        <w:pStyle w:val="16"/>
        <w:numPr>
          <w:ilvl w:val="0"/>
          <w:numId w:val="25"/>
        </w:numPr>
        <w:ind w:firstLineChars="0"/>
        <w:rPr>
          <w:b/>
          <w:color w:val="auto"/>
          <w:highlight w:val="none"/>
        </w:rPr>
      </w:pPr>
      <w:r>
        <w:rPr>
          <w:b/>
          <w:color w:val="auto"/>
          <w:highlight w:val="none"/>
        </w:rPr>
        <w:t>确定成交供应商</w:t>
      </w:r>
    </w:p>
    <w:p w14:paraId="2C2EA0B4">
      <w:pPr>
        <w:pStyle w:val="16"/>
        <w:numPr>
          <w:ilvl w:val="0"/>
          <w:numId w:val="38"/>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后按照得分由高到低顺序对供应商进行排序。评审小组按综合得分排名推荐3名成交候选人。得分相同的，按响应报价由低到高顺序排列。按以下第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7BD64297">
      <w:pPr>
        <w:pStyle w:val="16"/>
        <w:numPr>
          <w:ilvl w:val="0"/>
          <w:numId w:val="39"/>
        </w:numPr>
        <w:ind w:firstLineChars="0"/>
        <w:rPr>
          <w:color w:val="auto"/>
          <w:highlight w:val="none"/>
        </w:rPr>
      </w:pPr>
      <w:r>
        <w:rPr>
          <w:color w:val="auto"/>
          <w:highlight w:val="none"/>
        </w:rPr>
        <w:t>评审小组直接确定排名第一的成交候选人为成交供应商；</w:t>
      </w:r>
    </w:p>
    <w:p w14:paraId="7D4AB9D0">
      <w:pPr>
        <w:pStyle w:val="16"/>
        <w:numPr>
          <w:ilvl w:val="0"/>
          <w:numId w:val="39"/>
        </w:numPr>
        <w:ind w:firstLineChars="0"/>
        <w:rPr>
          <w:color w:val="auto"/>
          <w:highlight w:val="none"/>
        </w:rPr>
      </w:pPr>
      <w:r>
        <w:rPr>
          <w:color w:val="auto"/>
          <w:highlight w:val="none"/>
        </w:rPr>
        <w:t>采购人项目单位在评审小组推荐的成交候选人中按顺序确定成交供应商。</w:t>
      </w:r>
    </w:p>
    <w:p w14:paraId="0262A3AE">
      <w:pPr>
        <w:pStyle w:val="16"/>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68783C6">
      <w:pPr>
        <w:pStyle w:val="16"/>
        <w:numPr>
          <w:ilvl w:val="0"/>
          <w:numId w:val="38"/>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19B35F43">
      <w:pPr>
        <w:pStyle w:val="16"/>
        <w:numPr>
          <w:ilvl w:val="0"/>
          <w:numId w:val="38"/>
        </w:numPr>
        <w:ind w:firstLineChars="0"/>
        <w:rPr>
          <w:color w:val="auto"/>
          <w:highlight w:val="none"/>
        </w:rPr>
      </w:pPr>
      <w:r>
        <w:rPr>
          <w:color w:val="auto"/>
          <w:highlight w:val="none"/>
        </w:rPr>
        <w:t>《成交通知书》对采购人和成交供应商具有同等法律效力。</w:t>
      </w:r>
    </w:p>
    <w:p w14:paraId="512A09F4">
      <w:pPr>
        <w:pStyle w:val="16"/>
        <w:numPr>
          <w:ilvl w:val="0"/>
          <w:numId w:val="38"/>
        </w:numPr>
        <w:ind w:firstLineChars="0"/>
        <w:rPr>
          <w:color w:val="auto"/>
          <w:highlight w:val="none"/>
        </w:rPr>
      </w:pPr>
      <w:r>
        <w:rPr>
          <w:color w:val="auto"/>
          <w:highlight w:val="none"/>
        </w:rPr>
        <w:t>《成交通知书》发出后，成交供应商无正当理由不与采购人签订合同的，应当依法承担法律责任。</w:t>
      </w:r>
    </w:p>
    <w:p w14:paraId="0F674118">
      <w:pPr>
        <w:pStyle w:val="16"/>
        <w:numPr>
          <w:ilvl w:val="0"/>
          <w:numId w:val="38"/>
        </w:numPr>
        <w:ind w:firstLineChars="0"/>
        <w:rPr>
          <w:color w:val="auto"/>
          <w:highlight w:val="none"/>
        </w:rPr>
      </w:pPr>
      <w:r>
        <w:rPr>
          <w:color w:val="auto"/>
          <w:highlight w:val="none"/>
        </w:rPr>
        <w:t>代理机构和评审小组对未成交的供应商不作未成交原因的解释。</w:t>
      </w:r>
    </w:p>
    <w:p w14:paraId="44D5B6D6">
      <w:pPr>
        <w:pStyle w:val="16"/>
        <w:numPr>
          <w:ilvl w:val="0"/>
          <w:numId w:val="38"/>
        </w:numPr>
        <w:ind w:firstLineChars="0"/>
        <w:rPr>
          <w:color w:val="auto"/>
          <w:highlight w:val="none"/>
        </w:rPr>
      </w:pPr>
      <w:r>
        <w:rPr>
          <w:color w:val="auto"/>
          <w:highlight w:val="none"/>
        </w:rPr>
        <w:t>所有响应文件不论成交与否均不退回。</w:t>
      </w:r>
    </w:p>
    <w:p w14:paraId="44A4FFFA">
      <w:pPr>
        <w:pStyle w:val="16"/>
        <w:numPr>
          <w:ilvl w:val="0"/>
          <w:numId w:val="25"/>
        </w:numPr>
        <w:ind w:firstLineChars="0"/>
        <w:rPr>
          <w:b/>
          <w:color w:val="auto"/>
          <w:highlight w:val="none"/>
        </w:rPr>
      </w:pPr>
      <w:r>
        <w:rPr>
          <w:b/>
          <w:color w:val="auto"/>
          <w:highlight w:val="none"/>
        </w:rPr>
        <w:t>编写评审报告</w:t>
      </w:r>
    </w:p>
    <w:p w14:paraId="091F1FCE">
      <w:pPr>
        <w:pStyle w:val="16"/>
        <w:ind w:firstLine="480"/>
        <w:rPr>
          <w:color w:val="auto"/>
          <w:highlight w:val="none"/>
        </w:rPr>
      </w:pPr>
      <w:r>
        <w:rPr>
          <w:color w:val="auto"/>
          <w:highlight w:val="none"/>
        </w:rPr>
        <w:t>评审小组根据全体评审成员签字的原始评审记录和评审结果编写评审报告。</w:t>
      </w:r>
    </w:p>
    <w:p w14:paraId="7750D3F8">
      <w:pPr>
        <w:pStyle w:val="16"/>
        <w:numPr>
          <w:ilvl w:val="0"/>
          <w:numId w:val="25"/>
        </w:numPr>
        <w:ind w:firstLineChars="0"/>
        <w:rPr>
          <w:b/>
          <w:color w:val="auto"/>
          <w:highlight w:val="none"/>
        </w:rPr>
      </w:pPr>
      <w:r>
        <w:rPr>
          <w:b/>
          <w:color w:val="auto"/>
          <w:highlight w:val="none"/>
        </w:rPr>
        <w:t>评审过程的保密</w:t>
      </w:r>
    </w:p>
    <w:p w14:paraId="0FC1BD65">
      <w:pPr>
        <w:pStyle w:val="16"/>
        <w:numPr>
          <w:ilvl w:val="0"/>
          <w:numId w:val="40"/>
        </w:numPr>
        <w:ind w:firstLineChars="0"/>
        <w:rPr>
          <w:color w:val="auto"/>
          <w:highlight w:val="none"/>
        </w:rPr>
      </w:pPr>
      <w:r>
        <w:rPr>
          <w:color w:val="auto"/>
          <w:highlight w:val="none"/>
        </w:rPr>
        <w:t>代理机构将采取必要措施，保证评审在严格保密的情况下进行。</w:t>
      </w:r>
    </w:p>
    <w:p w14:paraId="60FE716D">
      <w:pPr>
        <w:pStyle w:val="16"/>
        <w:numPr>
          <w:ilvl w:val="0"/>
          <w:numId w:val="40"/>
        </w:numPr>
        <w:ind w:firstLineChars="0"/>
        <w:rPr>
          <w:color w:val="auto"/>
          <w:highlight w:val="none"/>
        </w:rPr>
      </w:pPr>
      <w:r>
        <w:rPr>
          <w:color w:val="auto"/>
          <w:highlight w:val="none"/>
        </w:rPr>
        <w:t>任何单位和个人不得非法干预、影响评审办法的确定，以及评审过程和结果。</w:t>
      </w:r>
    </w:p>
    <w:p w14:paraId="4F01FEE6">
      <w:pPr>
        <w:pStyle w:val="16"/>
        <w:numPr>
          <w:ilvl w:val="0"/>
          <w:numId w:val="40"/>
        </w:numPr>
        <w:ind w:firstLineChars="0"/>
        <w:rPr>
          <w:color w:val="auto"/>
          <w:highlight w:val="none"/>
        </w:rPr>
      </w:pPr>
      <w:r>
        <w:rPr>
          <w:color w:val="auto"/>
          <w:highlight w:val="none"/>
        </w:rPr>
        <w:t>凡是与审查、澄清、评价和比较响应的有关资料等，均不得向供应商及与评审无关的人员透露。</w:t>
      </w:r>
    </w:p>
    <w:p w14:paraId="1C27D7F2">
      <w:pPr>
        <w:pStyle w:val="16"/>
        <w:numPr>
          <w:ilvl w:val="0"/>
          <w:numId w:val="7"/>
        </w:numPr>
        <w:ind w:firstLineChars="0"/>
        <w:rPr>
          <w:b/>
          <w:color w:val="auto"/>
          <w:highlight w:val="none"/>
        </w:rPr>
      </w:pPr>
      <w:r>
        <w:rPr>
          <w:b/>
          <w:color w:val="auto"/>
          <w:highlight w:val="none"/>
        </w:rPr>
        <w:t>签订合同</w:t>
      </w:r>
    </w:p>
    <w:p w14:paraId="6CB8E11E">
      <w:pPr>
        <w:pStyle w:val="16"/>
        <w:ind w:firstLine="482"/>
        <w:rPr>
          <w:b/>
          <w:color w:val="auto"/>
          <w:highlight w:val="none"/>
        </w:rPr>
      </w:pPr>
      <w:r>
        <w:rPr>
          <w:b/>
          <w:color w:val="auto"/>
          <w:highlight w:val="none"/>
        </w:rPr>
        <w:t>24.签订合同</w:t>
      </w:r>
    </w:p>
    <w:p w14:paraId="7A5D236F">
      <w:pPr>
        <w:pStyle w:val="16"/>
        <w:numPr>
          <w:ilvl w:val="0"/>
          <w:numId w:val="41"/>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7560B39B">
      <w:pPr>
        <w:pStyle w:val="16"/>
        <w:numPr>
          <w:ilvl w:val="0"/>
          <w:numId w:val="41"/>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67296B59">
      <w:pPr>
        <w:pStyle w:val="16"/>
        <w:numPr>
          <w:ilvl w:val="0"/>
          <w:numId w:val="41"/>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1604E60B">
      <w:pPr>
        <w:pStyle w:val="16"/>
        <w:numPr>
          <w:ilvl w:val="0"/>
          <w:numId w:val="41"/>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707A4351">
      <w:pPr>
        <w:pStyle w:val="16"/>
        <w:numPr>
          <w:ilvl w:val="0"/>
          <w:numId w:val="7"/>
        </w:numPr>
        <w:ind w:firstLineChars="0"/>
        <w:rPr>
          <w:b/>
          <w:color w:val="auto"/>
          <w:highlight w:val="none"/>
        </w:rPr>
      </w:pPr>
      <w:r>
        <w:rPr>
          <w:b/>
          <w:color w:val="auto"/>
          <w:highlight w:val="none"/>
        </w:rPr>
        <w:t>询问、质疑、投诉和诚实信用</w:t>
      </w:r>
    </w:p>
    <w:p w14:paraId="3E29BAAE">
      <w:pPr>
        <w:pStyle w:val="16"/>
        <w:numPr>
          <w:ilvl w:val="0"/>
          <w:numId w:val="42"/>
        </w:numPr>
        <w:ind w:firstLineChars="0"/>
        <w:rPr>
          <w:b/>
          <w:color w:val="auto"/>
          <w:highlight w:val="none"/>
        </w:rPr>
      </w:pPr>
      <w:r>
        <w:rPr>
          <w:b/>
          <w:color w:val="auto"/>
          <w:highlight w:val="none"/>
        </w:rPr>
        <w:t>询问提出与答复</w:t>
      </w:r>
    </w:p>
    <w:p w14:paraId="4E10D2B6">
      <w:pPr>
        <w:pStyle w:val="16"/>
        <w:numPr>
          <w:ilvl w:val="0"/>
          <w:numId w:val="43"/>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E0CB034">
      <w:pPr>
        <w:pStyle w:val="16"/>
        <w:numPr>
          <w:ilvl w:val="0"/>
          <w:numId w:val="43"/>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95D1491">
      <w:pPr>
        <w:pStyle w:val="16"/>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1A6C200F">
      <w:pPr>
        <w:pStyle w:val="16"/>
        <w:numPr>
          <w:ilvl w:val="0"/>
          <w:numId w:val="43"/>
        </w:numPr>
        <w:ind w:firstLineChars="0"/>
        <w:rPr>
          <w:color w:val="auto"/>
          <w:highlight w:val="none"/>
        </w:rPr>
      </w:pPr>
      <w:r>
        <w:rPr>
          <w:color w:val="auto"/>
          <w:highlight w:val="none"/>
        </w:rPr>
        <w:t>如供应商询问事项涉及依法应当保密的内容，被询问人不予答复，向供应商说明理由和依据。</w:t>
      </w:r>
    </w:p>
    <w:p w14:paraId="55D26727">
      <w:pPr>
        <w:pStyle w:val="16"/>
        <w:numPr>
          <w:ilvl w:val="0"/>
          <w:numId w:val="42"/>
        </w:numPr>
        <w:ind w:firstLineChars="0"/>
        <w:rPr>
          <w:b/>
          <w:color w:val="auto"/>
          <w:highlight w:val="none"/>
        </w:rPr>
      </w:pPr>
      <w:r>
        <w:rPr>
          <w:b/>
          <w:color w:val="auto"/>
          <w:highlight w:val="none"/>
        </w:rPr>
        <w:t>质疑提出与答复</w:t>
      </w:r>
    </w:p>
    <w:p w14:paraId="1940DBFA">
      <w:pPr>
        <w:pStyle w:val="16"/>
        <w:numPr>
          <w:ilvl w:val="0"/>
          <w:numId w:val="44"/>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0A2DEB62">
      <w:pPr>
        <w:pStyle w:val="16"/>
        <w:ind w:firstLine="480"/>
        <w:rPr>
          <w:color w:val="auto"/>
          <w:highlight w:val="none"/>
        </w:rPr>
      </w:pPr>
      <w:r>
        <w:rPr>
          <w:color w:val="auto"/>
          <w:highlight w:val="none"/>
        </w:rPr>
        <w:t>26.1.1供应商在规定质疑期内应一次性提出针对同一采购程序环节的质疑。</w:t>
      </w:r>
    </w:p>
    <w:p w14:paraId="22FFF23D">
      <w:pPr>
        <w:pStyle w:val="16"/>
        <w:numPr>
          <w:ilvl w:val="0"/>
          <w:numId w:val="44"/>
        </w:numPr>
        <w:ind w:firstLineChars="0"/>
        <w:rPr>
          <w:color w:val="auto"/>
          <w:highlight w:val="none"/>
        </w:rPr>
      </w:pPr>
      <w:r>
        <w:rPr>
          <w:color w:val="auto"/>
          <w:highlight w:val="none"/>
        </w:rPr>
        <w:t>供应商知道或者应知其权益受到损害之日，是指：</w:t>
      </w:r>
    </w:p>
    <w:p w14:paraId="470FF82E">
      <w:pPr>
        <w:pStyle w:val="16"/>
        <w:numPr>
          <w:ilvl w:val="0"/>
          <w:numId w:val="45"/>
        </w:numPr>
        <w:ind w:firstLineChars="0"/>
        <w:rPr>
          <w:color w:val="auto"/>
          <w:highlight w:val="none"/>
        </w:rPr>
      </w:pPr>
      <w:r>
        <w:rPr>
          <w:color w:val="auto"/>
          <w:highlight w:val="none"/>
        </w:rPr>
        <w:t>对可以质疑的采购文件提出质疑的，为收到采购文件之日或者采购文件公告期限届满之日；</w:t>
      </w:r>
    </w:p>
    <w:p w14:paraId="163E6C7F">
      <w:pPr>
        <w:pStyle w:val="16"/>
        <w:numPr>
          <w:ilvl w:val="0"/>
          <w:numId w:val="45"/>
        </w:numPr>
        <w:ind w:firstLineChars="0"/>
        <w:rPr>
          <w:color w:val="auto"/>
          <w:highlight w:val="none"/>
        </w:rPr>
      </w:pPr>
      <w:r>
        <w:rPr>
          <w:color w:val="auto"/>
          <w:highlight w:val="none"/>
        </w:rPr>
        <w:t>对采购过程提出质疑的，为各采购程序环节结束之日；</w:t>
      </w:r>
    </w:p>
    <w:p w14:paraId="457DFFC3">
      <w:pPr>
        <w:pStyle w:val="16"/>
        <w:numPr>
          <w:ilvl w:val="0"/>
          <w:numId w:val="45"/>
        </w:numPr>
        <w:ind w:firstLineChars="0"/>
        <w:rPr>
          <w:color w:val="auto"/>
          <w:highlight w:val="none"/>
        </w:rPr>
      </w:pPr>
      <w:r>
        <w:rPr>
          <w:color w:val="auto"/>
          <w:highlight w:val="none"/>
        </w:rPr>
        <w:t>对成交或者成交结果提出质疑的，为成交或者成交结果公告期限届满之日。</w:t>
      </w:r>
    </w:p>
    <w:p w14:paraId="7F3CA780">
      <w:pPr>
        <w:pStyle w:val="16"/>
        <w:numPr>
          <w:ilvl w:val="0"/>
          <w:numId w:val="44"/>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1E560EEC">
      <w:pPr>
        <w:pStyle w:val="16"/>
        <w:numPr>
          <w:ilvl w:val="0"/>
          <w:numId w:val="44"/>
        </w:numPr>
        <w:ind w:firstLineChars="0"/>
        <w:rPr>
          <w:color w:val="auto"/>
          <w:highlight w:val="none"/>
        </w:rPr>
      </w:pPr>
      <w:r>
        <w:rPr>
          <w:color w:val="auto"/>
          <w:highlight w:val="none"/>
        </w:rPr>
        <w:t>供应商提出质疑应当提交质疑函和必要的证明材料。质疑函应当包括下列内容：</w:t>
      </w:r>
    </w:p>
    <w:p w14:paraId="77F15970">
      <w:pPr>
        <w:pStyle w:val="16"/>
        <w:numPr>
          <w:ilvl w:val="0"/>
          <w:numId w:val="46"/>
        </w:numPr>
        <w:ind w:firstLineChars="0"/>
        <w:rPr>
          <w:color w:val="auto"/>
          <w:highlight w:val="none"/>
        </w:rPr>
      </w:pPr>
      <w:r>
        <w:rPr>
          <w:color w:val="auto"/>
          <w:highlight w:val="none"/>
        </w:rPr>
        <w:t>供应商的姓名或者名称、地址、邮编、联系人及联系电话；</w:t>
      </w:r>
    </w:p>
    <w:p w14:paraId="199D1830">
      <w:pPr>
        <w:pStyle w:val="16"/>
        <w:numPr>
          <w:ilvl w:val="0"/>
          <w:numId w:val="46"/>
        </w:numPr>
        <w:ind w:firstLineChars="0"/>
        <w:rPr>
          <w:color w:val="auto"/>
          <w:highlight w:val="none"/>
        </w:rPr>
      </w:pPr>
      <w:r>
        <w:rPr>
          <w:color w:val="auto"/>
          <w:highlight w:val="none"/>
        </w:rPr>
        <w:t>质疑项目的名称、编号；</w:t>
      </w:r>
    </w:p>
    <w:p w14:paraId="1C27465A">
      <w:pPr>
        <w:pStyle w:val="16"/>
        <w:numPr>
          <w:ilvl w:val="0"/>
          <w:numId w:val="46"/>
        </w:numPr>
        <w:ind w:firstLineChars="0"/>
        <w:rPr>
          <w:color w:val="auto"/>
          <w:highlight w:val="none"/>
        </w:rPr>
      </w:pPr>
      <w:r>
        <w:rPr>
          <w:color w:val="auto"/>
          <w:highlight w:val="none"/>
        </w:rPr>
        <w:t>具体、明确的质疑事项和与质疑事项相关的请求；</w:t>
      </w:r>
    </w:p>
    <w:p w14:paraId="684E38FC">
      <w:pPr>
        <w:pStyle w:val="16"/>
        <w:numPr>
          <w:ilvl w:val="0"/>
          <w:numId w:val="46"/>
        </w:numPr>
        <w:ind w:firstLineChars="0"/>
        <w:rPr>
          <w:color w:val="auto"/>
          <w:highlight w:val="none"/>
        </w:rPr>
      </w:pPr>
      <w:r>
        <w:rPr>
          <w:color w:val="auto"/>
          <w:highlight w:val="none"/>
        </w:rPr>
        <w:t>事实依据；</w:t>
      </w:r>
    </w:p>
    <w:p w14:paraId="1A23429E">
      <w:pPr>
        <w:pStyle w:val="16"/>
        <w:numPr>
          <w:ilvl w:val="0"/>
          <w:numId w:val="46"/>
        </w:numPr>
        <w:ind w:firstLineChars="0"/>
        <w:rPr>
          <w:color w:val="auto"/>
          <w:highlight w:val="none"/>
        </w:rPr>
      </w:pPr>
      <w:r>
        <w:rPr>
          <w:color w:val="auto"/>
          <w:highlight w:val="none"/>
        </w:rPr>
        <w:t>必要的法律依据；</w:t>
      </w:r>
    </w:p>
    <w:p w14:paraId="57E116EB">
      <w:pPr>
        <w:pStyle w:val="16"/>
        <w:numPr>
          <w:ilvl w:val="0"/>
          <w:numId w:val="46"/>
        </w:numPr>
        <w:ind w:firstLineChars="0"/>
        <w:rPr>
          <w:color w:val="auto"/>
          <w:highlight w:val="none"/>
        </w:rPr>
      </w:pPr>
      <w:r>
        <w:rPr>
          <w:color w:val="auto"/>
          <w:highlight w:val="none"/>
        </w:rPr>
        <w:t>提出质疑的日期。</w:t>
      </w:r>
    </w:p>
    <w:p w14:paraId="23203AFF">
      <w:pPr>
        <w:pStyle w:val="16"/>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0A3245D8">
      <w:pPr>
        <w:pStyle w:val="16"/>
        <w:numPr>
          <w:ilvl w:val="0"/>
          <w:numId w:val="44"/>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215BB12E">
      <w:pPr>
        <w:pStyle w:val="16"/>
        <w:numPr>
          <w:ilvl w:val="0"/>
          <w:numId w:val="44"/>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719EA722">
      <w:pPr>
        <w:pStyle w:val="16"/>
        <w:numPr>
          <w:ilvl w:val="0"/>
          <w:numId w:val="47"/>
        </w:numPr>
        <w:ind w:firstLineChars="0"/>
        <w:rPr>
          <w:color w:val="auto"/>
          <w:highlight w:val="none"/>
        </w:rPr>
      </w:pPr>
      <w:r>
        <w:rPr>
          <w:color w:val="auto"/>
          <w:highlight w:val="none"/>
        </w:rPr>
        <w:t>供应商不是参与所质疑项目采购活动的供应商或依法获取可质疑采购文件的潜在供应商；</w:t>
      </w:r>
    </w:p>
    <w:p w14:paraId="37586A94">
      <w:pPr>
        <w:pStyle w:val="16"/>
        <w:numPr>
          <w:ilvl w:val="0"/>
          <w:numId w:val="47"/>
        </w:numPr>
        <w:ind w:firstLineChars="0"/>
        <w:rPr>
          <w:color w:val="auto"/>
          <w:highlight w:val="none"/>
        </w:rPr>
      </w:pPr>
      <w:r>
        <w:rPr>
          <w:color w:val="auto"/>
          <w:highlight w:val="none"/>
        </w:rPr>
        <w:t>潜在供应商所质疑事项均为采购文件以外的事项；</w:t>
      </w:r>
    </w:p>
    <w:p w14:paraId="5EDB891E">
      <w:pPr>
        <w:pStyle w:val="16"/>
        <w:numPr>
          <w:ilvl w:val="0"/>
          <w:numId w:val="47"/>
        </w:numPr>
        <w:ind w:firstLineChars="0"/>
        <w:rPr>
          <w:color w:val="auto"/>
          <w:highlight w:val="none"/>
        </w:rPr>
      </w:pPr>
      <w:r>
        <w:rPr>
          <w:color w:val="auto"/>
          <w:highlight w:val="none"/>
        </w:rPr>
        <w:t>供应商提交质疑的时间已超过规定质疑期。</w:t>
      </w:r>
    </w:p>
    <w:p w14:paraId="0864E047">
      <w:pPr>
        <w:pStyle w:val="16"/>
        <w:numPr>
          <w:ilvl w:val="0"/>
          <w:numId w:val="47"/>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58E4312B">
      <w:pPr>
        <w:pStyle w:val="16"/>
        <w:numPr>
          <w:ilvl w:val="0"/>
          <w:numId w:val="47"/>
        </w:numPr>
        <w:ind w:firstLineChars="0"/>
        <w:rPr>
          <w:color w:val="auto"/>
          <w:highlight w:val="none"/>
        </w:rPr>
      </w:pPr>
      <w:r>
        <w:rPr>
          <w:color w:val="auto"/>
          <w:highlight w:val="none"/>
        </w:rPr>
        <w:t>其它不符合受理条件的情形。</w:t>
      </w:r>
    </w:p>
    <w:p w14:paraId="5BDEA731">
      <w:pPr>
        <w:pStyle w:val="16"/>
        <w:numPr>
          <w:ilvl w:val="0"/>
          <w:numId w:val="42"/>
        </w:numPr>
        <w:ind w:firstLineChars="0"/>
        <w:rPr>
          <w:b/>
          <w:color w:val="auto"/>
          <w:highlight w:val="none"/>
        </w:rPr>
      </w:pPr>
      <w:r>
        <w:rPr>
          <w:b/>
          <w:color w:val="auto"/>
          <w:highlight w:val="none"/>
        </w:rPr>
        <w:t>投诉提起与处理</w:t>
      </w:r>
    </w:p>
    <w:p w14:paraId="0F156A78">
      <w:pPr>
        <w:pStyle w:val="16"/>
        <w:numPr>
          <w:ilvl w:val="0"/>
          <w:numId w:val="48"/>
        </w:numPr>
        <w:ind w:firstLineChars="0"/>
        <w:rPr>
          <w:color w:val="auto"/>
          <w:highlight w:val="none"/>
        </w:rPr>
      </w:pPr>
      <w:r>
        <w:rPr>
          <w:color w:val="auto"/>
          <w:highlight w:val="none"/>
        </w:rPr>
        <w:t>投诉提起</w:t>
      </w:r>
    </w:p>
    <w:p w14:paraId="32272140">
      <w:pPr>
        <w:pStyle w:val="16"/>
        <w:ind w:firstLine="480"/>
        <w:rPr>
          <w:color w:val="auto"/>
          <w:highlight w:val="none"/>
        </w:rPr>
      </w:pPr>
      <w:r>
        <w:rPr>
          <w:color w:val="auto"/>
          <w:highlight w:val="none"/>
        </w:rPr>
        <w:t>质疑供应商对代理机构的答复不满意，或者代理机构未在规定时间内作出答复的，</w:t>
      </w:r>
      <w:r>
        <w:rPr>
          <w:rFonts w:hint="eastAsia"/>
          <w:color w:val="auto"/>
          <w:highlight w:val="none"/>
        </w:rPr>
        <w:t>可以在答复期满后10日内</w:t>
      </w:r>
      <w:r>
        <w:rPr>
          <w:color w:val="auto"/>
          <w:highlight w:val="none"/>
        </w:rPr>
        <w:t>向有关行政监督部门提起投诉。</w:t>
      </w:r>
    </w:p>
    <w:p w14:paraId="469FD046">
      <w:pPr>
        <w:pStyle w:val="16"/>
        <w:numPr>
          <w:ilvl w:val="0"/>
          <w:numId w:val="48"/>
        </w:numPr>
        <w:ind w:firstLineChars="0"/>
        <w:rPr>
          <w:color w:val="auto"/>
          <w:highlight w:val="none"/>
        </w:rPr>
      </w:pPr>
      <w:r>
        <w:rPr>
          <w:color w:val="auto"/>
          <w:highlight w:val="none"/>
        </w:rPr>
        <w:t>供应商投诉时，应当提交投诉书和必要的证明材料。投诉书应当包括下列内容：</w:t>
      </w:r>
    </w:p>
    <w:p w14:paraId="5576885B">
      <w:pPr>
        <w:pStyle w:val="16"/>
        <w:numPr>
          <w:ilvl w:val="0"/>
          <w:numId w:val="49"/>
        </w:numPr>
        <w:ind w:firstLineChars="0"/>
        <w:rPr>
          <w:color w:val="auto"/>
          <w:highlight w:val="none"/>
        </w:rPr>
      </w:pPr>
      <w:r>
        <w:rPr>
          <w:color w:val="auto"/>
          <w:highlight w:val="none"/>
        </w:rPr>
        <w:t>投诉人和被投诉人的姓名或者名称、通讯地址、邮编、联系人及联系电话；</w:t>
      </w:r>
    </w:p>
    <w:p w14:paraId="2E680AAE">
      <w:pPr>
        <w:pStyle w:val="16"/>
        <w:numPr>
          <w:ilvl w:val="0"/>
          <w:numId w:val="49"/>
        </w:numPr>
        <w:ind w:firstLineChars="0"/>
        <w:rPr>
          <w:color w:val="auto"/>
          <w:highlight w:val="none"/>
        </w:rPr>
      </w:pPr>
      <w:r>
        <w:rPr>
          <w:color w:val="auto"/>
          <w:highlight w:val="none"/>
        </w:rPr>
        <w:t>质疑和质疑答复情况说明及相关证明材料；</w:t>
      </w:r>
    </w:p>
    <w:p w14:paraId="49F5289C">
      <w:pPr>
        <w:pStyle w:val="16"/>
        <w:numPr>
          <w:ilvl w:val="0"/>
          <w:numId w:val="49"/>
        </w:numPr>
        <w:ind w:firstLineChars="0"/>
        <w:rPr>
          <w:color w:val="auto"/>
          <w:highlight w:val="none"/>
        </w:rPr>
      </w:pPr>
      <w:r>
        <w:rPr>
          <w:color w:val="auto"/>
          <w:highlight w:val="none"/>
        </w:rPr>
        <w:t>具体、明确的投诉事项和与投诉事项相关的投诉请求；</w:t>
      </w:r>
    </w:p>
    <w:p w14:paraId="42EF0BF9">
      <w:pPr>
        <w:pStyle w:val="16"/>
        <w:numPr>
          <w:ilvl w:val="0"/>
          <w:numId w:val="49"/>
        </w:numPr>
        <w:ind w:firstLineChars="0"/>
        <w:rPr>
          <w:color w:val="auto"/>
          <w:highlight w:val="none"/>
        </w:rPr>
      </w:pPr>
      <w:r>
        <w:rPr>
          <w:color w:val="auto"/>
          <w:highlight w:val="none"/>
        </w:rPr>
        <w:t>事实依据；</w:t>
      </w:r>
    </w:p>
    <w:p w14:paraId="431FF463">
      <w:pPr>
        <w:pStyle w:val="16"/>
        <w:numPr>
          <w:ilvl w:val="0"/>
          <w:numId w:val="49"/>
        </w:numPr>
        <w:ind w:firstLineChars="0"/>
        <w:rPr>
          <w:color w:val="auto"/>
          <w:highlight w:val="none"/>
        </w:rPr>
      </w:pPr>
      <w:r>
        <w:rPr>
          <w:color w:val="auto"/>
          <w:highlight w:val="none"/>
        </w:rPr>
        <w:t>法律依据；</w:t>
      </w:r>
    </w:p>
    <w:p w14:paraId="1A845258">
      <w:pPr>
        <w:pStyle w:val="16"/>
        <w:numPr>
          <w:ilvl w:val="0"/>
          <w:numId w:val="49"/>
        </w:numPr>
        <w:ind w:firstLineChars="0"/>
        <w:rPr>
          <w:color w:val="auto"/>
          <w:highlight w:val="none"/>
        </w:rPr>
      </w:pPr>
      <w:r>
        <w:rPr>
          <w:color w:val="auto"/>
          <w:highlight w:val="none"/>
        </w:rPr>
        <w:t>提起投诉的日期。</w:t>
      </w:r>
    </w:p>
    <w:p w14:paraId="20554DEF">
      <w:pPr>
        <w:pStyle w:val="16"/>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5003D006">
      <w:pPr>
        <w:pStyle w:val="16"/>
        <w:numPr>
          <w:ilvl w:val="0"/>
          <w:numId w:val="42"/>
        </w:numPr>
        <w:ind w:firstLineChars="0"/>
        <w:rPr>
          <w:b/>
          <w:color w:val="auto"/>
          <w:highlight w:val="none"/>
        </w:rPr>
      </w:pPr>
      <w:r>
        <w:rPr>
          <w:b/>
          <w:color w:val="auto"/>
          <w:highlight w:val="none"/>
        </w:rPr>
        <w:t>诚实信用</w:t>
      </w:r>
    </w:p>
    <w:p w14:paraId="33DFD982">
      <w:pPr>
        <w:pStyle w:val="16"/>
        <w:numPr>
          <w:ilvl w:val="0"/>
          <w:numId w:val="50"/>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009CB933">
      <w:pPr>
        <w:pStyle w:val="16"/>
        <w:numPr>
          <w:ilvl w:val="0"/>
          <w:numId w:val="50"/>
        </w:numPr>
        <w:ind w:firstLineChars="0"/>
        <w:rPr>
          <w:color w:val="auto"/>
          <w:highlight w:val="none"/>
        </w:rPr>
      </w:pPr>
      <w:r>
        <w:rPr>
          <w:color w:val="auto"/>
          <w:highlight w:val="none"/>
        </w:rPr>
        <w:t>供应商不得向代理机构工作人员、评审小组成员行贿或者采取其他不正当手段谋取成交。经查实供应商有此行为的，采购管理部门将供应商列入不良行为记录名单，按照有关规定处理。</w:t>
      </w:r>
    </w:p>
    <w:p w14:paraId="4A29A245">
      <w:pPr>
        <w:pStyle w:val="16"/>
        <w:numPr>
          <w:ilvl w:val="0"/>
          <w:numId w:val="50"/>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04B8B9E">
      <w:pPr>
        <w:pStyle w:val="16"/>
        <w:numPr>
          <w:ilvl w:val="0"/>
          <w:numId w:val="50"/>
        </w:numPr>
        <w:ind w:firstLineChars="0"/>
        <w:rPr>
          <w:color w:val="auto"/>
          <w:highlight w:val="none"/>
        </w:rPr>
      </w:pPr>
      <w:r>
        <w:rPr>
          <w:color w:val="auto"/>
          <w:highlight w:val="none"/>
        </w:rPr>
        <w:t>供应商不得虚假承诺，否则，按照提供虚假材料谋取成交处理。</w:t>
      </w:r>
    </w:p>
    <w:p w14:paraId="4E3D7D66">
      <w:pPr>
        <w:rPr>
          <w:rFonts w:ascii="宋体" w:hAnsi="宋体" w:cs="黑体"/>
          <w:b/>
          <w:color w:val="auto"/>
          <w:sz w:val="36"/>
          <w:highlight w:val="none"/>
        </w:rPr>
      </w:pPr>
      <w:r>
        <w:rPr>
          <w:rFonts w:ascii="宋体" w:hAnsi="宋体" w:cs="黑体"/>
          <w:b/>
          <w:color w:val="auto"/>
          <w:sz w:val="36"/>
          <w:highlight w:val="none"/>
        </w:rPr>
        <w:br w:type="page"/>
      </w:r>
    </w:p>
    <w:p w14:paraId="0E25DCE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17A127F6">
      <w:pPr>
        <w:pStyle w:val="16"/>
        <w:numPr>
          <w:ilvl w:val="0"/>
          <w:numId w:val="51"/>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500BD3E5">
      <w:pPr>
        <w:pStyle w:val="16"/>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26A03037">
      <w:pPr>
        <w:pStyle w:val="16"/>
        <w:keepNext w:val="0"/>
        <w:keepLines w:val="0"/>
        <w:pageBreakBefore w:val="0"/>
        <w:widowControl w:val="0"/>
        <w:kinsoku/>
        <w:wordWrap/>
        <w:overflowPunct/>
        <w:topLinePunct w:val="0"/>
        <w:autoSpaceDE/>
        <w:autoSpaceDN/>
        <w:bidi w:val="0"/>
        <w:adjustRightInd/>
        <w:snapToGrid/>
        <w:spacing w:after="0"/>
        <w:ind w:firstLine="480"/>
        <w:textAlignment w:val="auto"/>
        <w:rPr>
          <w:rFonts w:hint="eastAsia"/>
          <w:color w:val="auto"/>
          <w:highlight w:val="none"/>
        </w:rPr>
      </w:pPr>
      <w:r>
        <w:rPr>
          <w:rFonts w:hint="eastAsia"/>
          <w:color w:val="auto"/>
          <w:highlight w:val="none"/>
        </w:rPr>
        <w:t>评审小组根据供应商总得分由高到低的顺序推荐前三名作为成交候选人。总得分相同的，按响应报价由低到高顺序排列；总得分及响应报价相同的，由评审小组按照评审因素的量化指标评审得分最高的供应商为排名第一的成交候选人。</w:t>
      </w:r>
    </w:p>
    <w:p w14:paraId="0C141024">
      <w:pPr>
        <w:rPr>
          <w:color w:val="auto"/>
          <w:highlight w:val="none"/>
        </w:rPr>
      </w:pPr>
    </w:p>
    <w:p w14:paraId="506A69B1">
      <w:pPr>
        <w:pStyle w:val="16"/>
        <w:numPr>
          <w:ilvl w:val="0"/>
          <w:numId w:val="51"/>
        </w:numPr>
        <w:ind w:firstLineChars="0"/>
        <w:rPr>
          <w:b/>
          <w:color w:val="auto"/>
          <w:highlight w:val="none"/>
        </w:rPr>
      </w:pPr>
      <w:r>
        <w:rPr>
          <w:b/>
          <w:color w:val="auto"/>
          <w:highlight w:val="none"/>
        </w:rPr>
        <w:t>评分标准</w:t>
      </w:r>
    </w:p>
    <w:tbl>
      <w:tblPr>
        <w:tblStyle w:val="45"/>
        <w:tblpPr w:leftFromText="180" w:rightFromText="180" w:vertAnchor="text" w:horzAnchor="page" w:tblpX="2007" w:tblpY="5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7"/>
        <w:gridCol w:w="6959"/>
      </w:tblGrid>
      <w:tr w14:paraId="515B3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337" w:type="dxa"/>
            <w:vAlign w:val="center"/>
          </w:tcPr>
          <w:p w14:paraId="17B42F1C">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ascii="宋体" w:hAnsi="宋体"/>
                <w:color w:val="auto"/>
                <w:szCs w:val="21"/>
                <w:highlight w:val="none"/>
              </w:rPr>
            </w:pPr>
            <w:r>
              <w:rPr>
                <w:rFonts w:hint="eastAsia" w:ascii="宋体" w:hAnsi="宋体" w:cs="仿宋"/>
                <w:b/>
                <w:bCs/>
                <w:color w:val="auto"/>
                <w:szCs w:val="21"/>
                <w:highlight w:val="none"/>
              </w:rPr>
              <w:t>评分因素</w:t>
            </w:r>
          </w:p>
        </w:tc>
        <w:tc>
          <w:tcPr>
            <w:tcW w:w="6959" w:type="dxa"/>
            <w:vAlign w:val="center"/>
          </w:tcPr>
          <w:p w14:paraId="707D44A9">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ascii="宋体" w:hAnsi="宋体"/>
                <w:color w:val="auto"/>
                <w:szCs w:val="21"/>
                <w:highlight w:val="none"/>
              </w:rPr>
            </w:pPr>
            <w:r>
              <w:rPr>
                <w:rFonts w:hint="eastAsia" w:ascii="宋体" w:hAnsi="宋体" w:cs="仿宋"/>
                <w:b/>
                <w:bCs/>
                <w:color w:val="auto"/>
                <w:szCs w:val="21"/>
                <w:highlight w:val="none"/>
              </w:rPr>
              <w:t>评审标准分值</w:t>
            </w:r>
          </w:p>
        </w:tc>
      </w:tr>
      <w:tr w14:paraId="6C3B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7" w:type="dxa"/>
            <w:vAlign w:val="center"/>
          </w:tcPr>
          <w:p w14:paraId="6F53124E">
            <w:pPr>
              <w:keepNext w:val="0"/>
              <w:keepLines w:val="0"/>
              <w:pageBreakBefore w:val="0"/>
              <w:kinsoku/>
              <w:wordWrap/>
              <w:overflowPunct/>
              <w:topLinePunct w:val="0"/>
              <w:autoSpaceDE/>
              <w:autoSpaceDN/>
              <w:bidi w:val="0"/>
              <w:adjustRightInd w:val="0"/>
              <w:snapToGrid w:val="0"/>
              <w:spacing w:line="300" w:lineRule="auto"/>
              <w:jc w:val="center"/>
              <w:textAlignment w:val="auto"/>
              <w:rPr>
                <w:rFonts w:ascii="宋体" w:hAnsi="宋体" w:cs="仿宋"/>
                <w:b/>
                <w:bCs/>
                <w:color w:val="auto"/>
                <w:szCs w:val="21"/>
                <w:highlight w:val="none"/>
              </w:rPr>
            </w:pPr>
            <w:r>
              <w:rPr>
                <w:rFonts w:hint="eastAsia" w:ascii="宋体" w:hAnsi="宋体" w:cs="仿宋"/>
                <w:b/>
                <w:bCs/>
                <w:color w:val="auto"/>
                <w:szCs w:val="21"/>
                <w:highlight w:val="none"/>
              </w:rPr>
              <w:t>响应报价</w:t>
            </w:r>
          </w:p>
          <w:p w14:paraId="622C3BCB">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ascii="宋体" w:hAnsi="宋体"/>
                <w:color w:val="auto"/>
                <w:szCs w:val="21"/>
                <w:highlight w:val="none"/>
              </w:rPr>
            </w:pPr>
            <w:r>
              <w:rPr>
                <w:rFonts w:hint="eastAsia" w:ascii="宋体" w:hAnsi="宋体" w:cs="仿宋"/>
                <w:b/>
                <w:bCs/>
                <w:color w:val="auto"/>
                <w:szCs w:val="21"/>
                <w:highlight w:val="none"/>
              </w:rPr>
              <w:t>（40分）</w:t>
            </w:r>
          </w:p>
        </w:tc>
        <w:tc>
          <w:tcPr>
            <w:tcW w:w="6959" w:type="dxa"/>
            <w:vAlign w:val="center"/>
          </w:tcPr>
          <w:p w14:paraId="7455B469">
            <w:pPr>
              <w:keepNext w:val="0"/>
              <w:keepLines w:val="0"/>
              <w:pageBreakBefore w:val="0"/>
              <w:kinsoku/>
              <w:wordWrap/>
              <w:overflowPunct/>
              <w:topLinePunct w:val="0"/>
              <w:autoSpaceDE/>
              <w:autoSpaceDN/>
              <w:bidi w:val="0"/>
              <w:adjustRightInd w:val="0"/>
              <w:snapToGrid w:val="0"/>
              <w:spacing w:line="300" w:lineRule="auto"/>
              <w:jc w:val="left"/>
              <w:textAlignment w:val="auto"/>
              <w:rPr>
                <w:rFonts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价格分采用低价优先法计算，即满足采购文件要求且报价最低的供应商报价为评审基准价，其价格分为满分40分，其它供应商的价格分统一按照以下公式计算：报价得分=(最低报价/该单位的响应报价)*40。</w:t>
            </w:r>
          </w:p>
        </w:tc>
      </w:tr>
      <w:tr w14:paraId="64FC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vAlign w:val="center"/>
          </w:tcPr>
          <w:p w14:paraId="77978A34">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3E352360">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olor w:val="auto"/>
                <w:szCs w:val="21"/>
                <w:highlight w:val="none"/>
              </w:rPr>
            </w:pPr>
            <w:r>
              <w:rPr>
                <w:rFonts w:hint="eastAsia" w:ascii="宋体" w:hAnsi="宋体"/>
                <w:color w:val="auto"/>
                <w:szCs w:val="21"/>
                <w:highlight w:val="none"/>
              </w:rPr>
              <w:t>(一)评审过程中出现下列情形之一的，评审小组应当启动异常低价响应审查程序:</w:t>
            </w:r>
          </w:p>
          <w:p w14:paraId="0B62216C">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57C5A30E">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07A6B7BD">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olor w:val="auto"/>
                <w:szCs w:val="21"/>
                <w:highlight w:val="none"/>
              </w:rPr>
            </w:pPr>
            <w:r>
              <w:rPr>
                <w:rFonts w:hint="eastAsia" w:ascii="宋体" w:hAnsi="宋体"/>
                <w:color w:val="auto"/>
                <w:szCs w:val="21"/>
                <w:highlight w:val="none"/>
              </w:rPr>
              <w:t>3.评审小组认定的供应商报价过低、有可能影响产品质量或者不能诚信履约的其他情形。</w:t>
            </w:r>
          </w:p>
          <w:p w14:paraId="411FFDD3">
            <w:pPr>
              <w:keepNext w:val="0"/>
              <w:keepLines w:val="0"/>
              <w:pageBreakBefore w:val="0"/>
              <w:kinsoku/>
              <w:wordWrap/>
              <w:overflowPunct/>
              <w:topLinePunct w:val="0"/>
              <w:autoSpaceDE/>
              <w:autoSpaceDN/>
              <w:bidi w:val="0"/>
              <w:adjustRightInd w:val="0"/>
              <w:snapToGrid w:val="0"/>
              <w:spacing w:line="300" w:lineRule="auto"/>
              <w:jc w:val="left"/>
              <w:textAlignment w:val="auto"/>
              <w:rPr>
                <w:rFonts w:ascii="宋体" w:hAnsi="宋体"/>
                <w:color w:val="auto"/>
                <w:szCs w:val="21"/>
                <w:highlight w:val="none"/>
              </w:rPr>
            </w:pPr>
            <w:r>
              <w:rPr>
                <w:rFonts w:hint="eastAsia" w:ascii="宋体" w:hAnsi="宋体"/>
                <w:color w:val="auto"/>
                <w:szCs w:val="21"/>
                <w:highlight w:val="none"/>
              </w:rPr>
              <w:t>(二)启动异常低价响应审查后，评审小组应当要求相关供应商在评审现场合理的时间内，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w:t>
            </w:r>
          </w:p>
        </w:tc>
      </w:tr>
      <w:tr w14:paraId="1388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1337" w:type="dxa"/>
            <w:vAlign w:val="center"/>
          </w:tcPr>
          <w:p w14:paraId="41DC5DE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210" w:line="85" w:lineRule="atLeast"/>
              <w:jc w:val="center"/>
              <w:textAlignment w:val="auto"/>
              <w:rPr>
                <w:rFonts w:ascii="宋体" w:hAnsi="宋体" w:cs="宋体"/>
                <w:b/>
                <w:color w:val="auto"/>
                <w:szCs w:val="21"/>
                <w:highlight w:val="none"/>
              </w:rPr>
            </w:pPr>
            <w:r>
              <w:rPr>
                <w:rFonts w:hint="eastAsia" w:ascii="宋体" w:hAnsi="宋体" w:cs="宋体"/>
                <w:b/>
                <w:color w:val="auto"/>
                <w:szCs w:val="21"/>
                <w:highlight w:val="none"/>
              </w:rPr>
              <w:t>业绩</w:t>
            </w:r>
          </w:p>
          <w:p w14:paraId="190C102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210" w:line="85" w:lineRule="atLeast"/>
              <w:jc w:val="center"/>
              <w:textAlignment w:val="auto"/>
              <w:rPr>
                <w:rFonts w:ascii="宋体" w:hAnsi="宋体" w:cs="仿宋"/>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分）</w:t>
            </w:r>
          </w:p>
        </w:tc>
        <w:tc>
          <w:tcPr>
            <w:tcW w:w="6959" w:type="dxa"/>
            <w:vAlign w:val="center"/>
          </w:tcPr>
          <w:p w14:paraId="24BEBEDD">
            <w:pPr>
              <w:keepNext w:val="0"/>
              <w:keepLines w:val="0"/>
              <w:pageBreakBefore w:val="0"/>
              <w:kinsoku/>
              <w:wordWrap/>
              <w:overflowPunct/>
              <w:topLinePunct w:val="0"/>
              <w:autoSpaceDE/>
              <w:autoSpaceDN/>
              <w:bidi w:val="0"/>
              <w:textAlignment w:val="auto"/>
              <w:rPr>
                <w:rFonts w:hint="eastAsia" w:ascii="宋体" w:hAnsi="宋体" w:cs="宋体"/>
                <w:b/>
                <w:color w:val="auto"/>
                <w:szCs w:val="21"/>
                <w:highlight w:val="none"/>
                <w:lang w:eastAsia="zh-CN"/>
              </w:rPr>
            </w:pPr>
            <w:r>
              <w:rPr>
                <w:rFonts w:hint="eastAsia" w:ascii="宋体" w:hAnsi="宋体" w:cs="宋体"/>
                <w:b/>
                <w:color w:val="auto"/>
                <w:szCs w:val="21"/>
                <w:highlight w:val="none"/>
              </w:rPr>
              <w:t>1</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企业业绩</w:t>
            </w:r>
            <w:r>
              <w:rPr>
                <w:rFonts w:hint="eastAsia" w:ascii="宋体" w:hAnsi="宋体" w:cs="宋体"/>
                <w:b/>
                <w:color w:val="auto"/>
                <w:szCs w:val="21"/>
                <w:highlight w:val="none"/>
                <w:lang w:eastAsia="zh-CN"/>
              </w:rPr>
              <w:t>：</w:t>
            </w:r>
          </w:p>
          <w:p w14:paraId="2F599984">
            <w:pPr>
              <w:keepNext w:val="0"/>
              <w:keepLines w:val="0"/>
              <w:pageBreakBefore w:val="0"/>
              <w:kinsoku/>
              <w:wordWrap/>
              <w:overflowPunct/>
              <w:topLinePunct w:val="0"/>
              <w:autoSpaceDE/>
              <w:autoSpaceDN/>
              <w:bidi w:val="0"/>
              <w:adjustRightInd w:val="0"/>
              <w:snapToGrid w:val="0"/>
              <w:textAlignment w:val="auto"/>
              <w:rPr>
                <w:rFonts w:hint="eastAsia" w:ascii="宋体" w:hAnsi="宋体" w:cs="宋体"/>
                <w:color w:val="auto"/>
                <w:szCs w:val="21"/>
                <w:highlight w:val="none"/>
              </w:rPr>
            </w:pPr>
            <w:r>
              <w:rPr>
                <w:rFonts w:hint="eastAsia" w:ascii="宋体" w:hAnsi="宋体" w:cs="宋体"/>
                <w:color w:val="auto"/>
                <w:szCs w:val="21"/>
                <w:highlight w:val="none"/>
              </w:rPr>
              <w:t>供应商自2022年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月1日以来（以合同签订时间为准）具有本项目类似的</w:t>
            </w:r>
            <w:r>
              <w:rPr>
                <w:rFonts w:hint="eastAsia" w:ascii="宋体" w:hAnsi="宋体" w:cs="宋体"/>
                <w:color w:val="auto"/>
                <w:szCs w:val="21"/>
                <w:highlight w:val="none"/>
                <w:lang w:eastAsia="zh-CN"/>
              </w:rPr>
              <w:t>电力</w:t>
            </w:r>
            <w:r>
              <w:rPr>
                <w:rFonts w:hint="eastAsia" w:ascii="宋体" w:hAnsi="宋体" w:cs="宋体"/>
                <w:color w:val="auto"/>
                <w:szCs w:val="21"/>
                <w:highlight w:val="none"/>
                <w:lang w:eastAsia="zh-CN"/>
              </w:rPr>
              <w:t>（改造）</w:t>
            </w:r>
            <w:r>
              <w:rPr>
                <w:rFonts w:hint="eastAsia" w:ascii="宋体" w:hAnsi="宋体" w:cs="宋体"/>
                <w:color w:val="auto"/>
                <w:szCs w:val="21"/>
                <w:highlight w:val="none"/>
                <w:lang w:eastAsia="zh-CN"/>
              </w:rPr>
              <w:t>工程</w:t>
            </w:r>
            <w:r>
              <w:rPr>
                <w:rFonts w:hint="eastAsia" w:ascii="宋体" w:hAnsi="宋体" w:cs="宋体"/>
                <w:color w:val="auto"/>
                <w:szCs w:val="21"/>
                <w:highlight w:val="none"/>
              </w:rPr>
              <w:t>业绩，每提供一个业绩得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分，最多得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p w14:paraId="5B0A7ABA">
            <w:pPr>
              <w:keepNext w:val="0"/>
              <w:keepLines w:val="0"/>
              <w:pageBreakBefore w:val="0"/>
              <w:kinsoku/>
              <w:wordWrap/>
              <w:overflowPunct/>
              <w:topLinePunct w:val="0"/>
              <w:autoSpaceDE/>
              <w:autoSpaceDN/>
              <w:bidi w:val="0"/>
              <w:adjustRightInd w:val="0"/>
              <w:snapToGrid w:val="0"/>
              <w:textAlignment w:val="auto"/>
              <w:rPr>
                <w:rFonts w:ascii="宋体" w:hAnsi="宋体" w:cs="宋体"/>
                <w:b/>
                <w:color w:val="auto"/>
                <w:highlight w:val="none"/>
              </w:rPr>
            </w:pPr>
            <w:r>
              <w:rPr>
                <w:rFonts w:hint="eastAsia" w:ascii="宋体" w:hAnsi="宋体" w:cs="宋体"/>
                <w:b/>
                <w:color w:val="auto"/>
                <w:szCs w:val="21"/>
                <w:highlight w:val="none"/>
              </w:rPr>
              <w:t>2</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项目经理业绩</w:t>
            </w:r>
          </w:p>
          <w:p w14:paraId="43EDCF72">
            <w:pPr>
              <w:keepNext w:val="0"/>
              <w:keepLines w:val="0"/>
              <w:pageBreakBefore w:val="0"/>
              <w:kinsoku/>
              <w:wordWrap/>
              <w:overflowPunct/>
              <w:topLinePunct w:val="0"/>
              <w:autoSpaceDE/>
              <w:autoSpaceDN/>
              <w:bidi w:val="0"/>
              <w:adjustRightInd w:val="0"/>
              <w:snapToGrid w:val="0"/>
              <w:textAlignment w:val="auto"/>
              <w:rPr>
                <w:rFonts w:ascii="宋体" w:hAnsi="宋体" w:cs="宋体"/>
                <w:color w:val="auto"/>
                <w:highlight w:val="none"/>
              </w:rPr>
            </w:pPr>
            <w:r>
              <w:rPr>
                <w:rFonts w:hint="eastAsia" w:ascii="宋体" w:hAnsi="宋体" w:cs="宋体"/>
                <w:color w:val="auto"/>
                <w:szCs w:val="21"/>
                <w:highlight w:val="none"/>
              </w:rPr>
              <w:t>项目经理自20</w:t>
            </w:r>
            <w:r>
              <w:rPr>
                <w:rFonts w:ascii="宋体" w:hAnsi="宋体" w:cs="宋体"/>
                <w:color w:val="auto"/>
                <w:szCs w:val="21"/>
                <w:highlight w:val="none"/>
              </w:rPr>
              <w:t>2</w:t>
            </w:r>
            <w:r>
              <w:rPr>
                <w:rFonts w:hint="eastAsia" w:ascii="宋体" w:hAnsi="宋体" w:cs="宋体"/>
                <w:color w:val="auto"/>
                <w:szCs w:val="21"/>
                <w:highlight w:val="none"/>
              </w:rPr>
              <w:t>2年1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月1日（含）以来，承担过类似的</w:t>
            </w:r>
            <w:r>
              <w:rPr>
                <w:rFonts w:hint="eastAsia" w:ascii="宋体" w:hAnsi="宋体" w:cs="宋体"/>
                <w:color w:val="auto"/>
                <w:szCs w:val="21"/>
                <w:highlight w:val="none"/>
                <w:lang w:eastAsia="zh-CN"/>
              </w:rPr>
              <w:t>电力改造工程</w:t>
            </w:r>
            <w:r>
              <w:rPr>
                <w:rFonts w:hint="eastAsia" w:ascii="宋体" w:hAnsi="宋体" w:cs="宋体"/>
                <w:color w:val="auto"/>
                <w:szCs w:val="21"/>
                <w:highlight w:val="none"/>
              </w:rPr>
              <w:t>业绩，每提供一份业绩得</w:t>
            </w:r>
            <w:r>
              <w:rPr>
                <w:rFonts w:ascii="宋体" w:hAnsi="宋体" w:cs="宋体"/>
                <w:color w:val="auto"/>
                <w:szCs w:val="21"/>
                <w:highlight w:val="none"/>
              </w:rPr>
              <w:t>3</w:t>
            </w:r>
            <w:r>
              <w:rPr>
                <w:rFonts w:hint="eastAsia" w:ascii="宋体" w:hAnsi="宋体" w:cs="宋体"/>
                <w:color w:val="auto"/>
                <w:szCs w:val="21"/>
                <w:highlight w:val="none"/>
              </w:rPr>
              <w:t>分，最多得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59316EE1">
            <w:pPr>
              <w:keepNext w:val="0"/>
              <w:keepLines w:val="0"/>
              <w:pageBreakBefore w:val="0"/>
              <w:kinsoku/>
              <w:wordWrap/>
              <w:overflowPunct/>
              <w:topLinePunct w:val="0"/>
              <w:autoSpaceDE/>
              <w:autoSpaceDN/>
              <w:bidi w:val="0"/>
              <w:textAlignment w:val="auto"/>
              <w:rPr>
                <w:rFonts w:hint="eastAsia" w:ascii="宋体" w:hAnsi="宋体" w:cs="宋体"/>
                <w:b/>
                <w:bCs/>
                <w:color w:val="auto"/>
                <w:szCs w:val="21"/>
                <w:highlight w:val="none"/>
              </w:rPr>
            </w:pPr>
            <w:r>
              <w:rPr>
                <w:rFonts w:hint="eastAsia" w:ascii="宋体" w:hAnsi="宋体" w:cs="宋体"/>
                <w:color w:val="auto"/>
                <w:szCs w:val="21"/>
                <w:highlight w:val="none"/>
              </w:rPr>
              <w:t>（注：</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提供合同、竣工验收合格证明（建设单位、施工单位、监理单位三方盖章），要求扫描件清晰可见，否则</w:t>
            </w:r>
            <w:r>
              <w:rPr>
                <w:rFonts w:hint="eastAsia" w:ascii="宋体" w:hAnsi="宋体" w:cs="宋体"/>
                <w:color w:val="auto"/>
                <w:szCs w:val="21"/>
                <w:highlight w:val="none"/>
                <w:lang w:eastAsia="zh-CN"/>
              </w:rPr>
              <w:t>不予认可</w:t>
            </w:r>
            <w:r>
              <w:rPr>
                <w:rFonts w:hint="eastAsia" w:ascii="宋体" w:hAnsi="宋体" w:cs="宋体"/>
                <w:color w:val="auto"/>
                <w:szCs w:val="21"/>
                <w:highlight w:val="none"/>
              </w:rPr>
              <w:t>。不提供不得分。如核实后为虚假合同，采购人有权取消其</w:t>
            </w:r>
            <w:r>
              <w:rPr>
                <w:rFonts w:hint="eastAsia" w:ascii="宋体" w:hAnsi="宋体" w:cs="宋体"/>
                <w:color w:val="auto"/>
                <w:szCs w:val="21"/>
                <w:highlight w:val="none"/>
                <w:lang w:eastAsia="zh-CN"/>
              </w:rPr>
              <w:t>成交</w:t>
            </w:r>
            <w:r>
              <w:rPr>
                <w:rFonts w:hint="eastAsia" w:ascii="宋体" w:hAnsi="宋体" w:cs="宋体"/>
                <w:color w:val="auto"/>
                <w:szCs w:val="21"/>
                <w:highlight w:val="none"/>
              </w:rPr>
              <w:t>资格，并进一步追究其法律责任。</w:t>
            </w:r>
            <w:r>
              <w:rPr>
                <w:rFonts w:hint="eastAsia" w:ascii="宋体" w:hAnsi="宋体" w:cs="宋体"/>
                <w:b/>
                <w:bCs/>
                <w:color w:val="auto"/>
                <w:szCs w:val="21"/>
                <w:highlight w:val="none"/>
              </w:rPr>
              <w:t>企业业绩与项目经理业绩不可兼得。</w:t>
            </w:r>
          </w:p>
          <w:p w14:paraId="13F0F2AE">
            <w:pPr>
              <w:keepNext w:val="0"/>
              <w:keepLines w:val="0"/>
              <w:pageBreakBefore w:val="0"/>
              <w:kinsoku/>
              <w:wordWrap/>
              <w:overflowPunct/>
              <w:topLinePunct w:val="0"/>
              <w:autoSpaceDE/>
              <w:autoSpaceDN/>
              <w:bidi w:val="0"/>
              <w:textAlignment w:val="auto"/>
              <w:rPr>
                <w:color w:val="auto"/>
                <w:highlight w:val="none"/>
              </w:rPr>
            </w:pPr>
          </w:p>
        </w:tc>
      </w:tr>
      <w:tr w14:paraId="460D7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1337" w:type="dxa"/>
            <w:vAlign w:val="center"/>
          </w:tcPr>
          <w:p w14:paraId="19135E0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ascii="宋体" w:hAnsi="宋体" w:cs="宋体"/>
                <w:b/>
                <w:color w:val="auto"/>
                <w:szCs w:val="21"/>
                <w:highlight w:val="none"/>
              </w:rPr>
            </w:pPr>
            <w:r>
              <w:rPr>
                <w:rFonts w:hint="eastAsia" w:ascii="宋体" w:hAnsi="宋体" w:cs="宋体"/>
                <w:b/>
                <w:color w:val="auto"/>
                <w:szCs w:val="21"/>
                <w:highlight w:val="none"/>
              </w:rPr>
              <w:t>人员配置</w:t>
            </w:r>
          </w:p>
          <w:p w14:paraId="2DE69D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12</w:t>
            </w:r>
            <w:r>
              <w:rPr>
                <w:rFonts w:hint="eastAsia" w:ascii="宋体" w:hAnsi="宋体" w:cs="宋体"/>
                <w:b/>
                <w:color w:val="auto"/>
                <w:szCs w:val="21"/>
                <w:highlight w:val="none"/>
              </w:rPr>
              <w:t>分）</w:t>
            </w:r>
          </w:p>
        </w:tc>
        <w:tc>
          <w:tcPr>
            <w:tcW w:w="6959" w:type="dxa"/>
            <w:vAlign w:val="center"/>
          </w:tcPr>
          <w:p w14:paraId="295AD6B8">
            <w:pPr>
              <w:keepNext w:val="0"/>
              <w:keepLines w:val="0"/>
              <w:pageBreakBefore w:val="0"/>
              <w:widowControl/>
              <w:numPr>
                <w:ilvl w:val="0"/>
                <w:numId w:val="52"/>
              </w:numPr>
              <w:kinsoku/>
              <w:wordWrap/>
              <w:overflowPunct/>
              <w:topLinePunct w:val="0"/>
              <w:autoSpaceDE/>
              <w:autoSpaceDN/>
              <w:bidi w:val="0"/>
              <w:adjustRightInd w:val="0"/>
              <w:snapToGrid w:val="0"/>
              <w:textAlignment w:val="auto"/>
              <w:rPr>
                <w:rFonts w:hint="eastAsia" w:ascii="宋体" w:hAnsi="宋体" w:cs="宋体"/>
                <w:b/>
                <w:color w:val="auto"/>
                <w:sz w:val="22"/>
                <w:highlight w:val="none"/>
              </w:rPr>
            </w:pPr>
            <w:r>
              <w:rPr>
                <w:rFonts w:hint="eastAsia" w:ascii="宋体" w:hAnsi="宋体" w:cs="宋体"/>
                <w:b/>
                <w:bCs/>
                <w:color w:val="auto"/>
                <w:sz w:val="22"/>
                <w:highlight w:val="none"/>
              </w:rPr>
              <w:t>项目</w:t>
            </w:r>
            <w:r>
              <w:rPr>
                <w:rFonts w:hint="eastAsia" w:ascii="宋体" w:hAnsi="宋体" w:cs="宋体"/>
                <w:b/>
                <w:bCs/>
                <w:color w:val="auto"/>
                <w:sz w:val="22"/>
                <w:highlight w:val="none"/>
                <w:lang w:val="en-US" w:eastAsia="zh-CN"/>
              </w:rPr>
              <w:t>技术负责人</w:t>
            </w:r>
            <w:r>
              <w:rPr>
                <w:rFonts w:hint="eastAsia" w:ascii="宋体" w:hAnsi="宋体" w:cs="宋体"/>
                <w:b/>
                <w:color w:val="auto"/>
                <w:sz w:val="22"/>
                <w:highlight w:val="none"/>
              </w:rPr>
              <w:t>：</w:t>
            </w:r>
          </w:p>
          <w:p w14:paraId="53B44B58">
            <w:pPr>
              <w:keepNext w:val="0"/>
              <w:keepLines w:val="0"/>
              <w:pageBreakBefore w:val="0"/>
              <w:widowControl/>
              <w:numPr>
                <w:ilvl w:val="0"/>
                <w:numId w:val="0"/>
              </w:numPr>
              <w:kinsoku/>
              <w:wordWrap/>
              <w:overflowPunct/>
              <w:topLinePunct w:val="0"/>
              <w:autoSpaceDE/>
              <w:autoSpaceDN/>
              <w:bidi w:val="0"/>
              <w:adjustRightInd w:val="0"/>
              <w:snapToGrid w:val="0"/>
              <w:textAlignment w:val="auto"/>
              <w:rPr>
                <w:rFonts w:ascii="宋体" w:hAnsi="宋体" w:cs="宋体"/>
                <w:color w:val="auto"/>
                <w:szCs w:val="21"/>
                <w:highlight w:val="none"/>
              </w:rPr>
            </w:pPr>
            <w:r>
              <w:rPr>
                <w:rFonts w:hint="eastAsia" w:ascii="宋体" w:hAnsi="宋体" w:cs="宋体"/>
                <w:b/>
                <w:bCs/>
                <w:color w:val="auto"/>
                <w:sz w:val="22"/>
                <w:highlight w:val="none"/>
              </w:rPr>
              <w:t>项目</w:t>
            </w:r>
            <w:r>
              <w:rPr>
                <w:rFonts w:hint="eastAsia" w:ascii="宋体" w:hAnsi="宋体" w:cs="宋体"/>
                <w:b/>
                <w:bCs/>
                <w:color w:val="auto"/>
                <w:sz w:val="22"/>
                <w:highlight w:val="none"/>
                <w:lang w:val="en-US" w:eastAsia="zh-CN"/>
              </w:rPr>
              <w:t>技术负责人</w:t>
            </w:r>
            <w:r>
              <w:rPr>
                <w:rFonts w:hint="eastAsia" w:ascii="宋体" w:hAnsi="宋体" w:cs="宋体"/>
                <w:color w:val="auto"/>
                <w:sz w:val="22"/>
                <w:highlight w:val="none"/>
              </w:rPr>
              <w:t>具有</w:t>
            </w:r>
            <w:r>
              <w:rPr>
                <w:rFonts w:hint="eastAsia" w:ascii="宋体" w:hAnsi="宋体"/>
                <w:color w:val="auto"/>
                <w:szCs w:val="21"/>
                <w:highlight w:val="none"/>
              </w:rPr>
              <w:t>中级职称的得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s="宋体"/>
                <w:color w:val="auto"/>
                <w:sz w:val="22"/>
                <w:highlight w:val="none"/>
              </w:rPr>
              <w:t>具有高级工程师及以上职称的，得</w:t>
            </w:r>
            <w:r>
              <w:rPr>
                <w:rFonts w:hint="eastAsia" w:ascii="宋体" w:hAnsi="宋体" w:cs="宋体"/>
                <w:color w:val="auto"/>
                <w:sz w:val="22"/>
                <w:highlight w:val="none"/>
                <w:lang w:val="en-US" w:eastAsia="zh-CN"/>
              </w:rPr>
              <w:t>2</w:t>
            </w:r>
            <w:r>
              <w:rPr>
                <w:rFonts w:hint="eastAsia" w:ascii="宋体" w:hAnsi="宋体" w:cs="宋体"/>
                <w:color w:val="auto"/>
                <w:sz w:val="22"/>
                <w:highlight w:val="none"/>
              </w:rPr>
              <w:t>分。</w:t>
            </w:r>
            <w:r>
              <w:rPr>
                <w:rFonts w:hint="eastAsia" w:ascii="宋体" w:hAnsi="宋体"/>
                <w:color w:val="auto"/>
                <w:szCs w:val="21"/>
                <w:highlight w:val="none"/>
              </w:rPr>
              <w:t>本项最多得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2F50BDC2">
            <w:pPr>
              <w:keepNext w:val="0"/>
              <w:keepLines w:val="0"/>
              <w:pageBreakBefore w:val="0"/>
              <w:widowControl/>
              <w:numPr>
                <w:ilvl w:val="0"/>
                <w:numId w:val="52"/>
              </w:numPr>
              <w:kinsoku/>
              <w:wordWrap/>
              <w:overflowPunct/>
              <w:topLinePunct w:val="0"/>
              <w:autoSpaceDE/>
              <w:autoSpaceDN/>
              <w:bidi w:val="0"/>
              <w:adjustRightInd w:val="0"/>
              <w:snapToGrid w:val="0"/>
              <w:ind w:left="0" w:leftChars="0" w:firstLine="0" w:firstLineChars="0"/>
              <w:textAlignment w:val="auto"/>
              <w:rPr>
                <w:rFonts w:hint="eastAsia" w:ascii="宋体" w:hAnsi="宋体"/>
                <w:b/>
                <w:color w:val="auto"/>
                <w:szCs w:val="21"/>
                <w:highlight w:val="none"/>
                <w:lang w:eastAsia="zh-CN"/>
              </w:rPr>
            </w:pPr>
            <w:r>
              <w:rPr>
                <w:rFonts w:hint="eastAsia" w:ascii="宋体" w:hAnsi="宋体" w:cs="宋体"/>
                <w:b/>
                <w:color w:val="auto"/>
                <w:sz w:val="22"/>
                <w:highlight w:val="none"/>
              </w:rPr>
              <w:t>项目组成员</w:t>
            </w:r>
            <w:r>
              <w:rPr>
                <w:rFonts w:hint="eastAsia" w:ascii="宋体" w:hAnsi="宋体"/>
                <w:b/>
                <w:color w:val="auto"/>
                <w:szCs w:val="21"/>
                <w:highlight w:val="none"/>
              </w:rPr>
              <w:t>（</w:t>
            </w:r>
            <w:r>
              <w:rPr>
                <w:rFonts w:hint="eastAsia" w:ascii="宋体" w:hAnsi="宋体" w:cs="宋体"/>
                <w:b/>
                <w:bCs/>
                <w:color w:val="auto"/>
                <w:sz w:val="22"/>
                <w:highlight w:val="none"/>
              </w:rPr>
              <w:t>项目</w:t>
            </w:r>
            <w:r>
              <w:rPr>
                <w:rFonts w:hint="eastAsia" w:ascii="宋体" w:hAnsi="宋体" w:cs="宋体"/>
                <w:b/>
                <w:bCs/>
                <w:color w:val="auto"/>
                <w:sz w:val="22"/>
                <w:highlight w:val="none"/>
                <w:lang w:val="en-US" w:eastAsia="zh-CN"/>
              </w:rPr>
              <w:t>技术负责人</w:t>
            </w:r>
            <w:r>
              <w:rPr>
                <w:rFonts w:hint="eastAsia" w:ascii="宋体" w:hAnsi="宋体"/>
                <w:b/>
                <w:color w:val="auto"/>
                <w:szCs w:val="21"/>
                <w:highlight w:val="none"/>
              </w:rPr>
              <w:t>）</w:t>
            </w:r>
            <w:r>
              <w:rPr>
                <w:rFonts w:hint="eastAsia" w:ascii="宋体" w:hAnsi="宋体"/>
                <w:b/>
                <w:color w:val="auto"/>
                <w:szCs w:val="21"/>
                <w:highlight w:val="none"/>
                <w:lang w:eastAsia="zh-CN"/>
              </w:rPr>
              <w:t>：</w:t>
            </w:r>
          </w:p>
          <w:p w14:paraId="30E0DD48">
            <w:pPr>
              <w:keepNext w:val="0"/>
              <w:keepLines w:val="0"/>
              <w:pageBreakBefore w:val="0"/>
              <w:widowControl/>
              <w:numPr>
                <w:ilvl w:val="0"/>
                <w:numId w:val="0"/>
              </w:numPr>
              <w:kinsoku/>
              <w:wordWrap/>
              <w:overflowPunct/>
              <w:topLinePunct w:val="0"/>
              <w:autoSpaceDE/>
              <w:autoSpaceDN/>
              <w:bidi w:val="0"/>
              <w:adjustRightInd w:val="0"/>
              <w:snapToGrid w:val="0"/>
              <w:ind w:leftChars="0"/>
              <w:textAlignment w:val="auto"/>
              <w:rPr>
                <w:rFonts w:ascii="宋体" w:hAnsi="宋体" w:cs="宋体"/>
                <w:color w:val="auto"/>
                <w:szCs w:val="21"/>
                <w:highlight w:val="none"/>
              </w:rPr>
            </w:pPr>
            <w:r>
              <w:rPr>
                <w:rFonts w:hint="eastAsia" w:ascii="宋体" w:hAnsi="宋体" w:cs="宋体"/>
                <w:color w:val="auto"/>
                <w:szCs w:val="21"/>
                <w:highlight w:val="none"/>
              </w:rPr>
              <w:t>本项目</w:t>
            </w:r>
            <w:r>
              <w:rPr>
                <w:rFonts w:hint="eastAsia" w:ascii="宋体" w:hAnsi="宋体" w:cs="宋体"/>
                <w:color w:val="auto"/>
                <w:szCs w:val="21"/>
                <w:highlight w:val="none"/>
                <w:lang w:eastAsia="zh-CN"/>
              </w:rPr>
              <w:t>团队人员</w:t>
            </w:r>
            <w:r>
              <w:rPr>
                <w:rFonts w:hint="eastAsia" w:ascii="宋体" w:hAnsi="宋体" w:cs="宋体"/>
                <w:b w:val="0"/>
                <w:bCs w:val="0"/>
                <w:color w:val="auto"/>
                <w:szCs w:val="21"/>
                <w:highlight w:val="none"/>
              </w:rPr>
              <w:t>除</w:t>
            </w:r>
            <w:r>
              <w:rPr>
                <w:rFonts w:hint="eastAsia" w:ascii="宋体" w:hAnsi="宋体" w:cs="宋体"/>
                <w:b w:val="0"/>
                <w:bCs w:val="0"/>
                <w:color w:val="auto"/>
                <w:sz w:val="22"/>
                <w:highlight w:val="none"/>
              </w:rPr>
              <w:t>项目</w:t>
            </w:r>
            <w:r>
              <w:rPr>
                <w:rFonts w:hint="eastAsia" w:ascii="宋体" w:hAnsi="宋体" w:cs="宋体"/>
                <w:b w:val="0"/>
                <w:bCs w:val="0"/>
                <w:color w:val="auto"/>
                <w:sz w:val="22"/>
                <w:highlight w:val="none"/>
                <w:lang w:val="en-US" w:eastAsia="zh-CN"/>
              </w:rPr>
              <w:t>技术负责人</w:t>
            </w:r>
            <w:r>
              <w:rPr>
                <w:rFonts w:hint="eastAsia" w:ascii="宋体" w:hAnsi="宋体" w:cs="宋体"/>
                <w:color w:val="auto"/>
                <w:szCs w:val="21"/>
                <w:highlight w:val="none"/>
              </w:rPr>
              <w:t>以外，供应商提供造价员或二级及以上注册造价工程师得2分，提供安全员（提供行政主管部门颁发的安全生产考核合格证书）得2分</w:t>
            </w:r>
            <w:r>
              <w:rPr>
                <w:rFonts w:hint="eastAsia" w:ascii="宋体" w:hAnsi="宋体" w:cs="宋体"/>
                <w:color w:val="auto"/>
                <w:szCs w:val="21"/>
                <w:highlight w:val="none"/>
                <w:lang w:eastAsia="zh-CN"/>
              </w:rPr>
              <w:t>，</w:t>
            </w:r>
            <w:r>
              <w:rPr>
                <w:rFonts w:hint="eastAsia" w:ascii="宋体" w:hAnsi="宋体" w:cs="宋体"/>
                <w:color w:val="auto"/>
                <w:szCs w:val="21"/>
                <w:highlight w:val="none"/>
              </w:rPr>
              <w:t>具有质检员、材料员、施工员、资料员，每提供</w:t>
            </w:r>
            <w:r>
              <w:rPr>
                <w:rFonts w:hint="eastAsia" w:ascii="宋体" w:hAnsi="宋体" w:cs="宋体"/>
                <w:color w:val="auto"/>
                <w:szCs w:val="21"/>
                <w:highlight w:val="none"/>
                <w:lang w:eastAsia="zh-CN"/>
              </w:rPr>
              <w:t>上述一种的</w:t>
            </w:r>
            <w:r>
              <w:rPr>
                <w:rFonts w:hint="eastAsia" w:ascii="宋体" w:hAnsi="宋体" w:cs="宋体"/>
                <w:color w:val="auto"/>
                <w:szCs w:val="21"/>
                <w:highlight w:val="none"/>
              </w:rPr>
              <w:t xml:space="preserve">得 </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 分，本项最多得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同种证书不重复得分。</w:t>
            </w:r>
          </w:p>
          <w:p w14:paraId="12C5F6C8">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b/>
                <w:bCs/>
                <w:color w:val="auto"/>
                <w:szCs w:val="21"/>
                <w:highlight w:val="none"/>
              </w:rPr>
              <w:t>注：响应文件中须提供项目组成员分工表</w:t>
            </w:r>
            <w:r>
              <w:rPr>
                <w:rFonts w:hint="eastAsia" w:ascii="宋体" w:hAnsi="宋体" w:cs="宋体"/>
                <w:b/>
                <w:bCs/>
                <w:color w:val="auto"/>
                <w:szCs w:val="21"/>
                <w:highlight w:val="none"/>
                <w:lang w:eastAsia="zh-CN"/>
              </w:rPr>
              <w:t>、证书复印件</w:t>
            </w:r>
            <w:r>
              <w:rPr>
                <w:rFonts w:hint="eastAsia" w:ascii="宋体" w:hAnsi="宋体" w:cs="宋体"/>
                <w:b/>
                <w:bCs/>
                <w:color w:val="auto"/>
                <w:szCs w:val="21"/>
                <w:highlight w:val="none"/>
              </w:rPr>
              <w:t>和供应商为上述所有人员提供的2025年4月以来</w:t>
            </w:r>
            <w:r>
              <w:rPr>
                <w:rFonts w:hint="eastAsia" w:ascii="宋体" w:hAnsi="宋体" w:cs="宋体"/>
                <w:b/>
                <w:bCs/>
                <w:color w:val="auto"/>
                <w:szCs w:val="21"/>
                <w:highlight w:val="none"/>
                <w:lang w:val="en-US" w:eastAsia="zh-CN"/>
              </w:rPr>
              <w:t>连续6</w:t>
            </w:r>
            <w:r>
              <w:rPr>
                <w:rFonts w:hint="eastAsia" w:ascii="宋体" w:hAnsi="宋体" w:cs="宋体"/>
                <w:b/>
                <w:bCs/>
                <w:color w:val="auto"/>
                <w:szCs w:val="21"/>
                <w:highlight w:val="none"/>
              </w:rPr>
              <w:t>个月</w:t>
            </w:r>
            <w:r>
              <w:rPr>
                <w:rFonts w:hint="eastAsia" w:ascii="宋体" w:hAnsi="宋体" w:cs="宋体"/>
                <w:b/>
                <w:bCs/>
                <w:color w:val="auto"/>
                <w:szCs w:val="21"/>
                <w:highlight w:val="none"/>
              </w:rPr>
              <w:t>缴纳的社保证明材料复印件加盖供应商公章，未按要求提供不得分。</w:t>
            </w:r>
          </w:p>
        </w:tc>
      </w:tr>
      <w:tr w14:paraId="5D2D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37" w:type="dxa"/>
            <w:vMerge w:val="restart"/>
            <w:vAlign w:val="center"/>
          </w:tcPr>
          <w:p w14:paraId="213B18E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hint="eastAsia" w:ascii="宋体" w:hAnsi="宋体" w:cs="宋体"/>
                <w:b/>
                <w:color w:val="auto"/>
                <w:szCs w:val="21"/>
                <w:highlight w:val="none"/>
              </w:rPr>
            </w:pPr>
            <w:r>
              <w:rPr>
                <w:rFonts w:hint="eastAsia" w:ascii="宋体" w:hAnsi="宋体" w:cs="宋体"/>
                <w:b/>
                <w:color w:val="auto"/>
                <w:szCs w:val="21"/>
                <w:highlight w:val="none"/>
              </w:rPr>
              <w:t>施工组织</w:t>
            </w:r>
          </w:p>
          <w:p w14:paraId="453D45E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hint="eastAsia" w:ascii="宋体" w:hAnsi="宋体" w:cs="宋体"/>
                <w:b/>
                <w:color w:val="auto"/>
                <w:szCs w:val="21"/>
                <w:highlight w:val="none"/>
              </w:rPr>
            </w:pPr>
            <w:r>
              <w:rPr>
                <w:rFonts w:hint="eastAsia" w:ascii="宋体" w:hAnsi="宋体" w:cs="宋体"/>
                <w:b/>
                <w:color w:val="auto"/>
                <w:szCs w:val="21"/>
                <w:highlight w:val="none"/>
              </w:rPr>
              <w:t>方案</w:t>
            </w:r>
          </w:p>
          <w:p w14:paraId="51951D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25</w:t>
            </w:r>
            <w:r>
              <w:rPr>
                <w:rFonts w:hint="eastAsia" w:ascii="宋体" w:hAnsi="宋体" w:cs="宋体"/>
                <w:b/>
                <w:color w:val="auto"/>
                <w:szCs w:val="21"/>
                <w:highlight w:val="none"/>
              </w:rPr>
              <w:t>分）</w:t>
            </w:r>
          </w:p>
        </w:tc>
        <w:tc>
          <w:tcPr>
            <w:tcW w:w="6959" w:type="dxa"/>
            <w:vAlign w:val="center"/>
          </w:tcPr>
          <w:p w14:paraId="7262B3D1">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完整性和编制水平：包括施工准备工作计划，施工方案，施工进度计划，施工总平面图，劳动力、机械设备、材料和构件供应计划，建筑工地施工业务的组织规划等。有特殊要求的，按照工程特点增加相应内容。</w:t>
            </w:r>
          </w:p>
          <w:p w14:paraId="4E238EF5">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内容完整全面、编制合理得5分；</w:t>
            </w:r>
          </w:p>
          <w:p w14:paraId="6FDD443A">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内容完整，编制一般者得3分；</w:t>
            </w:r>
          </w:p>
          <w:p w14:paraId="01B6102B">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不满足要求的得1分，</w:t>
            </w:r>
          </w:p>
          <w:p w14:paraId="42980EF2">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s="宋体"/>
                <w:color w:val="auto"/>
                <w:szCs w:val="21"/>
                <w:highlight w:val="none"/>
              </w:rPr>
            </w:pPr>
            <w:r>
              <w:rPr>
                <w:rFonts w:hint="eastAsia" w:ascii="宋体" w:hAnsi="宋体" w:cs="宋体"/>
                <w:color w:val="auto"/>
                <w:kern w:val="0"/>
                <w:szCs w:val="21"/>
                <w:highlight w:val="none"/>
              </w:rPr>
              <w:t>未提供的得0分。</w:t>
            </w:r>
          </w:p>
        </w:tc>
      </w:tr>
      <w:tr w14:paraId="5B9E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37" w:type="dxa"/>
            <w:vMerge w:val="continue"/>
            <w:vAlign w:val="center"/>
          </w:tcPr>
          <w:p w14:paraId="0589F325">
            <w:pPr>
              <w:keepNext w:val="0"/>
              <w:keepLines w:val="0"/>
              <w:pageBreakBefore w:val="0"/>
              <w:kinsoku/>
              <w:wordWrap/>
              <w:overflowPunct/>
              <w:topLinePunct w:val="0"/>
              <w:autoSpaceDE/>
              <w:autoSpaceDN/>
              <w:bidi w:val="0"/>
              <w:textAlignment w:val="auto"/>
              <w:rPr>
                <w:color w:val="auto"/>
                <w:highlight w:val="none"/>
              </w:rPr>
            </w:pPr>
          </w:p>
        </w:tc>
        <w:tc>
          <w:tcPr>
            <w:tcW w:w="6959" w:type="dxa"/>
            <w:vAlign w:val="center"/>
          </w:tcPr>
          <w:p w14:paraId="12335A64">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施工方案与技术措施：包括施工程序和施工顺序，施工起点流向，主要分部分项工程的施工方法和施工机械。</w:t>
            </w:r>
          </w:p>
          <w:p w14:paraId="4B399E16">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内容完整、方案科学、措施合理得5分</w:t>
            </w:r>
            <w:r>
              <w:rPr>
                <w:rFonts w:hint="eastAsia" w:ascii="宋体" w:hAnsi="宋体" w:cs="宋体"/>
                <w:color w:val="auto"/>
                <w:kern w:val="0"/>
                <w:szCs w:val="21"/>
                <w:highlight w:val="none"/>
                <w:lang w:eastAsia="zh-CN"/>
              </w:rPr>
              <w:t>；</w:t>
            </w:r>
          </w:p>
          <w:p w14:paraId="5112D36F">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内容较完整、方案一般、措施一般得3分；</w:t>
            </w:r>
          </w:p>
          <w:p w14:paraId="660E3305">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不满足要求的得1分</w:t>
            </w:r>
            <w:r>
              <w:rPr>
                <w:rFonts w:hint="eastAsia" w:ascii="宋体" w:hAnsi="宋体" w:cs="宋体"/>
                <w:color w:val="auto"/>
                <w:kern w:val="0"/>
                <w:szCs w:val="21"/>
                <w:highlight w:val="none"/>
                <w:lang w:eastAsia="zh-CN"/>
              </w:rPr>
              <w:t>；</w:t>
            </w:r>
          </w:p>
          <w:p w14:paraId="6B862499">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s="宋体"/>
                <w:color w:val="auto"/>
                <w:szCs w:val="21"/>
                <w:highlight w:val="none"/>
              </w:rPr>
            </w:pPr>
            <w:r>
              <w:rPr>
                <w:rFonts w:hint="eastAsia" w:ascii="宋体" w:hAnsi="宋体" w:cs="宋体"/>
                <w:color w:val="auto"/>
                <w:kern w:val="0"/>
                <w:szCs w:val="21"/>
                <w:highlight w:val="none"/>
              </w:rPr>
              <w:t>未提供的得0分。</w:t>
            </w:r>
          </w:p>
        </w:tc>
      </w:tr>
      <w:tr w14:paraId="5988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37" w:type="dxa"/>
            <w:vMerge w:val="continue"/>
            <w:vAlign w:val="center"/>
          </w:tcPr>
          <w:p w14:paraId="77FFDF18">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p>
        </w:tc>
        <w:tc>
          <w:tcPr>
            <w:tcW w:w="6959" w:type="dxa"/>
            <w:vAlign w:val="center"/>
          </w:tcPr>
          <w:p w14:paraId="3F06B32F">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质量管理体系与措施：包括质量责任制度，检验检测制度，教育培训，质量保修措施。</w:t>
            </w:r>
          </w:p>
          <w:p w14:paraId="612C3566">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内容完整、制度完善得5分；</w:t>
            </w:r>
          </w:p>
          <w:p w14:paraId="38A828D9">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内容较完整、制度较完善得3分；</w:t>
            </w:r>
          </w:p>
          <w:p w14:paraId="6DD6C9AF">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不满足要求的得1分</w:t>
            </w:r>
            <w:r>
              <w:rPr>
                <w:rFonts w:hint="eastAsia" w:ascii="宋体" w:hAnsi="宋体" w:cs="宋体"/>
                <w:color w:val="auto"/>
                <w:kern w:val="0"/>
                <w:szCs w:val="21"/>
                <w:highlight w:val="none"/>
                <w:lang w:eastAsia="zh-CN"/>
              </w:rPr>
              <w:t>；</w:t>
            </w:r>
          </w:p>
          <w:p w14:paraId="52A57A0D">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s="宋体"/>
                <w:color w:val="auto"/>
                <w:szCs w:val="21"/>
                <w:highlight w:val="none"/>
              </w:rPr>
            </w:pPr>
            <w:r>
              <w:rPr>
                <w:rFonts w:hint="eastAsia" w:ascii="宋体" w:hAnsi="宋体" w:cs="宋体"/>
                <w:color w:val="auto"/>
                <w:kern w:val="0"/>
                <w:szCs w:val="21"/>
                <w:highlight w:val="none"/>
              </w:rPr>
              <w:t>未提供的得0分。</w:t>
            </w:r>
          </w:p>
        </w:tc>
      </w:tr>
      <w:tr w14:paraId="55A7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37" w:type="dxa"/>
            <w:vMerge w:val="continue"/>
            <w:vAlign w:val="center"/>
          </w:tcPr>
          <w:p w14:paraId="16B1C88E">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p>
        </w:tc>
        <w:tc>
          <w:tcPr>
            <w:tcW w:w="6959" w:type="dxa"/>
            <w:vAlign w:val="center"/>
          </w:tcPr>
          <w:p w14:paraId="0482FCA0">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安全管理体系与措施：安全生产责任制度和安全教育培训制度健全，安全生产规章制度和操作规程完善，安全生产管理机构健全、专职安全管理人员配备齐全。</w:t>
            </w:r>
          </w:p>
          <w:p w14:paraId="0388CC80">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s="宋体"/>
                <w:color w:val="auto"/>
                <w:szCs w:val="21"/>
                <w:highlight w:val="none"/>
              </w:rPr>
            </w:pPr>
            <w:r>
              <w:rPr>
                <w:rFonts w:hint="eastAsia" w:ascii="宋体" w:hAnsi="宋体" w:cs="宋体"/>
                <w:color w:val="auto"/>
                <w:kern w:val="0"/>
                <w:szCs w:val="21"/>
                <w:highlight w:val="none"/>
              </w:rPr>
              <w:t>符合要求得5分；基本符合要求得3分；不满足要求的得1分，未提供的得0分。</w:t>
            </w:r>
          </w:p>
        </w:tc>
      </w:tr>
      <w:tr w14:paraId="55BB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37" w:type="dxa"/>
            <w:vMerge w:val="continue"/>
            <w:vAlign w:val="center"/>
          </w:tcPr>
          <w:p w14:paraId="663D35C7">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p>
        </w:tc>
        <w:tc>
          <w:tcPr>
            <w:tcW w:w="6959" w:type="dxa"/>
            <w:vAlign w:val="center"/>
          </w:tcPr>
          <w:p w14:paraId="68BEEDE5">
            <w:pPr>
              <w:keepNext w:val="0"/>
              <w:keepLines w:val="0"/>
              <w:pageBreakBefore w:val="0"/>
              <w:widowControl/>
              <w:kinsoku/>
              <w:wordWrap/>
              <w:overflowPunct/>
              <w:topLinePunct w:val="0"/>
              <w:autoSpaceDE/>
              <w:autoSpaceDN/>
              <w:bidi w:val="0"/>
              <w:adjustRightInd w:val="0"/>
              <w:snapToGrid w:val="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工程进度计划与措施：进度计划安排满足招标文件要求，进度控制措施科学具体。</w:t>
            </w:r>
          </w:p>
          <w:p w14:paraId="2973F35D">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cs="宋体"/>
                <w:color w:val="auto"/>
                <w:szCs w:val="21"/>
                <w:highlight w:val="none"/>
              </w:rPr>
            </w:pPr>
            <w:r>
              <w:rPr>
                <w:rFonts w:hint="eastAsia" w:ascii="宋体" w:hAnsi="宋体" w:cs="宋体"/>
                <w:color w:val="auto"/>
                <w:kern w:val="0"/>
                <w:szCs w:val="21"/>
                <w:highlight w:val="none"/>
              </w:rPr>
              <w:t>符合要求得 5分；内容基本完整、措施比较完善得3分；不满足要求的得1分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未提供的得0分。</w:t>
            </w:r>
          </w:p>
        </w:tc>
      </w:tr>
      <w:tr w14:paraId="7F78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trPr>
        <w:tc>
          <w:tcPr>
            <w:tcW w:w="1337" w:type="dxa"/>
            <w:vAlign w:val="center"/>
          </w:tcPr>
          <w:p w14:paraId="46F2A6E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应急预案</w:t>
            </w:r>
          </w:p>
          <w:p w14:paraId="206258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85" w:lineRule="atLeast"/>
              <w:jc w:val="center"/>
              <w:textAlignment w:val="auto"/>
              <w:rPr>
                <w:rFonts w:ascii="宋体" w:hAnsi="宋体" w:cs="仿宋"/>
                <w:color w:val="auto"/>
                <w:szCs w:val="21"/>
                <w:highlight w:val="none"/>
                <w:lang w:bidi="zh-CN"/>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分）</w:t>
            </w:r>
          </w:p>
        </w:tc>
        <w:tc>
          <w:tcPr>
            <w:tcW w:w="6959" w:type="dxa"/>
            <w:vAlign w:val="center"/>
          </w:tcPr>
          <w:p w14:paraId="142553DC">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color w:val="auto"/>
                <w:szCs w:val="21"/>
                <w:highlight w:val="none"/>
              </w:rPr>
              <w:t>根据提供的售后服务方案（内容包括但不限于服务体系及服务内容、故障解决方案及响应时间、应急人员及服务保障等）进行评审：</w:t>
            </w:r>
          </w:p>
          <w:p w14:paraId="4F7FFEA0">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color w:val="auto"/>
                <w:szCs w:val="21"/>
                <w:highlight w:val="none"/>
              </w:rPr>
              <w:t>售后服务体系完善，应急人员充足、承诺解决问题周期短、维修便利的得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391891C6">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color w:val="auto"/>
                <w:szCs w:val="21"/>
                <w:highlight w:val="none"/>
              </w:rPr>
              <w:t>售后服务体系完善，应急人员较充足、承诺解决问题周期较短、维修较便利的得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7EC72001">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color w:val="auto"/>
                <w:szCs w:val="21"/>
                <w:highlight w:val="none"/>
              </w:rPr>
              <w:t>售后服务体系较完善，应急人员充足性一般、承诺解决问题周期较短、维修便利性一般的得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041E72E">
            <w:pPr>
              <w:keepNext w:val="0"/>
              <w:keepLines w:val="0"/>
              <w:pageBreakBefore w:val="0"/>
              <w:kinsoku/>
              <w:wordWrap/>
              <w:overflowPunct/>
              <w:topLinePunct w:val="0"/>
              <w:autoSpaceDE/>
              <w:autoSpaceDN/>
              <w:bidi w:val="0"/>
              <w:textAlignment w:val="auto"/>
              <w:rPr>
                <w:rFonts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172E92A7">
            <w:pPr>
              <w:keepNext w:val="0"/>
              <w:keepLines w:val="0"/>
              <w:pageBreakBefore w:val="0"/>
              <w:kinsoku/>
              <w:wordWrap/>
              <w:overflowPunct/>
              <w:topLinePunct w:val="0"/>
              <w:autoSpaceDE/>
              <w:autoSpaceDN/>
              <w:bidi w:val="0"/>
              <w:textAlignment w:val="auto"/>
              <w:rPr>
                <w:rFonts w:ascii="宋体" w:hAnsi="宋体"/>
                <w:color w:val="auto"/>
                <w:szCs w:val="21"/>
                <w:highlight w:val="none"/>
              </w:rPr>
            </w:pPr>
            <w:r>
              <w:rPr>
                <w:rFonts w:hint="eastAsia" w:ascii="宋体" w:hAnsi="宋体" w:cs="宋体"/>
                <w:color w:val="auto"/>
                <w:szCs w:val="21"/>
                <w:highlight w:val="none"/>
              </w:rPr>
              <w:t>未提供不得分。</w:t>
            </w:r>
          </w:p>
        </w:tc>
      </w:tr>
      <w:tr w14:paraId="6A15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trPr>
        <w:tc>
          <w:tcPr>
            <w:tcW w:w="1337" w:type="dxa"/>
            <w:vAlign w:val="center"/>
          </w:tcPr>
          <w:p w14:paraId="3C2C9E36">
            <w:pPr>
              <w:keepNext w:val="0"/>
              <w:keepLines w:val="0"/>
              <w:pageBreakBefore w:val="0"/>
              <w:kinsoku/>
              <w:wordWrap/>
              <w:overflowPunct/>
              <w:topLinePunct w:val="0"/>
              <w:autoSpaceDE/>
              <w:autoSpaceDN/>
              <w:bidi w:val="0"/>
              <w:spacing w:line="360" w:lineRule="auto"/>
              <w:jc w:val="center"/>
              <w:textAlignment w:val="auto"/>
              <w:rPr>
                <w:rFonts w:ascii="宋体" w:hAnsi="宋体" w:cs="宋体"/>
                <w:b/>
                <w:bCs/>
                <w:color w:val="auto"/>
                <w:highlight w:val="none"/>
              </w:rPr>
            </w:pPr>
            <w:r>
              <w:rPr>
                <w:rFonts w:hint="eastAsia" w:ascii="宋体" w:hAnsi="宋体" w:cs="宋体"/>
                <w:b/>
                <w:bCs/>
                <w:color w:val="auto"/>
                <w:highlight w:val="none"/>
              </w:rPr>
              <w:t>增值服务</w:t>
            </w:r>
          </w:p>
          <w:p w14:paraId="483F44BE">
            <w:pPr>
              <w:keepNext w:val="0"/>
              <w:keepLines w:val="0"/>
              <w:pageBreakBefore w:val="0"/>
              <w:kinsoku/>
              <w:wordWrap/>
              <w:overflowPunct/>
              <w:topLinePunct w:val="0"/>
              <w:autoSpaceDE/>
              <w:autoSpaceDN/>
              <w:bidi w:val="0"/>
              <w:spacing w:line="360" w:lineRule="auto"/>
              <w:jc w:val="center"/>
              <w:textAlignment w:val="auto"/>
              <w:rPr>
                <w:rFonts w:ascii="宋体" w:hAnsi="宋体" w:cs="宋体"/>
                <w:b/>
                <w:color w:val="auto"/>
                <w:szCs w:val="21"/>
                <w:highlight w:val="no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2</w:t>
            </w:r>
            <w:r>
              <w:rPr>
                <w:rFonts w:hint="eastAsia" w:ascii="宋体" w:hAnsi="宋体" w:cs="宋体"/>
                <w:b/>
                <w:bCs/>
                <w:color w:val="auto"/>
                <w:highlight w:val="none"/>
              </w:rPr>
              <w:t>分）</w:t>
            </w:r>
          </w:p>
        </w:tc>
        <w:tc>
          <w:tcPr>
            <w:tcW w:w="6959" w:type="dxa"/>
            <w:vAlign w:val="center"/>
          </w:tcPr>
          <w:p w14:paraId="1D745F44">
            <w:pPr>
              <w:keepNext w:val="0"/>
              <w:keepLines w:val="0"/>
              <w:pageBreakBefore w:val="0"/>
              <w:kinsoku/>
              <w:wordWrap/>
              <w:overflowPunct/>
              <w:topLinePunct w:val="0"/>
              <w:autoSpaceDE/>
              <w:autoSpaceDN/>
              <w:bidi w:val="0"/>
              <w:spacing w:line="300" w:lineRule="exact"/>
              <w:textAlignment w:val="auto"/>
              <w:rPr>
                <w:color w:val="auto"/>
                <w:szCs w:val="24"/>
                <w:highlight w:val="none"/>
              </w:rPr>
            </w:pPr>
            <w:r>
              <w:rPr>
                <w:rFonts w:hint="eastAsia" w:ascii="宋体" w:hAnsi="宋体" w:cs="宋体"/>
                <w:color w:val="auto"/>
                <w:highlight w:val="none"/>
              </w:rPr>
              <w:t>根据供应商提供的服务承诺，包括但不限定于优于采购需求的服务承诺、附加及增值服务、提供额外的</w:t>
            </w:r>
            <w:r>
              <w:rPr>
                <w:rFonts w:hint="eastAsia" w:ascii="宋体" w:hAnsi="宋体" w:cs="宋体"/>
                <w:color w:val="auto"/>
                <w:highlight w:val="none"/>
                <w:lang w:eastAsia="zh-CN"/>
              </w:rPr>
              <w:t>质量保修服务</w:t>
            </w:r>
            <w:r>
              <w:rPr>
                <w:rFonts w:hint="eastAsia" w:ascii="宋体" w:hAnsi="宋体" w:cs="宋体"/>
                <w:color w:val="auto"/>
                <w:highlight w:val="none"/>
              </w:rPr>
              <w:t>等每提供一项得1分，最高得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color w:val="auto"/>
                <w:szCs w:val="24"/>
                <w:highlight w:val="none"/>
              </w:rPr>
              <w:t>（以能否对项目服务产生实质性加乘效益为衡量标准，由评审小组评定是否为实质性优惠承诺。）。</w:t>
            </w:r>
          </w:p>
          <w:p w14:paraId="542D9F28">
            <w:pPr>
              <w:pStyle w:val="12"/>
              <w:keepNext w:val="0"/>
              <w:keepLines w:val="0"/>
              <w:pageBreakBefore w:val="0"/>
              <w:kinsoku/>
              <w:wordWrap/>
              <w:overflowPunct/>
              <w:topLinePunct w:val="0"/>
              <w:autoSpaceDE/>
              <w:autoSpaceDN/>
              <w:bidi w:val="0"/>
              <w:ind w:firstLine="0"/>
              <w:textAlignment w:val="auto"/>
              <w:rPr>
                <w:rFonts w:ascii="宋体" w:hAnsi="宋体" w:cs="宋体"/>
                <w:color w:val="auto"/>
                <w:szCs w:val="21"/>
                <w:highlight w:val="none"/>
              </w:rPr>
            </w:pPr>
            <w:r>
              <w:rPr>
                <w:rFonts w:hint="eastAsia"/>
                <w:b/>
                <w:bCs/>
                <w:color w:val="auto"/>
                <w:highlight w:val="none"/>
              </w:rPr>
              <w:t>注：提供增值服务承诺并加盖供应商公章，格式自拟。</w:t>
            </w:r>
          </w:p>
        </w:tc>
      </w:tr>
    </w:tbl>
    <w:p w14:paraId="1AD4BEB2">
      <w:pPr>
        <w:rPr>
          <w:b/>
          <w:color w:val="auto"/>
          <w:highlight w:val="none"/>
        </w:rPr>
      </w:pPr>
      <w:r>
        <w:rPr>
          <w:b/>
          <w:color w:val="auto"/>
          <w:highlight w:val="none"/>
        </w:rPr>
        <w:br w:type="page"/>
      </w:r>
    </w:p>
    <w:p w14:paraId="2C684165">
      <w:pPr>
        <w:rPr>
          <w:color w:val="auto"/>
          <w:highlight w:val="none"/>
        </w:rPr>
      </w:pPr>
    </w:p>
    <w:p w14:paraId="1C046089">
      <w:pPr>
        <w:rPr>
          <w:rFonts w:hint="eastAsia" w:ascii="宋体"/>
          <w:b/>
          <w:bCs/>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并在评审索引表中详细标明其所在响应文件中的页码和位置。无相关材料证实的，评选委员会有权做负偏离处理。</w:t>
      </w:r>
    </w:p>
    <w:p w14:paraId="6D4E9DC2">
      <w:pPr>
        <w:rPr>
          <w:rFonts w:hint="eastAsia" w:ascii="宋体"/>
          <w:b/>
          <w:bCs/>
          <w:color w:val="auto"/>
          <w:highlight w:val="none"/>
        </w:rPr>
      </w:pPr>
      <w:r>
        <w:rPr>
          <w:rFonts w:hint="eastAsia" w:ascii="宋体"/>
          <w:b/>
          <w:bCs/>
          <w:color w:val="auto"/>
          <w:highlight w:val="none"/>
        </w:rPr>
        <w:br w:type="page"/>
      </w:r>
    </w:p>
    <w:p w14:paraId="04E7011D">
      <w:pPr>
        <w:pStyle w:val="38"/>
        <w:rPr>
          <w:color w:val="auto"/>
          <w:highlight w:val="none"/>
        </w:rPr>
      </w:pPr>
    </w:p>
    <w:p w14:paraId="4127E02B">
      <w:pPr>
        <w:pStyle w:val="262"/>
        <w:numPr>
          <w:ilvl w:val="0"/>
          <w:numId w:val="53"/>
        </w:numPr>
        <w:rPr>
          <w:color w:val="auto"/>
          <w:highlight w:val="none"/>
        </w:rPr>
      </w:pPr>
      <w:r>
        <w:rPr>
          <w:color w:val="auto"/>
          <w:highlight w:val="none"/>
        </w:rPr>
        <w:t xml:space="preserve"> 采购需求</w:t>
      </w:r>
    </w:p>
    <w:p w14:paraId="6237EE7A">
      <w:pPr>
        <w:rPr>
          <w:rFonts w:ascii="宋体" w:hAnsi="宋体" w:cs="宋体"/>
          <w:b/>
          <w:bCs/>
          <w:color w:val="auto"/>
          <w:sz w:val="24"/>
          <w:szCs w:val="24"/>
          <w:highlight w:val="none"/>
        </w:rPr>
      </w:pPr>
      <w:r>
        <w:rPr>
          <w:rFonts w:hint="eastAsia" w:ascii="宋体" w:hAnsi="宋体" w:cs="宋体"/>
          <w:b/>
          <w:bCs/>
          <w:color w:val="auto"/>
          <w:sz w:val="24"/>
          <w:szCs w:val="24"/>
          <w:highlight w:val="none"/>
        </w:rPr>
        <w:t>一、项目名称</w:t>
      </w:r>
    </w:p>
    <w:p w14:paraId="157E4971">
      <w:pPr>
        <w:pStyle w:val="16"/>
        <w:spacing w:line="360" w:lineRule="auto"/>
        <w:ind w:firstLine="480"/>
        <w:rPr>
          <w:rFonts w:hint="eastAsia" w:eastAsia="宋体"/>
          <w:color w:val="auto"/>
          <w:highlight w:val="none"/>
          <w:lang w:eastAsia="zh-CN"/>
        </w:rPr>
      </w:pPr>
      <w:r>
        <w:rPr>
          <w:rFonts w:hint="eastAsia" w:ascii="宋体" w:hAnsi="宋体" w:cs="宋体"/>
          <w:color w:val="auto"/>
          <w:sz w:val="24"/>
          <w:szCs w:val="24"/>
          <w:highlight w:val="none"/>
        </w:rPr>
        <w:t>南京邮电大学仙林校区北操东看台电力改造</w:t>
      </w:r>
      <w:r>
        <w:rPr>
          <w:rFonts w:hint="eastAsia" w:ascii="宋体" w:hAnsi="宋体" w:cs="宋体"/>
          <w:color w:val="auto"/>
          <w:sz w:val="24"/>
          <w:szCs w:val="24"/>
          <w:highlight w:val="none"/>
          <w:lang w:eastAsia="zh-CN"/>
        </w:rPr>
        <w:t>。</w:t>
      </w:r>
    </w:p>
    <w:p w14:paraId="4648CA76">
      <w:pPr>
        <w:spacing w:line="360" w:lineRule="auto"/>
        <w:rPr>
          <w:rFonts w:hint="eastAsia" w:ascii="宋体" w:hAnsi="宋体"/>
          <w:b/>
          <w:bCs/>
          <w:snapToGrid w:val="0"/>
          <w:color w:val="auto"/>
          <w:sz w:val="24"/>
          <w:highlight w:val="none"/>
        </w:rPr>
      </w:pPr>
      <w:r>
        <w:rPr>
          <w:rFonts w:hint="eastAsia" w:ascii="宋体" w:hAnsi="宋体"/>
          <w:b/>
          <w:bCs/>
          <w:snapToGrid w:val="0"/>
          <w:color w:val="auto"/>
          <w:sz w:val="24"/>
          <w:highlight w:val="none"/>
        </w:rPr>
        <w:t>二、采购范围及内容</w:t>
      </w:r>
    </w:p>
    <w:p w14:paraId="526F747C">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1、采购范围：</w:t>
      </w:r>
      <w:r>
        <w:rPr>
          <w:rFonts w:hint="eastAsia" w:ascii="宋体" w:hAnsi="宋体" w:cs="宋体"/>
          <w:color w:val="auto"/>
          <w:sz w:val="24"/>
          <w:szCs w:val="24"/>
          <w:highlight w:val="none"/>
        </w:rPr>
        <w:t>完成北操东看台配电总柜至房间线路改造，需从配电总柜敷设电缆到每户电箱。按照设计图纸敷设电缆，安装每户电源分支箱，含内部空开等。详见施工图及工程量清单。</w:t>
      </w:r>
    </w:p>
    <w:p w14:paraId="6C8901ED">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2、施工地点：南京邮电大学仙林校区。</w:t>
      </w:r>
    </w:p>
    <w:p w14:paraId="1987E01D">
      <w:pPr>
        <w:adjustRightInd w:val="0"/>
        <w:snapToGrid w:val="0"/>
        <w:spacing w:line="360" w:lineRule="auto"/>
        <w:ind w:firstLine="482" w:firstLineChars="200"/>
        <w:rPr>
          <w:rFonts w:hint="eastAsia" w:ascii="宋体" w:hAnsi="宋体"/>
          <w:b/>
          <w:bCs/>
          <w:snapToGrid w:val="0"/>
          <w:color w:val="auto"/>
          <w:sz w:val="24"/>
          <w:highlight w:val="none"/>
        </w:rPr>
      </w:pPr>
      <w:r>
        <w:rPr>
          <w:rFonts w:hint="eastAsia" w:ascii="宋体" w:hAnsi="宋体"/>
          <w:b/>
          <w:bCs/>
          <w:snapToGrid w:val="0"/>
          <w:color w:val="auto"/>
          <w:sz w:val="24"/>
          <w:highlight w:val="none"/>
        </w:rPr>
        <w:t>3、本工程控制价</w:t>
      </w:r>
      <w:r>
        <w:rPr>
          <w:rFonts w:hint="eastAsia" w:ascii="宋体" w:hAnsi="宋体"/>
          <w:b/>
          <w:bCs/>
          <w:snapToGrid w:val="0"/>
          <w:color w:val="auto"/>
          <w:sz w:val="24"/>
          <w:highlight w:val="none"/>
          <w:lang w:val="en-US" w:eastAsia="zh-CN"/>
        </w:rPr>
        <w:t>19.8</w:t>
      </w:r>
      <w:r>
        <w:rPr>
          <w:rFonts w:hint="eastAsia" w:ascii="宋体" w:hAnsi="宋体"/>
          <w:b/>
          <w:bCs/>
          <w:snapToGrid w:val="0"/>
          <w:color w:val="auto"/>
          <w:sz w:val="24"/>
          <w:highlight w:val="none"/>
        </w:rPr>
        <w:t>万元。</w:t>
      </w:r>
    </w:p>
    <w:p w14:paraId="6FC78A75">
      <w:pPr>
        <w:adjustRightInd w:val="0"/>
        <w:snapToGrid w:val="0"/>
        <w:spacing w:line="360" w:lineRule="auto"/>
        <w:ind w:firstLine="482" w:firstLineChars="200"/>
        <w:rPr>
          <w:rFonts w:hint="eastAsia" w:ascii="宋体" w:hAnsi="宋体"/>
          <w:b/>
          <w:bCs/>
          <w:snapToGrid w:val="0"/>
          <w:color w:val="auto"/>
          <w:sz w:val="24"/>
          <w:highlight w:val="none"/>
        </w:rPr>
      </w:pPr>
      <w:r>
        <w:rPr>
          <w:rFonts w:hint="eastAsia" w:ascii="宋体" w:hAnsi="宋体"/>
          <w:b/>
          <w:bCs/>
          <w:snapToGrid w:val="0"/>
          <w:color w:val="auto"/>
          <w:sz w:val="24"/>
          <w:highlight w:val="none"/>
        </w:rPr>
        <w:t>4、工期：自接到采购人开工通知之日起</w:t>
      </w:r>
      <w:r>
        <w:rPr>
          <w:rFonts w:hint="eastAsia" w:ascii="宋体" w:hAnsi="宋体"/>
          <w:b/>
          <w:bCs/>
          <w:snapToGrid w:val="0"/>
          <w:color w:val="auto"/>
          <w:sz w:val="24"/>
          <w:highlight w:val="none"/>
          <w:lang w:val="en-US" w:eastAsia="zh-CN"/>
        </w:rPr>
        <w:t>20</w:t>
      </w:r>
      <w:r>
        <w:rPr>
          <w:rFonts w:hint="eastAsia" w:ascii="宋体" w:hAnsi="宋体"/>
          <w:b/>
          <w:bCs/>
          <w:snapToGrid w:val="0"/>
          <w:color w:val="auto"/>
          <w:sz w:val="24"/>
          <w:highlight w:val="none"/>
        </w:rPr>
        <w:t>日历天</w:t>
      </w:r>
      <w:r>
        <w:rPr>
          <w:rFonts w:hint="eastAsia" w:ascii="宋体" w:hAnsi="宋体"/>
          <w:b/>
          <w:bCs/>
          <w:snapToGrid w:val="0"/>
          <w:color w:val="auto"/>
          <w:sz w:val="24"/>
          <w:highlight w:val="none"/>
        </w:rPr>
        <w:t>内竣工并通过验收。</w:t>
      </w:r>
    </w:p>
    <w:p w14:paraId="08E3471D">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5、安全要求：</w:t>
      </w:r>
    </w:p>
    <w:p w14:paraId="56938D1F">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5.1、认真贯彻执行《安全生产法》《建设工程安全生产管理条例》等安全生产法律法规，坚持“安全第一、预防为主”的方针，建立健全企业和项目部安全生产管理体系，并使之正常有效运转。</w:t>
      </w:r>
    </w:p>
    <w:p w14:paraId="11A00379">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5.2、对建设单位支付的安全文明措施费用将足额用于施工安全防护用具及设施的采购和更新、安全施工措施的落实、安全生产条件的改善，决不挪作他用。</w:t>
      </w:r>
    </w:p>
    <w:p w14:paraId="42E9DCEA">
      <w:pPr>
        <w:adjustRightInd w:val="0"/>
        <w:snapToGrid w:val="0"/>
        <w:spacing w:line="360" w:lineRule="auto"/>
        <w:ind w:firstLine="480" w:firstLineChars="200"/>
        <w:rPr>
          <w:rFonts w:hint="eastAsia" w:ascii="宋体" w:hAnsi="宋体"/>
          <w:bCs/>
          <w:snapToGrid w:val="0"/>
          <w:color w:val="auto"/>
          <w:sz w:val="24"/>
          <w:highlight w:val="none"/>
        </w:rPr>
      </w:pPr>
      <w:r>
        <w:rPr>
          <w:rFonts w:hint="eastAsia" w:ascii="宋体" w:hAnsi="宋体"/>
          <w:bCs/>
          <w:snapToGrid w:val="0"/>
          <w:color w:val="auto"/>
          <w:sz w:val="24"/>
          <w:highlight w:val="none"/>
        </w:rPr>
        <w:t>5.3、加强对进场作业人员的安全教育培训。特种作业人员均做到持有效证上岗﹔所有作业人员均经“三级”安全教育培训并考核合格后上岗。</w:t>
      </w:r>
    </w:p>
    <w:p w14:paraId="54141330">
      <w:pPr>
        <w:spacing w:line="360" w:lineRule="auto"/>
        <w:ind w:firstLine="525" w:firstLineChars="218"/>
        <w:rPr>
          <w:rFonts w:hint="eastAsia" w:ascii="宋体" w:hAnsi="宋体"/>
          <w:bCs/>
          <w:snapToGrid w:val="0"/>
          <w:color w:val="auto"/>
          <w:sz w:val="24"/>
          <w:highlight w:val="none"/>
        </w:rPr>
      </w:pPr>
      <w:r>
        <w:rPr>
          <w:rFonts w:hint="eastAsia" w:ascii="宋体" w:hAnsi="宋体"/>
          <w:b/>
          <w:bCs/>
          <w:snapToGrid w:val="0"/>
          <w:color w:val="auto"/>
          <w:sz w:val="24"/>
          <w:highlight w:val="none"/>
        </w:rPr>
        <w:t>三、项目要求</w:t>
      </w:r>
    </w:p>
    <w:p w14:paraId="2315790F">
      <w:pPr>
        <w:spacing w:line="360" w:lineRule="auto"/>
        <w:ind w:firstLine="525" w:firstLineChars="218"/>
        <w:rPr>
          <w:rFonts w:hint="eastAsia" w:ascii="宋体" w:hAnsi="宋体"/>
          <w:b/>
          <w:bCs/>
          <w:snapToGrid w:val="0"/>
          <w:color w:val="auto"/>
          <w:sz w:val="24"/>
          <w:highlight w:val="none"/>
        </w:rPr>
      </w:pPr>
      <w:r>
        <w:rPr>
          <w:rFonts w:hint="eastAsia" w:ascii="宋体" w:hAnsi="宋体"/>
          <w:b/>
          <w:bCs/>
          <w:snapToGrid w:val="0"/>
          <w:color w:val="auto"/>
          <w:sz w:val="24"/>
          <w:highlight w:val="none"/>
        </w:rPr>
        <w:t>1、工程量清单及控制价编制依据：</w:t>
      </w:r>
    </w:p>
    <w:p w14:paraId="455D2E85">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1.1、依据采购人提供的南京邮电大学仙林校区北操东看台电力改造项目的招标工程量清单及图纸。</w:t>
      </w:r>
    </w:p>
    <w:p w14:paraId="405965EE">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1.2、主要材料设备参考品牌：</w:t>
      </w:r>
    </w:p>
    <w:tbl>
      <w:tblPr>
        <w:tblStyle w:val="44"/>
        <w:tblW w:w="4997" w:type="pct"/>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43"/>
        <w:gridCol w:w="4360"/>
        <w:gridCol w:w="4375"/>
      </w:tblGrid>
      <w:tr w14:paraId="6FDDA3D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487" w:type="pct"/>
            <w:noWrap w:val="0"/>
            <w:vAlign w:val="center"/>
          </w:tcPr>
          <w:p w14:paraId="00E15A11">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序号</w:t>
            </w:r>
          </w:p>
        </w:tc>
        <w:tc>
          <w:tcPr>
            <w:tcW w:w="2252" w:type="pct"/>
            <w:noWrap w:val="0"/>
            <w:vAlign w:val="center"/>
          </w:tcPr>
          <w:p w14:paraId="5697E08A">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材料名称</w:t>
            </w:r>
          </w:p>
        </w:tc>
        <w:tc>
          <w:tcPr>
            <w:tcW w:w="2260" w:type="pct"/>
            <w:noWrap w:val="0"/>
            <w:vAlign w:val="center"/>
          </w:tcPr>
          <w:p w14:paraId="25D09B58">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品牌</w:t>
            </w:r>
          </w:p>
        </w:tc>
      </w:tr>
      <w:tr w14:paraId="367EBF6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487" w:type="pct"/>
            <w:noWrap w:val="0"/>
            <w:vAlign w:val="center"/>
          </w:tcPr>
          <w:p w14:paraId="2BBC3EAF">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1</w:t>
            </w:r>
          </w:p>
        </w:tc>
        <w:tc>
          <w:tcPr>
            <w:tcW w:w="2252" w:type="pct"/>
            <w:noWrap w:val="0"/>
            <w:vAlign w:val="center"/>
          </w:tcPr>
          <w:p w14:paraId="3D411AF8">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WDZC-BYJ-450/750V-2.5mm²</w:t>
            </w:r>
          </w:p>
        </w:tc>
        <w:tc>
          <w:tcPr>
            <w:tcW w:w="2260" w:type="pct"/>
            <w:noWrap w:val="0"/>
            <w:vAlign w:val="center"/>
          </w:tcPr>
          <w:p w14:paraId="235A725D">
            <w:pPr>
              <w:adjustRightInd w:val="0"/>
              <w:snapToGrid w:val="0"/>
              <w:rPr>
                <w:rFonts w:hint="default" w:ascii="宋体" w:hAnsi="宋体" w:eastAsia="宋体"/>
                <w:bCs/>
                <w:snapToGrid w:val="0"/>
                <w:color w:val="auto"/>
                <w:sz w:val="24"/>
                <w:highlight w:val="none"/>
                <w:lang w:val="en-US" w:eastAsia="zh-CN"/>
              </w:rPr>
            </w:pPr>
            <w:r>
              <w:rPr>
                <w:rFonts w:hint="eastAsia" w:ascii="宋体" w:hAnsi="宋体"/>
                <w:b/>
                <w:bCs w:val="0"/>
                <w:snapToGrid w:val="0"/>
                <w:color w:val="auto"/>
                <w:sz w:val="24"/>
                <w:highlight w:val="none"/>
                <w:lang w:val="en-US" w:eastAsia="zh-CN"/>
              </w:rPr>
              <w:t>远东</w:t>
            </w:r>
            <w:r>
              <w:rPr>
                <w:rFonts w:hint="eastAsia" w:ascii="宋体" w:hAnsi="宋体"/>
                <w:bCs/>
                <w:snapToGrid w:val="0"/>
                <w:color w:val="auto"/>
                <w:sz w:val="24"/>
                <w:highlight w:val="none"/>
                <w:lang w:val="en-US" w:eastAsia="zh-CN"/>
              </w:rPr>
              <w:t>、江南、上上等同档次品牌产品</w:t>
            </w:r>
          </w:p>
        </w:tc>
      </w:tr>
      <w:tr w14:paraId="7AF16F3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487" w:type="pct"/>
            <w:noWrap w:val="0"/>
            <w:vAlign w:val="center"/>
          </w:tcPr>
          <w:p w14:paraId="2A6EECCC">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2</w:t>
            </w:r>
          </w:p>
        </w:tc>
        <w:tc>
          <w:tcPr>
            <w:tcW w:w="2252" w:type="pct"/>
            <w:noWrap w:val="0"/>
            <w:vAlign w:val="center"/>
          </w:tcPr>
          <w:p w14:paraId="537F1BF4">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WDZC-BYJ-450/750V-4mm²</w:t>
            </w:r>
          </w:p>
        </w:tc>
        <w:tc>
          <w:tcPr>
            <w:tcW w:w="2260" w:type="pct"/>
            <w:noWrap w:val="0"/>
            <w:vAlign w:val="center"/>
          </w:tcPr>
          <w:p w14:paraId="42AAA9BC">
            <w:pPr>
              <w:adjustRightInd w:val="0"/>
              <w:snapToGrid w:val="0"/>
              <w:rPr>
                <w:rFonts w:hint="eastAsia" w:ascii="宋体" w:hAnsi="宋体" w:eastAsia="宋体"/>
                <w:bCs/>
                <w:snapToGrid w:val="0"/>
                <w:color w:val="auto"/>
                <w:sz w:val="24"/>
                <w:highlight w:val="none"/>
                <w:lang w:val="en-US" w:eastAsia="zh-CN"/>
              </w:rPr>
            </w:pPr>
            <w:r>
              <w:rPr>
                <w:rFonts w:hint="eastAsia" w:ascii="宋体" w:hAnsi="宋体"/>
                <w:b/>
                <w:bCs w:val="0"/>
                <w:snapToGrid w:val="0"/>
                <w:color w:val="auto"/>
                <w:sz w:val="24"/>
                <w:highlight w:val="none"/>
                <w:lang w:val="en-US" w:eastAsia="zh-CN"/>
              </w:rPr>
              <w:t>远东</w:t>
            </w:r>
            <w:r>
              <w:rPr>
                <w:rFonts w:hint="eastAsia" w:ascii="宋体" w:hAnsi="宋体"/>
                <w:bCs/>
                <w:snapToGrid w:val="0"/>
                <w:color w:val="auto"/>
                <w:sz w:val="24"/>
                <w:highlight w:val="none"/>
                <w:lang w:val="en-US" w:eastAsia="zh-CN"/>
              </w:rPr>
              <w:t>、江南、上上等同档次品牌产品</w:t>
            </w:r>
          </w:p>
        </w:tc>
      </w:tr>
      <w:tr w14:paraId="7F5ECE4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487" w:type="pct"/>
            <w:noWrap w:val="0"/>
            <w:vAlign w:val="center"/>
          </w:tcPr>
          <w:p w14:paraId="0521F68F">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3</w:t>
            </w:r>
          </w:p>
        </w:tc>
        <w:tc>
          <w:tcPr>
            <w:tcW w:w="2252" w:type="pct"/>
            <w:noWrap w:val="0"/>
            <w:vAlign w:val="center"/>
          </w:tcPr>
          <w:p w14:paraId="3B9B0F1D">
            <w:pPr>
              <w:adjustRightInd w:val="0"/>
              <w:snapToGrid w:val="0"/>
              <w:jc w:val="center"/>
              <w:rPr>
                <w:rFonts w:hint="default" w:ascii="宋体" w:hAnsi="宋体" w:eastAsia="宋体"/>
                <w:bCs/>
                <w:snapToGrid w:val="0"/>
                <w:color w:val="auto"/>
                <w:sz w:val="24"/>
                <w:highlight w:val="none"/>
                <w:lang w:val="en-US" w:eastAsia="zh-CN"/>
              </w:rPr>
            </w:pPr>
            <w:r>
              <w:rPr>
                <w:rFonts w:hint="eastAsia" w:ascii="宋体" w:hAnsi="宋体"/>
                <w:bCs/>
                <w:snapToGrid w:val="0"/>
                <w:color w:val="auto"/>
                <w:sz w:val="24"/>
                <w:highlight w:val="none"/>
              </w:rPr>
              <w:t>分户电箱</w:t>
            </w:r>
            <w:r>
              <w:rPr>
                <w:rFonts w:hint="eastAsia" w:ascii="宋体" w:hAnsi="宋体"/>
                <w:bCs/>
                <w:snapToGrid w:val="0"/>
                <w:color w:val="auto"/>
                <w:sz w:val="24"/>
                <w:highlight w:val="none"/>
                <w:lang w:val="en-US" w:eastAsia="zh-CN"/>
              </w:rPr>
              <w:t>及空开</w:t>
            </w:r>
          </w:p>
        </w:tc>
        <w:tc>
          <w:tcPr>
            <w:tcW w:w="2260" w:type="pct"/>
            <w:noWrap w:val="0"/>
            <w:vAlign w:val="center"/>
          </w:tcPr>
          <w:p w14:paraId="01406A29">
            <w:pPr>
              <w:adjustRightInd w:val="0"/>
              <w:snapToGrid w:val="0"/>
              <w:rPr>
                <w:rFonts w:hint="default" w:ascii="宋体" w:hAnsi="宋体" w:eastAsia="宋体"/>
                <w:bCs/>
                <w:snapToGrid w:val="0"/>
                <w:color w:val="auto"/>
                <w:sz w:val="24"/>
                <w:highlight w:val="none"/>
                <w:lang w:val="en-US" w:eastAsia="zh-CN"/>
              </w:rPr>
            </w:pPr>
            <w:r>
              <w:rPr>
                <w:rFonts w:hint="eastAsia" w:ascii="宋体" w:hAnsi="宋体"/>
                <w:b/>
                <w:bCs w:val="0"/>
                <w:snapToGrid w:val="0"/>
                <w:color w:val="auto"/>
                <w:sz w:val="24"/>
                <w:highlight w:val="none"/>
                <w:lang w:val="en-US" w:eastAsia="zh-CN"/>
              </w:rPr>
              <w:t>施耐德</w:t>
            </w:r>
            <w:r>
              <w:rPr>
                <w:rFonts w:hint="eastAsia" w:ascii="宋体" w:hAnsi="宋体"/>
                <w:bCs/>
                <w:snapToGrid w:val="0"/>
                <w:color w:val="auto"/>
                <w:sz w:val="24"/>
                <w:highlight w:val="none"/>
                <w:lang w:val="en-US" w:eastAsia="zh-CN"/>
              </w:rPr>
              <w:t>、ABB、西门子等同档次品牌产品</w:t>
            </w:r>
          </w:p>
        </w:tc>
      </w:tr>
      <w:tr w14:paraId="38FEEE5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487" w:type="pct"/>
            <w:noWrap w:val="0"/>
            <w:vAlign w:val="center"/>
          </w:tcPr>
          <w:p w14:paraId="273CA969">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4</w:t>
            </w:r>
          </w:p>
        </w:tc>
        <w:tc>
          <w:tcPr>
            <w:tcW w:w="2252" w:type="pct"/>
            <w:noWrap w:val="0"/>
            <w:vAlign w:val="center"/>
          </w:tcPr>
          <w:p w14:paraId="5E0CD9D9">
            <w:pPr>
              <w:adjustRightInd w:val="0"/>
              <w:snapToGrid w:val="0"/>
              <w:jc w:val="center"/>
              <w:rPr>
                <w:rFonts w:hint="eastAsia" w:ascii="宋体" w:hAnsi="宋体"/>
                <w:bCs/>
                <w:snapToGrid w:val="0"/>
                <w:color w:val="auto"/>
                <w:sz w:val="24"/>
                <w:highlight w:val="none"/>
              </w:rPr>
            </w:pPr>
            <w:r>
              <w:rPr>
                <w:rFonts w:hint="eastAsia" w:ascii="宋体" w:hAnsi="宋体"/>
                <w:bCs/>
                <w:snapToGrid w:val="0"/>
                <w:color w:val="auto"/>
                <w:sz w:val="24"/>
                <w:highlight w:val="none"/>
              </w:rPr>
              <w:t>电缆接头，</w:t>
            </w:r>
          </w:p>
        </w:tc>
        <w:tc>
          <w:tcPr>
            <w:tcW w:w="2260" w:type="pct"/>
            <w:noWrap w:val="0"/>
            <w:vAlign w:val="center"/>
          </w:tcPr>
          <w:p w14:paraId="751F1052">
            <w:pPr>
              <w:adjustRightInd w:val="0"/>
              <w:snapToGrid w:val="0"/>
              <w:rPr>
                <w:rFonts w:hint="eastAsia" w:ascii="宋体" w:hAnsi="宋体"/>
                <w:bCs/>
                <w:snapToGrid w:val="0"/>
                <w:color w:val="auto"/>
                <w:sz w:val="24"/>
                <w:highlight w:val="none"/>
              </w:rPr>
            </w:pPr>
            <w:r>
              <w:rPr>
                <w:rFonts w:hint="eastAsia" w:ascii="宋体" w:hAnsi="宋体"/>
                <w:bCs/>
                <w:snapToGrid w:val="0"/>
                <w:color w:val="auto"/>
                <w:sz w:val="24"/>
                <w:highlight w:val="none"/>
              </w:rPr>
              <w:t>3M、ABB、霍尼韦尔等同档次品牌产品P</w:t>
            </w:r>
          </w:p>
        </w:tc>
      </w:tr>
    </w:tbl>
    <w:p w14:paraId="56F74A89">
      <w:pPr>
        <w:spacing w:line="360" w:lineRule="auto"/>
        <w:ind w:firstLine="523" w:firstLineChars="218"/>
        <w:rPr>
          <w:rFonts w:hint="eastAsia" w:ascii="宋体" w:hAnsi="宋体"/>
          <w:b/>
          <w:bCs/>
          <w:snapToGrid w:val="0"/>
          <w:color w:val="auto"/>
          <w:sz w:val="24"/>
          <w:highlight w:val="none"/>
        </w:rPr>
      </w:pPr>
      <w:r>
        <w:rPr>
          <w:rFonts w:hint="eastAsia" w:ascii="宋体" w:hAnsi="宋体"/>
          <w:bCs/>
          <w:snapToGrid w:val="0"/>
          <w:color w:val="auto"/>
          <w:sz w:val="24"/>
          <w:highlight w:val="none"/>
        </w:rPr>
        <w:t>上表中的品牌为参考产品品牌，是采购人根据项目所要实现的功能列出的品牌或型号，并不是限制条件。供应商响应文件中需注明主要材料品牌，可以采用不低于参考的产品档次参与竞争，但是所有技术和功能不得低于采购要求，并提供证明材料以保证整体功能的实现。</w:t>
      </w:r>
      <w:r>
        <w:rPr>
          <w:rFonts w:hint="eastAsia" w:ascii="宋体" w:hAnsi="宋体"/>
          <w:b/>
          <w:bCs/>
          <w:snapToGrid w:val="0"/>
          <w:color w:val="auto"/>
          <w:sz w:val="24"/>
          <w:highlight w:val="none"/>
        </w:rPr>
        <w:t>投标报价时，供应商选择品牌将作为成交后使用的唯一品牌并在技术条款偏离表中注明，在未征得采购人书面同意的前提下不得更换。</w:t>
      </w:r>
    </w:p>
    <w:p w14:paraId="35653677">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1.3、暂列金额：见采购文件附件-招标工程量清单。</w:t>
      </w:r>
    </w:p>
    <w:p w14:paraId="2621A5FD">
      <w:pPr>
        <w:spacing w:line="360" w:lineRule="auto"/>
        <w:ind w:firstLine="525" w:firstLineChars="218"/>
        <w:rPr>
          <w:rFonts w:hint="eastAsia" w:ascii="宋体" w:hAnsi="宋体"/>
          <w:b/>
          <w:bCs/>
          <w:snapToGrid w:val="0"/>
          <w:color w:val="auto"/>
          <w:sz w:val="24"/>
          <w:highlight w:val="none"/>
        </w:rPr>
      </w:pPr>
      <w:r>
        <w:rPr>
          <w:rFonts w:hint="eastAsia" w:ascii="宋体" w:hAnsi="宋体"/>
          <w:b/>
          <w:bCs/>
          <w:snapToGrid w:val="0"/>
          <w:color w:val="auto"/>
          <w:sz w:val="24"/>
          <w:highlight w:val="none"/>
        </w:rPr>
        <w:t>2、报价要求</w:t>
      </w:r>
    </w:p>
    <w:p w14:paraId="2F189FB7">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造价咨询服务费以及合同明示或暗示的风险、责任和义务等为完成本工程项目所涉及到的全部费用</w:t>
      </w:r>
      <w:r>
        <w:rPr>
          <w:rFonts w:hint="eastAsia" w:ascii="宋体" w:hAnsi="宋体"/>
          <w:b/>
          <w:bCs/>
          <w:snapToGrid w:val="0"/>
          <w:color w:val="auto"/>
          <w:sz w:val="24"/>
          <w:highlight w:val="none"/>
        </w:rPr>
        <w:t>。</w:t>
      </w:r>
      <w:r>
        <w:rPr>
          <w:rFonts w:hint="eastAsia" w:ascii="宋体" w:hAnsi="宋体"/>
          <w:bCs/>
          <w:snapToGrid w:val="0"/>
          <w:color w:val="auto"/>
          <w:sz w:val="24"/>
          <w:highlight w:val="none"/>
        </w:rPr>
        <w:t>上述费用均已包含在</w:t>
      </w:r>
      <w:r>
        <w:rPr>
          <w:rFonts w:hint="eastAsia" w:ascii="宋体" w:hAnsi="宋体"/>
          <w:bCs/>
          <w:snapToGrid w:val="0"/>
          <w:color w:val="auto"/>
          <w:sz w:val="24"/>
          <w:highlight w:val="none"/>
          <w:lang w:eastAsia="zh-CN"/>
        </w:rPr>
        <w:t>响应</w:t>
      </w:r>
      <w:r>
        <w:rPr>
          <w:rFonts w:hint="eastAsia" w:ascii="宋体" w:hAnsi="宋体"/>
          <w:bCs/>
          <w:snapToGrid w:val="0"/>
          <w:color w:val="auto"/>
          <w:sz w:val="24"/>
          <w:highlight w:val="none"/>
        </w:rPr>
        <w:t>报价中。供应商现场勘查时应仔细核对施工内容，谨慎考虑报价。</w:t>
      </w:r>
    </w:p>
    <w:p w14:paraId="2150B9CF">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2.2、材料价格的变化</w:t>
      </w:r>
    </w:p>
    <w:p w14:paraId="0C475D20">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供应商采购的材料在施工期内，其价格变化不再调整。材料质量及材料供货商的能力必须满足设计文件、磋商文件、相关规范规定标准及工程自身的要求，且必须经采购人审查同意后方可使用。施工期间涨价风险供应商自行承担，报价时综合考虑，结算时不再调整。</w:t>
      </w:r>
    </w:p>
    <w:p w14:paraId="01D078C0">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2.3、安全生产、文明施工、环境保护</w:t>
      </w:r>
    </w:p>
    <w:p w14:paraId="6B20E5D2">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供应商应充分考虑安全生产、文明施工、环境保护可能带来的费用变化，一经成交，不得再要求因该方面的主管部门要求及参观视察引起的费用调整。对于安全文明施工的有关要求，成交人须与采购人签署《施工安全文明责任承诺书》。</w:t>
      </w:r>
    </w:p>
    <w:p w14:paraId="6CD202AF">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2.4、环境因素的影响</w:t>
      </w:r>
    </w:p>
    <w:p w14:paraId="7E1CBF75">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供应商应充分考虑场地本身及周边环境影响及施工所需水、电等费用，不再因此方面提出费用调整要求。</w:t>
      </w:r>
    </w:p>
    <w:p w14:paraId="4951CD5C">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2.5、保证质量，加快进度采取的措施施工过程中的为保证施工质量，加快工程进度而采取的措施引起的变更，不再进行费用调整。</w:t>
      </w:r>
    </w:p>
    <w:p w14:paraId="0A564660">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2.6、工程水电</w:t>
      </w:r>
    </w:p>
    <w:p w14:paraId="29D8317F">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供应商在报价中应充分考虑施工用水用电的实际情况，施工现场水源、电源由成交单位自行负责，水电费单独计量，由成交单位自行承担。由此产生费用，工程结算时总价不再调整，因停水、停电造成的费用增加，工程结算时不再调整。</w:t>
      </w:r>
    </w:p>
    <w:p w14:paraId="396876C9">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2.7、场地条件</w:t>
      </w:r>
    </w:p>
    <w:p w14:paraId="62566E74">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考虑在高等院校内施工、场地交通等因素，材料、垃圾等水平、垂直运输按市场与定额综合计价，垃圾场外运输、堆弃场地由成交单位自行选择。</w:t>
      </w:r>
    </w:p>
    <w:p w14:paraId="3D7921CF">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2.8、运距的变化</w:t>
      </w:r>
    </w:p>
    <w:p w14:paraId="33823CC3">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外运、弃土（渣）地点及运距自行考虑，不进行费用调整。</w:t>
      </w:r>
    </w:p>
    <w:p w14:paraId="789AD602">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2.9、材料运输及二次搬运</w:t>
      </w:r>
    </w:p>
    <w:p w14:paraId="6CADB270">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不再因材料的运输及场地内的二次搬运进行费用调整。</w:t>
      </w:r>
    </w:p>
    <w:p w14:paraId="54CF7288">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2.10、本工程发生的零星工作应考虑在报价中，实际施工时，不作零星签证。</w:t>
      </w:r>
    </w:p>
    <w:p w14:paraId="6B781BFF">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2.11、垃圾外运、处置费由供应商负责办理，所需费用列入报价中，结算时不再调整。</w:t>
      </w:r>
    </w:p>
    <w:p w14:paraId="0E0350F4">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2.12、本工程报价应充分考虑损耗及异形处理，防雷、防火等各种因素。</w:t>
      </w:r>
    </w:p>
    <w:p w14:paraId="63CAEA83">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2.13、报价中供应商应充分考虑抢工或赶工造成的质量安全保证措施因行政主管部门及采购人对工程施工的各项要求规定对工程所造成的各项影响，造成工程费用的增加及违反上述规定要求造成的经济处罚，供应商应考虑在报价中。供应商在报价时应充分考虑国家行业、地方有关工程施工、工程质量管理、施工规范、检验验收、政策性费用等方面调整带来的风险。供应商应按国家及</w:t>
      </w:r>
      <w:r>
        <w:rPr>
          <w:rFonts w:hint="eastAsia" w:ascii="宋体" w:hAnsi="宋体"/>
          <w:bCs/>
          <w:snapToGrid w:val="0"/>
          <w:color w:val="auto"/>
          <w:sz w:val="24"/>
          <w:highlight w:val="none"/>
          <w:lang w:eastAsia="zh-CN"/>
        </w:rPr>
        <w:t>采购</w:t>
      </w:r>
      <w:r>
        <w:rPr>
          <w:rFonts w:hint="eastAsia" w:ascii="宋体" w:hAnsi="宋体"/>
          <w:bCs/>
          <w:snapToGrid w:val="0"/>
          <w:color w:val="auto"/>
          <w:sz w:val="24"/>
          <w:highlight w:val="none"/>
        </w:rPr>
        <w:t>文件的规定计算各项费用，供应商报价不计或少计时，在工程实施时，采购人不再给予调整，同时并不免除供应商应承担的各项义务。</w:t>
      </w:r>
    </w:p>
    <w:p w14:paraId="38A9EF71">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2.14、供应商报价时综合考虑各专业交叉作业所需的费用，结算时不再调整。</w:t>
      </w:r>
    </w:p>
    <w:p w14:paraId="5135117D">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2.15、突发事件所发生的费用，供应商自行考虑，结算时不再调整。</w:t>
      </w:r>
    </w:p>
    <w:p w14:paraId="235E8584">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2.16、由供应商原因造成工期延误导致的费用增加的部分由供应商承担。</w:t>
      </w:r>
    </w:p>
    <w:p w14:paraId="72A50AC2">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2.17、供应商所用临时设施工程不需要再使用时，如发包方要求拆除，供应商应立即无条件拆除。</w:t>
      </w:r>
    </w:p>
    <w:p w14:paraId="21720A48">
      <w:pPr>
        <w:spacing w:line="360" w:lineRule="auto"/>
        <w:ind w:firstLine="525" w:firstLineChars="218"/>
        <w:rPr>
          <w:rFonts w:hint="eastAsia" w:ascii="宋体" w:hAnsi="宋体"/>
          <w:b/>
          <w:bCs/>
          <w:snapToGrid w:val="0"/>
          <w:color w:val="auto"/>
          <w:sz w:val="24"/>
          <w:highlight w:val="none"/>
        </w:rPr>
      </w:pPr>
      <w:r>
        <w:rPr>
          <w:rFonts w:hint="eastAsia" w:ascii="宋体" w:hAnsi="宋体"/>
          <w:b/>
          <w:bCs/>
          <w:snapToGrid w:val="0"/>
          <w:color w:val="auto"/>
          <w:sz w:val="24"/>
          <w:highlight w:val="none"/>
        </w:rPr>
        <w:t>3、施工管理</w:t>
      </w:r>
    </w:p>
    <w:p w14:paraId="77DDC603">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3.1、成交供应商应严格执行建筑施工规范、安全操作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p>
    <w:p w14:paraId="775CCC86">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3.2、成交供应商应做到文明施工，不得扰民，做好施工现场及场地整洁，做好已有设施的保护措施，如有损坏采购人有权要求赔偿，施工垃圾及时清运，清运手续、费用由成交供应商自行解决。</w:t>
      </w:r>
    </w:p>
    <w:p w14:paraId="16D46F10">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3.3、成交供应商施工人员在施工范围内必须遵守该区域管理规定，严格执行进出入管理要求。采购人不提供食宿，每天施工结束后所有人员必须离开现场，并保证做到人走场清。</w:t>
      </w:r>
    </w:p>
    <w:p w14:paraId="52DDB73B">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3.4、成交供应商在施工过程中需对项目施工地点中的原有设施设备进行保护措施，若因成交供应商原因导致原有设施设备破坏的，成交供应商应进行维修将现场恢复原样并自行承担因此发生的费用。</w:t>
      </w:r>
    </w:p>
    <w:p w14:paraId="5B80E444">
      <w:pPr>
        <w:spacing w:line="360" w:lineRule="auto"/>
        <w:ind w:firstLine="525" w:firstLineChars="218"/>
        <w:rPr>
          <w:rFonts w:hint="eastAsia" w:ascii="宋体" w:hAnsi="宋体"/>
          <w:b/>
          <w:bCs/>
          <w:snapToGrid w:val="0"/>
          <w:color w:val="auto"/>
          <w:sz w:val="24"/>
          <w:highlight w:val="none"/>
        </w:rPr>
      </w:pPr>
      <w:bookmarkStart w:id="6" w:name="_Toc382570124"/>
      <w:bookmarkStart w:id="7" w:name="_Toc502221131"/>
      <w:bookmarkStart w:id="8" w:name="_Toc367804256"/>
      <w:bookmarkStart w:id="9" w:name="_Toc382236263"/>
      <w:bookmarkStart w:id="10" w:name="_Toc381109660"/>
      <w:bookmarkStart w:id="11" w:name="_Toc466978326"/>
      <w:r>
        <w:rPr>
          <w:rFonts w:hint="eastAsia" w:ascii="宋体" w:hAnsi="宋体"/>
          <w:b/>
          <w:bCs/>
          <w:snapToGrid w:val="0"/>
          <w:color w:val="auto"/>
          <w:sz w:val="24"/>
          <w:highlight w:val="none"/>
        </w:rPr>
        <w:t>4、质保及验收</w:t>
      </w:r>
      <w:bookmarkEnd w:id="6"/>
      <w:bookmarkEnd w:id="7"/>
      <w:bookmarkEnd w:id="8"/>
      <w:bookmarkEnd w:id="9"/>
      <w:bookmarkEnd w:id="10"/>
      <w:bookmarkEnd w:id="11"/>
      <w:r>
        <w:rPr>
          <w:rFonts w:hint="eastAsia" w:ascii="宋体" w:hAnsi="宋体"/>
          <w:b/>
          <w:bCs/>
          <w:snapToGrid w:val="0"/>
          <w:color w:val="auto"/>
          <w:sz w:val="24"/>
          <w:highlight w:val="none"/>
        </w:rPr>
        <w:t>要求</w:t>
      </w:r>
    </w:p>
    <w:p w14:paraId="6D0E64BE">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4.1、成交供应商应在合同约定的完工时间通过验收并办理相关手续，并向采购人交齐所有合格的竣工资料，如因成交供应商原因影响竣工验收或导致不能通过验收，则应赔偿采购人损失。</w:t>
      </w:r>
    </w:p>
    <w:p w14:paraId="219FDB2D">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4.2、工程质量保修期：自验收合格之日起</w:t>
      </w:r>
      <w:r>
        <w:rPr>
          <w:rFonts w:hint="eastAsia" w:ascii="宋体" w:hAnsi="宋体"/>
          <w:b/>
          <w:bCs/>
          <w:snapToGrid w:val="0"/>
          <w:color w:val="auto"/>
          <w:sz w:val="24"/>
          <w:highlight w:val="none"/>
          <w:u w:val="single"/>
        </w:rPr>
        <w:t xml:space="preserve"> </w:t>
      </w:r>
      <w:r>
        <w:rPr>
          <w:rFonts w:hint="eastAsia" w:ascii="宋体" w:hAnsi="宋体"/>
          <w:b/>
          <w:bCs/>
          <w:snapToGrid w:val="0"/>
          <w:color w:val="auto"/>
          <w:sz w:val="24"/>
          <w:highlight w:val="none"/>
          <w:u w:val="single"/>
          <w:lang w:val="en-US" w:eastAsia="zh-CN"/>
        </w:rPr>
        <w:t>1</w:t>
      </w:r>
      <w:r>
        <w:rPr>
          <w:rFonts w:hint="eastAsia" w:ascii="宋体" w:hAnsi="宋体"/>
          <w:b/>
          <w:bCs/>
          <w:snapToGrid w:val="0"/>
          <w:color w:val="auto"/>
          <w:sz w:val="24"/>
          <w:highlight w:val="none"/>
          <w:u w:val="single"/>
        </w:rPr>
        <w:t xml:space="preserve"> </w:t>
      </w:r>
      <w:r>
        <w:rPr>
          <w:rFonts w:hint="eastAsia" w:ascii="宋体" w:hAnsi="宋体"/>
          <w:bCs/>
          <w:snapToGrid w:val="0"/>
          <w:color w:val="auto"/>
          <w:sz w:val="24"/>
          <w:highlight w:val="none"/>
        </w:rPr>
        <w:t>年（供应商可自行承诺延长的质保期，最终按承诺质保期执行）。</w:t>
      </w:r>
    </w:p>
    <w:p w14:paraId="4CABF584">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4.3、质量保修责任</w:t>
      </w:r>
    </w:p>
    <w:p w14:paraId="0C433A5C">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4.3.1、属于保修范围和内容的项目，供应商应在接到招标人或物业通知后24小时内派维修人员到达现场进行处理。如未按时派人维修，采购人可委托其他人员修理，保修费用从质量保修金内扣除。</w:t>
      </w:r>
    </w:p>
    <w:p w14:paraId="2417B9DE">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4.3.2、发生须紧急抢修事故，供应商接到事故通知后，应立即到达事故现场抢修。非供应商施工质量引起的事故，抢修费用由采购人承担。</w:t>
      </w:r>
    </w:p>
    <w:p w14:paraId="06EAAF3E">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4.3.3、在国家规定的工程合理使用期限内，因供应商原因致使工程在合理使用期限内造成人身和财产损害的，应承担损害赔偿责任。</w:t>
      </w:r>
    </w:p>
    <w:p w14:paraId="63D05AB6">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5、本项目成交后不得转包、分包，一经查实，采购人有权取消供应商成交资格。</w:t>
      </w:r>
    </w:p>
    <w:p w14:paraId="60DD005D">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6、工程量变更</w:t>
      </w:r>
    </w:p>
    <w:p w14:paraId="6A67D934">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6.1、成交供应商不得对原有工程设计进行变更，因成交供应商自身原因导致的工程量变更，成交供应商无权要求追加合同价款，并承担由此给采购人带来的一切损失。</w:t>
      </w:r>
    </w:p>
    <w:p w14:paraId="199E0ABA">
      <w:pPr>
        <w:spacing w:line="360" w:lineRule="auto"/>
        <w:ind w:firstLine="523" w:firstLineChars="218"/>
        <w:rPr>
          <w:rFonts w:hint="eastAsia" w:ascii="宋体" w:hAnsi="宋体"/>
          <w:bCs/>
          <w:snapToGrid w:val="0"/>
          <w:color w:val="auto"/>
          <w:sz w:val="24"/>
          <w:highlight w:val="none"/>
        </w:rPr>
      </w:pPr>
      <w:r>
        <w:rPr>
          <w:rFonts w:hint="eastAsia" w:ascii="宋体" w:hAnsi="宋体"/>
          <w:bCs/>
          <w:snapToGrid w:val="0"/>
          <w:color w:val="auto"/>
          <w:sz w:val="24"/>
          <w:highlight w:val="none"/>
        </w:rPr>
        <w:t>6.2、项目施工期间因采购人提出的变更导致工程量增减，成交供应商提交的量、价申请报告须经采购人现场负责人核准、审查确认，任何后补签证的请求采购人有权拒绝。</w:t>
      </w:r>
    </w:p>
    <w:p w14:paraId="494C4285">
      <w:pPr>
        <w:spacing w:line="360" w:lineRule="auto"/>
        <w:ind w:firstLine="525" w:firstLineChars="218"/>
        <w:rPr>
          <w:rFonts w:hint="eastAsia" w:ascii="宋体" w:hAnsi="宋体"/>
          <w:b/>
          <w:bCs/>
          <w:snapToGrid w:val="0"/>
          <w:color w:val="auto"/>
          <w:sz w:val="24"/>
          <w:highlight w:val="none"/>
        </w:rPr>
      </w:pPr>
      <w:r>
        <w:rPr>
          <w:rFonts w:hint="eastAsia" w:ascii="宋体" w:hAnsi="宋体"/>
          <w:b/>
          <w:bCs/>
          <w:snapToGrid w:val="0"/>
          <w:color w:val="auto"/>
          <w:sz w:val="24"/>
          <w:highlight w:val="none"/>
        </w:rPr>
        <w:t>四、付款方式</w:t>
      </w:r>
    </w:p>
    <w:p w14:paraId="62D85326">
      <w:pPr>
        <w:spacing w:line="360" w:lineRule="auto"/>
        <w:ind w:firstLine="523" w:firstLineChars="218"/>
        <w:rPr>
          <w:rFonts w:hint="eastAsia" w:ascii="宋体" w:hAnsi="宋体"/>
          <w:b/>
          <w:bCs/>
          <w:snapToGrid w:val="0"/>
          <w:color w:val="auto"/>
          <w:sz w:val="24"/>
          <w:highlight w:val="none"/>
        </w:rPr>
      </w:pPr>
      <w:r>
        <w:rPr>
          <w:rFonts w:hint="eastAsia" w:ascii="宋体" w:hAnsi="宋体"/>
          <w:bCs/>
          <w:snapToGrid w:val="0"/>
          <w:color w:val="auto"/>
          <w:sz w:val="24"/>
          <w:highlight w:val="none"/>
        </w:rPr>
        <w:t>完工验收合格后付至已完合格工程量工程价款的 80 %；经审计后付至审定价的97%并扣除审计费，余款在缺陷责任期到后全额无息付清，审计费按校审计相关规定执行。</w:t>
      </w:r>
    </w:p>
    <w:p w14:paraId="30358421">
      <w:pPr>
        <w:spacing w:line="360" w:lineRule="auto"/>
        <w:ind w:firstLine="525" w:firstLineChars="218"/>
        <w:rPr>
          <w:rFonts w:ascii="宋体" w:hAnsi="宋体"/>
          <w:b/>
          <w:bCs/>
          <w:snapToGrid w:val="0"/>
          <w:color w:val="auto"/>
          <w:sz w:val="24"/>
          <w:highlight w:val="none"/>
        </w:rPr>
      </w:pPr>
      <w:r>
        <w:rPr>
          <w:rFonts w:hint="eastAsia" w:ascii="宋体" w:hAnsi="宋体"/>
          <w:b/>
          <w:bCs/>
          <w:snapToGrid w:val="0"/>
          <w:color w:val="auto"/>
          <w:sz w:val="24"/>
          <w:highlight w:val="none"/>
        </w:rPr>
        <w:t>五、其他</w:t>
      </w:r>
    </w:p>
    <w:p w14:paraId="55825020">
      <w:pPr>
        <w:rPr>
          <w:rFonts w:ascii="宋体" w:hAnsi="宋体" w:cs="宋体"/>
          <w:color w:val="auto"/>
          <w:sz w:val="24"/>
          <w:szCs w:val="24"/>
          <w:highlight w:val="none"/>
        </w:rPr>
      </w:pPr>
      <w:r>
        <w:rPr>
          <w:rFonts w:hint="eastAsia" w:ascii="宋体" w:hAnsi="宋体"/>
          <w:bCs/>
          <w:snapToGrid w:val="0"/>
          <w:color w:val="auto"/>
          <w:sz w:val="24"/>
          <w:highlight w:val="none"/>
          <w:lang w:val="en-US" w:eastAsia="zh-CN"/>
        </w:rPr>
        <w:t>1、</w:t>
      </w:r>
      <w:r>
        <w:rPr>
          <w:rFonts w:hint="eastAsia" w:ascii="宋体" w:hAnsi="宋体"/>
          <w:bCs/>
          <w:snapToGrid w:val="0"/>
          <w:color w:val="auto"/>
          <w:sz w:val="24"/>
          <w:highlight w:val="none"/>
        </w:rPr>
        <w:t>图纸及清单详见附件。</w:t>
      </w:r>
    </w:p>
    <w:p w14:paraId="2B64521E">
      <w:pPr>
        <w:pBdr>
          <w:top w:val="none" w:color="000000" w:sz="0" w:space="0"/>
          <w:left w:val="none" w:color="000000" w:sz="0" w:space="0"/>
          <w:bottom w:val="none" w:color="000000" w:sz="0" w:space="0"/>
          <w:right w:val="none" w:color="000000" w:sz="0" w:space="0"/>
        </w:pBdr>
        <w:rPr>
          <w:rFonts w:hint="eastAsia" w:ascii="宋体" w:hAnsi="宋体" w:cs="宋体"/>
          <w:b/>
          <w:color w:val="auto"/>
          <w:highlight w:val="none"/>
        </w:rPr>
      </w:pPr>
      <w:r>
        <w:rPr>
          <w:rFonts w:hint="eastAsia" w:ascii="宋体" w:hAnsi="宋体"/>
          <w:color w:val="auto"/>
          <w:highlight w:val="none"/>
          <w:lang w:val="en-US" w:eastAsia="zh-CN"/>
        </w:rPr>
        <w:t>2、</w:t>
      </w:r>
      <w:r>
        <w:rPr>
          <w:rFonts w:hint="eastAsia" w:ascii="宋体" w:hAnsi="宋体" w:cs="宋体"/>
          <w:b/>
          <w:color w:val="auto"/>
          <w:highlight w:val="none"/>
        </w:rPr>
        <w:t>进校报备：</w:t>
      </w:r>
    </w:p>
    <w:p w14:paraId="56E5397C">
      <w:pPr>
        <w:spacing w:line="400" w:lineRule="exact"/>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进校参加投标活动的人员，应提前2小时扫描下方二维码填写入校预约，审核通过后从南邮仙林校区南门（文苑路9号）入校。</w:t>
      </w:r>
      <w:r>
        <w:rPr>
          <w:rFonts w:hint="eastAsia" w:ascii="宋体" w:hAnsi="宋体" w:cs="宋体"/>
          <w:b/>
          <w:bCs/>
          <w:color w:val="auto"/>
          <w:szCs w:val="21"/>
          <w:highlight w:val="none"/>
        </w:rPr>
        <w:t>（进校二维码见下）</w:t>
      </w:r>
    </w:p>
    <w:p w14:paraId="77AAACA7">
      <w:pPr>
        <w:ind w:firstLine="480"/>
        <w:jc w:val="center"/>
        <w:rPr>
          <w:rFonts w:hint="eastAsia" w:ascii="宋体" w:hAnsi="宋体" w:cs="宋体"/>
          <w:color w:val="auto"/>
          <w:szCs w:val="21"/>
          <w:highlight w:val="none"/>
        </w:rPr>
      </w:pPr>
    </w:p>
    <w:p w14:paraId="59917961">
      <w:pPr>
        <w:ind w:firstLine="48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drawing>
          <wp:inline distT="0" distB="0" distL="114300" distR="114300">
            <wp:extent cx="4286250" cy="4286250"/>
            <wp:effectExtent l="0" t="0" r="0" b="0"/>
            <wp:docPr id="2" name="图片 2" descr="5ecc7c2d06ef2eb199ed7af21dc0a1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ecc7c2d06ef2eb199ed7af21dc0a15e"/>
                    <pic:cNvPicPr>
                      <a:picLocks noChangeAspect="1"/>
                    </pic:cNvPicPr>
                  </pic:nvPicPr>
                  <pic:blipFill>
                    <a:blip r:embed="rId6"/>
                    <a:stretch>
                      <a:fillRect/>
                    </a:stretch>
                  </pic:blipFill>
                  <pic:spPr>
                    <a:xfrm>
                      <a:off x="0" y="0"/>
                      <a:ext cx="4286250" cy="4286250"/>
                    </a:xfrm>
                    <a:prstGeom prst="rect">
                      <a:avLst/>
                    </a:prstGeom>
                  </pic:spPr>
                </pic:pic>
              </a:graphicData>
            </a:graphic>
          </wp:inline>
        </w:drawing>
      </w:r>
    </w:p>
    <w:p w14:paraId="2821EA2D">
      <w:pPr>
        <w:spacing w:line="400" w:lineRule="exact"/>
        <w:ind w:firstLine="480"/>
        <w:rPr>
          <w:rFonts w:hint="eastAsia" w:ascii="宋体" w:hAnsi="宋体" w:cs="宋体"/>
          <w:bCs/>
          <w:color w:val="auto"/>
          <w:szCs w:val="21"/>
          <w:highlight w:val="none"/>
        </w:rPr>
      </w:pPr>
    </w:p>
    <w:p w14:paraId="6C4D3B81">
      <w:pPr>
        <w:autoSpaceDE w:val="0"/>
        <w:autoSpaceDN w:val="0"/>
        <w:adjustRightInd w:val="0"/>
        <w:snapToGrid w:val="0"/>
        <w:spacing w:line="360" w:lineRule="auto"/>
        <w:jc w:val="both"/>
        <w:rPr>
          <w:color w:val="auto"/>
          <w:highlight w:val="none"/>
        </w:rPr>
      </w:pPr>
      <w:r>
        <w:rPr>
          <w:rFonts w:hint="eastAsia" w:ascii="宋体" w:hAnsi="宋体" w:eastAsia="宋体" w:cs="宋体"/>
          <w:b/>
          <w:color w:val="auto"/>
          <w:sz w:val="28"/>
          <w:szCs w:val="28"/>
          <w:highlight w:val="none"/>
        </w:rPr>
        <w:t>请务必预留充足时间，如不能在截止时间前递交</w:t>
      </w:r>
      <w:r>
        <w:rPr>
          <w:rFonts w:hint="eastAsia" w:ascii="宋体" w:hAnsi="宋体" w:cs="宋体"/>
          <w:b/>
          <w:color w:val="auto"/>
          <w:sz w:val="28"/>
          <w:szCs w:val="28"/>
          <w:highlight w:val="none"/>
          <w:lang w:eastAsia="zh-CN"/>
        </w:rPr>
        <w:t>响应</w:t>
      </w:r>
      <w:bookmarkStart w:id="23" w:name="_GoBack"/>
      <w:bookmarkEnd w:id="23"/>
      <w:r>
        <w:rPr>
          <w:rFonts w:hint="eastAsia" w:ascii="宋体" w:hAnsi="宋体" w:eastAsia="宋体" w:cs="宋体"/>
          <w:b/>
          <w:color w:val="auto"/>
          <w:sz w:val="28"/>
          <w:szCs w:val="28"/>
          <w:highlight w:val="none"/>
        </w:rPr>
        <w:t>文件，后果自行承担。</w:t>
      </w:r>
      <w:r>
        <w:rPr>
          <w:rFonts w:ascii="宋体" w:hAnsi="宋体"/>
          <w:color w:val="auto"/>
          <w:highlight w:val="none"/>
        </w:rPr>
        <w:br w:type="page"/>
      </w:r>
    </w:p>
    <w:p w14:paraId="3A6C3783">
      <w:pPr>
        <w:pStyle w:val="262"/>
        <w:rPr>
          <w:color w:val="auto"/>
          <w:highlight w:val="none"/>
        </w:rPr>
      </w:pPr>
      <w:r>
        <w:rPr>
          <w:color w:val="auto"/>
          <w:highlight w:val="none"/>
        </w:rPr>
        <w:t>第五章  合同主要条款及格式</w:t>
      </w:r>
    </w:p>
    <w:p w14:paraId="404BDF56">
      <w:pPr>
        <w:pStyle w:val="16"/>
        <w:ind w:firstLine="480"/>
        <w:rPr>
          <w:color w:val="auto"/>
          <w:highlight w:val="none"/>
        </w:rPr>
      </w:pPr>
      <w:bookmarkStart w:id="12" w:name="_Toc20823315"/>
      <w:bookmarkStart w:id="13" w:name="_Toc513029243"/>
      <w:bookmarkStart w:id="14" w:name="_Toc16938559"/>
      <w:r>
        <w:rPr>
          <w:color w:val="auto"/>
          <w:highlight w:val="none"/>
        </w:rPr>
        <w:t>以下为成交后签订本项目合同的通用条款，成交人不得提出实质性的修改，关于专用条款将由采购人与成交人结合本项目具体情况协商后签订。</w:t>
      </w:r>
    </w:p>
    <w:bookmarkEnd w:id="12"/>
    <w:bookmarkEnd w:id="13"/>
    <w:bookmarkEnd w:id="14"/>
    <w:p w14:paraId="7A2D7189">
      <w:pPr>
        <w:jc w:val="center"/>
        <w:rPr>
          <w:rFonts w:hint="eastAsia"/>
          <w:color w:val="auto"/>
          <w:sz w:val="30"/>
          <w:szCs w:val="30"/>
          <w:highlight w:val="none"/>
        </w:rPr>
      </w:pPr>
      <w:bookmarkStart w:id="15" w:name="_Hlt16619369"/>
      <w:bookmarkEnd w:id="15"/>
      <w:bookmarkStart w:id="16" w:name="_Toc79455062"/>
      <w:bookmarkStart w:id="17" w:name="_Toc148340515"/>
      <w:r>
        <w:rPr>
          <w:rFonts w:hint="eastAsia"/>
          <w:color w:val="auto"/>
          <w:sz w:val="30"/>
          <w:szCs w:val="30"/>
          <w:highlight w:val="none"/>
        </w:rPr>
        <w:t>南京邮电大学</w:t>
      </w:r>
      <w:r>
        <w:rPr>
          <w:rFonts w:hint="eastAsia"/>
          <w:color w:val="auto"/>
          <w:sz w:val="30"/>
          <w:szCs w:val="30"/>
          <w:highlight w:val="none"/>
          <w:u w:val="single"/>
        </w:rPr>
        <w:t xml:space="preserve"> 仙林校区北操东看台电力改造 </w:t>
      </w:r>
      <w:r>
        <w:rPr>
          <w:rFonts w:hint="eastAsia"/>
          <w:color w:val="auto"/>
          <w:sz w:val="30"/>
          <w:szCs w:val="30"/>
          <w:highlight w:val="none"/>
        </w:rPr>
        <w:t>合同</w:t>
      </w:r>
    </w:p>
    <w:p w14:paraId="5B0E39C3">
      <w:pPr>
        <w:jc w:val="center"/>
        <w:rPr>
          <w:rFonts w:hint="eastAsia"/>
          <w:color w:val="auto"/>
          <w:szCs w:val="21"/>
          <w:highlight w:val="none"/>
        </w:rPr>
      </w:pPr>
    </w:p>
    <w:p w14:paraId="7F7096F2">
      <w:pPr>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发包人：</w:t>
      </w:r>
      <w:r>
        <w:rPr>
          <w:rFonts w:hint="eastAsia" w:ascii="宋体" w:hAnsi="宋体" w:cs="宋体"/>
          <w:color w:val="auto"/>
          <w:szCs w:val="21"/>
          <w:highlight w:val="none"/>
          <w:u w:val="single"/>
        </w:rPr>
        <w:t xml:space="preserve">    南京邮电大学      </w:t>
      </w:r>
      <w:r>
        <w:rPr>
          <w:rFonts w:hint="eastAsia" w:ascii="宋体" w:hAnsi="宋体" w:cs="宋体"/>
          <w:color w:val="auto"/>
          <w:szCs w:val="21"/>
          <w:highlight w:val="none"/>
        </w:rPr>
        <w:t>（以下简称甲方）</w:t>
      </w:r>
    </w:p>
    <w:p w14:paraId="2A405F13">
      <w:pPr>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南京市栖霞区文苑路9号 </w:t>
      </w:r>
    </w:p>
    <w:p w14:paraId="1B88777E">
      <w:pPr>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025-85866561</w:t>
      </w:r>
      <w:r>
        <w:rPr>
          <w:rFonts w:hint="eastAsia" w:ascii="宋体" w:hAnsi="宋体" w:cs="宋体"/>
          <w:color w:val="auto"/>
          <w:szCs w:val="21"/>
          <w:highlight w:val="none"/>
          <w:u w:val="single"/>
        </w:rPr>
        <w:t xml:space="preserve">          </w:t>
      </w:r>
    </w:p>
    <w:p w14:paraId="27972823">
      <w:pPr>
        <w:spacing w:line="360" w:lineRule="auto"/>
        <w:jc w:val="left"/>
        <w:rPr>
          <w:rFonts w:hint="eastAsia" w:ascii="宋体" w:hAnsi="宋体" w:cs="宋体"/>
          <w:color w:val="auto"/>
          <w:szCs w:val="21"/>
          <w:highlight w:val="none"/>
        </w:rPr>
      </w:pPr>
    </w:p>
    <w:p w14:paraId="12D012F3">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承包人：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w:t>
      </w:r>
    </w:p>
    <w:p w14:paraId="52EC04E0">
      <w:pPr>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u w:val="single"/>
        </w:rPr>
        <w:t xml:space="preserve">                                           </w:t>
      </w:r>
    </w:p>
    <w:p w14:paraId="4415B758">
      <w:pPr>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p>
    <w:p w14:paraId="73D515E1">
      <w:pPr>
        <w:jc w:val="left"/>
        <w:rPr>
          <w:rFonts w:hint="eastAsia" w:ascii="宋体" w:hAnsi="宋体" w:cs="宋体"/>
          <w:color w:val="auto"/>
          <w:szCs w:val="21"/>
          <w:highlight w:val="none"/>
        </w:rPr>
      </w:pPr>
    </w:p>
    <w:p w14:paraId="74032FDD">
      <w:p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 xml:space="preserve">    按照《中华人民共和国民法典》合同编、建设部《建筑装饰装修管理规定》及其他有关法律法规的有关规定，结合本工程实际情况，遵守平等、自愿、公平和诚实信用原则，经双方协商达成如下协议：</w:t>
      </w:r>
    </w:p>
    <w:p w14:paraId="55C86266">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工程概况：</w:t>
      </w:r>
    </w:p>
    <w:p w14:paraId="2423A6C1">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工程地址：</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w:t>
      </w:r>
    </w:p>
    <w:p w14:paraId="5F4178FA">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 xml:space="preserve">承包内容： </w:t>
      </w:r>
      <w:r>
        <w:rPr>
          <w:rFonts w:hint="eastAsia" w:ascii="宋体" w:hAnsi="宋体" w:cs="宋体"/>
          <w:color w:val="auto"/>
          <w:highlight w:val="none"/>
          <w:u w:val="single"/>
        </w:rPr>
        <w:t xml:space="preserve">                                     </w:t>
      </w:r>
      <w:r>
        <w:rPr>
          <w:rFonts w:hint="eastAsia" w:ascii="宋体" w:hAnsi="宋体" w:cs="宋体"/>
          <w:color w:val="auto"/>
          <w:highlight w:val="none"/>
        </w:rPr>
        <w:t>(具体工作量见招标文件)。</w:t>
      </w:r>
    </w:p>
    <w:p w14:paraId="0D240F35">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 xml:space="preserve">承包方式：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4D24B4CD">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工期：开工日期：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日；竣工日期：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3F64C3FC">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工程质量：合格。</w:t>
      </w:r>
    </w:p>
    <w:p w14:paraId="1BC964AE">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质保期：</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F4FC67C">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合同价款：人民币</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46986088">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color w:val="auto"/>
          <w:szCs w:val="21"/>
          <w:highlight w:val="none"/>
          <w:shd w:val="clear" w:color="auto" w:fill="FFFFFF"/>
        </w:rPr>
        <w:t>本工程实行履约担保制度，合同签订前</w:t>
      </w:r>
      <w:r>
        <w:rPr>
          <w:rFonts w:hint="eastAsia" w:ascii="宋体" w:hAnsi="宋体" w:cs="宋体"/>
          <w:color w:val="auto"/>
          <w:szCs w:val="21"/>
          <w:highlight w:val="none"/>
        </w:rPr>
        <w:t>，乙方交纳人民币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元作为本合同的履约保证金，工程验收合格以后无息退还。如乙方对校区有破坏，需要按市价在履约保证金中扣除。</w:t>
      </w:r>
    </w:p>
    <w:p w14:paraId="63B3392E">
      <w:pPr>
        <w:pStyle w:val="59"/>
        <w:numPr>
          <w:ilvl w:val="0"/>
          <w:numId w:val="55"/>
        </w:numPr>
        <w:snapToGrid w:val="0"/>
        <w:spacing w:line="300" w:lineRule="auto"/>
        <w:ind w:firstLineChars="0"/>
        <w:jc w:val="left"/>
        <w:rPr>
          <w:rFonts w:hint="eastAsia" w:ascii="宋体" w:hAnsi="宋体" w:cs="宋体"/>
          <w:color w:val="auto"/>
          <w:highlight w:val="none"/>
        </w:rPr>
      </w:pPr>
      <w:r>
        <w:rPr>
          <w:rFonts w:hint="eastAsia"/>
          <w:color w:val="auto"/>
          <w:szCs w:val="21"/>
          <w:highlight w:val="none"/>
          <w:shd w:val="clear" w:color="auto" w:fill="FFFFFF"/>
        </w:rPr>
        <w:t>投标人除了提交履约担保外，由于中标价比有效投标报价平均值低</w:t>
      </w:r>
      <w:r>
        <w:rPr>
          <w:rFonts w:hint="eastAsia" w:ascii="Tahoma" w:hAnsi="Tahoma" w:cs="Tahoma"/>
          <w:color w:val="auto"/>
          <w:szCs w:val="21"/>
          <w:highlight w:val="none"/>
          <w:u w:val="single"/>
          <w:shd w:val="clear" w:color="auto" w:fill="FFFFFF"/>
        </w:rPr>
        <w:t xml:space="preserve">    </w:t>
      </w:r>
      <w:r>
        <w:rPr>
          <w:rFonts w:hint="eastAsia" w:ascii="Tahoma" w:hAnsi="Tahoma" w:cs="Tahoma"/>
          <w:color w:val="auto"/>
          <w:szCs w:val="21"/>
          <w:highlight w:val="none"/>
          <w:u w:val="single"/>
          <w:shd w:val="clear" w:color="auto" w:fill="FFFFFF"/>
          <w:lang w:val="en-US" w:eastAsia="zh-CN"/>
        </w:rPr>
        <w:t>/</w:t>
      </w:r>
      <w:r>
        <w:rPr>
          <w:rFonts w:hint="eastAsia" w:ascii="Tahoma" w:hAnsi="Tahoma" w:cs="Tahoma"/>
          <w:color w:val="auto"/>
          <w:szCs w:val="21"/>
          <w:highlight w:val="none"/>
          <w:u w:val="single"/>
          <w:shd w:val="clear" w:color="auto" w:fill="FFFFFF"/>
        </w:rPr>
        <w:t xml:space="preserve">       </w:t>
      </w:r>
      <w:r>
        <w:rPr>
          <w:rFonts w:hint="eastAsia"/>
          <w:color w:val="auto"/>
          <w:szCs w:val="21"/>
          <w:highlight w:val="none"/>
          <w:shd w:val="clear" w:color="auto" w:fill="FFFFFF"/>
        </w:rPr>
        <w:t>，中标人应当在合同签订之前按照中标价与有效投标报价平均值之差向招标人另行提交中标差额保证金，人民币：</w:t>
      </w:r>
      <w:r>
        <w:rPr>
          <w:rFonts w:hint="eastAsia"/>
          <w:color w:val="auto"/>
          <w:szCs w:val="21"/>
          <w:highlight w:val="none"/>
          <w:u w:val="single"/>
          <w:shd w:val="clear" w:color="auto" w:fill="FFFFFF"/>
        </w:rPr>
        <w:t xml:space="preserve">        </w:t>
      </w:r>
      <w:r>
        <w:rPr>
          <w:rFonts w:hint="eastAsia"/>
          <w:color w:val="auto"/>
          <w:szCs w:val="21"/>
          <w:highlight w:val="none"/>
          <w:u w:val="single"/>
          <w:shd w:val="clear" w:color="auto" w:fill="FFFFFF"/>
          <w:lang w:val="en-US" w:eastAsia="zh-CN"/>
        </w:rPr>
        <w:t>/</w:t>
      </w:r>
      <w:r>
        <w:rPr>
          <w:rFonts w:hint="eastAsia"/>
          <w:color w:val="auto"/>
          <w:szCs w:val="21"/>
          <w:highlight w:val="none"/>
          <w:u w:val="single"/>
          <w:shd w:val="clear" w:color="auto" w:fill="FFFFFF"/>
        </w:rPr>
        <w:t xml:space="preserve">         </w:t>
      </w:r>
      <w:r>
        <w:rPr>
          <w:rFonts w:hint="eastAsia"/>
          <w:color w:val="auto"/>
          <w:szCs w:val="21"/>
          <w:highlight w:val="none"/>
          <w:shd w:val="clear" w:color="auto" w:fill="FFFFFF"/>
        </w:rPr>
        <w:t>，</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color w:val="auto"/>
          <w:szCs w:val="21"/>
          <w:highlight w:val="none"/>
          <w:shd w:val="clear" w:color="auto" w:fill="FFFFFF"/>
        </w:rPr>
        <w:t>。</w:t>
      </w:r>
    </w:p>
    <w:p w14:paraId="32241D4B">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双方工作：</w:t>
      </w:r>
    </w:p>
    <w:p w14:paraId="221A0CF1">
      <w:pPr>
        <w:pStyle w:val="59"/>
        <w:snapToGrid w:val="0"/>
        <w:spacing w:line="300" w:lineRule="auto"/>
        <w:ind w:left="420" w:firstLine="0" w:firstLineChars="0"/>
        <w:jc w:val="left"/>
        <w:rPr>
          <w:rFonts w:hint="eastAsia" w:ascii="宋体" w:hAnsi="宋体" w:cs="宋体"/>
          <w:color w:val="auto"/>
          <w:highlight w:val="none"/>
        </w:rPr>
      </w:pPr>
      <w:r>
        <w:rPr>
          <w:rFonts w:hint="eastAsia" w:ascii="宋体" w:hAnsi="宋体" w:cs="宋体"/>
          <w:color w:val="auto"/>
          <w:highlight w:val="none"/>
        </w:rPr>
        <w:t>甲方工作</w:t>
      </w:r>
    </w:p>
    <w:p w14:paraId="09F2B1CA">
      <w:pPr>
        <w:pStyle w:val="59"/>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办理施工所涉及的各种申请、批件等各项手续，协助乙方接通施工所需的水、电，协调有关部门做好通道、电梯、消防设备的使用和保护。</w:t>
      </w:r>
    </w:p>
    <w:p w14:paraId="1520AD95">
      <w:pPr>
        <w:pStyle w:val="59"/>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提供原始水电线路图及装饰装修地点钥匙。</w:t>
      </w:r>
    </w:p>
    <w:p w14:paraId="633FE225">
      <w:pPr>
        <w:pStyle w:val="59"/>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指派</w:t>
      </w:r>
      <w:r>
        <w:rPr>
          <w:rFonts w:hint="eastAsia" w:ascii="宋体" w:hAnsi="宋体" w:cs="宋体"/>
          <w:color w:val="auto"/>
          <w:highlight w:val="none"/>
          <w:u w:val="single"/>
        </w:rPr>
        <w:t xml:space="preserve">           </w:t>
      </w:r>
      <w:r>
        <w:rPr>
          <w:rFonts w:hint="eastAsia" w:ascii="宋体" w:hAnsi="宋体" w:cs="宋体"/>
          <w:color w:val="auto"/>
          <w:highlight w:val="none"/>
        </w:rPr>
        <w:t>为甲方代表，负责对工程质量、进度进行监督检查，办理验收、变更登记手续和其他事宜。</w:t>
      </w:r>
    </w:p>
    <w:p w14:paraId="70DD3970">
      <w:pPr>
        <w:pStyle w:val="59"/>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如确实需要拆除原建筑物结构或设备管线，负责到有关部门办理相应审批手续，擅自同意拆改原有建筑物结构或设备管线，由此发生的损失或事故，由甲方负责并承担由此造成的经济损失。</w:t>
      </w:r>
    </w:p>
    <w:p w14:paraId="35B2CE4D">
      <w:pPr>
        <w:pStyle w:val="59"/>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协调有关部门做好现场保卫、消防、垃圾临时堆放指定点等工作。</w:t>
      </w:r>
    </w:p>
    <w:p w14:paraId="62807E2B">
      <w:pPr>
        <w:pStyle w:val="59"/>
        <w:snapToGrid w:val="0"/>
        <w:spacing w:line="300" w:lineRule="auto"/>
        <w:ind w:left="360" w:firstLine="0" w:firstLineChars="0"/>
        <w:jc w:val="left"/>
        <w:rPr>
          <w:rFonts w:hint="eastAsia" w:ascii="宋体" w:hAnsi="宋体" w:cs="宋体"/>
          <w:color w:val="auto"/>
          <w:highlight w:val="none"/>
        </w:rPr>
      </w:pPr>
      <w:r>
        <w:rPr>
          <w:rFonts w:hint="eastAsia" w:ascii="宋体" w:hAnsi="宋体" w:cs="宋体"/>
          <w:color w:val="auto"/>
          <w:highlight w:val="none"/>
        </w:rPr>
        <w:t>乙方工作</w:t>
      </w:r>
    </w:p>
    <w:p w14:paraId="0ACC5C75">
      <w:pPr>
        <w:pStyle w:val="59"/>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提交施工方案、设计图纸和进度计划，交甲方审定。</w:t>
      </w:r>
    </w:p>
    <w:p w14:paraId="6F2A94F3">
      <w:pPr>
        <w:pStyle w:val="59"/>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严格执行施工规范、安全操作规程、防火安全和环境保护规定。严格按照图纸或双方确认的作法说明进行施工，做好各项事宜。保证施工现场的整洁，每日完工后清扫施工现场。</w:t>
      </w:r>
    </w:p>
    <w:p w14:paraId="552D3BCD">
      <w:pPr>
        <w:pStyle w:val="59"/>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指派</w:t>
      </w:r>
      <w:r>
        <w:rPr>
          <w:rFonts w:hint="eastAsia" w:ascii="宋体" w:hAnsi="宋体" w:cs="宋体"/>
          <w:color w:val="auto"/>
          <w:highlight w:val="none"/>
          <w:u w:val="single"/>
        </w:rPr>
        <w:t xml:space="preserve">        </w:t>
      </w:r>
      <w:r>
        <w:rPr>
          <w:rFonts w:hint="eastAsia" w:ascii="宋体" w:hAnsi="宋体" w:cs="宋体"/>
          <w:color w:val="auto"/>
          <w:highlight w:val="none"/>
        </w:rPr>
        <w:t>为乙方驻工地代表，负责履行合同，组织施工，按期限保质保量完成施工任务，解决由乙方负责的各项事宜。</w:t>
      </w:r>
    </w:p>
    <w:p w14:paraId="04E1CE6B">
      <w:pPr>
        <w:pStyle w:val="59"/>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6B3D8EF4">
      <w:pPr>
        <w:pStyle w:val="59"/>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31669D7C">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工期</w:t>
      </w:r>
    </w:p>
    <w:p w14:paraId="38AC9FB6">
      <w:pPr>
        <w:pStyle w:val="59"/>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甲方要求比合同约定的工期提前竣工时，应征得乙方同意，并支付乙方因赶工采取的措施费用。每提前一天，甲方支付乙方合同价的千分之一。</w:t>
      </w:r>
    </w:p>
    <w:p w14:paraId="71F46DF6">
      <w:pPr>
        <w:numPr>
          <w:ilvl w:val="0"/>
          <w:numId w:val="58"/>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由于甲方变更设计或增加工程量，以及提出增加设计范围外的工程项目，甲方应及时通知乙方，并给予办理签证，造成工期的延误，甲方承担责任，工期相应顺延，费用增加按相关规定。</w:t>
      </w:r>
    </w:p>
    <w:p w14:paraId="76E687EB">
      <w:pPr>
        <w:pStyle w:val="59"/>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因乙方原因，不能按期开工或中途无故停工，影响工期，工期不顺延，且承担因工期延误造成的相关损失。</w:t>
      </w:r>
    </w:p>
    <w:p w14:paraId="5293C054">
      <w:pPr>
        <w:pStyle w:val="59"/>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由于工程质量原因返工，乙方承担责任，工期不顺延。若因此造成甲方或第三人的损失，乙方负责赔偿。</w:t>
      </w:r>
    </w:p>
    <w:p w14:paraId="50BCFC65">
      <w:pPr>
        <w:pStyle w:val="59"/>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非乙方原因造成的停电、停水及不可抗力因素影响，导致停工8小时以上（一周内累计计算），工期相应顺延，费用不增加。</w:t>
      </w:r>
    </w:p>
    <w:p w14:paraId="3F4E7838">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工程质量检查及验收：</w:t>
      </w:r>
    </w:p>
    <w:p w14:paraId="6F031F8A">
      <w:pPr>
        <w:numPr>
          <w:ilvl w:val="0"/>
          <w:numId w:val="59"/>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本工程质量评定验收标准的依据：（1）双方确认的施工图纸、做法说明、设计变更；（2）《建筑装饰装修工程质量验收规范》（GB50210-2001）等国家指定的施工及验收规范为质量评定验收标准。</w:t>
      </w:r>
    </w:p>
    <w:p w14:paraId="1B410AD3">
      <w:pPr>
        <w:pStyle w:val="59"/>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中间验收项目：</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7A57805">
      <w:pPr>
        <w:pStyle w:val="59"/>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甲方不定期对乙方施工所用材料按照建筑见证抽检要求进行复试，乙方应提供材料合格证和复试报告，检测结果如不合格，由乙方承担所有损失。</w:t>
      </w:r>
    </w:p>
    <w:p w14:paraId="50A09C6C">
      <w:pPr>
        <w:pStyle w:val="59"/>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238A1EB9">
      <w:pPr>
        <w:pStyle w:val="59"/>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42909B72">
      <w:pPr>
        <w:pStyle w:val="59"/>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工程竣工后，甲方未经验收擅自使用的部分，视为甲方验收合格。</w:t>
      </w:r>
    </w:p>
    <w:p w14:paraId="284D6BC8">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工程价款及结算</w:t>
      </w:r>
    </w:p>
    <w:p w14:paraId="2F486415">
      <w:pPr>
        <w:pStyle w:val="59"/>
        <w:numPr>
          <w:ilvl w:val="0"/>
          <w:numId w:val="60"/>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双方商定本合同价款结算采用第</w:t>
      </w:r>
      <w:r>
        <w:rPr>
          <w:rFonts w:hint="eastAsia" w:ascii="宋体" w:hAnsi="宋体" w:cs="宋体"/>
          <w:color w:val="auto"/>
          <w:highlight w:val="none"/>
          <w:u w:val="single"/>
        </w:rPr>
        <w:t xml:space="preserve"> （2） </w:t>
      </w:r>
      <w:r>
        <w:rPr>
          <w:rFonts w:hint="eastAsia" w:ascii="宋体" w:hAnsi="宋体" w:cs="宋体"/>
          <w:color w:val="auto"/>
          <w:highlight w:val="none"/>
        </w:rPr>
        <w:t>种</w:t>
      </w:r>
    </w:p>
    <w:p w14:paraId="34DCD6FF">
      <w:pPr>
        <w:pStyle w:val="59"/>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（1）固定总价。</w:t>
      </w:r>
    </w:p>
    <w:p w14:paraId="4D646289">
      <w:pPr>
        <w:pStyle w:val="59"/>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（2）固定单价，工程量按实结算方式。</w:t>
      </w:r>
    </w:p>
    <w:p w14:paraId="7A21EDC8">
      <w:pPr>
        <w:pStyle w:val="59"/>
        <w:numPr>
          <w:ilvl w:val="0"/>
          <w:numId w:val="60"/>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付款方式：</w:t>
      </w:r>
      <w:r>
        <w:rPr>
          <w:rFonts w:hint="eastAsia" w:ascii="宋体" w:hAnsi="宋体" w:cs="宋体"/>
          <w:b/>
          <w:bCs/>
          <w:color w:val="auto"/>
          <w:highlight w:val="none"/>
        </w:rPr>
        <w:t>完工验收合格后付至已完合格工程量工程价款的 80 %；经审计后付至审定价的 97 %并扣除审计费，余款在缺陷责任期到后全额无息付清，审计费按校审计相关规定执行。</w:t>
      </w:r>
    </w:p>
    <w:p w14:paraId="05224C74">
      <w:pPr>
        <w:pStyle w:val="59"/>
        <w:numPr>
          <w:ilvl w:val="0"/>
          <w:numId w:val="60"/>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ab/>
      </w:r>
      <w:r>
        <w:rPr>
          <w:rFonts w:hint="eastAsia" w:ascii="宋体" w:hAnsi="宋体" w:cs="宋体"/>
          <w:color w:val="auto"/>
          <w:highlight w:val="none"/>
        </w:rPr>
        <w:t>乙方必须在竣工10天内办理竣工资料移交手续，否则不予办理竣工结算。</w:t>
      </w:r>
    </w:p>
    <w:p w14:paraId="34168805">
      <w:pPr>
        <w:pStyle w:val="59"/>
        <w:numPr>
          <w:ilvl w:val="0"/>
          <w:numId w:val="60"/>
        </w:numPr>
        <w:snapToGrid w:val="0"/>
        <w:spacing w:line="300" w:lineRule="auto"/>
        <w:ind w:firstLineChars="0"/>
        <w:jc w:val="left"/>
        <w:rPr>
          <w:rFonts w:hint="eastAsia" w:ascii="宋体" w:hAnsi="宋体" w:cs="宋体"/>
          <w:color w:val="auto"/>
          <w:highlight w:val="none"/>
        </w:rPr>
      </w:pPr>
      <w:r>
        <w:rPr>
          <w:rFonts w:hint="eastAsia"/>
          <w:color w:val="auto"/>
          <w:szCs w:val="21"/>
          <w:highlight w:val="none"/>
          <w:shd w:val="clear" w:color="auto" w:fill="FFFFFF"/>
        </w:rPr>
        <w:t>工程竣工验收合格后，乙方未发生违约情形的，乙方凭竣工验收文件提出全部退还保证金申请，甲方予以办理保证金退还手续。</w:t>
      </w:r>
    </w:p>
    <w:p w14:paraId="26F92816">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安全生产和防火</w:t>
      </w:r>
    </w:p>
    <w:p w14:paraId="077A9D42">
      <w:pPr>
        <w:pStyle w:val="59"/>
        <w:numPr>
          <w:ilvl w:val="0"/>
          <w:numId w:val="61"/>
        </w:numPr>
        <w:tabs>
          <w:tab w:val="clear" w:pos="1017"/>
        </w:tabs>
        <w:snapToGrid w:val="0"/>
        <w:spacing w:line="300" w:lineRule="auto"/>
        <w:ind w:left="360" w:hanging="360" w:firstLineChars="0"/>
        <w:jc w:val="left"/>
        <w:rPr>
          <w:rFonts w:hint="eastAsia" w:ascii="宋体" w:hAnsi="宋体" w:cs="宋体"/>
          <w:color w:val="auto"/>
          <w:highlight w:val="none"/>
        </w:rPr>
      </w:pPr>
      <w:r>
        <w:rPr>
          <w:rFonts w:hint="eastAsia" w:ascii="宋体" w:hAnsi="宋体" w:cs="宋体"/>
          <w:color w:val="auto"/>
          <w:highlight w:val="none"/>
        </w:rPr>
        <w:t>甲方提供的施工图纸或做法说明，应符合《中华人民共和国消防条例》和有关防火设计规范。</w:t>
      </w:r>
    </w:p>
    <w:p w14:paraId="536B7135">
      <w:pPr>
        <w:pStyle w:val="59"/>
        <w:numPr>
          <w:ilvl w:val="0"/>
          <w:numId w:val="61"/>
        </w:numPr>
        <w:tabs>
          <w:tab w:val="clear" w:pos="1017"/>
        </w:tabs>
        <w:snapToGrid w:val="0"/>
        <w:spacing w:line="300" w:lineRule="auto"/>
        <w:ind w:left="360" w:hanging="360" w:firstLineChars="0"/>
        <w:jc w:val="left"/>
        <w:rPr>
          <w:rFonts w:hint="eastAsia" w:ascii="宋体" w:hAnsi="宋体" w:cs="宋体"/>
          <w:color w:val="auto"/>
          <w:highlight w:val="none"/>
        </w:rPr>
      </w:pPr>
      <w:r>
        <w:rPr>
          <w:rFonts w:hint="eastAsia" w:ascii="宋体" w:hAnsi="宋体" w:cs="宋体"/>
          <w:color w:val="auto"/>
          <w:highlight w:val="none"/>
        </w:rPr>
        <w:t>乙方在施工期间应严格遵守《中华人民共和国建筑法》、《建筑安装工程安全技术规程》、《建筑安装工程安全操作规程》、《中华人民共和国消防条例》和其他相关的法规、规范。</w:t>
      </w:r>
    </w:p>
    <w:p w14:paraId="096B7760">
      <w:pPr>
        <w:pStyle w:val="59"/>
        <w:numPr>
          <w:ilvl w:val="0"/>
          <w:numId w:val="61"/>
        </w:numPr>
        <w:tabs>
          <w:tab w:val="clear" w:pos="1017"/>
        </w:tabs>
        <w:snapToGrid w:val="0"/>
        <w:spacing w:line="300" w:lineRule="auto"/>
        <w:ind w:left="360" w:hanging="360" w:firstLineChars="0"/>
        <w:jc w:val="left"/>
        <w:rPr>
          <w:rFonts w:hint="eastAsia" w:ascii="宋体" w:hAnsi="宋体" w:cs="宋体"/>
          <w:color w:val="auto"/>
          <w:highlight w:val="none"/>
        </w:rPr>
      </w:pPr>
      <w:r>
        <w:rPr>
          <w:rFonts w:hint="eastAsia" w:ascii="宋体" w:hAnsi="宋体" w:cs="宋体"/>
          <w:color w:val="auto"/>
          <w:highlight w:val="none"/>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783AD5FE">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违约责任</w:t>
      </w:r>
    </w:p>
    <w:p w14:paraId="5B55145F">
      <w:pPr>
        <w:pStyle w:val="59"/>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auto"/>
          <w:highlight w:val="none"/>
          <w:u w:val="single"/>
        </w:rPr>
        <w:t xml:space="preserve"> 5% </w:t>
      </w:r>
      <w:r>
        <w:rPr>
          <w:rFonts w:hint="eastAsia" w:ascii="宋体" w:hAnsi="宋体" w:cs="宋体"/>
          <w:color w:val="auto"/>
          <w:highlight w:val="none"/>
        </w:rPr>
        <w:t xml:space="preserve"> 支付违约金。如实际损失大于合同总价款的</w:t>
      </w:r>
      <w:r>
        <w:rPr>
          <w:rFonts w:hint="eastAsia" w:ascii="宋体" w:hAnsi="宋体" w:cs="宋体"/>
          <w:color w:val="auto"/>
          <w:highlight w:val="none"/>
          <w:u w:val="single"/>
        </w:rPr>
        <w:t xml:space="preserve">  5%  </w:t>
      </w:r>
      <w:r>
        <w:rPr>
          <w:rFonts w:hint="eastAsia" w:ascii="宋体" w:hAnsi="宋体" w:cs="宋体"/>
          <w:color w:val="auto"/>
          <w:highlight w:val="none"/>
        </w:rPr>
        <w:t>，则按实际损失支付违约金。</w:t>
      </w:r>
    </w:p>
    <w:p w14:paraId="1F441262">
      <w:pPr>
        <w:pStyle w:val="59"/>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由于甲方原因导致中途停工，工期顺延。甲方不按合同的约定拨付工程款，每拖延一天，拖延工程款部分按中国银行的短期贷款利率支付违约金。</w:t>
      </w:r>
    </w:p>
    <w:p w14:paraId="26A2FC1C">
      <w:pPr>
        <w:pStyle w:val="59"/>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由于乙方原因，逾期竣工，每逾期一天，乙方支付甲方违约金</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；乙方需继续履行合同，除非甲方单方解除合同，且不承担违约责任。</w:t>
      </w:r>
    </w:p>
    <w:p w14:paraId="18C097A2">
      <w:pPr>
        <w:pStyle w:val="59"/>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乙方应妥善保护甲方提供的设备及现场堆放的家具、陈设和工程成品，如造成损失，应照价赔偿。</w:t>
      </w:r>
    </w:p>
    <w:p w14:paraId="4BEEDF5F">
      <w:pPr>
        <w:numPr>
          <w:ilvl w:val="0"/>
          <w:numId w:val="62"/>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乙方因保证工程所用材料应为符合本项目要求、并符合国家相关标准的合格产品。凡乙方采购的材料，如不符合质量要求或规格有差异，应禁止使用。若已使用，对工程造成的损失全部由乙方承担。</w:t>
      </w:r>
    </w:p>
    <w:p w14:paraId="2CD3E2A5">
      <w:pPr>
        <w:numPr>
          <w:ilvl w:val="0"/>
          <w:numId w:val="62"/>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6B1F6271">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保修：本工程保修期为</w:t>
      </w:r>
      <w:r>
        <w:rPr>
          <w:rFonts w:hint="eastAsia" w:ascii="宋体" w:hAnsi="宋体" w:cs="宋体"/>
          <w:color w:val="auto"/>
          <w:highlight w:val="none"/>
          <w:u w:val="single"/>
        </w:rPr>
        <w:t xml:space="preserve">    </w:t>
      </w:r>
      <w:r>
        <w:rPr>
          <w:rFonts w:hint="eastAsia" w:ascii="宋体" w:hAnsi="宋体" w:cs="宋体"/>
          <w:color w:val="auto"/>
          <w:highlight w:val="none"/>
        </w:rPr>
        <w:t>年，自工程经甲方验收合格次日起开始起算。</w:t>
      </w:r>
    </w:p>
    <w:p w14:paraId="07D5CE0C">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其他</w:t>
      </w:r>
    </w:p>
    <w:p w14:paraId="0962B2B2">
      <w:pPr>
        <w:numPr>
          <w:ilvl w:val="0"/>
          <w:numId w:val="63"/>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乙方要时刻注意施工安全，同时尽量避免在校园内产生很大的噪声，以免影响学生的正常学习和人身安全。</w:t>
      </w:r>
    </w:p>
    <w:p w14:paraId="7FA95F65">
      <w:pPr>
        <w:pStyle w:val="59"/>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乙方在施工过程中，因乙方原因发生的工程安全事故，均由乙方负责解决，并承担全部法律责任和损失，与甲方无关。</w:t>
      </w:r>
    </w:p>
    <w:p w14:paraId="590E4598">
      <w:pPr>
        <w:pStyle w:val="59"/>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乙方应与其施工人员建立合法的劳动关系或者劳务关系，其与施工人员发生的一切劳资争议、纠纷等均与甲方无关，由乙方自行解决，给甲方造成不利影响的，甲方有权向乙方进行追诉。</w:t>
      </w:r>
    </w:p>
    <w:p w14:paraId="22703408">
      <w:pPr>
        <w:pStyle w:val="59"/>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本合同约定的由乙方承担的赔偿责任，若由甲方先行垫付的，甲方可从合同款中先期扣除，不足部分应由乙方补足。</w:t>
      </w:r>
    </w:p>
    <w:p w14:paraId="22866D3F">
      <w:pPr>
        <w:pStyle w:val="59"/>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争议解决：本合同履行过程中，如有争议，双方应当协商解决。协商不成时，采用诉讼解决，由甲方所在地人民法院诉讼管辖。</w:t>
      </w:r>
    </w:p>
    <w:p w14:paraId="0445EA6A">
      <w:pPr>
        <w:pStyle w:val="59"/>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十一、合同的生效、变更、解除和终止</w:t>
      </w:r>
    </w:p>
    <w:p w14:paraId="7A5E58BC">
      <w:pPr>
        <w:pStyle w:val="59"/>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合同生效时间为</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2C2DE96">
      <w:pPr>
        <w:pStyle w:val="59"/>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本合同未尽事宜双方可另行协商，签订书面补充协议，与本合同具有同等的法律效力。</w:t>
      </w:r>
    </w:p>
    <w:p w14:paraId="16091A2A">
      <w:pPr>
        <w:pStyle w:val="59"/>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有下列情形之一的可以解除合同。</w:t>
      </w:r>
    </w:p>
    <w:p w14:paraId="53FC0E87">
      <w:pPr>
        <w:pStyle w:val="59"/>
        <w:numPr>
          <w:ilvl w:val="0"/>
          <w:numId w:val="65"/>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甲乙双方协商一致；</w:t>
      </w:r>
    </w:p>
    <w:p w14:paraId="01626BFB">
      <w:pPr>
        <w:pStyle w:val="59"/>
        <w:numPr>
          <w:ilvl w:val="0"/>
          <w:numId w:val="65"/>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因不可抗力致使合同无法履行。</w:t>
      </w:r>
    </w:p>
    <w:p w14:paraId="1FD252E0">
      <w:pPr>
        <w:pStyle w:val="59"/>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合同终止：甲乙双方履行完本合同全部义务，工程已办理移交手续，工程竣工结算价款支付完毕，本合同即告终止（但本合同保修及争议解决条款继续有效）。</w:t>
      </w:r>
    </w:p>
    <w:p w14:paraId="0F5B1E01">
      <w:p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十二、附则：</w:t>
      </w:r>
    </w:p>
    <w:p w14:paraId="1FFCCB56">
      <w:pPr>
        <w:snapToGrid w:val="0"/>
        <w:spacing w:line="300" w:lineRule="auto"/>
        <w:ind w:firstLine="420"/>
        <w:jc w:val="left"/>
        <w:rPr>
          <w:rFonts w:hint="eastAsia" w:ascii="宋体" w:hAnsi="宋体" w:cs="宋体"/>
          <w:color w:val="auto"/>
          <w:highlight w:val="none"/>
        </w:rPr>
      </w:pPr>
      <w:r>
        <w:rPr>
          <w:rFonts w:hint="eastAsia" w:ascii="宋体" w:hAnsi="宋体" w:cs="宋体"/>
          <w:color w:val="auto"/>
          <w:highlight w:val="none"/>
        </w:rPr>
        <w:t>本合同正本两份，双方各执一份。副本四份，甲方执二份，乙方执二份。均具同等法律效力。</w:t>
      </w:r>
    </w:p>
    <w:p w14:paraId="0DCDDA2C">
      <w:pPr>
        <w:spacing w:line="300" w:lineRule="auto"/>
        <w:ind w:firstLine="420"/>
        <w:jc w:val="left"/>
        <w:rPr>
          <w:rFonts w:hint="eastAsia"/>
          <w:color w:val="auto"/>
          <w:sz w:val="10"/>
          <w:szCs w:val="10"/>
          <w:highlight w:val="none"/>
        </w:rPr>
      </w:pPr>
    </w:p>
    <w:p w14:paraId="58073912">
      <w:pPr>
        <w:spacing w:line="300" w:lineRule="auto"/>
        <w:ind w:firstLine="420"/>
        <w:jc w:val="left"/>
        <w:rPr>
          <w:rFonts w:hint="eastAsia"/>
          <w:color w:val="auto"/>
          <w:sz w:val="10"/>
          <w:szCs w:val="10"/>
          <w:highlight w:val="none"/>
        </w:rPr>
      </w:pPr>
    </w:p>
    <w:p w14:paraId="6B48714A">
      <w:pPr>
        <w:spacing w:line="300" w:lineRule="auto"/>
        <w:ind w:firstLine="420"/>
        <w:jc w:val="left"/>
        <w:rPr>
          <w:rFonts w:hint="eastAsia"/>
          <w:color w:val="auto"/>
          <w:sz w:val="10"/>
          <w:szCs w:val="10"/>
          <w:highlight w:val="none"/>
        </w:rPr>
      </w:pPr>
    </w:p>
    <w:p w14:paraId="403F0B10">
      <w:pPr>
        <w:spacing w:line="300" w:lineRule="auto"/>
        <w:ind w:firstLine="420"/>
        <w:jc w:val="left"/>
        <w:rPr>
          <w:rFonts w:hint="eastAsia"/>
          <w:color w:val="auto"/>
          <w:sz w:val="10"/>
          <w:szCs w:val="10"/>
          <w:highlight w:val="none"/>
        </w:rPr>
      </w:pPr>
    </w:p>
    <w:p w14:paraId="2171889A">
      <w:pPr>
        <w:spacing w:line="300" w:lineRule="auto"/>
        <w:ind w:firstLine="420"/>
        <w:jc w:val="left"/>
        <w:rPr>
          <w:rFonts w:hint="eastAsia"/>
          <w:color w:val="auto"/>
          <w:highlight w:val="none"/>
        </w:rPr>
      </w:pPr>
      <w:r>
        <w:rPr>
          <w:rFonts w:hint="eastAsia"/>
          <w:color w:val="auto"/>
          <w:highlight w:val="none"/>
        </w:rPr>
        <w:t>发包人：                                   承包人：</w:t>
      </w:r>
    </w:p>
    <w:p w14:paraId="05B9FC89">
      <w:pPr>
        <w:spacing w:line="300" w:lineRule="auto"/>
        <w:ind w:firstLine="420"/>
        <w:jc w:val="left"/>
        <w:rPr>
          <w:rFonts w:hint="eastAsia"/>
          <w:color w:val="auto"/>
          <w:highlight w:val="none"/>
        </w:rPr>
      </w:pPr>
    </w:p>
    <w:p w14:paraId="33380651">
      <w:pPr>
        <w:spacing w:line="300" w:lineRule="auto"/>
        <w:ind w:firstLine="420"/>
        <w:jc w:val="left"/>
        <w:rPr>
          <w:rFonts w:hint="eastAsia"/>
          <w:color w:val="auto"/>
          <w:highlight w:val="none"/>
        </w:rPr>
      </w:pPr>
      <w:r>
        <w:rPr>
          <w:rFonts w:hint="eastAsia"/>
          <w:color w:val="auto"/>
          <w:highlight w:val="none"/>
        </w:rPr>
        <w:t>发包人代表：                             承包人代表：</w:t>
      </w:r>
    </w:p>
    <w:p w14:paraId="40ED35D0">
      <w:pPr>
        <w:spacing w:line="300" w:lineRule="auto"/>
        <w:ind w:firstLine="420"/>
        <w:jc w:val="left"/>
        <w:rPr>
          <w:rFonts w:hint="eastAsia"/>
          <w:color w:val="auto"/>
          <w:highlight w:val="none"/>
        </w:rPr>
      </w:pPr>
    </w:p>
    <w:p w14:paraId="7065939B">
      <w:pPr>
        <w:spacing w:line="300" w:lineRule="auto"/>
        <w:ind w:firstLine="420"/>
        <w:jc w:val="left"/>
        <w:rPr>
          <w:rFonts w:hint="eastAsia" w:ascii="宋体" w:hAnsi="宋体" w:cs="宋体"/>
          <w:color w:val="auto"/>
          <w:szCs w:val="21"/>
          <w:highlight w:val="none"/>
        </w:rPr>
      </w:pPr>
      <w:r>
        <w:rPr>
          <w:rFonts w:hint="eastAsia"/>
          <w:color w:val="auto"/>
          <w:highlight w:val="none"/>
        </w:rPr>
        <w:t xml:space="preserve">时间：                                  </w:t>
      </w:r>
      <w:r>
        <w:rPr>
          <w:rFonts w:hint="eastAsia"/>
          <w:color w:val="auto"/>
          <w:highlight w:val="none"/>
          <w:lang w:val="en-US" w:eastAsia="zh-CN"/>
        </w:rPr>
        <w:t xml:space="preserve">     </w:t>
      </w:r>
      <w:r>
        <w:rPr>
          <w:rFonts w:hint="eastAsia"/>
          <w:color w:val="auto"/>
          <w:highlight w:val="none"/>
        </w:rPr>
        <w:t xml:space="preserve">   时间：</w:t>
      </w:r>
      <w:bookmarkEnd w:id="16"/>
      <w:bookmarkEnd w:id="17"/>
    </w:p>
    <w:p w14:paraId="681DAC9C">
      <w:pPr>
        <w:spacing w:line="300" w:lineRule="auto"/>
        <w:ind w:right="840"/>
        <w:rPr>
          <w:rFonts w:hint="eastAsia" w:ascii="宋体" w:hAnsi="宋体" w:cs="宋体"/>
          <w:color w:val="auto"/>
          <w:szCs w:val="21"/>
          <w:highlight w:val="none"/>
        </w:rPr>
      </w:pPr>
      <w:r>
        <w:rPr>
          <w:rFonts w:hint="eastAsia" w:ascii="宋体" w:hAnsi="宋体" w:cs="宋体"/>
          <w:color w:val="auto"/>
          <w:szCs w:val="21"/>
          <w:highlight w:val="none"/>
        </w:rPr>
        <w:br w:type="page"/>
      </w:r>
    </w:p>
    <w:p w14:paraId="6DFA6219">
      <w:pPr>
        <w:pStyle w:val="22"/>
        <w:spacing w:line="520" w:lineRule="exact"/>
        <w:jc w:val="center"/>
        <w:rPr>
          <w:rFonts w:hAnsi="宋体" w:cs="宋体"/>
          <w:color w:val="auto"/>
          <w:highlight w:val="none"/>
        </w:rPr>
      </w:pPr>
      <w:r>
        <w:rPr>
          <w:rFonts w:hint="eastAsia" w:hAnsi="宋体" w:cs="宋体"/>
          <w:b/>
          <w:color w:val="auto"/>
          <w:sz w:val="28"/>
          <w:szCs w:val="36"/>
          <w:highlight w:val="none"/>
        </w:rPr>
        <w:t>建设工程安全管理协议</w:t>
      </w:r>
    </w:p>
    <w:p w14:paraId="0A9039EF">
      <w:pPr>
        <w:pStyle w:val="22"/>
        <w:spacing w:line="520" w:lineRule="exact"/>
        <w:rPr>
          <w:rFonts w:hAnsi="宋体" w:cs="宋体"/>
          <w:color w:val="auto"/>
          <w:highlight w:val="none"/>
        </w:rPr>
      </w:pPr>
      <w:r>
        <w:rPr>
          <w:rFonts w:hint="eastAsia" w:hAnsi="宋体" w:cs="宋体"/>
          <w:color w:val="auto"/>
          <w:highlight w:val="none"/>
        </w:rPr>
        <w:t>发包单位：</w:t>
      </w:r>
      <w:r>
        <w:rPr>
          <w:rFonts w:hint="eastAsia" w:hAnsi="宋体" w:cs="宋体"/>
          <w:color w:val="auto"/>
          <w:highlight w:val="none"/>
          <w:u w:val="single"/>
          <w:lang w:val="en-US" w:eastAsia="zh-CN"/>
        </w:rPr>
        <w:t xml:space="preserve">                   </w:t>
      </w:r>
      <w:r>
        <w:rPr>
          <w:rFonts w:hint="eastAsia" w:hAnsi="宋体" w:cs="宋体"/>
          <w:color w:val="auto"/>
          <w:highlight w:val="none"/>
        </w:rPr>
        <w:t>(以下简称甲方)</w:t>
      </w:r>
    </w:p>
    <w:p w14:paraId="5EA7821B">
      <w:pPr>
        <w:pStyle w:val="22"/>
        <w:spacing w:line="520" w:lineRule="exact"/>
        <w:rPr>
          <w:rFonts w:hAnsi="宋体" w:cs="宋体"/>
          <w:color w:val="auto"/>
          <w:highlight w:val="none"/>
        </w:rPr>
      </w:pPr>
      <w:r>
        <w:rPr>
          <w:rFonts w:hint="eastAsia" w:hAnsi="宋体" w:cs="宋体"/>
          <w:color w:val="auto"/>
          <w:highlight w:val="none"/>
        </w:rPr>
        <w:t>承包单位：</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 (</w:t>
      </w:r>
      <w:r>
        <w:rPr>
          <w:rFonts w:hint="eastAsia" w:hAnsi="宋体" w:cs="宋体"/>
          <w:color w:val="auto"/>
          <w:highlight w:val="none"/>
        </w:rPr>
        <w:t>以下简称乙方)</w:t>
      </w:r>
    </w:p>
    <w:p w14:paraId="3EFF0F75">
      <w:pPr>
        <w:spacing w:line="360" w:lineRule="auto"/>
        <w:jc w:val="left"/>
        <w:rPr>
          <w:rFonts w:hAnsi="宋体" w:cs="宋体"/>
          <w:color w:val="auto"/>
          <w:highlight w:val="none"/>
        </w:rPr>
      </w:pPr>
      <w:r>
        <w:rPr>
          <w:rFonts w:hint="eastAsia" w:hAnsi="宋体" w:cs="宋体"/>
          <w:color w:val="auto"/>
          <w:highlight w:val="none"/>
        </w:rPr>
        <w:t>甲方将</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w:t>
      </w:r>
      <w:r>
        <w:rPr>
          <w:rFonts w:hint="eastAsia" w:hAnsi="宋体" w:cs="宋体"/>
          <w:color w:val="auto"/>
          <w:highlight w:val="none"/>
        </w:rPr>
        <w:t>项目发包给乙方施工，为贯彻"安全第一、预防为主" 的方针，根据《江苏省工程安全管理暂行规定》和国家有关法规，明确双方的安全生产责任，确保施工安全，双方在签订建筑安装工程合同的同时，签订本协议。</w:t>
      </w:r>
    </w:p>
    <w:p w14:paraId="6CBA2CD7">
      <w:pPr>
        <w:pStyle w:val="22"/>
        <w:spacing w:line="520" w:lineRule="exact"/>
        <w:rPr>
          <w:rFonts w:hAnsi="宋体" w:cs="宋体"/>
          <w:color w:val="auto"/>
          <w:highlight w:val="none"/>
        </w:rPr>
      </w:pPr>
      <w:r>
        <w:rPr>
          <w:rFonts w:hint="eastAsia" w:hAnsi="宋体" w:cs="宋体"/>
          <w:color w:val="auto"/>
          <w:highlight w:val="none"/>
        </w:rPr>
        <w:t>一、承包施工项目</w:t>
      </w:r>
    </w:p>
    <w:p w14:paraId="4F6CC89E">
      <w:pPr>
        <w:pStyle w:val="22"/>
        <w:spacing w:line="520" w:lineRule="exact"/>
        <w:rPr>
          <w:rFonts w:hAnsi="宋体" w:cs="宋体"/>
          <w:color w:val="auto"/>
          <w:highlight w:val="none"/>
        </w:rPr>
      </w:pPr>
      <w:r>
        <w:rPr>
          <w:rFonts w:hint="eastAsia" w:hAnsi="宋体" w:cs="宋体"/>
          <w:color w:val="auto"/>
          <w:highlight w:val="none"/>
        </w:rPr>
        <w:t>工程项目名称：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2C874071">
      <w:pPr>
        <w:pStyle w:val="22"/>
        <w:spacing w:line="520" w:lineRule="exact"/>
        <w:rPr>
          <w:rFonts w:hint="default" w:hAnsi="宋体" w:eastAsia="宋体" w:cs="宋体"/>
          <w:color w:val="auto"/>
          <w:highlight w:val="none"/>
          <w:u w:val="single"/>
          <w:lang w:val="en-US" w:eastAsia="zh-CN"/>
        </w:rPr>
      </w:pPr>
      <w:r>
        <w:rPr>
          <w:rFonts w:hint="eastAsia" w:hAnsi="宋体" w:cs="宋体"/>
          <w:color w:val="auto"/>
          <w:highlight w:val="none"/>
        </w:rPr>
        <w:t>工程地址：</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w:t>
      </w:r>
    </w:p>
    <w:p w14:paraId="1F219A3E">
      <w:pPr>
        <w:pStyle w:val="22"/>
        <w:numPr>
          <w:ilvl w:val="0"/>
          <w:numId w:val="66"/>
        </w:numPr>
        <w:spacing w:line="520" w:lineRule="exact"/>
        <w:rPr>
          <w:rFonts w:hAnsi="宋体" w:cs="宋体"/>
          <w:color w:val="auto"/>
          <w:highlight w:val="none"/>
          <w:u w:val="single"/>
        </w:rPr>
      </w:pPr>
      <w:r>
        <w:rPr>
          <w:rFonts w:hint="eastAsia" w:hAnsi="宋体" w:cs="宋体"/>
          <w:color w:val="auto"/>
          <w:highlight w:val="none"/>
        </w:rPr>
        <w:t>工程项目施工期限：</w:t>
      </w:r>
      <w:r>
        <w:rPr>
          <w:rFonts w:hint="eastAsia" w:hAnsi="宋体" w:cs="宋体"/>
          <w:color w:val="auto"/>
          <w:highlight w:val="none"/>
          <w:lang w:val="en-US" w:eastAsia="zh-CN"/>
        </w:rPr>
        <w:t xml:space="preserve">  </w:t>
      </w:r>
      <w:r>
        <w:rPr>
          <w:rFonts w:hint="eastAsia" w:hAnsi="宋体" w:cs="宋体"/>
          <w:color w:val="auto"/>
          <w:highlight w:val="none"/>
          <w:u w:val="single"/>
          <w:lang w:val="en-US" w:eastAsia="zh-CN"/>
        </w:rPr>
        <w:t xml:space="preserve">                              </w:t>
      </w:r>
    </w:p>
    <w:p w14:paraId="16E41856">
      <w:pPr>
        <w:pStyle w:val="22"/>
        <w:numPr>
          <w:ilvl w:val="0"/>
          <w:numId w:val="66"/>
        </w:numPr>
        <w:spacing w:line="520" w:lineRule="exact"/>
        <w:rPr>
          <w:rFonts w:hAnsi="宋体" w:cs="宋体"/>
          <w:color w:val="auto"/>
          <w:highlight w:val="none"/>
        </w:rPr>
      </w:pPr>
      <w:r>
        <w:rPr>
          <w:rFonts w:hint="eastAsia" w:hAnsi="宋体" w:cs="宋体"/>
          <w:color w:val="auto"/>
          <w:highlight w:val="none"/>
        </w:rPr>
        <w:t>协议内容：</w:t>
      </w:r>
    </w:p>
    <w:p w14:paraId="7258ACA5">
      <w:pPr>
        <w:pStyle w:val="22"/>
        <w:spacing w:line="520" w:lineRule="exact"/>
        <w:rPr>
          <w:rFonts w:hAnsi="宋体" w:cs="宋体"/>
          <w:color w:val="auto"/>
          <w:highlight w:val="none"/>
        </w:rPr>
      </w:pPr>
      <w:r>
        <w:rPr>
          <w:rFonts w:hint="eastAsia" w:hAnsi="宋体" w:cs="宋体"/>
          <w:color w:val="auto"/>
          <w:highlight w:val="none"/>
        </w:rPr>
        <w:t>1、甲乙双方必须认真贯彻国家、江苏省和上级劳动保护、安全生产主管部门颁发的有关安全生产、消防工作的方针、政策，严格执行有关劳动保护法规、条例、规定。</w:t>
      </w:r>
    </w:p>
    <w:p w14:paraId="075017F2">
      <w:pPr>
        <w:pStyle w:val="22"/>
        <w:spacing w:line="520" w:lineRule="exact"/>
        <w:rPr>
          <w:rFonts w:hAnsi="宋体" w:cs="宋体"/>
          <w:color w:val="auto"/>
          <w:highlight w:val="none"/>
        </w:rPr>
      </w:pPr>
      <w:r>
        <w:rPr>
          <w:rFonts w:hint="eastAsia" w:hAnsi="宋体" w:cs="宋体"/>
          <w:color w:val="auto"/>
          <w:highlight w:val="none"/>
        </w:rPr>
        <w:t>2、乙方应有安全管理组织体制，包括负责安全生产的领导,各级专职和兼职的安全干部，应有各工种的安全操作规程，特种作业人员的验证考核制度及各级安全生产岗位责任制和定期安全检查制度，安全教育制度等。</w:t>
      </w:r>
    </w:p>
    <w:p w14:paraId="23BC01D1">
      <w:pPr>
        <w:pStyle w:val="22"/>
        <w:spacing w:line="520" w:lineRule="exact"/>
        <w:rPr>
          <w:rFonts w:hAnsi="宋体" w:cs="宋体"/>
          <w:color w:val="auto"/>
          <w:highlight w:val="none"/>
        </w:rPr>
      </w:pPr>
      <w:r>
        <w:rPr>
          <w:rFonts w:hint="eastAsia" w:hAnsi="宋体" w:cs="宋体"/>
          <w:color w:val="auto"/>
          <w:highlight w:val="none"/>
        </w:rPr>
        <w:t>3、乙方在施工前要认真勘察现场：乙方进场后首先必须做好施工现场围护，防止闲杂人员进入施工现场，发生安全事故。</w:t>
      </w:r>
    </w:p>
    <w:p w14:paraId="743F6DC4">
      <w:pPr>
        <w:pStyle w:val="22"/>
        <w:spacing w:line="520" w:lineRule="exact"/>
        <w:rPr>
          <w:rFonts w:hAnsi="宋体" w:cs="宋体"/>
          <w:color w:val="auto"/>
          <w:highlight w:val="none"/>
        </w:rPr>
      </w:pPr>
      <w:r>
        <w:rPr>
          <w:rFonts w:hint="eastAsia" w:hAnsi="宋体" w:cs="宋体"/>
          <w:color w:val="auto"/>
          <w:highlight w:val="none"/>
        </w:rPr>
        <w:t>4、工程项目由乙方按甲方的要求自行编制施工组织设计；并制定有针对性的安全技术措施计划、严格按施工组织设计和有关安全要求施工。乙方应落实本工程安全生产的管理体系,管理体系中的人员名单上报甲方项目代表备案，以便甲方监督管理。工地安全员必须持证上岗。</w:t>
      </w:r>
    </w:p>
    <w:p w14:paraId="2416B89D">
      <w:pPr>
        <w:pStyle w:val="22"/>
        <w:spacing w:line="520" w:lineRule="exact"/>
        <w:rPr>
          <w:rFonts w:hAnsi="宋体" w:cs="宋体"/>
          <w:color w:val="auto"/>
          <w:highlight w:val="none"/>
        </w:rPr>
      </w:pPr>
      <w:r>
        <w:rPr>
          <w:rFonts w:hint="eastAsia" w:hAnsi="宋体" w:cs="宋体"/>
          <w:color w:val="auto"/>
          <w:highlight w:val="none"/>
        </w:rPr>
        <w:t>5、乙方必须认真对本单位职工进行安全生产制度及安全技术知识教育,增强法制观念,提高职工的安全生产思想意识和自我保护的能力,督促职工自觉遵守安全生产纪律、制度和法规。</w:t>
      </w:r>
    </w:p>
    <w:p w14:paraId="6A3184E5">
      <w:pPr>
        <w:pStyle w:val="22"/>
        <w:spacing w:line="520" w:lineRule="exact"/>
        <w:rPr>
          <w:rFonts w:hAnsi="宋体" w:cs="宋体"/>
          <w:color w:val="auto"/>
          <w:highlight w:val="none"/>
        </w:rPr>
      </w:pPr>
      <w:r>
        <w:rPr>
          <w:rFonts w:hint="eastAsia" w:hAnsi="宋体" w:cs="宋体"/>
          <w:color w:val="auto"/>
          <w:highlight w:val="none"/>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3A9CFFAB">
      <w:pPr>
        <w:pStyle w:val="22"/>
        <w:spacing w:line="520" w:lineRule="exact"/>
        <w:rPr>
          <w:rFonts w:hAnsi="宋体" w:cs="宋体"/>
          <w:color w:val="auto"/>
          <w:highlight w:val="none"/>
        </w:rPr>
      </w:pPr>
      <w:r>
        <w:rPr>
          <w:rFonts w:hint="eastAsia" w:hAnsi="宋体" w:cs="宋体"/>
          <w:color w:val="auto"/>
          <w:highlight w:val="none"/>
        </w:rPr>
        <w:t>7、根据工程项目内容、特点,甲乙双方应做好安全技术交底,并有交底的书面材料,交底材料一式两份,由甲乙双方签字后各执一份。</w:t>
      </w:r>
    </w:p>
    <w:p w14:paraId="1B3091C5">
      <w:pPr>
        <w:pStyle w:val="22"/>
        <w:spacing w:line="520" w:lineRule="exact"/>
        <w:rPr>
          <w:rFonts w:hAnsi="宋体" w:cs="宋体"/>
          <w:color w:val="auto"/>
          <w:highlight w:val="none"/>
        </w:rPr>
      </w:pPr>
      <w:r>
        <w:rPr>
          <w:rFonts w:hint="eastAsia" w:hAnsi="宋体" w:cs="宋体"/>
          <w:color w:val="auto"/>
          <w:highlight w:val="none"/>
        </w:rPr>
        <w:t>8、施工期间，乙方指派</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 </w:t>
      </w:r>
      <w:r>
        <w:rPr>
          <w:rFonts w:hint="eastAsia" w:hAnsi="宋体" w:cs="宋体"/>
          <w:color w:val="auto"/>
          <w:highlight w:val="none"/>
        </w:rPr>
        <w:t>同志负责本工程项目的有关安全、防火工作；甲方指派</w:t>
      </w:r>
      <w:r>
        <w:rPr>
          <w:rFonts w:hint="eastAsia" w:hAnsi="宋体" w:cs="宋体"/>
          <w:color w:val="auto"/>
          <w:highlight w:val="none"/>
          <w:u w:val="single"/>
        </w:rPr>
        <w:t xml:space="preserve">         </w:t>
      </w:r>
      <w:r>
        <w:rPr>
          <w:rFonts w:hint="eastAsia" w:hAnsi="宋体" w:cs="宋体"/>
          <w:color w:val="auto"/>
          <w:highlight w:val="none"/>
        </w:rPr>
        <w:t>同志负责联系、检查督促乙方执行有关安全、防火规定。甲乙双方应经常联系,相互协助检查和处理工程施工有关的安全、防火工作,共同预防事故发生。</w:t>
      </w:r>
    </w:p>
    <w:p w14:paraId="0A56A24F">
      <w:pPr>
        <w:pStyle w:val="22"/>
        <w:spacing w:line="520" w:lineRule="exact"/>
        <w:rPr>
          <w:rFonts w:hAnsi="宋体" w:cs="宋体"/>
          <w:color w:val="auto"/>
          <w:highlight w:val="none"/>
        </w:rPr>
      </w:pPr>
      <w:r>
        <w:rPr>
          <w:rFonts w:hint="eastAsia" w:hAnsi="宋体" w:cs="宋体"/>
          <w:color w:val="auto"/>
          <w:highlight w:val="none"/>
        </w:rPr>
        <w:t>9、乙方在施工期间必须严格执行和遵守安全生产、防火管理的各项规定,接受甲方的督促、检查和指导。甲方有协助乙方搞好安全生产、防火管理以及督促检查的义务,对于查出的隐患,乙方必须限期整改。</w:t>
      </w:r>
    </w:p>
    <w:p w14:paraId="4EC4DF66">
      <w:pPr>
        <w:pStyle w:val="22"/>
        <w:spacing w:line="520" w:lineRule="exact"/>
        <w:rPr>
          <w:rFonts w:hAnsi="宋体" w:cs="宋体"/>
          <w:color w:val="auto"/>
          <w:highlight w:val="none"/>
        </w:rPr>
      </w:pPr>
      <w:r>
        <w:rPr>
          <w:rFonts w:hint="eastAsia" w:hAnsi="宋体" w:cs="宋体"/>
          <w:color w:val="auto"/>
          <w:highlight w:val="none"/>
        </w:rPr>
        <w:t>10、乙方在施工期间必须严格执行和遵守甲方车辆管理办法。对于乙方人员未按甲方要求，违规使用车辆造成的后果,由该方人员及其单位负责。</w:t>
      </w:r>
    </w:p>
    <w:p w14:paraId="15871FCE">
      <w:pPr>
        <w:spacing w:line="520" w:lineRule="exact"/>
        <w:rPr>
          <w:rFonts w:ascii="宋体" w:hAnsi="宋体" w:cs="宋体"/>
          <w:color w:val="auto"/>
          <w:highlight w:val="none"/>
        </w:rPr>
      </w:pPr>
      <w:r>
        <w:rPr>
          <w:rFonts w:hint="eastAsia" w:ascii="宋体" w:hAnsi="宋体" w:cs="宋体"/>
          <w:color w:val="auto"/>
          <w:highlight w:val="none"/>
        </w:rPr>
        <w:t>11、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p>
    <w:p w14:paraId="0DFCD281">
      <w:pPr>
        <w:pStyle w:val="22"/>
        <w:spacing w:line="520" w:lineRule="exact"/>
        <w:rPr>
          <w:rFonts w:hAnsi="宋体" w:cs="宋体"/>
          <w:color w:val="auto"/>
          <w:highlight w:val="none"/>
        </w:rPr>
      </w:pPr>
      <w:r>
        <w:rPr>
          <w:rFonts w:hint="eastAsia" w:hAnsi="宋体" w:cs="宋体"/>
          <w:color w:val="auto"/>
          <w:highlight w:val="none"/>
        </w:rPr>
        <w:t>12、在生产操作过程中的乙方员工防护用品由乙方自理,乙方应督促施工现场人员自觉穿戴好防护用品。</w:t>
      </w:r>
    </w:p>
    <w:p w14:paraId="4E23A3F2">
      <w:pPr>
        <w:pStyle w:val="22"/>
        <w:spacing w:line="520" w:lineRule="exact"/>
        <w:rPr>
          <w:rFonts w:hAnsi="宋体" w:cs="宋体"/>
          <w:color w:val="auto"/>
          <w:highlight w:val="none"/>
        </w:rPr>
      </w:pPr>
      <w:r>
        <w:rPr>
          <w:rFonts w:hint="eastAsia" w:hAnsi="宋体" w:cs="宋体"/>
          <w:color w:val="auto"/>
          <w:highlight w:val="none"/>
        </w:rPr>
        <w:t>13、乙方人员对所在的施工区域、作业环境、操作设施设备、工具用具等必须认真检查,发现隐患立即停止施工,落实整改后方准施工。一经施工,就表示该施工单位确认施工场所、作业环境、设施设备、工具用具等符合安全要求和处于安全状态。乙方对施工过程中由于上述因素不良而导致的事故后果负责。</w:t>
      </w:r>
    </w:p>
    <w:p w14:paraId="165CD18A">
      <w:pPr>
        <w:pStyle w:val="22"/>
        <w:spacing w:line="520" w:lineRule="exact"/>
        <w:rPr>
          <w:rFonts w:hAnsi="宋体" w:cs="宋体"/>
          <w:color w:val="auto"/>
          <w:highlight w:val="none"/>
        </w:rPr>
      </w:pPr>
      <w:r>
        <w:rPr>
          <w:rFonts w:hint="eastAsia" w:hAnsi="宋体" w:cs="宋体"/>
          <w:color w:val="auto"/>
          <w:highlight w:val="none"/>
        </w:rPr>
        <w:t>14、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p>
    <w:p w14:paraId="41E5DF40">
      <w:pPr>
        <w:pStyle w:val="22"/>
        <w:spacing w:line="520" w:lineRule="exact"/>
        <w:rPr>
          <w:rFonts w:hAnsi="宋体" w:cs="宋体"/>
          <w:color w:val="auto"/>
          <w:highlight w:val="none"/>
        </w:rPr>
      </w:pPr>
      <w:r>
        <w:rPr>
          <w:rFonts w:hint="eastAsia" w:hAnsi="宋体" w:cs="宋体"/>
          <w:color w:val="auto"/>
          <w:highlight w:val="none"/>
        </w:rPr>
        <w:t>15、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63460E7B">
      <w:pPr>
        <w:pStyle w:val="22"/>
        <w:spacing w:line="520" w:lineRule="exact"/>
        <w:rPr>
          <w:rFonts w:hAnsi="宋体" w:cs="宋体"/>
          <w:color w:val="auto"/>
          <w:highlight w:val="none"/>
        </w:rPr>
      </w:pPr>
      <w:r>
        <w:rPr>
          <w:rFonts w:hint="eastAsia" w:hAnsi="宋体" w:cs="宋体"/>
          <w:color w:val="auto"/>
          <w:highlight w:val="none"/>
        </w:rPr>
        <w:t>16、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267CF870">
      <w:pPr>
        <w:pStyle w:val="22"/>
        <w:spacing w:line="520" w:lineRule="exact"/>
        <w:rPr>
          <w:rFonts w:hAnsi="宋体" w:cs="宋体"/>
          <w:color w:val="auto"/>
          <w:highlight w:val="none"/>
        </w:rPr>
      </w:pPr>
      <w:r>
        <w:rPr>
          <w:rFonts w:hint="eastAsia" w:hAnsi="宋体" w:cs="宋体"/>
          <w:color w:val="auto"/>
          <w:highlight w:val="none"/>
        </w:rPr>
        <w:t>17、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036E3CAA">
      <w:pPr>
        <w:pStyle w:val="22"/>
        <w:spacing w:line="520" w:lineRule="exact"/>
        <w:rPr>
          <w:rFonts w:hAnsi="宋体" w:cs="宋体"/>
          <w:color w:val="auto"/>
          <w:highlight w:val="none"/>
        </w:rPr>
      </w:pPr>
      <w:r>
        <w:rPr>
          <w:rFonts w:hint="eastAsia" w:hAnsi="宋体" w:cs="宋体"/>
          <w:color w:val="auto"/>
          <w:highlight w:val="none"/>
        </w:rPr>
        <w:t>18、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68A81273">
      <w:pPr>
        <w:pStyle w:val="22"/>
        <w:spacing w:line="520" w:lineRule="exact"/>
        <w:rPr>
          <w:rFonts w:hAnsi="宋体" w:cs="宋体"/>
          <w:color w:val="auto"/>
          <w:highlight w:val="none"/>
        </w:rPr>
      </w:pPr>
      <w:r>
        <w:rPr>
          <w:rFonts w:hint="eastAsia" w:hAnsi="宋体" w:cs="宋体"/>
          <w:color w:val="auto"/>
          <w:highlight w:val="none"/>
        </w:rPr>
        <w:t>19、乙方在施工中,应注意地下管线及高压架空线路的保护。甲方对地下管线和障碍物应详细交底,乙方应贯彻交底要求,如遇有情况,应及时向甲方和有关部门联系,采取保护措施。改造维修工程施工时，应及时安放工程警示标志，夜间设置警示照明灯，必要时安排人员进行值班。</w:t>
      </w:r>
    </w:p>
    <w:p w14:paraId="1A36C59F">
      <w:pPr>
        <w:pStyle w:val="22"/>
        <w:spacing w:line="520" w:lineRule="exact"/>
        <w:rPr>
          <w:rFonts w:hAnsi="宋体" w:cs="宋体"/>
          <w:color w:val="auto"/>
          <w:highlight w:val="none"/>
        </w:rPr>
      </w:pPr>
      <w:r>
        <w:rPr>
          <w:rFonts w:hint="eastAsia" w:hAnsi="宋体" w:cs="宋体"/>
          <w:color w:val="auto"/>
          <w:highlight w:val="none"/>
        </w:rPr>
        <w:t>20、贯彻谁施工谁负责安全的原则。乙方在施工过程中因乙方管理不善或服务不当发生的人身伤亡（含乙方施工人员和其他人员）、火警、火灾等一切事故,均由乙方自己负责,甲方只负责教育的责任。乙方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rPr>
          <w:rFonts w:hint="eastAsia" w:hAnsi="宋体" w:cs="宋体"/>
          <w:color w:val="auto"/>
          <w:highlight w:val="none"/>
        </w:rPr>
        <w:tab/>
      </w:r>
    </w:p>
    <w:p w14:paraId="56070044">
      <w:pPr>
        <w:pStyle w:val="22"/>
        <w:spacing w:line="520" w:lineRule="exact"/>
        <w:rPr>
          <w:rFonts w:hAnsi="宋体" w:cs="宋体"/>
          <w:color w:val="auto"/>
          <w:highlight w:val="none"/>
        </w:rPr>
      </w:pPr>
      <w:r>
        <w:rPr>
          <w:rFonts w:hint="eastAsia" w:hAnsi="宋体" w:cs="宋体"/>
          <w:color w:val="auto"/>
          <w:highlight w:val="none"/>
        </w:rPr>
        <w:t>21.本协议经双方签字、盖章有效。作为合同正本的附件一式两份,甲、乙双方各执一份。</w:t>
      </w:r>
    </w:p>
    <w:p w14:paraId="28EA3554">
      <w:pPr>
        <w:pStyle w:val="22"/>
        <w:spacing w:line="520" w:lineRule="exact"/>
        <w:rPr>
          <w:rFonts w:hAnsi="宋体" w:cs="宋体"/>
          <w:color w:val="auto"/>
          <w:highlight w:val="none"/>
        </w:rPr>
      </w:pPr>
      <w:r>
        <w:rPr>
          <w:rFonts w:hint="eastAsia" w:hAnsi="宋体" w:cs="宋体"/>
          <w:color w:val="auto"/>
          <w:highlight w:val="none"/>
        </w:rPr>
        <w:t>22.本协议同工程合同正本同日生效,甲、乙双方必须严格执行,由于违反本协议而造成伤亡事故,由违约方承担一切责任。</w:t>
      </w:r>
      <w:r>
        <w:rPr>
          <w:rFonts w:hint="eastAsia" w:hAnsi="宋体" w:cs="宋体"/>
          <w:color w:val="auto"/>
          <w:highlight w:val="none"/>
        </w:rPr>
        <w:tab/>
      </w:r>
    </w:p>
    <w:p w14:paraId="3E717FA2">
      <w:pPr>
        <w:pStyle w:val="22"/>
        <w:spacing w:line="520" w:lineRule="exact"/>
        <w:rPr>
          <w:rFonts w:hAnsi="宋体" w:cs="宋体"/>
          <w:color w:val="auto"/>
          <w:highlight w:val="none"/>
        </w:rPr>
      </w:pPr>
    </w:p>
    <w:p w14:paraId="76BA6DE8">
      <w:pPr>
        <w:pStyle w:val="22"/>
        <w:spacing w:line="520" w:lineRule="exact"/>
        <w:rPr>
          <w:rFonts w:hAnsi="宋体" w:cs="宋体"/>
          <w:color w:val="auto"/>
          <w:highlight w:val="none"/>
        </w:rPr>
      </w:pPr>
      <w:r>
        <w:rPr>
          <w:rFonts w:hint="eastAsia" w:hAnsi="宋体" w:cs="宋体"/>
          <w:color w:val="auto"/>
          <w:highlight w:val="none"/>
        </w:rPr>
        <w:t>甲方：（盖章）                       乙方：（盖章）</w:t>
      </w:r>
    </w:p>
    <w:p w14:paraId="6195B80D">
      <w:pPr>
        <w:pStyle w:val="22"/>
        <w:spacing w:line="520" w:lineRule="exact"/>
        <w:rPr>
          <w:rFonts w:hAnsi="宋体" w:cs="宋体"/>
          <w:color w:val="auto"/>
          <w:highlight w:val="none"/>
        </w:rPr>
      </w:pPr>
      <w:r>
        <w:rPr>
          <w:rFonts w:hint="eastAsia" w:hAnsi="宋体" w:cs="宋体"/>
          <w:color w:val="auto"/>
          <w:highlight w:val="none"/>
        </w:rPr>
        <w:t>法定代表人（签章）                  法定代表人（签章）</w:t>
      </w:r>
    </w:p>
    <w:p w14:paraId="68EC1BE0">
      <w:pPr>
        <w:pStyle w:val="22"/>
        <w:spacing w:line="520" w:lineRule="exact"/>
        <w:rPr>
          <w:rFonts w:hAnsi="宋体" w:cs="宋体"/>
          <w:color w:val="auto"/>
          <w:highlight w:val="none"/>
        </w:rPr>
      </w:pPr>
      <w:r>
        <w:rPr>
          <w:rFonts w:hint="eastAsia" w:hAnsi="宋体" w:cs="宋体"/>
          <w:color w:val="auto"/>
          <w:highlight w:val="none"/>
        </w:rPr>
        <w:t>代表（签字）                        代表（签字）</w:t>
      </w:r>
    </w:p>
    <w:p w14:paraId="6CDDC8EA">
      <w:pPr>
        <w:pStyle w:val="22"/>
        <w:spacing w:line="520" w:lineRule="exact"/>
        <w:rPr>
          <w:rFonts w:hAnsi="宋体" w:cs="宋体"/>
          <w:color w:val="auto"/>
          <w:highlight w:val="none"/>
        </w:rPr>
      </w:pPr>
      <w:r>
        <w:rPr>
          <w:rFonts w:hint="eastAsia" w:hAnsi="宋体" w:cs="宋体"/>
          <w:color w:val="auto"/>
          <w:highlight w:val="none"/>
        </w:rPr>
        <w:t>日期： 年</w:t>
      </w:r>
      <w:r>
        <w:rPr>
          <w:rFonts w:hint="eastAsia" w:hAnsi="宋体" w:cs="宋体"/>
          <w:color w:val="auto"/>
          <w:highlight w:val="none"/>
          <w:lang w:val="en-US" w:eastAsia="zh-CN"/>
        </w:rPr>
        <w:t xml:space="preserve"> </w:t>
      </w:r>
      <w:r>
        <w:rPr>
          <w:rFonts w:hint="eastAsia" w:hAnsi="宋体" w:cs="宋体"/>
          <w:color w:val="auto"/>
          <w:highlight w:val="none"/>
        </w:rPr>
        <w:t>月</w:t>
      </w:r>
      <w:r>
        <w:rPr>
          <w:rFonts w:hint="eastAsia" w:hAnsi="宋体" w:cs="宋体"/>
          <w:color w:val="auto"/>
          <w:highlight w:val="none"/>
          <w:lang w:val="en-US" w:eastAsia="zh-CN"/>
        </w:rPr>
        <w:t xml:space="preserve"> </w:t>
      </w:r>
      <w:r>
        <w:rPr>
          <w:rFonts w:hint="eastAsia" w:hAnsi="宋体" w:cs="宋体"/>
          <w:color w:val="auto"/>
          <w:highlight w:val="none"/>
        </w:rPr>
        <w:t xml:space="preserve">日              </w:t>
      </w:r>
      <w:r>
        <w:rPr>
          <w:rFonts w:hint="eastAsia" w:hAnsi="宋体" w:cs="宋体"/>
          <w:color w:val="auto"/>
          <w:highlight w:val="none"/>
          <w:lang w:val="en-US" w:eastAsia="zh-CN"/>
        </w:rPr>
        <w:t xml:space="preserve">    </w:t>
      </w:r>
      <w:r>
        <w:rPr>
          <w:rFonts w:hint="eastAsia" w:hAnsi="宋体" w:cs="宋体"/>
          <w:color w:val="auto"/>
          <w:highlight w:val="none"/>
        </w:rPr>
        <w:t xml:space="preserve">  日期：</w:t>
      </w:r>
      <w:r>
        <w:rPr>
          <w:rFonts w:hint="eastAsia" w:hAnsi="宋体" w:cs="宋体"/>
          <w:color w:val="auto"/>
          <w:highlight w:val="none"/>
          <w:lang w:val="en-US" w:eastAsia="zh-CN"/>
        </w:rPr>
        <w:t xml:space="preserve"> </w:t>
      </w:r>
      <w:r>
        <w:rPr>
          <w:rFonts w:hint="eastAsia" w:hAnsi="宋体" w:cs="宋体"/>
          <w:color w:val="auto"/>
          <w:highlight w:val="none"/>
        </w:rPr>
        <w:t>年</w:t>
      </w:r>
      <w:r>
        <w:rPr>
          <w:rFonts w:hint="eastAsia" w:hAnsi="宋体" w:cs="宋体"/>
          <w:color w:val="auto"/>
          <w:highlight w:val="none"/>
          <w:lang w:val="en-US" w:eastAsia="zh-CN"/>
        </w:rPr>
        <w:t xml:space="preserve"> </w:t>
      </w:r>
      <w:r>
        <w:rPr>
          <w:rFonts w:hint="eastAsia" w:hAnsi="宋体" w:cs="宋体"/>
          <w:color w:val="auto"/>
          <w:highlight w:val="none"/>
        </w:rPr>
        <w:t>月</w:t>
      </w:r>
      <w:r>
        <w:rPr>
          <w:rFonts w:hint="eastAsia" w:hAnsi="宋体" w:cs="宋体"/>
          <w:color w:val="auto"/>
          <w:highlight w:val="none"/>
          <w:lang w:val="en-US" w:eastAsia="zh-CN"/>
        </w:rPr>
        <w:t xml:space="preserve"> </w:t>
      </w:r>
      <w:r>
        <w:rPr>
          <w:rFonts w:hint="eastAsia" w:hAnsi="宋体" w:cs="宋体"/>
          <w:color w:val="auto"/>
          <w:highlight w:val="none"/>
        </w:rPr>
        <w:t>日</w:t>
      </w:r>
      <w:r>
        <w:rPr>
          <w:rFonts w:hint="eastAsia" w:hAnsi="宋体" w:cs="宋体"/>
          <w:color w:val="auto"/>
          <w:highlight w:val="none"/>
        </w:rPr>
        <w:tab/>
      </w:r>
    </w:p>
    <w:p w14:paraId="08339E62">
      <w:pPr>
        <w:rPr>
          <w:color w:val="auto"/>
          <w:highlight w:val="none"/>
        </w:rPr>
      </w:pPr>
    </w:p>
    <w:p w14:paraId="06F22511">
      <w:pPr>
        <w:pStyle w:val="262"/>
        <w:jc w:val="both"/>
        <w:rPr>
          <w:color w:val="auto"/>
          <w:highlight w:val="none"/>
        </w:rPr>
      </w:pPr>
    </w:p>
    <w:p w14:paraId="14ED77D5">
      <w:pPr>
        <w:rPr>
          <w:color w:val="auto"/>
          <w:highlight w:val="none"/>
        </w:rPr>
      </w:pPr>
    </w:p>
    <w:p w14:paraId="3A570843">
      <w:pPr>
        <w:bidi w:val="0"/>
        <w:rPr>
          <w:color w:val="auto"/>
          <w:highlight w:val="none"/>
        </w:rPr>
      </w:pPr>
    </w:p>
    <w:p w14:paraId="2660287C">
      <w:pPr>
        <w:bidi w:val="0"/>
        <w:rPr>
          <w:color w:val="auto"/>
          <w:highlight w:val="none"/>
        </w:rPr>
      </w:pPr>
    </w:p>
    <w:p w14:paraId="67508544">
      <w:pPr>
        <w:pStyle w:val="262"/>
        <w:rPr>
          <w:color w:val="auto"/>
          <w:highlight w:val="none"/>
        </w:rPr>
      </w:pPr>
    </w:p>
    <w:p w14:paraId="63892912">
      <w:pPr>
        <w:rPr>
          <w:color w:val="auto"/>
          <w:highlight w:val="none"/>
        </w:rPr>
      </w:pPr>
    </w:p>
    <w:p w14:paraId="54FDE407">
      <w:pPr>
        <w:pStyle w:val="262"/>
        <w:rPr>
          <w:color w:val="auto"/>
          <w:highlight w:val="none"/>
        </w:rPr>
      </w:pPr>
      <w:r>
        <w:rPr>
          <w:rFonts w:hint="eastAsia"/>
          <w:color w:val="auto"/>
          <w:highlight w:val="none"/>
        </w:rPr>
        <w:t>第</w:t>
      </w:r>
      <w:r>
        <w:rPr>
          <w:color w:val="auto"/>
          <w:highlight w:val="none"/>
        </w:rPr>
        <w:t>六章  响应文件格式及附件</w:t>
      </w:r>
    </w:p>
    <w:p w14:paraId="19441214">
      <w:pPr>
        <w:jc w:val="center"/>
        <w:rPr>
          <w:rFonts w:ascii="宋体" w:hAnsi="宋体"/>
          <w:b/>
          <w:color w:val="auto"/>
          <w:sz w:val="72"/>
          <w:highlight w:val="none"/>
        </w:rPr>
      </w:pPr>
    </w:p>
    <w:p w14:paraId="20FC28F9">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507F619F">
      <w:pPr>
        <w:ind w:firstLine="2472" w:firstLineChars="1026"/>
        <w:rPr>
          <w:rFonts w:ascii="宋体" w:hAnsi="宋体"/>
          <w:b/>
          <w:color w:val="auto"/>
          <w:sz w:val="24"/>
          <w:highlight w:val="none"/>
        </w:rPr>
      </w:pPr>
    </w:p>
    <w:p w14:paraId="2F831679">
      <w:pPr>
        <w:jc w:val="center"/>
        <w:rPr>
          <w:rFonts w:ascii="宋体" w:hAnsi="宋体"/>
          <w:b/>
          <w:color w:val="auto"/>
          <w:sz w:val="24"/>
          <w:highlight w:val="none"/>
        </w:rPr>
      </w:pPr>
    </w:p>
    <w:p w14:paraId="22DFB881">
      <w:pPr>
        <w:jc w:val="center"/>
        <w:rPr>
          <w:rFonts w:ascii="宋体" w:hAnsi="宋体"/>
          <w:b/>
          <w:color w:val="auto"/>
          <w:sz w:val="24"/>
          <w:highlight w:val="none"/>
        </w:rPr>
      </w:pPr>
    </w:p>
    <w:p w14:paraId="60CC38CF">
      <w:pPr>
        <w:jc w:val="center"/>
        <w:rPr>
          <w:rFonts w:ascii="宋体" w:hAnsi="宋体"/>
          <w:b/>
          <w:color w:val="auto"/>
          <w:sz w:val="24"/>
          <w:highlight w:val="none"/>
        </w:rPr>
      </w:pPr>
    </w:p>
    <w:p w14:paraId="226180B8">
      <w:pPr>
        <w:spacing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6A43F9E1">
      <w:pPr>
        <w:jc w:val="center"/>
        <w:rPr>
          <w:rFonts w:ascii="宋体" w:hAnsi="宋体"/>
          <w:b/>
          <w:color w:val="auto"/>
          <w:sz w:val="24"/>
          <w:highlight w:val="none"/>
        </w:rPr>
      </w:pPr>
    </w:p>
    <w:p w14:paraId="0A7C713D">
      <w:pPr>
        <w:jc w:val="center"/>
        <w:rPr>
          <w:rFonts w:ascii="宋体" w:hAnsi="宋体"/>
          <w:b/>
          <w:color w:val="auto"/>
          <w:sz w:val="24"/>
          <w:highlight w:val="none"/>
        </w:rPr>
      </w:pPr>
    </w:p>
    <w:p w14:paraId="0B7EEF56">
      <w:pPr>
        <w:jc w:val="center"/>
        <w:rPr>
          <w:rFonts w:ascii="宋体" w:hAnsi="宋体"/>
          <w:b/>
          <w:color w:val="auto"/>
          <w:sz w:val="24"/>
          <w:highlight w:val="none"/>
        </w:rPr>
      </w:pPr>
    </w:p>
    <w:p w14:paraId="77D2CD63">
      <w:pPr>
        <w:jc w:val="center"/>
        <w:rPr>
          <w:rFonts w:ascii="宋体" w:hAnsi="宋体"/>
          <w:b/>
          <w:color w:val="auto"/>
          <w:sz w:val="24"/>
          <w:highlight w:val="none"/>
        </w:rPr>
      </w:pPr>
    </w:p>
    <w:p w14:paraId="639A252A">
      <w:pPr>
        <w:jc w:val="center"/>
        <w:rPr>
          <w:rFonts w:ascii="宋体" w:hAnsi="宋体"/>
          <w:b/>
          <w:color w:val="auto"/>
          <w:sz w:val="24"/>
          <w:highlight w:val="none"/>
        </w:rPr>
      </w:pPr>
    </w:p>
    <w:p w14:paraId="2223CD33">
      <w:pPr>
        <w:jc w:val="center"/>
        <w:rPr>
          <w:rFonts w:ascii="宋体" w:hAnsi="宋体"/>
          <w:b/>
          <w:color w:val="auto"/>
          <w:sz w:val="24"/>
          <w:highlight w:val="none"/>
        </w:rPr>
      </w:pPr>
    </w:p>
    <w:p w14:paraId="23B30A2B">
      <w:pPr>
        <w:jc w:val="center"/>
        <w:rPr>
          <w:rFonts w:ascii="宋体" w:hAnsi="宋体"/>
          <w:b/>
          <w:color w:val="auto"/>
          <w:sz w:val="24"/>
          <w:highlight w:val="none"/>
        </w:rPr>
      </w:pPr>
    </w:p>
    <w:p w14:paraId="7DA06C3B">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53BCFC42">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743798DA">
      <w:pPr>
        <w:rPr>
          <w:rFonts w:ascii="宋体" w:hAnsi="宋体"/>
          <w:b/>
          <w:color w:val="auto"/>
          <w:sz w:val="28"/>
          <w:szCs w:val="28"/>
          <w:highlight w:val="none"/>
        </w:rPr>
      </w:pPr>
    </w:p>
    <w:p w14:paraId="665011B7">
      <w:pPr>
        <w:rPr>
          <w:rFonts w:ascii="宋体" w:hAnsi="宋体"/>
          <w:b/>
          <w:color w:val="auto"/>
          <w:sz w:val="28"/>
          <w:szCs w:val="28"/>
          <w:highlight w:val="none"/>
        </w:rPr>
      </w:pPr>
    </w:p>
    <w:p w14:paraId="48357C0C">
      <w:pPr>
        <w:rPr>
          <w:rFonts w:ascii="宋体" w:hAnsi="宋体"/>
          <w:b/>
          <w:color w:val="auto"/>
          <w:sz w:val="28"/>
          <w:szCs w:val="28"/>
          <w:highlight w:val="none"/>
        </w:rPr>
      </w:pPr>
    </w:p>
    <w:p w14:paraId="68D89251">
      <w:pPr>
        <w:rPr>
          <w:rFonts w:ascii="宋体" w:hAnsi="宋体"/>
          <w:b/>
          <w:color w:val="auto"/>
          <w:sz w:val="28"/>
          <w:szCs w:val="28"/>
          <w:highlight w:val="none"/>
        </w:rPr>
      </w:pPr>
    </w:p>
    <w:p w14:paraId="2AE8074E">
      <w:pPr>
        <w:rPr>
          <w:rFonts w:ascii="宋体" w:hAnsi="宋体"/>
          <w:b/>
          <w:color w:val="auto"/>
          <w:sz w:val="28"/>
          <w:szCs w:val="28"/>
          <w:highlight w:val="none"/>
        </w:rPr>
      </w:pPr>
    </w:p>
    <w:p w14:paraId="6A005C7A">
      <w:pPr>
        <w:rPr>
          <w:rFonts w:ascii="宋体" w:hAnsi="宋体"/>
          <w:b/>
          <w:color w:val="auto"/>
          <w:sz w:val="28"/>
          <w:szCs w:val="28"/>
          <w:highlight w:val="none"/>
        </w:rPr>
      </w:pPr>
    </w:p>
    <w:p w14:paraId="21923B99">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2371FAB9">
      <w:pPr>
        <w:rPr>
          <w:rFonts w:ascii="宋体" w:hAnsi="宋体"/>
          <w:b/>
          <w:color w:val="auto"/>
          <w:sz w:val="28"/>
          <w:szCs w:val="28"/>
          <w:highlight w:val="none"/>
        </w:rPr>
      </w:pPr>
      <w:r>
        <w:rPr>
          <w:rFonts w:hint="eastAsia" w:ascii="宋体" w:hAnsi="宋体"/>
          <w:b/>
          <w:color w:val="auto"/>
          <w:sz w:val="28"/>
          <w:szCs w:val="28"/>
          <w:highlight w:val="none"/>
        </w:rPr>
        <w:t>日期：</w:t>
      </w:r>
    </w:p>
    <w:p w14:paraId="15FC75F1">
      <w:pPr>
        <w:jc w:val="center"/>
        <w:rPr>
          <w:rFonts w:ascii="宋体" w:hAnsi="宋体"/>
          <w:b/>
          <w:bCs/>
          <w:color w:val="auto"/>
          <w:sz w:val="24"/>
          <w:highlight w:val="none"/>
        </w:rPr>
      </w:pPr>
    </w:p>
    <w:p w14:paraId="68717A47">
      <w:pPr>
        <w:jc w:val="center"/>
        <w:rPr>
          <w:rFonts w:ascii="宋体" w:hAnsi="宋体"/>
          <w:b/>
          <w:color w:val="auto"/>
          <w:sz w:val="30"/>
          <w:szCs w:val="30"/>
          <w:highlight w:val="none"/>
        </w:rPr>
      </w:pPr>
      <w:r>
        <w:rPr>
          <w:rFonts w:ascii="宋体" w:hAnsi="宋体"/>
          <w:b/>
          <w:bCs/>
          <w:color w:val="auto"/>
          <w:sz w:val="36"/>
          <w:highlight w:val="none"/>
        </w:rPr>
        <w:br w:type="page"/>
      </w:r>
      <w:bookmarkStart w:id="18"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5617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5C87077">
            <w:pPr>
              <w:jc w:val="center"/>
              <w:rPr>
                <w:rFonts w:ascii="宋体" w:hAnsi="宋体"/>
                <w:b/>
                <w:color w:val="auto"/>
                <w:highlight w:val="none"/>
              </w:rPr>
            </w:pPr>
            <w:r>
              <w:rPr>
                <w:rFonts w:hint="eastAsia" w:ascii="宋体" w:hAnsi="宋体"/>
                <w:b/>
                <w:color w:val="auto"/>
                <w:highlight w:val="none"/>
              </w:rPr>
              <w:t>评分项目</w:t>
            </w:r>
          </w:p>
        </w:tc>
        <w:tc>
          <w:tcPr>
            <w:tcW w:w="1783" w:type="pct"/>
          </w:tcPr>
          <w:p w14:paraId="62D12198">
            <w:pPr>
              <w:jc w:val="center"/>
              <w:rPr>
                <w:rFonts w:ascii="宋体" w:hAnsi="宋体"/>
                <w:b/>
                <w:color w:val="auto"/>
                <w:highlight w:val="none"/>
              </w:rPr>
            </w:pPr>
            <w:r>
              <w:rPr>
                <w:rFonts w:hint="eastAsia" w:ascii="宋体" w:hAnsi="宋体"/>
                <w:b/>
                <w:color w:val="auto"/>
                <w:highlight w:val="none"/>
              </w:rPr>
              <w:t>在响应文件中的页码位置</w:t>
            </w:r>
          </w:p>
        </w:tc>
      </w:tr>
      <w:tr w14:paraId="7723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70E07672">
            <w:pPr>
              <w:rPr>
                <w:rFonts w:ascii="宋体" w:hAnsi="宋体"/>
                <w:b/>
                <w:color w:val="auto"/>
                <w:highlight w:val="none"/>
              </w:rPr>
            </w:pPr>
          </w:p>
        </w:tc>
        <w:tc>
          <w:tcPr>
            <w:tcW w:w="1783" w:type="pct"/>
          </w:tcPr>
          <w:p w14:paraId="52E82DF4">
            <w:pPr>
              <w:rPr>
                <w:rFonts w:ascii="宋体" w:hAnsi="宋体"/>
                <w:b/>
                <w:color w:val="auto"/>
                <w:highlight w:val="none"/>
              </w:rPr>
            </w:pPr>
          </w:p>
        </w:tc>
      </w:tr>
      <w:tr w14:paraId="13D6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42130A7">
            <w:pPr>
              <w:rPr>
                <w:rFonts w:ascii="宋体" w:hAnsi="宋体"/>
                <w:b/>
                <w:color w:val="auto"/>
                <w:highlight w:val="none"/>
              </w:rPr>
            </w:pPr>
          </w:p>
        </w:tc>
      </w:tr>
      <w:tr w14:paraId="700B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B5AC1AC">
            <w:pPr>
              <w:rPr>
                <w:rFonts w:ascii="宋体" w:hAnsi="宋体"/>
                <w:b/>
                <w:color w:val="auto"/>
                <w:highlight w:val="none"/>
              </w:rPr>
            </w:pPr>
          </w:p>
        </w:tc>
        <w:tc>
          <w:tcPr>
            <w:tcW w:w="1783" w:type="pct"/>
          </w:tcPr>
          <w:p w14:paraId="39FEC72A">
            <w:pPr>
              <w:rPr>
                <w:rFonts w:ascii="宋体" w:hAnsi="宋体"/>
                <w:b/>
                <w:color w:val="auto"/>
                <w:highlight w:val="none"/>
              </w:rPr>
            </w:pPr>
          </w:p>
        </w:tc>
      </w:tr>
      <w:tr w14:paraId="7BB3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26B74677">
            <w:pPr>
              <w:rPr>
                <w:rFonts w:ascii="宋体" w:hAnsi="宋体"/>
                <w:b/>
                <w:color w:val="auto"/>
                <w:highlight w:val="none"/>
              </w:rPr>
            </w:pPr>
          </w:p>
        </w:tc>
        <w:tc>
          <w:tcPr>
            <w:tcW w:w="1783" w:type="pct"/>
          </w:tcPr>
          <w:p w14:paraId="06275823">
            <w:pPr>
              <w:rPr>
                <w:rFonts w:ascii="宋体" w:hAnsi="宋体"/>
                <w:b/>
                <w:color w:val="auto"/>
                <w:highlight w:val="none"/>
              </w:rPr>
            </w:pPr>
          </w:p>
        </w:tc>
      </w:tr>
      <w:tr w14:paraId="6FDE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C4095B5">
            <w:pPr>
              <w:rPr>
                <w:rFonts w:ascii="宋体" w:hAnsi="宋体"/>
                <w:b/>
                <w:color w:val="auto"/>
                <w:highlight w:val="none"/>
              </w:rPr>
            </w:pPr>
          </w:p>
        </w:tc>
        <w:tc>
          <w:tcPr>
            <w:tcW w:w="1783" w:type="pct"/>
          </w:tcPr>
          <w:p w14:paraId="1FF62432">
            <w:pPr>
              <w:rPr>
                <w:rFonts w:ascii="宋体" w:hAnsi="宋体"/>
                <w:b/>
                <w:color w:val="auto"/>
                <w:highlight w:val="none"/>
              </w:rPr>
            </w:pPr>
          </w:p>
        </w:tc>
      </w:tr>
      <w:tr w14:paraId="3BDF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5C6D22D">
            <w:pPr>
              <w:rPr>
                <w:rFonts w:ascii="宋体" w:hAnsi="宋体"/>
                <w:b/>
                <w:color w:val="auto"/>
                <w:highlight w:val="none"/>
              </w:rPr>
            </w:pPr>
          </w:p>
        </w:tc>
        <w:tc>
          <w:tcPr>
            <w:tcW w:w="1783" w:type="pct"/>
          </w:tcPr>
          <w:p w14:paraId="46336F6E">
            <w:pPr>
              <w:rPr>
                <w:rFonts w:ascii="宋体" w:hAnsi="宋体"/>
                <w:b/>
                <w:color w:val="auto"/>
                <w:highlight w:val="none"/>
              </w:rPr>
            </w:pPr>
          </w:p>
        </w:tc>
      </w:tr>
      <w:tr w14:paraId="7862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74BC2E4E">
            <w:pPr>
              <w:rPr>
                <w:rFonts w:ascii="宋体" w:hAnsi="宋体"/>
                <w:b/>
                <w:color w:val="auto"/>
                <w:highlight w:val="none"/>
              </w:rPr>
            </w:pPr>
          </w:p>
        </w:tc>
        <w:tc>
          <w:tcPr>
            <w:tcW w:w="1783" w:type="pct"/>
          </w:tcPr>
          <w:p w14:paraId="65A396FA">
            <w:pPr>
              <w:rPr>
                <w:rFonts w:ascii="宋体" w:hAnsi="宋体"/>
                <w:b/>
                <w:color w:val="auto"/>
                <w:highlight w:val="none"/>
              </w:rPr>
            </w:pPr>
          </w:p>
        </w:tc>
      </w:tr>
      <w:tr w14:paraId="4C31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60278B4">
            <w:pPr>
              <w:rPr>
                <w:rFonts w:ascii="宋体" w:hAnsi="宋体"/>
                <w:b/>
                <w:color w:val="auto"/>
                <w:highlight w:val="none"/>
              </w:rPr>
            </w:pPr>
          </w:p>
        </w:tc>
      </w:tr>
      <w:tr w14:paraId="3A25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52BF9B75">
            <w:pPr>
              <w:rPr>
                <w:rFonts w:ascii="宋体" w:hAnsi="宋体"/>
                <w:b/>
                <w:color w:val="auto"/>
                <w:highlight w:val="none"/>
              </w:rPr>
            </w:pPr>
          </w:p>
        </w:tc>
        <w:tc>
          <w:tcPr>
            <w:tcW w:w="1783" w:type="pct"/>
          </w:tcPr>
          <w:p w14:paraId="39042264">
            <w:pPr>
              <w:rPr>
                <w:rFonts w:ascii="宋体" w:hAnsi="宋体"/>
                <w:b/>
                <w:color w:val="auto"/>
                <w:highlight w:val="none"/>
              </w:rPr>
            </w:pPr>
          </w:p>
        </w:tc>
      </w:tr>
      <w:tr w14:paraId="25D4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1201A73D">
            <w:pPr>
              <w:rPr>
                <w:rFonts w:ascii="宋体" w:hAnsi="宋体"/>
                <w:b/>
                <w:color w:val="auto"/>
                <w:highlight w:val="none"/>
              </w:rPr>
            </w:pPr>
          </w:p>
        </w:tc>
        <w:tc>
          <w:tcPr>
            <w:tcW w:w="1783" w:type="pct"/>
          </w:tcPr>
          <w:p w14:paraId="6C41FF17">
            <w:pPr>
              <w:rPr>
                <w:rFonts w:ascii="宋体" w:hAnsi="宋体"/>
                <w:b/>
                <w:color w:val="auto"/>
                <w:highlight w:val="none"/>
              </w:rPr>
            </w:pPr>
          </w:p>
        </w:tc>
      </w:tr>
      <w:tr w14:paraId="75B3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C9DA996">
            <w:pPr>
              <w:rPr>
                <w:rFonts w:ascii="宋体" w:hAnsi="宋体"/>
                <w:b/>
                <w:color w:val="auto"/>
                <w:highlight w:val="none"/>
              </w:rPr>
            </w:pPr>
          </w:p>
        </w:tc>
        <w:tc>
          <w:tcPr>
            <w:tcW w:w="1783" w:type="pct"/>
          </w:tcPr>
          <w:p w14:paraId="785F35E5">
            <w:pPr>
              <w:rPr>
                <w:rFonts w:ascii="宋体" w:hAnsi="宋体"/>
                <w:b/>
                <w:color w:val="auto"/>
                <w:highlight w:val="none"/>
              </w:rPr>
            </w:pPr>
          </w:p>
        </w:tc>
      </w:tr>
      <w:tr w14:paraId="39F5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0B546CC">
            <w:pPr>
              <w:rPr>
                <w:rFonts w:ascii="宋体" w:hAnsi="宋体"/>
                <w:b/>
                <w:color w:val="auto"/>
                <w:highlight w:val="none"/>
              </w:rPr>
            </w:pPr>
          </w:p>
        </w:tc>
        <w:tc>
          <w:tcPr>
            <w:tcW w:w="1783" w:type="pct"/>
          </w:tcPr>
          <w:p w14:paraId="2FB63E9C">
            <w:pPr>
              <w:rPr>
                <w:rFonts w:ascii="宋体" w:hAnsi="宋体"/>
                <w:b/>
                <w:color w:val="auto"/>
                <w:highlight w:val="none"/>
              </w:rPr>
            </w:pPr>
          </w:p>
        </w:tc>
      </w:tr>
      <w:tr w14:paraId="6F53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46BBF592">
            <w:pPr>
              <w:rPr>
                <w:rFonts w:ascii="宋体" w:hAnsi="宋体"/>
                <w:b/>
                <w:color w:val="auto"/>
                <w:highlight w:val="none"/>
              </w:rPr>
            </w:pPr>
          </w:p>
        </w:tc>
        <w:tc>
          <w:tcPr>
            <w:tcW w:w="1783" w:type="pct"/>
          </w:tcPr>
          <w:p w14:paraId="246D7732">
            <w:pPr>
              <w:rPr>
                <w:rFonts w:ascii="宋体" w:hAnsi="宋体"/>
                <w:b/>
                <w:color w:val="auto"/>
                <w:highlight w:val="none"/>
              </w:rPr>
            </w:pPr>
          </w:p>
        </w:tc>
      </w:tr>
      <w:tr w14:paraId="14DC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74F904DA">
            <w:pPr>
              <w:rPr>
                <w:rFonts w:ascii="宋体" w:hAnsi="宋体"/>
                <w:b/>
                <w:color w:val="auto"/>
                <w:highlight w:val="none"/>
              </w:rPr>
            </w:pPr>
          </w:p>
        </w:tc>
      </w:tr>
      <w:tr w14:paraId="2251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30729C0B">
            <w:pPr>
              <w:rPr>
                <w:rFonts w:ascii="宋体" w:hAnsi="宋体"/>
                <w:b/>
                <w:color w:val="auto"/>
                <w:highlight w:val="none"/>
              </w:rPr>
            </w:pPr>
          </w:p>
        </w:tc>
        <w:tc>
          <w:tcPr>
            <w:tcW w:w="1783" w:type="pct"/>
          </w:tcPr>
          <w:p w14:paraId="030344C5">
            <w:pPr>
              <w:rPr>
                <w:rFonts w:ascii="宋体" w:hAnsi="宋体"/>
                <w:b/>
                <w:color w:val="auto"/>
                <w:highlight w:val="none"/>
              </w:rPr>
            </w:pPr>
          </w:p>
        </w:tc>
      </w:tr>
      <w:tr w14:paraId="7A32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A7764A8">
            <w:pPr>
              <w:rPr>
                <w:rFonts w:ascii="宋体" w:hAnsi="宋体"/>
                <w:b/>
                <w:color w:val="auto"/>
                <w:highlight w:val="none"/>
              </w:rPr>
            </w:pPr>
          </w:p>
        </w:tc>
        <w:tc>
          <w:tcPr>
            <w:tcW w:w="1783" w:type="pct"/>
          </w:tcPr>
          <w:p w14:paraId="5DC9ABDD">
            <w:pPr>
              <w:rPr>
                <w:rFonts w:ascii="宋体" w:hAnsi="宋体"/>
                <w:b/>
                <w:color w:val="auto"/>
                <w:highlight w:val="none"/>
              </w:rPr>
            </w:pPr>
          </w:p>
        </w:tc>
      </w:tr>
      <w:tr w14:paraId="0CB7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B964906">
            <w:pPr>
              <w:rPr>
                <w:rFonts w:ascii="宋体" w:hAnsi="宋体"/>
                <w:b/>
                <w:color w:val="auto"/>
                <w:highlight w:val="none"/>
              </w:rPr>
            </w:pPr>
          </w:p>
        </w:tc>
        <w:tc>
          <w:tcPr>
            <w:tcW w:w="1783" w:type="pct"/>
          </w:tcPr>
          <w:p w14:paraId="01E14F84">
            <w:pPr>
              <w:rPr>
                <w:rFonts w:ascii="宋体" w:hAnsi="宋体"/>
                <w:b/>
                <w:color w:val="auto"/>
                <w:highlight w:val="none"/>
              </w:rPr>
            </w:pPr>
          </w:p>
        </w:tc>
      </w:tr>
      <w:tr w14:paraId="0645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17258E7">
            <w:pPr>
              <w:rPr>
                <w:rFonts w:ascii="宋体" w:hAnsi="宋体"/>
                <w:b/>
                <w:color w:val="auto"/>
                <w:highlight w:val="none"/>
              </w:rPr>
            </w:pPr>
          </w:p>
        </w:tc>
      </w:tr>
      <w:tr w14:paraId="2AC0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72DC568">
            <w:pPr>
              <w:rPr>
                <w:rFonts w:ascii="宋体" w:hAnsi="宋体"/>
                <w:b/>
                <w:color w:val="auto"/>
                <w:highlight w:val="none"/>
              </w:rPr>
            </w:pPr>
          </w:p>
        </w:tc>
        <w:tc>
          <w:tcPr>
            <w:tcW w:w="1783" w:type="pct"/>
          </w:tcPr>
          <w:p w14:paraId="4E158E1E">
            <w:pPr>
              <w:rPr>
                <w:rFonts w:ascii="宋体" w:hAnsi="宋体"/>
                <w:b/>
                <w:color w:val="auto"/>
                <w:highlight w:val="none"/>
              </w:rPr>
            </w:pPr>
          </w:p>
        </w:tc>
      </w:tr>
      <w:tr w14:paraId="0F8C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179E641">
            <w:pPr>
              <w:rPr>
                <w:rFonts w:ascii="宋体" w:hAnsi="宋体"/>
                <w:b/>
                <w:color w:val="auto"/>
                <w:highlight w:val="none"/>
              </w:rPr>
            </w:pPr>
          </w:p>
        </w:tc>
        <w:tc>
          <w:tcPr>
            <w:tcW w:w="1783" w:type="pct"/>
          </w:tcPr>
          <w:p w14:paraId="4E13747A">
            <w:pPr>
              <w:rPr>
                <w:rFonts w:ascii="宋体" w:hAnsi="宋体"/>
                <w:b/>
                <w:color w:val="auto"/>
                <w:highlight w:val="none"/>
              </w:rPr>
            </w:pPr>
          </w:p>
        </w:tc>
      </w:tr>
    </w:tbl>
    <w:p w14:paraId="3D9B35E9">
      <w:pPr>
        <w:rPr>
          <w:rFonts w:ascii="宋体" w:hAnsi="宋体"/>
          <w:color w:val="auto"/>
          <w:highlight w:val="none"/>
        </w:rPr>
      </w:pPr>
    </w:p>
    <w:p w14:paraId="156C50A1">
      <w:pPr>
        <w:jc w:val="center"/>
        <w:rPr>
          <w:rFonts w:ascii="宋体" w:hAnsi="宋体"/>
          <w:b/>
          <w:bCs/>
          <w:color w:val="auto"/>
          <w:sz w:val="36"/>
          <w:highlight w:val="none"/>
        </w:rPr>
      </w:pPr>
      <w:r>
        <w:rPr>
          <w:rFonts w:ascii="宋体" w:hAnsi="宋体"/>
          <w:b/>
          <w:bCs/>
          <w:color w:val="auto"/>
          <w:sz w:val="36"/>
          <w:highlight w:val="none"/>
        </w:rPr>
        <w:br w:type="page"/>
      </w:r>
      <w:bookmarkStart w:id="19" w:name="_Toc489655320"/>
    </w:p>
    <w:p w14:paraId="6CEF798C">
      <w:pPr>
        <w:pStyle w:val="261"/>
        <w:rPr>
          <w:color w:val="auto"/>
          <w:highlight w:val="none"/>
        </w:rPr>
      </w:pPr>
      <w:r>
        <w:rPr>
          <w:color w:val="auto"/>
          <w:highlight w:val="none"/>
        </w:rPr>
        <w:t>响应文件主要目录</w:t>
      </w:r>
      <w:bookmarkEnd w:id="18"/>
      <w:bookmarkEnd w:id="19"/>
      <w:r>
        <w:rPr>
          <w:color w:val="auto"/>
          <w:highlight w:val="none"/>
        </w:rPr>
        <w:t>及相关证明材料格式、附件</w:t>
      </w:r>
    </w:p>
    <w:p w14:paraId="7ADAD66E">
      <w:pPr>
        <w:rPr>
          <w:rFonts w:ascii="宋体" w:hAnsi="宋体"/>
          <w:color w:val="auto"/>
          <w:sz w:val="28"/>
          <w:szCs w:val="28"/>
          <w:highlight w:val="none"/>
        </w:rPr>
      </w:pPr>
    </w:p>
    <w:p w14:paraId="693A6189">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一、响应申请及声明</w:t>
      </w:r>
    </w:p>
    <w:p w14:paraId="1D01BD62">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二、法定代表人授权书</w:t>
      </w:r>
    </w:p>
    <w:p w14:paraId="58D802C6">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三、响应一览表</w:t>
      </w:r>
    </w:p>
    <w:p w14:paraId="40F853C2">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四、资格证明文件</w:t>
      </w:r>
    </w:p>
    <w:p w14:paraId="44D27017">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五、分项报价表</w:t>
      </w:r>
    </w:p>
    <w:p w14:paraId="3564A5BE">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六、技术条款偏离表</w:t>
      </w:r>
    </w:p>
    <w:p w14:paraId="490EC41A">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七、商务条款偏离表</w:t>
      </w:r>
    </w:p>
    <w:p w14:paraId="2B8DA539">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八、服务方案</w:t>
      </w:r>
    </w:p>
    <w:p w14:paraId="62C5DBAE">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2762F984">
      <w:pPr>
        <w:spacing w:line="360" w:lineRule="auto"/>
        <w:rPr>
          <w:rFonts w:ascii="宋体" w:hAnsi="宋体"/>
          <w:color w:val="auto"/>
          <w:sz w:val="28"/>
          <w:szCs w:val="28"/>
          <w:highlight w:val="none"/>
        </w:rPr>
      </w:pPr>
    </w:p>
    <w:p w14:paraId="03718307">
      <w:pPr>
        <w:spacing w:line="360" w:lineRule="auto"/>
        <w:ind w:left="2941" w:leftChars="267" w:hanging="2380" w:hangingChars="850"/>
        <w:jc w:val="left"/>
        <w:rPr>
          <w:rFonts w:ascii="宋体" w:hAnsi="宋体"/>
          <w:color w:val="auto"/>
          <w:sz w:val="28"/>
          <w:szCs w:val="28"/>
          <w:highlight w:val="none"/>
        </w:rPr>
      </w:pPr>
    </w:p>
    <w:p w14:paraId="7AFFFED3">
      <w:pPr>
        <w:rPr>
          <w:rFonts w:ascii="宋体" w:hAnsi="宋体"/>
          <w:b/>
          <w:color w:val="auto"/>
          <w:szCs w:val="21"/>
          <w:highlight w:val="none"/>
          <w:lang w:val="zh-CN"/>
        </w:rPr>
      </w:pPr>
      <w:r>
        <w:rPr>
          <w:rFonts w:hint="eastAsia" w:ascii="宋体" w:hAnsi="宋体"/>
          <w:b/>
          <w:color w:val="auto"/>
          <w:szCs w:val="21"/>
          <w:highlight w:val="none"/>
          <w:lang w:val="zh-CN"/>
        </w:rPr>
        <w:br w:type="page"/>
      </w:r>
    </w:p>
    <w:p w14:paraId="2BA66065">
      <w:pPr>
        <w:pStyle w:val="16"/>
        <w:ind w:firstLine="482"/>
        <w:rPr>
          <w:b/>
          <w:color w:val="auto"/>
          <w:highlight w:val="none"/>
        </w:rPr>
      </w:pPr>
      <w:r>
        <w:rPr>
          <w:b/>
          <w:color w:val="auto"/>
          <w:highlight w:val="none"/>
        </w:rPr>
        <w:t>目录一、响应申请及声明格式</w:t>
      </w:r>
    </w:p>
    <w:p w14:paraId="3027E80F">
      <w:pPr>
        <w:pStyle w:val="263"/>
        <w:outlineLvl w:val="9"/>
        <w:rPr>
          <w:color w:val="auto"/>
          <w:highlight w:val="none"/>
        </w:rPr>
      </w:pPr>
      <w:r>
        <w:rPr>
          <w:color w:val="auto"/>
          <w:highlight w:val="none"/>
        </w:rPr>
        <w:t>响应申请及声明</w:t>
      </w:r>
    </w:p>
    <w:p w14:paraId="59354926">
      <w:pPr>
        <w:pStyle w:val="16"/>
        <w:ind w:firstLine="0" w:firstLineChars="0"/>
        <w:rPr>
          <w:color w:val="auto"/>
          <w:highlight w:val="none"/>
        </w:rPr>
      </w:pPr>
      <w:r>
        <w:rPr>
          <w:color w:val="auto"/>
          <w:highlight w:val="none"/>
        </w:rPr>
        <w:t>致：（采购人）</w:t>
      </w:r>
    </w:p>
    <w:p w14:paraId="777EDAFC">
      <w:pPr>
        <w:pStyle w:val="16"/>
        <w:ind w:firstLine="480"/>
        <w:rPr>
          <w:color w:val="auto"/>
          <w:highlight w:val="none"/>
        </w:rPr>
      </w:pPr>
      <w:r>
        <w:rPr>
          <w:color w:val="auto"/>
          <w:highlight w:val="none"/>
        </w:rPr>
        <w:t>根据贵方（项目编号：）响应邀请，正式授权下述签字人（姓名和职务）代表供应商（供应商名称），提交响应文件。</w:t>
      </w:r>
    </w:p>
    <w:p w14:paraId="2DB8D433">
      <w:pPr>
        <w:pStyle w:val="16"/>
        <w:ind w:firstLine="480"/>
        <w:rPr>
          <w:color w:val="auto"/>
          <w:highlight w:val="none"/>
        </w:rPr>
      </w:pPr>
      <w:r>
        <w:rPr>
          <w:color w:val="auto"/>
          <w:highlight w:val="none"/>
        </w:rPr>
        <w:t>据此函，签字人兹宣布声明和承诺如下：</w:t>
      </w:r>
    </w:p>
    <w:p w14:paraId="1771ED84">
      <w:pPr>
        <w:pStyle w:val="16"/>
        <w:numPr>
          <w:ilvl w:val="0"/>
          <w:numId w:val="67"/>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289A2752">
      <w:pPr>
        <w:pStyle w:val="16"/>
        <w:numPr>
          <w:ilvl w:val="0"/>
          <w:numId w:val="67"/>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3ACF815A">
      <w:pPr>
        <w:pStyle w:val="16"/>
        <w:numPr>
          <w:ilvl w:val="0"/>
          <w:numId w:val="67"/>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13310CB4">
      <w:pPr>
        <w:pStyle w:val="16"/>
        <w:numPr>
          <w:ilvl w:val="0"/>
          <w:numId w:val="67"/>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1A1BA995">
      <w:pPr>
        <w:pStyle w:val="16"/>
        <w:numPr>
          <w:ilvl w:val="0"/>
          <w:numId w:val="67"/>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5E6BF44A">
      <w:pPr>
        <w:pStyle w:val="16"/>
        <w:numPr>
          <w:ilvl w:val="0"/>
          <w:numId w:val="67"/>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4F4AB1B">
      <w:pPr>
        <w:pStyle w:val="16"/>
        <w:numPr>
          <w:ilvl w:val="0"/>
          <w:numId w:val="67"/>
        </w:numPr>
        <w:ind w:firstLineChars="0"/>
        <w:rPr>
          <w:color w:val="auto"/>
          <w:highlight w:val="none"/>
        </w:rPr>
      </w:pPr>
      <w:r>
        <w:rPr>
          <w:color w:val="auto"/>
          <w:highlight w:val="none"/>
        </w:rPr>
        <w:t>与本次响应有关的正式联系方式为：</w:t>
      </w:r>
    </w:p>
    <w:p w14:paraId="060586FB">
      <w:pPr>
        <w:pStyle w:val="16"/>
        <w:ind w:firstLine="480"/>
        <w:rPr>
          <w:color w:val="auto"/>
          <w:highlight w:val="none"/>
          <w:u w:val="single"/>
        </w:rPr>
      </w:pPr>
      <w:r>
        <w:rPr>
          <w:color w:val="auto"/>
          <w:highlight w:val="none"/>
        </w:rPr>
        <w:t>地址：</w:t>
      </w:r>
    </w:p>
    <w:p w14:paraId="378BAEDD">
      <w:pPr>
        <w:pStyle w:val="16"/>
        <w:ind w:firstLine="480"/>
        <w:rPr>
          <w:color w:val="auto"/>
          <w:highlight w:val="none"/>
          <w:u w:val="single"/>
        </w:rPr>
      </w:pPr>
      <w:r>
        <w:rPr>
          <w:color w:val="auto"/>
          <w:highlight w:val="none"/>
        </w:rPr>
        <w:t>电话：</w:t>
      </w:r>
    </w:p>
    <w:p w14:paraId="1FDBB0F0">
      <w:pPr>
        <w:pStyle w:val="16"/>
        <w:ind w:firstLine="480"/>
        <w:rPr>
          <w:color w:val="auto"/>
          <w:highlight w:val="none"/>
          <w:u w:val="single"/>
        </w:rPr>
      </w:pPr>
      <w:r>
        <w:rPr>
          <w:color w:val="auto"/>
          <w:highlight w:val="none"/>
        </w:rPr>
        <w:t>传真：</w:t>
      </w:r>
    </w:p>
    <w:p w14:paraId="2CEE9D77">
      <w:pPr>
        <w:pStyle w:val="16"/>
        <w:ind w:firstLine="480"/>
        <w:rPr>
          <w:color w:val="auto"/>
          <w:highlight w:val="none"/>
        </w:rPr>
      </w:pPr>
      <w:r>
        <w:rPr>
          <w:color w:val="auto"/>
          <w:highlight w:val="none"/>
        </w:rPr>
        <w:t>开户银行：</w:t>
      </w:r>
    </w:p>
    <w:p w14:paraId="3E91D87D">
      <w:pPr>
        <w:pStyle w:val="16"/>
        <w:ind w:firstLine="480"/>
        <w:rPr>
          <w:color w:val="auto"/>
          <w:highlight w:val="none"/>
        </w:rPr>
      </w:pPr>
      <w:r>
        <w:rPr>
          <w:color w:val="auto"/>
          <w:highlight w:val="none"/>
        </w:rPr>
        <w:t>银行账号：</w:t>
      </w:r>
    </w:p>
    <w:p w14:paraId="64677654">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7740ADD5">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497372F7">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日期：年月日</w:t>
      </w:r>
    </w:p>
    <w:p w14:paraId="571F97EE">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8347E8B">
      <w:pPr>
        <w:pStyle w:val="16"/>
        <w:ind w:firstLine="482"/>
        <w:rPr>
          <w:b/>
          <w:color w:val="auto"/>
          <w:highlight w:val="none"/>
        </w:rPr>
      </w:pPr>
      <w:r>
        <w:rPr>
          <w:b/>
          <w:color w:val="auto"/>
          <w:highlight w:val="none"/>
        </w:rPr>
        <w:t>目录二、法定代表人授权书格式</w:t>
      </w:r>
    </w:p>
    <w:p w14:paraId="1E935B46">
      <w:pPr>
        <w:pStyle w:val="263"/>
        <w:outlineLvl w:val="9"/>
        <w:rPr>
          <w:color w:val="auto"/>
          <w:highlight w:val="none"/>
        </w:rPr>
      </w:pPr>
      <w:r>
        <w:rPr>
          <w:color w:val="auto"/>
          <w:highlight w:val="none"/>
        </w:rPr>
        <w:t>法定代表人授权委托书</w:t>
      </w:r>
    </w:p>
    <w:p w14:paraId="5263D28F">
      <w:pPr>
        <w:pStyle w:val="16"/>
        <w:ind w:firstLine="0" w:firstLineChars="0"/>
        <w:rPr>
          <w:color w:val="auto"/>
          <w:highlight w:val="none"/>
        </w:rPr>
      </w:pPr>
      <w:r>
        <w:rPr>
          <w:color w:val="auto"/>
          <w:highlight w:val="none"/>
        </w:rPr>
        <w:t>致：（采购人）</w:t>
      </w:r>
    </w:p>
    <w:p w14:paraId="6E824986">
      <w:pPr>
        <w:pStyle w:val="16"/>
        <w:ind w:firstLine="480"/>
        <w:rPr>
          <w:color w:val="auto"/>
          <w:highlight w:val="none"/>
        </w:rPr>
      </w:pPr>
      <w:r>
        <w:rPr>
          <w:color w:val="auto"/>
          <w:highlight w:val="none"/>
        </w:rPr>
        <w:t>本授权书声明：注册于（供应商住址）的（供应商名称）法定代表人（法定代表人姓名、职务）代表本公司授权在下面签字的（供应商代表姓名、职务）为本公司的合法代理人，就贵方组织的，（项目编号）进行响应，以本公司名义处理一切与之有关的事务。</w:t>
      </w:r>
    </w:p>
    <w:p w14:paraId="3B2A6E82">
      <w:pPr>
        <w:pStyle w:val="16"/>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700376F2">
      <w:pPr>
        <w:adjustRightInd w:val="0"/>
        <w:spacing w:line="360" w:lineRule="auto"/>
        <w:ind w:firstLine="408"/>
        <w:jc w:val="left"/>
        <w:rPr>
          <w:rFonts w:ascii="宋体" w:hAnsi="宋体" w:cs="宋体"/>
          <w:color w:val="auto"/>
          <w:szCs w:val="21"/>
          <w:highlight w:val="none"/>
          <w:lang w:val="zh-CN"/>
        </w:rPr>
      </w:pPr>
    </w:p>
    <w:p w14:paraId="1DF32330">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0ACB6624">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1F0BCEE7">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1D464DA3">
      <w:pPr>
        <w:tabs>
          <w:tab w:val="left" w:pos="1440"/>
        </w:tabs>
        <w:adjustRightInd w:val="0"/>
        <w:spacing w:line="360" w:lineRule="auto"/>
        <w:ind w:firstLine="420"/>
        <w:jc w:val="left"/>
        <w:rPr>
          <w:rFonts w:ascii="宋体" w:hAnsi="宋体" w:cs="宋体"/>
          <w:color w:val="auto"/>
          <w:szCs w:val="21"/>
          <w:highlight w:val="none"/>
          <w:lang w:val="zh-CN"/>
        </w:rPr>
      </w:pPr>
    </w:p>
    <w:p w14:paraId="7E9F56DF">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7E2A00C7">
      <w:pPr>
        <w:tabs>
          <w:tab w:val="left" w:pos="1440"/>
        </w:tabs>
        <w:adjustRightInd w:val="0"/>
        <w:spacing w:line="360" w:lineRule="auto"/>
        <w:ind w:firstLine="420"/>
        <w:jc w:val="left"/>
        <w:rPr>
          <w:rFonts w:ascii="宋体" w:hAnsi="宋体" w:cs="宋体"/>
          <w:color w:val="auto"/>
          <w:szCs w:val="21"/>
          <w:highlight w:val="none"/>
        </w:rPr>
      </w:pPr>
    </w:p>
    <w:p w14:paraId="530E72F0">
      <w:pPr>
        <w:tabs>
          <w:tab w:val="left" w:pos="1440"/>
        </w:tabs>
        <w:adjustRightInd w:val="0"/>
        <w:spacing w:line="360" w:lineRule="auto"/>
        <w:ind w:firstLine="420"/>
        <w:jc w:val="left"/>
        <w:rPr>
          <w:rFonts w:ascii="宋体" w:hAnsi="宋体" w:cs="宋体"/>
          <w:color w:val="auto"/>
          <w:szCs w:val="21"/>
          <w:highlight w:val="none"/>
        </w:rPr>
      </w:pPr>
    </w:p>
    <w:p w14:paraId="6314D34D">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7CA4FB7B">
      <w:pPr>
        <w:tabs>
          <w:tab w:val="left" w:pos="1440"/>
        </w:tabs>
        <w:adjustRightInd w:val="0"/>
        <w:spacing w:line="360" w:lineRule="auto"/>
        <w:ind w:firstLine="420"/>
        <w:jc w:val="left"/>
        <w:rPr>
          <w:rFonts w:ascii="宋体" w:hAnsi="宋体" w:cs="宋体"/>
          <w:color w:val="auto"/>
          <w:szCs w:val="21"/>
          <w:highlight w:val="none"/>
          <w:lang w:val="zh-CN"/>
        </w:rPr>
      </w:pPr>
    </w:p>
    <w:p w14:paraId="1E0CD081">
      <w:pPr>
        <w:tabs>
          <w:tab w:val="left" w:pos="1440"/>
        </w:tabs>
        <w:adjustRightInd w:val="0"/>
        <w:spacing w:line="360" w:lineRule="auto"/>
        <w:ind w:firstLine="420"/>
        <w:jc w:val="left"/>
        <w:rPr>
          <w:rFonts w:ascii="宋体" w:hAnsi="宋体" w:cs="宋体"/>
          <w:color w:val="auto"/>
          <w:szCs w:val="21"/>
          <w:highlight w:val="none"/>
          <w:lang w:val="zh-CN"/>
        </w:rPr>
      </w:pPr>
    </w:p>
    <w:p w14:paraId="3B9D4E85">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F2CF3FD">
      <w:pPr>
        <w:pStyle w:val="261"/>
        <w:rPr>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63668283">
      <w:pPr>
        <w:pStyle w:val="263"/>
        <w:outlineLvl w:val="9"/>
        <w:rPr>
          <w:color w:val="auto"/>
          <w:highlight w:val="none"/>
        </w:rPr>
      </w:pPr>
      <w:r>
        <w:rPr>
          <w:rFonts w:hint="eastAsia"/>
          <w:color w:val="auto"/>
          <w:highlight w:val="none"/>
        </w:rPr>
        <w:t>响应</w:t>
      </w:r>
      <w:r>
        <w:rPr>
          <w:color w:val="auto"/>
          <w:highlight w:val="none"/>
        </w:rPr>
        <w:t>一览表</w:t>
      </w:r>
    </w:p>
    <w:p w14:paraId="653813BF">
      <w:pPr>
        <w:pStyle w:val="32"/>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00983739">
      <w:pPr>
        <w:pStyle w:val="15"/>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869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D73B773">
            <w:pPr>
              <w:pStyle w:val="15"/>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7233EFB6">
            <w:pPr>
              <w:pStyle w:val="15"/>
              <w:rPr>
                <w:rFonts w:asciiTheme="minorEastAsia" w:hAnsiTheme="minorEastAsia" w:eastAsiaTheme="minorEastAsia" w:cstheme="minorEastAsia"/>
                <w:b/>
                <w:bCs/>
                <w:color w:val="auto"/>
                <w:highlight w:val="none"/>
              </w:rPr>
            </w:pPr>
          </w:p>
        </w:tc>
        <w:tc>
          <w:tcPr>
            <w:tcW w:w="1178" w:type="dxa"/>
            <w:vAlign w:val="center"/>
          </w:tcPr>
          <w:p w14:paraId="6F973ED0">
            <w:pPr>
              <w:pStyle w:val="15"/>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205C7951">
            <w:pPr>
              <w:pStyle w:val="15"/>
              <w:rPr>
                <w:rFonts w:asciiTheme="minorEastAsia" w:hAnsiTheme="minorEastAsia" w:eastAsiaTheme="minorEastAsia" w:cstheme="minorEastAsia"/>
                <w:b/>
                <w:bCs/>
                <w:color w:val="auto"/>
                <w:highlight w:val="none"/>
              </w:rPr>
            </w:pPr>
          </w:p>
        </w:tc>
      </w:tr>
      <w:tr w14:paraId="2F6A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5CAC053">
            <w:pPr>
              <w:pStyle w:val="15"/>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4B16A8F9">
            <w:pPr>
              <w:pStyle w:val="15"/>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r>
              <w:rPr>
                <w:rFonts w:hint="eastAsia" w:ascii="宋体" w:hAnsi="宋体" w:cs="宋体"/>
                <w:b/>
                <w:color w:val="auto"/>
                <w:sz w:val="24"/>
                <w:highlight w:val="none"/>
              </w:rPr>
              <w:t>元</w:t>
            </w:r>
          </w:p>
          <w:p w14:paraId="2B403829">
            <w:pPr>
              <w:pStyle w:val="15"/>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小写：人民币                        </w:t>
            </w:r>
            <w:r>
              <w:rPr>
                <w:rFonts w:hint="eastAsia" w:ascii="宋体" w:hAnsi="宋体" w:cs="宋体"/>
                <w:b/>
                <w:color w:val="auto"/>
                <w:sz w:val="24"/>
                <w:highlight w:val="none"/>
              </w:rPr>
              <w:t>元</w:t>
            </w:r>
          </w:p>
        </w:tc>
      </w:tr>
      <w:tr w14:paraId="2078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AB44CE8">
            <w:pPr>
              <w:jc w:val="center"/>
              <w:rPr>
                <w:rFonts w:ascii="宋体" w:hAnsi="宋体" w:cs="仿宋_GB2312"/>
                <w:b/>
                <w:color w:val="auto"/>
                <w:szCs w:val="21"/>
                <w:highlight w:val="none"/>
              </w:rPr>
            </w:pPr>
            <w:r>
              <w:rPr>
                <w:rFonts w:hint="eastAsia" w:ascii="宋体" w:hAnsi="宋体"/>
                <w:b/>
                <w:color w:val="auto"/>
                <w:szCs w:val="21"/>
                <w:highlight w:val="none"/>
              </w:rPr>
              <w:t>服务期</w:t>
            </w:r>
          </w:p>
        </w:tc>
        <w:tc>
          <w:tcPr>
            <w:tcW w:w="8014" w:type="dxa"/>
            <w:gridSpan w:val="3"/>
            <w:vAlign w:val="center"/>
          </w:tcPr>
          <w:p w14:paraId="74A25D14">
            <w:pPr>
              <w:jc w:val="center"/>
              <w:rPr>
                <w:rFonts w:ascii="宋体" w:hAnsi="宋体"/>
                <w:b/>
                <w:bCs/>
                <w:color w:val="auto"/>
                <w:szCs w:val="21"/>
                <w:highlight w:val="none"/>
              </w:rPr>
            </w:pPr>
          </w:p>
        </w:tc>
      </w:tr>
      <w:tr w14:paraId="574D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B94D863">
            <w:pPr>
              <w:jc w:val="center"/>
              <w:rPr>
                <w:rFonts w:hint="eastAsia" w:ascii="宋体" w:hAnsi="宋体"/>
                <w:b/>
                <w:color w:val="auto"/>
                <w:szCs w:val="21"/>
                <w:highlight w:val="none"/>
              </w:rPr>
            </w:pPr>
            <w:r>
              <w:rPr>
                <w:rFonts w:hint="eastAsia" w:ascii="宋体" w:hAnsi="宋体"/>
                <w:b/>
                <w:color w:val="auto"/>
                <w:szCs w:val="21"/>
                <w:highlight w:val="none"/>
              </w:rPr>
              <w:t>备注</w:t>
            </w:r>
          </w:p>
        </w:tc>
        <w:tc>
          <w:tcPr>
            <w:tcW w:w="8014" w:type="dxa"/>
            <w:gridSpan w:val="3"/>
            <w:vAlign w:val="center"/>
          </w:tcPr>
          <w:p w14:paraId="4897F93E">
            <w:pPr>
              <w:jc w:val="center"/>
              <w:rPr>
                <w:rFonts w:ascii="宋体" w:hAnsi="宋体"/>
                <w:b/>
                <w:bCs/>
                <w:color w:val="auto"/>
                <w:szCs w:val="21"/>
                <w:highlight w:val="none"/>
              </w:rPr>
            </w:pPr>
          </w:p>
        </w:tc>
      </w:tr>
    </w:tbl>
    <w:p w14:paraId="566606F3">
      <w:pPr>
        <w:pStyle w:val="15"/>
        <w:rPr>
          <w:b/>
          <w:bCs/>
          <w:color w:val="auto"/>
          <w:highlight w:val="none"/>
        </w:rPr>
      </w:pPr>
    </w:p>
    <w:p w14:paraId="0E10E939">
      <w:pPr>
        <w:pStyle w:val="15"/>
        <w:rPr>
          <w:b/>
          <w:bCs/>
          <w:color w:val="auto"/>
          <w:highlight w:val="none"/>
        </w:rPr>
      </w:pPr>
    </w:p>
    <w:p w14:paraId="293ADC8A">
      <w:pPr>
        <w:widowControl/>
        <w:spacing w:line="360" w:lineRule="auto"/>
        <w:jc w:val="left"/>
        <w:rPr>
          <w:rFonts w:ascii="宋体" w:hAnsi="宋体" w:cs="宋体"/>
          <w:color w:val="auto"/>
          <w:szCs w:val="21"/>
          <w:highlight w:val="none"/>
          <w:lang w:val="zh-CN"/>
        </w:rPr>
      </w:pPr>
    </w:p>
    <w:p w14:paraId="453B8B48">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供应商名称：（盖章）</w:t>
      </w:r>
    </w:p>
    <w:p w14:paraId="0E34EC4D">
      <w:pPr>
        <w:spacing w:line="360" w:lineRule="auto"/>
        <w:jc w:val="center"/>
        <w:rPr>
          <w:rFonts w:ascii="宋体" w:hAnsi="宋体"/>
          <w:b/>
          <w:color w:val="auto"/>
          <w:kern w:val="0"/>
          <w:sz w:val="24"/>
          <w:highlight w:val="none"/>
        </w:rPr>
      </w:pPr>
      <w:r>
        <w:rPr>
          <w:rFonts w:hint="eastAsia" w:ascii="宋体" w:hAnsi="宋体" w:cs="宋体"/>
          <w:b/>
          <w:color w:val="auto"/>
          <w:szCs w:val="21"/>
          <w:highlight w:val="none"/>
          <w:lang w:val="zh-CN"/>
        </w:rPr>
        <w:br w:type="page"/>
      </w:r>
      <w:r>
        <w:rPr>
          <w:rFonts w:hint="eastAsia" w:ascii="宋体" w:hAnsi="宋体"/>
          <w:b/>
          <w:color w:val="auto"/>
          <w:kern w:val="0"/>
          <w:sz w:val="24"/>
          <w:highlight w:val="none"/>
        </w:rPr>
        <w:t>已标价工程量清单</w:t>
      </w:r>
    </w:p>
    <w:p w14:paraId="567874ED">
      <w:pPr>
        <w:pStyle w:val="244"/>
        <w:spacing w:line="400" w:lineRule="exact"/>
        <w:jc w:val="center"/>
        <w:rPr>
          <w:rFonts w:hint="eastAsia" w:ascii="宋体" w:hAnsi="宋体"/>
          <w:b/>
          <w:color w:val="auto"/>
          <w:sz w:val="36"/>
          <w:szCs w:val="36"/>
          <w:highlight w:val="none"/>
        </w:rPr>
      </w:pPr>
      <w:r>
        <w:rPr>
          <w:rFonts w:hint="eastAsia" w:ascii="宋体" w:hAnsi="宋体"/>
          <w:color w:val="auto"/>
          <w:szCs w:val="21"/>
          <w:highlight w:val="none"/>
        </w:rPr>
        <w:t>（报价清单见附件）</w:t>
      </w:r>
    </w:p>
    <w:p w14:paraId="699EF11F">
      <w:pPr>
        <w:jc w:val="left"/>
        <w:rPr>
          <w:rFonts w:ascii="宋体" w:hAnsi="宋体" w:cs="宋体"/>
          <w:b/>
          <w:color w:val="auto"/>
          <w:szCs w:val="21"/>
          <w:highlight w:val="none"/>
          <w:lang w:val="zh-CN"/>
        </w:rPr>
      </w:pPr>
    </w:p>
    <w:p w14:paraId="7BB9B746">
      <w:pPr>
        <w:rPr>
          <w:b/>
          <w:color w:val="auto"/>
          <w:highlight w:val="none"/>
        </w:rPr>
      </w:pPr>
      <w:r>
        <w:rPr>
          <w:b/>
          <w:color w:val="auto"/>
          <w:highlight w:val="none"/>
        </w:rPr>
        <w:br w:type="page"/>
      </w:r>
    </w:p>
    <w:p w14:paraId="6495ABFA">
      <w:pPr>
        <w:pStyle w:val="16"/>
        <w:ind w:firstLine="482"/>
        <w:rPr>
          <w:b/>
          <w:color w:val="auto"/>
          <w:highlight w:val="none"/>
        </w:rPr>
      </w:pPr>
      <w:r>
        <w:rPr>
          <w:b/>
          <w:color w:val="auto"/>
          <w:highlight w:val="none"/>
        </w:rPr>
        <w:t>目录四、资格证明文件</w:t>
      </w:r>
    </w:p>
    <w:p w14:paraId="00648FA6">
      <w:pPr>
        <w:pStyle w:val="265"/>
        <w:rPr>
          <w:color w:val="auto"/>
          <w:highlight w:val="none"/>
        </w:rPr>
      </w:pPr>
      <w:bookmarkStart w:id="20" w:name="_Toc489655335"/>
      <w:r>
        <w:rPr>
          <w:color w:val="auto"/>
          <w:highlight w:val="none"/>
        </w:rPr>
        <w:t>资格证明文件</w:t>
      </w:r>
      <w:bookmarkEnd w:id="20"/>
    </w:p>
    <w:p w14:paraId="110F96E6">
      <w:pPr>
        <w:pStyle w:val="16"/>
        <w:numPr>
          <w:ilvl w:val="0"/>
          <w:numId w:val="68"/>
        </w:numPr>
        <w:ind w:firstLineChars="0"/>
        <w:rPr>
          <w:b/>
          <w:color w:val="auto"/>
          <w:highlight w:val="none"/>
        </w:rPr>
      </w:pPr>
      <w:r>
        <w:rPr>
          <w:b/>
          <w:color w:val="auto"/>
          <w:highlight w:val="none"/>
        </w:rPr>
        <w:t>满足《中华人民共和国政府采购法》第二十二条规定：</w:t>
      </w:r>
      <w:r>
        <w:rPr>
          <w:rFonts w:hint="eastAsia"/>
          <w:b/>
          <w:color w:val="auto"/>
          <w:highlight w:val="none"/>
        </w:rPr>
        <w:t>（可提供承诺函）</w:t>
      </w:r>
    </w:p>
    <w:p w14:paraId="57B5CDAE">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（1）具有独立承担民事责任的能力（提供法人或者其他组织的营业执照）；</w:t>
      </w:r>
    </w:p>
    <w:p w14:paraId="631A84E0">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（2）具有良好的商业信誉和健全的财务会计制度（</w:t>
      </w:r>
      <w:r>
        <w:rPr>
          <w:rFonts w:hint="eastAsia" w:ascii="宋体" w:hAnsi="宋体" w:eastAsia="宋体" w:cs="宋体"/>
          <w:color w:val="auto"/>
          <w:sz w:val="24"/>
          <w:szCs w:val="21"/>
          <w:highlight w:val="none"/>
          <w:lang w:val="zh-TW" w:eastAsia="zh-TW" w:bidi="ar-SA"/>
        </w:rPr>
        <w:t>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hAnsi="宋体" w:eastAsia="宋体" w:cs="宋体"/>
          <w:color w:val="auto"/>
          <w:sz w:val="24"/>
          <w:szCs w:val="21"/>
          <w:highlight w:val="none"/>
          <w:lang w:val="en-US" w:eastAsia="zh-CN" w:bidi="ar-SA"/>
        </w:rPr>
        <w:t>）；</w:t>
      </w:r>
    </w:p>
    <w:p w14:paraId="514D930E">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（3）具有履行合同所必需的设备和专业技术能力（根据履行采购项目合同需要，提供履行合同所必需的设备和专业技术能力的证明材料或相关加盖公章的承诺函）；</w:t>
      </w:r>
    </w:p>
    <w:p w14:paraId="034A3CB3">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4）有依法缴纳税收和社会保障资金的良好记录（提供参加本次政府采购活动前半年内（2025年4月-2025年9月）至少一个月缴纳增值税，或营业税，或企业所得税的凭据；并提供缴纳社会保险的凭据（专用收据，或社会保险缴纳清单））；</w:t>
      </w:r>
    </w:p>
    <w:p w14:paraId="28FC43A6">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（5）参加政府采购活动前三年内，在经营活动中没有重大违法记录（提供承诺书）；</w:t>
      </w:r>
    </w:p>
    <w:p w14:paraId="16D6F97F">
      <w:pPr>
        <w:spacing w:line="360" w:lineRule="auto"/>
        <w:ind w:firstLine="480" w:firstLineChars="20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（6）法律、行政法规规定的其他条件：无。</w:t>
      </w:r>
    </w:p>
    <w:p w14:paraId="0A22262A">
      <w:pPr>
        <w:pStyle w:val="16"/>
        <w:numPr>
          <w:ilvl w:val="0"/>
          <w:numId w:val="68"/>
        </w:numPr>
        <w:ind w:firstLineChars="0"/>
        <w:rPr>
          <w:b/>
          <w:color w:val="auto"/>
          <w:highlight w:val="none"/>
        </w:rPr>
      </w:pPr>
      <w:r>
        <w:rPr>
          <w:b/>
          <w:color w:val="auto"/>
          <w:highlight w:val="none"/>
        </w:rPr>
        <w:t>本项目的特定资格要求：</w:t>
      </w:r>
    </w:p>
    <w:p w14:paraId="1C7EE8E0">
      <w:pPr>
        <w:pStyle w:val="16"/>
        <w:ind w:firstLine="480"/>
        <w:rPr>
          <w:rFonts w:hint="eastAsia"/>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）供应商具备</w:t>
      </w:r>
      <w:r>
        <w:rPr>
          <w:rFonts w:hint="eastAsia"/>
          <w:color w:val="auto"/>
          <w:highlight w:val="none"/>
          <w:lang w:val="en-US" w:eastAsia="zh-CN"/>
        </w:rPr>
        <w:t>施工总承包三级及以上</w:t>
      </w:r>
      <w:r>
        <w:rPr>
          <w:rFonts w:hint="eastAsia"/>
          <w:color w:val="auto"/>
          <w:highlight w:val="none"/>
        </w:rPr>
        <w:t>资质且具备安全生产许可证；（提供有效期内的证书复印件加盖供应商公章）</w:t>
      </w:r>
    </w:p>
    <w:p w14:paraId="615A0395">
      <w:pPr>
        <w:pStyle w:val="16"/>
        <w:ind w:firstLine="480"/>
        <w:rPr>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）拟派项目经理须具有机电工程专业注册建造师二级及以上，且具备有效的安全B证</w:t>
      </w:r>
      <w:r>
        <w:rPr>
          <w:rFonts w:hint="eastAsia"/>
          <w:color w:val="auto"/>
          <w:highlight w:val="none"/>
          <w:lang w:eastAsia="zh-CN"/>
        </w:rPr>
        <w:t>，</w:t>
      </w:r>
      <w:r>
        <w:rPr>
          <w:rFonts w:hint="eastAsia"/>
          <w:color w:val="auto"/>
          <w:highlight w:val="none"/>
        </w:rPr>
        <w:t>同时提供供应商为其缴纳的社保机构出具的近半年(2025年4月-2025年9月)连续6个月的养老保险缴费证明材料并加盖社保中心章或社保中心参保缴费证明电子专用章。（提供有效期内的证书复印件加盖公章）；</w:t>
      </w:r>
    </w:p>
    <w:p w14:paraId="4A1A88B2">
      <w:pPr>
        <w:pStyle w:val="16"/>
        <w:numPr>
          <w:ilvl w:val="0"/>
          <w:numId w:val="68"/>
        </w:numPr>
        <w:ind w:firstLineChars="0"/>
        <w:rPr>
          <w:b/>
          <w:color w:val="auto"/>
          <w:highlight w:val="none"/>
        </w:rPr>
      </w:pPr>
      <w:r>
        <w:rPr>
          <w:b/>
          <w:color w:val="auto"/>
          <w:highlight w:val="none"/>
        </w:rPr>
        <w:t>拒绝下述供应商参加本次响应：</w:t>
      </w:r>
    </w:p>
    <w:p w14:paraId="0E68C60C">
      <w:pPr>
        <w:pStyle w:val="16"/>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4B2043DC">
      <w:pPr>
        <w:pStyle w:val="16"/>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741DAC25">
      <w:pPr>
        <w:pStyle w:val="16"/>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678C9A5B">
      <w:pPr>
        <w:pStyle w:val="16"/>
        <w:ind w:left="0" w:leftChars="0" w:firstLine="0" w:firstLineChars="0"/>
        <w:rPr>
          <w:b/>
          <w:color w:val="auto"/>
          <w:highlight w:val="none"/>
        </w:rPr>
      </w:pPr>
      <w:r>
        <w:rPr>
          <w:b/>
          <w:color w:val="auto"/>
          <w:highlight w:val="none"/>
        </w:rPr>
        <w:br w:type="page"/>
      </w:r>
      <w:r>
        <w:rPr>
          <w:b/>
          <w:color w:val="auto"/>
          <w:highlight w:val="none"/>
        </w:rPr>
        <w:t>目录五、分项报价表格式</w:t>
      </w:r>
    </w:p>
    <w:p w14:paraId="665B05D9">
      <w:pPr>
        <w:pStyle w:val="263"/>
        <w:outlineLvl w:val="9"/>
        <w:rPr>
          <w:color w:val="auto"/>
          <w:highlight w:val="none"/>
        </w:rPr>
      </w:pPr>
      <w:r>
        <w:rPr>
          <w:color w:val="auto"/>
          <w:highlight w:val="none"/>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036E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3BE5CBEC">
            <w:pPr>
              <w:wordWrap w:val="0"/>
              <w:spacing w:line="273"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2059" w:type="pct"/>
            <w:tcMar>
              <w:top w:w="20" w:type="dxa"/>
              <w:left w:w="20" w:type="dxa"/>
              <w:bottom w:w="20" w:type="dxa"/>
              <w:right w:w="20" w:type="dxa"/>
            </w:tcMar>
            <w:vAlign w:val="center"/>
          </w:tcPr>
          <w:p w14:paraId="50B0B636">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服务内容</w:t>
            </w:r>
          </w:p>
        </w:tc>
        <w:tc>
          <w:tcPr>
            <w:tcW w:w="601" w:type="pct"/>
            <w:tcMar>
              <w:top w:w="20" w:type="dxa"/>
              <w:left w:w="20" w:type="dxa"/>
              <w:bottom w:w="20" w:type="dxa"/>
              <w:right w:w="20" w:type="dxa"/>
            </w:tcMar>
            <w:vAlign w:val="center"/>
          </w:tcPr>
          <w:p w14:paraId="365680A4">
            <w:pPr>
              <w:widowControl/>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报价单位</w:t>
            </w:r>
          </w:p>
        </w:tc>
        <w:tc>
          <w:tcPr>
            <w:tcW w:w="511" w:type="pct"/>
            <w:tcMar>
              <w:top w:w="20" w:type="dxa"/>
              <w:left w:w="20" w:type="dxa"/>
              <w:bottom w:w="20" w:type="dxa"/>
              <w:right w:w="20" w:type="dxa"/>
            </w:tcMar>
            <w:vAlign w:val="center"/>
          </w:tcPr>
          <w:p w14:paraId="34B0F82B">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数量</w:t>
            </w:r>
          </w:p>
        </w:tc>
        <w:tc>
          <w:tcPr>
            <w:tcW w:w="654" w:type="pct"/>
            <w:tcMar>
              <w:top w:w="20" w:type="dxa"/>
              <w:left w:w="20" w:type="dxa"/>
              <w:bottom w:w="20" w:type="dxa"/>
              <w:right w:w="20" w:type="dxa"/>
            </w:tcMar>
            <w:vAlign w:val="center"/>
          </w:tcPr>
          <w:p w14:paraId="1615C6E8">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单价</w:t>
            </w:r>
          </w:p>
        </w:tc>
        <w:tc>
          <w:tcPr>
            <w:tcW w:w="629" w:type="pct"/>
            <w:tcMar>
              <w:top w:w="20" w:type="dxa"/>
              <w:left w:w="20" w:type="dxa"/>
              <w:bottom w:w="20" w:type="dxa"/>
              <w:right w:w="20" w:type="dxa"/>
            </w:tcMar>
            <w:vAlign w:val="center"/>
          </w:tcPr>
          <w:p w14:paraId="13C5284B">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合计</w:t>
            </w:r>
          </w:p>
          <w:p w14:paraId="7A9EA94C">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（元）</w:t>
            </w:r>
          </w:p>
        </w:tc>
        <w:tc>
          <w:tcPr>
            <w:tcW w:w="334" w:type="pct"/>
            <w:tcMar>
              <w:top w:w="20" w:type="dxa"/>
              <w:left w:w="20" w:type="dxa"/>
              <w:bottom w:w="20" w:type="dxa"/>
              <w:right w:w="20" w:type="dxa"/>
            </w:tcMar>
            <w:vAlign w:val="center"/>
          </w:tcPr>
          <w:p w14:paraId="683E4C74">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备注</w:t>
            </w:r>
          </w:p>
        </w:tc>
      </w:tr>
      <w:tr w14:paraId="0016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0D3FB03A">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2059" w:type="pct"/>
            <w:tcMar>
              <w:top w:w="20" w:type="dxa"/>
              <w:left w:w="20" w:type="dxa"/>
              <w:bottom w:w="20" w:type="dxa"/>
              <w:right w:w="20" w:type="dxa"/>
            </w:tcMar>
            <w:vAlign w:val="center"/>
          </w:tcPr>
          <w:p w14:paraId="13CB262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3BFCC97C">
            <w:pPr>
              <w:widowControl/>
              <w:jc w:val="center"/>
              <w:rPr>
                <w:color w:val="auto"/>
                <w:highlight w:val="none"/>
              </w:rPr>
            </w:pPr>
          </w:p>
        </w:tc>
        <w:tc>
          <w:tcPr>
            <w:tcW w:w="511" w:type="pct"/>
            <w:tcMar>
              <w:top w:w="20" w:type="dxa"/>
              <w:left w:w="20" w:type="dxa"/>
              <w:bottom w:w="20" w:type="dxa"/>
              <w:right w:w="20" w:type="dxa"/>
            </w:tcMar>
            <w:vAlign w:val="center"/>
          </w:tcPr>
          <w:p w14:paraId="73BB6F31">
            <w:pPr>
              <w:widowControl/>
              <w:jc w:val="center"/>
              <w:rPr>
                <w:color w:val="auto"/>
                <w:highlight w:val="none"/>
              </w:rPr>
            </w:pPr>
          </w:p>
        </w:tc>
        <w:tc>
          <w:tcPr>
            <w:tcW w:w="654" w:type="pct"/>
            <w:tcMar>
              <w:top w:w="20" w:type="dxa"/>
              <w:left w:w="20" w:type="dxa"/>
              <w:bottom w:w="20" w:type="dxa"/>
              <w:right w:w="20" w:type="dxa"/>
            </w:tcMar>
            <w:vAlign w:val="center"/>
          </w:tcPr>
          <w:p w14:paraId="481F9784">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72739BCF">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764051C5">
            <w:pPr>
              <w:spacing w:line="234" w:lineRule="exact"/>
              <w:jc w:val="left"/>
              <w:rPr>
                <w:rFonts w:asciiTheme="minorEastAsia" w:hAnsiTheme="minorEastAsia" w:eastAsiaTheme="minorEastAsia" w:cstheme="minorEastAsia"/>
                <w:color w:val="auto"/>
                <w:szCs w:val="21"/>
                <w:highlight w:val="none"/>
              </w:rPr>
            </w:pPr>
          </w:p>
        </w:tc>
      </w:tr>
      <w:tr w14:paraId="67D7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9DD6123">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2059" w:type="pct"/>
            <w:tcMar>
              <w:top w:w="20" w:type="dxa"/>
              <w:left w:w="20" w:type="dxa"/>
              <w:bottom w:w="20" w:type="dxa"/>
              <w:right w:w="20" w:type="dxa"/>
            </w:tcMar>
            <w:vAlign w:val="center"/>
          </w:tcPr>
          <w:p w14:paraId="1A5D867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4FC93F1D">
            <w:pPr>
              <w:widowControl/>
              <w:jc w:val="center"/>
              <w:rPr>
                <w:color w:val="auto"/>
                <w:highlight w:val="none"/>
              </w:rPr>
            </w:pPr>
          </w:p>
        </w:tc>
        <w:tc>
          <w:tcPr>
            <w:tcW w:w="511" w:type="pct"/>
            <w:tcMar>
              <w:top w:w="20" w:type="dxa"/>
              <w:left w:w="20" w:type="dxa"/>
              <w:bottom w:w="20" w:type="dxa"/>
              <w:right w:w="20" w:type="dxa"/>
            </w:tcMar>
            <w:vAlign w:val="center"/>
          </w:tcPr>
          <w:p w14:paraId="3DEF36BC">
            <w:pPr>
              <w:widowControl/>
              <w:jc w:val="center"/>
              <w:rPr>
                <w:color w:val="auto"/>
                <w:highlight w:val="none"/>
              </w:rPr>
            </w:pPr>
          </w:p>
        </w:tc>
        <w:tc>
          <w:tcPr>
            <w:tcW w:w="654" w:type="pct"/>
            <w:tcMar>
              <w:top w:w="20" w:type="dxa"/>
              <w:left w:w="20" w:type="dxa"/>
              <w:bottom w:w="20" w:type="dxa"/>
              <w:right w:w="20" w:type="dxa"/>
            </w:tcMar>
            <w:vAlign w:val="center"/>
          </w:tcPr>
          <w:p w14:paraId="48473C6E">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5AE0F80B">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42EFA379">
            <w:pPr>
              <w:spacing w:line="234" w:lineRule="exact"/>
              <w:jc w:val="left"/>
              <w:rPr>
                <w:rFonts w:asciiTheme="minorEastAsia" w:hAnsiTheme="minorEastAsia" w:eastAsiaTheme="minorEastAsia" w:cstheme="minorEastAsia"/>
                <w:color w:val="auto"/>
                <w:szCs w:val="21"/>
                <w:highlight w:val="none"/>
              </w:rPr>
            </w:pPr>
          </w:p>
        </w:tc>
      </w:tr>
      <w:tr w14:paraId="0F77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11B29DE">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2059" w:type="pct"/>
            <w:tcMar>
              <w:top w:w="20" w:type="dxa"/>
              <w:left w:w="20" w:type="dxa"/>
              <w:bottom w:w="20" w:type="dxa"/>
              <w:right w:w="20" w:type="dxa"/>
            </w:tcMar>
            <w:vAlign w:val="center"/>
          </w:tcPr>
          <w:p w14:paraId="28D004F1">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1D54F2A3">
            <w:pPr>
              <w:widowControl/>
              <w:jc w:val="center"/>
              <w:rPr>
                <w:color w:val="auto"/>
                <w:highlight w:val="none"/>
              </w:rPr>
            </w:pPr>
          </w:p>
        </w:tc>
        <w:tc>
          <w:tcPr>
            <w:tcW w:w="511" w:type="pct"/>
            <w:tcMar>
              <w:top w:w="20" w:type="dxa"/>
              <w:left w:w="20" w:type="dxa"/>
              <w:bottom w:w="20" w:type="dxa"/>
              <w:right w:w="20" w:type="dxa"/>
            </w:tcMar>
            <w:vAlign w:val="center"/>
          </w:tcPr>
          <w:p w14:paraId="2B89BA8E">
            <w:pPr>
              <w:widowControl/>
              <w:jc w:val="center"/>
              <w:rPr>
                <w:color w:val="auto"/>
                <w:highlight w:val="none"/>
              </w:rPr>
            </w:pPr>
          </w:p>
        </w:tc>
        <w:tc>
          <w:tcPr>
            <w:tcW w:w="654" w:type="pct"/>
            <w:tcMar>
              <w:top w:w="20" w:type="dxa"/>
              <w:left w:w="20" w:type="dxa"/>
              <w:bottom w:w="20" w:type="dxa"/>
              <w:right w:w="20" w:type="dxa"/>
            </w:tcMar>
            <w:vAlign w:val="center"/>
          </w:tcPr>
          <w:p w14:paraId="327FF46E">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42DBA60B">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1CDC7CA">
            <w:pPr>
              <w:spacing w:line="234" w:lineRule="exact"/>
              <w:jc w:val="left"/>
              <w:rPr>
                <w:rFonts w:asciiTheme="minorEastAsia" w:hAnsiTheme="minorEastAsia" w:eastAsiaTheme="minorEastAsia" w:cstheme="minorEastAsia"/>
                <w:color w:val="auto"/>
                <w:szCs w:val="21"/>
                <w:highlight w:val="none"/>
              </w:rPr>
            </w:pPr>
          </w:p>
        </w:tc>
      </w:tr>
      <w:tr w14:paraId="2358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3DFDA6E">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2059" w:type="pct"/>
            <w:tcMar>
              <w:top w:w="20" w:type="dxa"/>
              <w:left w:w="20" w:type="dxa"/>
              <w:bottom w:w="20" w:type="dxa"/>
              <w:right w:w="20" w:type="dxa"/>
            </w:tcMar>
            <w:vAlign w:val="center"/>
          </w:tcPr>
          <w:p w14:paraId="50377E36">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02D0159E">
            <w:pPr>
              <w:widowControl/>
              <w:jc w:val="center"/>
              <w:rPr>
                <w:color w:val="auto"/>
                <w:highlight w:val="none"/>
              </w:rPr>
            </w:pPr>
          </w:p>
        </w:tc>
        <w:tc>
          <w:tcPr>
            <w:tcW w:w="511" w:type="pct"/>
            <w:tcMar>
              <w:top w:w="20" w:type="dxa"/>
              <w:left w:w="20" w:type="dxa"/>
              <w:bottom w:w="20" w:type="dxa"/>
              <w:right w:w="20" w:type="dxa"/>
            </w:tcMar>
            <w:vAlign w:val="center"/>
          </w:tcPr>
          <w:p w14:paraId="3CFF535A">
            <w:pPr>
              <w:widowControl/>
              <w:jc w:val="center"/>
              <w:rPr>
                <w:color w:val="auto"/>
                <w:highlight w:val="none"/>
              </w:rPr>
            </w:pPr>
          </w:p>
        </w:tc>
        <w:tc>
          <w:tcPr>
            <w:tcW w:w="654" w:type="pct"/>
            <w:tcMar>
              <w:top w:w="20" w:type="dxa"/>
              <w:left w:w="20" w:type="dxa"/>
              <w:bottom w:w="20" w:type="dxa"/>
              <w:right w:w="20" w:type="dxa"/>
            </w:tcMar>
            <w:vAlign w:val="center"/>
          </w:tcPr>
          <w:p w14:paraId="771B8D0A">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05B5F05E">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77DFA1E8">
            <w:pPr>
              <w:spacing w:line="234" w:lineRule="exact"/>
              <w:jc w:val="left"/>
              <w:rPr>
                <w:rFonts w:asciiTheme="minorEastAsia" w:hAnsiTheme="minorEastAsia" w:eastAsiaTheme="minorEastAsia" w:cstheme="minorEastAsia"/>
                <w:color w:val="auto"/>
                <w:szCs w:val="21"/>
                <w:highlight w:val="none"/>
              </w:rPr>
            </w:pPr>
          </w:p>
        </w:tc>
      </w:tr>
      <w:tr w14:paraId="2600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61B0ABC">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2059" w:type="pct"/>
            <w:tcMar>
              <w:top w:w="20" w:type="dxa"/>
              <w:left w:w="20" w:type="dxa"/>
              <w:bottom w:w="20" w:type="dxa"/>
              <w:right w:w="20" w:type="dxa"/>
            </w:tcMar>
            <w:vAlign w:val="center"/>
          </w:tcPr>
          <w:p w14:paraId="07F70B07">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20C2E7B7">
            <w:pPr>
              <w:widowControl/>
              <w:jc w:val="center"/>
              <w:rPr>
                <w:color w:val="auto"/>
                <w:highlight w:val="none"/>
              </w:rPr>
            </w:pPr>
          </w:p>
        </w:tc>
        <w:tc>
          <w:tcPr>
            <w:tcW w:w="511" w:type="pct"/>
            <w:tcMar>
              <w:top w:w="20" w:type="dxa"/>
              <w:left w:w="20" w:type="dxa"/>
              <w:bottom w:w="20" w:type="dxa"/>
              <w:right w:w="20" w:type="dxa"/>
            </w:tcMar>
            <w:vAlign w:val="center"/>
          </w:tcPr>
          <w:p w14:paraId="18E9622D">
            <w:pPr>
              <w:widowControl/>
              <w:jc w:val="center"/>
              <w:rPr>
                <w:color w:val="auto"/>
                <w:highlight w:val="none"/>
              </w:rPr>
            </w:pPr>
          </w:p>
        </w:tc>
        <w:tc>
          <w:tcPr>
            <w:tcW w:w="654" w:type="pct"/>
            <w:tcMar>
              <w:top w:w="20" w:type="dxa"/>
              <w:left w:w="20" w:type="dxa"/>
              <w:bottom w:w="20" w:type="dxa"/>
              <w:right w:w="20" w:type="dxa"/>
            </w:tcMar>
            <w:vAlign w:val="center"/>
          </w:tcPr>
          <w:p w14:paraId="39D95178">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318A99A2">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42711152">
            <w:pPr>
              <w:spacing w:line="234" w:lineRule="exact"/>
              <w:jc w:val="left"/>
              <w:rPr>
                <w:rFonts w:asciiTheme="minorEastAsia" w:hAnsiTheme="minorEastAsia" w:eastAsiaTheme="minorEastAsia" w:cstheme="minorEastAsia"/>
                <w:color w:val="auto"/>
                <w:szCs w:val="21"/>
                <w:highlight w:val="none"/>
              </w:rPr>
            </w:pPr>
          </w:p>
        </w:tc>
      </w:tr>
      <w:tr w14:paraId="6BCF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065A33A8">
            <w:pPr>
              <w:spacing w:line="234"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总计（元）</w:t>
            </w:r>
          </w:p>
        </w:tc>
        <w:tc>
          <w:tcPr>
            <w:tcW w:w="629" w:type="pct"/>
            <w:tcMar>
              <w:top w:w="20" w:type="dxa"/>
              <w:left w:w="20" w:type="dxa"/>
              <w:bottom w:w="20" w:type="dxa"/>
              <w:right w:w="20" w:type="dxa"/>
            </w:tcMar>
            <w:vAlign w:val="center"/>
          </w:tcPr>
          <w:p w14:paraId="07E03764">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02E6E48E">
            <w:pPr>
              <w:wordWrap w:val="0"/>
              <w:spacing w:line="234" w:lineRule="exact"/>
              <w:jc w:val="right"/>
              <w:rPr>
                <w:rFonts w:asciiTheme="minorEastAsia" w:hAnsiTheme="minorEastAsia" w:eastAsiaTheme="minorEastAsia" w:cstheme="minorEastAsia"/>
                <w:color w:val="auto"/>
                <w:szCs w:val="21"/>
                <w:highlight w:val="none"/>
              </w:rPr>
            </w:pPr>
          </w:p>
        </w:tc>
      </w:tr>
    </w:tbl>
    <w:p w14:paraId="5286339E">
      <w:pPr>
        <w:adjustRightInd w:val="0"/>
        <w:spacing w:line="360" w:lineRule="auto"/>
        <w:jc w:val="left"/>
        <w:rPr>
          <w:rFonts w:ascii="Times New Roman" w:hAnsi="Times New Roman"/>
          <w:color w:val="auto"/>
          <w:sz w:val="24"/>
          <w:szCs w:val="21"/>
          <w:highlight w:val="none"/>
          <w:lang w:val="zh-CN"/>
        </w:rPr>
      </w:pPr>
    </w:p>
    <w:p w14:paraId="3C29818D">
      <w:pPr>
        <w:adjustRightInd w:val="0"/>
        <w:spacing w:line="360" w:lineRule="auto"/>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注：1、行数不够可自行增加。</w:t>
      </w:r>
    </w:p>
    <w:p w14:paraId="74F0877F">
      <w:pPr>
        <w:adjustRightInd w:val="0"/>
        <w:spacing w:line="360" w:lineRule="auto"/>
        <w:jc w:val="left"/>
        <w:rPr>
          <w:rFonts w:ascii="Times New Roman" w:hAnsi="Times New Roman"/>
          <w:color w:val="auto"/>
          <w:sz w:val="24"/>
          <w:szCs w:val="21"/>
          <w:highlight w:val="none"/>
        </w:rPr>
      </w:pPr>
    </w:p>
    <w:p w14:paraId="41054AEF">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7303085">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519E89D">
      <w:pPr>
        <w:rPr>
          <w:rFonts w:ascii="宋体" w:hAnsi="宋体" w:cs="宋体"/>
          <w:b/>
          <w:color w:val="auto"/>
          <w:szCs w:val="21"/>
          <w:highlight w:val="none"/>
          <w:lang w:val="zh-CN"/>
        </w:rPr>
      </w:pPr>
    </w:p>
    <w:p w14:paraId="1086CA94">
      <w:pPr>
        <w:rPr>
          <w:rFonts w:ascii="宋体" w:hAnsi="宋体" w:cs="宋体"/>
          <w:b/>
          <w:color w:val="auto"/>
          <w:szCs w:val="21"/>
          <w:highlight w:val="none"/>
          <w:lang w:val="zh-CN"/>
        </w:rPr>
      </w:pPr>
    </w:p>
    <w:p w14:paraId="49A15457">
      <w:pPr>
        <w:pStyle w:val="16"/>
        <w:ind w:firstLine="482"/>
        <w:rPr>
          <w:b/>
          <w:color w:val="auto"/>
          <w:highlight w:val="none"/>
        </w:rPr>
      </w:pPr>
      <w:r>
        <w:rPr>
          <w:b/>
          <w:color w:val="auto"/>
          <w:highlight w:val="none"/>
        </w:rPr>
        <w:t>目录六、技术条款偏离表格式</w:t>
      </w:r>
    </w:p>
    <w:p w14:paraId="22BA024F">
      <w:pPr>
        <w:pStyle w:val="263"/>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8A15E0D">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E2745CA">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6B0D134E">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2B7367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FB325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43FB301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806D2C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DA0D771">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4FD035B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0F1773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EE5E28">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A88EF5F">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549DDF0">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52661">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EC40AD">
            <w:pPr>
              <w:adjustRightInd w:val="0"/>
              <w:jc w:val="center"/>
              <w:rPr>
                <w:rFonts w:ascii="宋体" w:hAnsi="宋体" w:cs="宋体"/>
                <w:color w:val="auto"/>
                <w:szCs w:val="21"/>
                <w:highlight w:val="none"/>
                <w:lang w:val="zh-CN"/>
              </w:rPr>
            </w:pPr>
          </w:p>
        </w:tc>
      </w:tr>
      <w:tr w14:paraId="64FB0A3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6F77433">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3F69F39">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E27B084">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337E6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F103A69">
            <w:pPr>
              <w:adjustRightInd w:val="0"/>
              <w:jc w:val="center"/>
              <w:rPr>
                <w:rFonts w:ascii="宋体" w:hAnsi="宋体" w:cs="宋体"/>
                <w:color w:val="auto"/>
                <w:szCs w:val="21"/>
                <w:highlight w:val="none"/>
                <w:lang w:val="zh-CN"/>
              </w:rPr>
            </w:pPr>
          </w:p>
        </w:tc>
      </w:tr>
      <w:tr w14:paraId="4C01B73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814FE6">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248B9F7">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DDEBD93">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39F5F1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D937916">
            <w:pPr>
              <w:adjustRightInd w:val="0"/>
              <w:jc w:val="center"/>
              <w:rPr>
                <w:rFonts w:ascii="宋体" w:hAnsi="宋体" w:cs="宋体"/>
                <w:color w:val="auto"/>
                <w:szCs w:val="21"/>
                <w:highlight w:val="none"/>
                <w:lang w:val="zh-CN"/>
              </w:rPr>
            </w:pPr>
          </w:p>
        </w:tc>
      </w:tr>
      <w:tr w14:paraId="0BEA8D3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4A45137">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A8C39C3">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28E543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C5D6D5B">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097327A">
            <w:pPr>
              <w:adjustRightInd w:val="0"/>
              <w:jc w:val="center"/>
              <w:rPr>
                <w:rFonts w:ascii="宋体" w:hAnsi="宋体" w:cs="宋体"/>
                <w:color w:val="auto"/>
                <w:szCs w:val="21"/>
                <w:highlight w:val="none"/>
                <w:lang w:val="zh-CN"/>
              </w:rPr>
            </w:pPr>
          </w:p>
        </w:tc>
      </w:tr>
      <w:tr w14:paraId="379F1F3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FFC87F">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407BAA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D53D72C">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533F71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7F89E33">
            <w:pPr>
              <w:adjustRightInd w:val="0"/>
              <w:jc w:val="center"/>
              <w:rPr>
                <w:rFonts w:ascii="宋体" w:hAnsi="宋体" w:cs="宋体"/>
                <w:color w:val="auto"/>
                <w:szCs w:val="21"/>
                <w:highlight w:val="none"/>
                <w:lang w:val="zh-CN"/>
              </w:rPr>
            </w:pPr>
          </w:p>
        </w:tc>
      </w:tr>
      <w:tr w14:paraId="19A55B6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64775C0">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BBC1C2C">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221EFF4">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AB505E7">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94F8949">
            <w:pPr>
              <w:adjustRightInd w:val="0"/>
              <w:jc w:val="center"/>
              <w:rPr>
                <w:rFonts w:ascii="宋体" w:hAnsi="宋体" w:cs="宋体"/>
                <w:color w:val="auto"/>
                <w:szCs w:val="21"/>
                <w:highlight w:val="none"/>
                <w:lang w:val="zh-CN"/>
              </w:rPr>
            </w:pPr>
          </w:p>
        </w:tc>
      </w:tr>
    </w:tbl>
    <w:p w14:paraId="2E2CCD82">
      <w:pPr>
        <w:adjustRightInd w:val="0"/>
        <w:spacing w:line="360" w:lineRule="auto"/>
        <w:jc w:val="left"/>
        <w:rPr>
          <w:rFonts w:ascii="宋体" w:hAnsi="宋体" w:cs="宋体"/>
          <w:color w:val="auto"/>
          <w:szCs w:val="21"/>
          <w:highlight w:val="none"/>
          <w:lang w:val="zh-CN"/>
        </w:rPr>
      </w:pPr>
    </w:p>
    <w:p w14:paraId="1C18E79C">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805B579">
      <w:pPr>
        <w:widowControl/>
        <w:spacing w:line="360" w:lineRule="auto"/>
        <w:jc w:val="left"/>
        <w:rPr>
          <w:rFonts w:ascii="宋体" w:hAnsi="宋体" w:cs="宋体"/>
          <w:color w:val="auto"/>
          <w:szCs w:val="21"/>
          <w:highlight w:val="none"/>
          <w:lang w:val="zh-CN"/>
        </w:rPr>
      </w:pPr>
    </w:p>
    <w:p w14:paraId="38C4BB49">
      <w:pPr>
        <w:pStyle w:val="16"/>
        <w:widowControl/>
        <w:ind w:firstLine="480"/>
        <w:rPr>
          <w:color w:val="auto"/>
          <w:highlight w:val="none"/>
        </w:rPr>
      </w:pPr>
      <w:r>
        <w:rPr>
          <w:color w:val="auto"/>
          <w:highlight w:val="none"/>
        </w:rPr>
        <w:t>说明：</w:t>
      </w:r>
    </w:p>
    <w:p w14:paraId="62EEC647">
      <w:pPr>
        <w:pStyle w:val="16"/>
        <w:widowControl/>
        <w:numPr>
          <w:ilvl w:val="0"/>
          <w:numId w:val="69"/>
        </w:numPr>
        <w:ind w:firstLineChars="0"/>
        <w:rPr>
          <w:color w:val="auto"/>
          <w:highlight w:val="none"/>
        </w:rPr>
      </w:pPr>
      <w:r>
        <w:rPr>
          <w:color w:val="auto"/>
          <w:highlight w:val="none"/>
        </w:rPr>
        <w:t>如果行数不够，请自行增加；</w:t>
      </w:r>
    </w:p>
    <w:p w14:paraId="3D5026A0">
      <w:pPr>
        <w:pStyle w:val="16"/>
        <w:widowControl/>
        <w:numPr>
          <w:ilvl w:val="0"/>
          <w:numId w:val="69"/>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0A729171">
      <w:pPr>
        <w:pStyle w:val="16"/>
        <w:widowControl/>
        <w:numPr>
          <w:ilvl w:val="0"/>
          <w:numId w:val="69"/>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3DF812BA">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F1BF3C1">
      <w:pPr>
        <w:pStyle w:val="16"/>
        <w:ind w:firstLine="482"/>
        <w:rPr>
          <w:b/>
          <w:color w:val="auto"/>
          <w:highlight w:val="none"/>
        </w:rPr>
      </w:pPr>
      <w:r>
        <w:rPr>
          <w:b/>
          <w:color w:val="auto"/>
          <w:highlight w:val="none"/>
        </w:rPr>
        <w:t>目录七、商务条款偏离表格式</w:t>
      </w:r>
    </w:p>
    <w:p w14:paraId="25F12850">
      <w:pPr>
        <w:pStyle w:val="263"/>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431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34BF4F83">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0D98634F">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5CB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30E8E6">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517CCB7D">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4C2D81B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5D140EF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w:t>
            </w:r>
          </w:p>
        </w:tc>
        <w:tc>
          <w:tcPr>
            <w:tcW w:w="709" w:type="pct"/>
            <w:vAlign w:val="center"/>
          </w:tcPr>
          <w:p w14:paraId="3C7BD04D">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2F25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F1B820A">
            <w:pPr>
              <w:adjustRightInd w:val="0"/>
              <w:jc w:val="center"/>
              <w:rPr>
                <w:rFonts w:ascii="宋体" w:hAnsi="宋体" w:cs="宋体"/>
                <w:color w:val="auto"/>
                <w:szCs w:val="21"/>
                <w:highlight w:val="none"/>
                <w:lang w:val="zh-CN"/>
              </w:rPr>
            </w:pPr>
          </w:p>
        </w:tc>
        <w:tc>
          <w:tcPr>
            <w:tcW w:w="974" w:type="pct"/>
            <w:vAlign w:val="center"/>
          </w:tcPr>
          <w:p w14:paraId="5041E84A">
            <w:pPr>
              <w:adjustRightInd w:val="0"/>
              <w:jc w:val="center"/>
              <w:rPr>
                <w:rFonts w:ascii="宋体" w:hAnsi="宋体" w:cs="宋体"/>
                <w:color w:val="auto"/>
                <w:szCs w:val="21"/>
                <w:highlight w:val="none"/>
                <w:lang w:val="zh-CN"/>
              </w:rPr>
            </w:pPr>
          </w:p>
        </w:tc>
        <w:tc>
          <w:tcPr>
            <w:tcW w:w="1515" w:type="pct"/>
            <w:vAlign w:val="center"/>
          </w:tcPr>
          <w:p w14:paraId="58D19B15">
            <w:pPr>
              <w:adjustRightInd w:val="0"/>
              <w:jc w:val="center"/>
              <w:rPr>
                <w:rFonts w:ascii="宋体" w:hAnsi="宋体" w:cs="宋体"/>
                <w:color w:val="auto"/>
                <w:szCs w:val="21"/>
                <w:highlight w:val="none"/>
                <w:lang w:val="zh-CN"/>
              </w:rPr>
            </w:pPr>
          </w:p>
        </w:tc>
        <w:tc>
          <w:tcPr>
            <w:tcW w:w="1364" w:type="pct"/>
            <w:gridSpan w:val="2"/>
            <w:vAlign w:val="center"/>
          </w:tcPr>
          <w:p w14:paraId="6EFE5910">
            <w:pPr>
              <w:adjustRightInd w:val="0"/>
              <w:jc w:val="center"/>
              <w:rPr>
                <w:rFonts w:ascii="宋体" w:hAnsi="宋体" w:cs="宋体"/>
                <w:color w:val="auto"/>
                <w:szCs w:val="21"/>
                <w:highlight w:val="none"/>
                <w:lang w:val="zh-CN"/>
              </w:rPr>
            </w:pPr>
          </w:p>
        </w:tc>
        <w:tc>
          <w:tcPr>
            <w:tcW w:w="709" w:type="pct"/>
            <w:vAlign w:val="center"/>
          </w:tcPr>
          <w:p w14:paraId="6C863016">
            <w:pPr>
              <w:adjustRightInd w:val="0"/>
              <w:jc w:val="center"/>
              <w:rPr>
                <w:rFonts w:ascii="宋体" w:hAnsi="宋体" w:cs="宋体"/>
                <w:color w:val="auto"/>
                <w:szCs w:val="21"/>
                <w:highlight w:val="none"/>
                <w:lang w:val="zh-CN"/>
              </w:rPr>
            </w:pPr>
          </w:p>
        </w:tc>
      </w:tr>
      <w:tr w14:paraId="04CA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EFDFAD">
            <w:pPr>
              <w:adjustRightInd w:val="0"/>
              <w:jc w:val="center"/>
              <w:rPr>
                <w:rFonts w:ascii="宋体" w:hAnsi="宋体" w:cs="宋体"/>
                <w:color w:val="auto"/>
                <w:szCs w:val="21"/>
                <w:highlight w:val="none"/>
                <w:lang w:val="zh-CN"/>
              </w:rPr>
            </w:pPr>
          </w:p>
        </w:tc>
        <w:tc>
          <w:tcPr>
            <w:tcW w:w="974" w:type="pct"/>
            <w:vAlign w:val="center"/>
          </w:tcPr>
          <w:p w14:paraId="32FF9938">
            <w:pPr>
              <w:adjustRightInd w:val="0"/>
              <w:jc w:val="center"/>
              <w:rPr>
                <w:rFonts w:ascii="宋体" w:hAnsi="宋体" w:cs="宋体"/>
                <w:color w:val="auto"/>
                <w:szCs w:val="21"/>
                <w:highlight w:val="none"/>
                <w:lang w:val="zh-CN"/>
              </w:rPr>
            </w:pPr>
          </w:p>
        </w:tc>
        <w:tc>
          <w:tcPr>
            <w:tcW w:w="1515" w:type="pct"/>
            <w:vAlign w:val="center"/>
          </w:tcPr>
          <w:p w14:paraId="77A57C07">
            <w:pPr>
              <w:adjustRightInd w:val="0"/>
              <w:jc w:val="center"/>
              <w:rPr>
                <w:rFonts w:ascii="宋体" w:hAnsi="宋体" w:cs="宋体"/>
                <w:color w:val="auto"/>
                <w:szCs w:val="21"/>
                <w:highlight w:val="none"/>
                <w:lang w:val="zh-CN"/>
              </w:rPr>
            </w:pPr>
          </w:p>
        </w:tc>
        <w:tc>
          <w:tcPr>
            <w:tcW w:w="1364" w:type="pct"/>
            <w:gridSpan w:val="2"/>
            <w:vAlign w:val="center"/>
          </w:tcPr>
          <w:p w14:paraId="00999099">
            <w:pPr>
              <w:adjustRightInd w:val="0"/>
              <w:jc w:val="center"/>
              <w:rPr>
                <w:rFonts w:ascii="宋体" w:hAnsi="宋体" w:cs="宋体"/>
                <w:color w:val="auto"/>
                <w:szCs w:val="21"/>
                <w:highlight w:val="none"/>
                <w:lang w:val="zh-CN"/>
              </w:rPr>
            </w:pPr>
          </w:p>
        </w:tc>
        <w:tc>
          <w:tcPr>
            <w:tcW w:w="709" w:type="pct"/>
            <w:vAlign w:val="center"/>
          </w:tcPr>
          <w:p w14:paraId="2F38D3F0">
            <w:pPr>
              <w:adjustRightInd w:val="0"/>
              <w:jc w:val="center"/>
              <w:rPr>
                <w:rFonts w:ascii="宋体" w:hAnsi="宋体" w:cs="宋体"/>
                <w:color w:val="auto"/>
                <w:szCs w:val="21"/>
                <w:highlight w:val="none"/>
                <w:lang w:val="zh-CN"/>
              </w:rPr>
            </w:pPr>
          </w:p>
        </w:tc>
      </w:tr>
      <w:tr w14:paraId="10DC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7088423">
            <w:pPr>
              <w:adjustRightInd w:val="0"/>
              <w:jc w:val="center"/>
              <w:rPr>
                <w:rFonts w:ascii="宋体" w:hAnsi="宋体" w:cs="宋体"/>
                <w:color w:val="auto"/>
                <w:szCs w:val="21"/>
                <w:highlight w:val="none"/>
                <w:lang w:val="zh-CN"/>
              </w:rPr>
            </w:pPr>
          </w:p>
        </w:tc>
        <w:tc>
          <w:tcPr>
            <w:tcW w:w="974" w:type="pct"/>
            <w:vAlign w:val="center"/>
          </w:tcPr>
          <w:p w14:paraId="03DBF60A">
            <w:pPr>
              <w:adjustRightInd w:val="0"/>
              <w:jc w:val="center"/>
              <w:rPr>
                <w:rFonts w:ascii="宋体" w:hAnsi="宋体" w:cs="宋体"/>
                <w:color w:val="auto"/>
                <w:szCs w:val="21"/>
                <w:highlight w:val="none"/>
                <w:lang w:val="zh-CN"/>
              </w:rPr>
            </w:pPr>
          </w:p>
        </w:tc>
        <w:tc>
          <w:tcPr>
            <w:tcW w:w="1515" w:type="pct"/>
            <w:vAlign w:val="center"/>
          </w:tcPr>
          <w:p w14:paraId="09119556">
            <w:pPr>
              <w:adjustRightInd w:val="0"/>
              <w:jc w:val="center"/>
              <w:rPr>
                <w:rFonts w:ascii="宋体" w:hAnsi="宋体" w:cs="宋体"/>
                <w:color w:val="auto"/>
                <w:szCs w:val="21"/>
                <w:highlight w:val="none"/>
                <w:lang w:val="zh-CN"/>
              </w:rPr>
            </w:pPr>
          </w:p>
        </w:tc>
        <w:tc>
          <w:tcPr>
            <w:tcW w:w="1364" w:type="pct"/>
            <w:gridSpan w:val="2"/>
            <w:vAlign w:val="center"/>
          </w:tcPr>
          <w:p w14:paraId="47081D9E">
            <w:pPr>
              <w:adjustRightInd w:val="0"/>
              <w:jc w:val="center"/>
              <w:rPr>
                <w:rFonts w:ascii="宋体" w:hAnsi="宋体" w:cs="宋体"/>
                <w:color w:val="auto"/>
                <w:szCs w:val="21"/>
                <w:highlight w:val="none"/>
                <w:lang w:val="zh-CN"/>
              </w:rPr>
            </w:pPr>
          </w:p>
        </w:tc>
        <w:tc>
          <w:tcPr>
            <w:tcW w:w="709" w:type="pct"/>
            <w:vAlign w:val="center"/>
          </w:tcPr>
          <w:p w14:paraId="113674C9">
            <w:pPr>
              <w:adjustRightInd w:val="0"/>
              <w:jc w:val="center"/>
              <w:rPr>
                <w:rFonts w:ascii="宋体" w:hAnsi="宋体" w:cs="宋体"/>
                <w:color w:val="auto"/>
                <w:szCs w:val="21"/>
                <w:highlight w:val="none"/>
                <w:lang w:val="zh-CN"/>
              </w:rPr>
            </w:pPr>
          </w:p>
        </w:tc>
      </w:tr>
      <w:tr w14:paraId="63DA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33EB93">
            <w:pPr>
              <w:adjustRightInd w:val="0"/>
              <w:jc w:val="center"/>
              <w:rPr>
                <w:rFonts w:ascii="宋体" w:hAnsi="宋体" w:cs="宋体"/>
                <w:color w:val="auto"/>
                <w:szCs w:val="21"/>
                <w:highlight w:val="none"/>
                <w:lang w:val="zh-CN"/>
              </w:rPr>
            </w:pPr>
          </w:p>
        </w:tc>
        <w:tc>
          <w:tcPr>
            <w:tcW w:w="974" w:type="pct"/>
            <w:vAlign w:val="center"/>
          </w:tcPr>
          <w:p w14:paraId="611DB01D">
            <w:pPr>
              <w:adjustRightInd w:val="0"/>
              <w:jc w:val="center"/>
              <w:rPr>
                <w:rFonts w:ascii="宋体" w:hAnsi="宋体" w:cs="宋体"/>
                <w:color w:val="auto"/>
                <w:szCs w:val="21"/>
                <w:highlight w:val="none"/>
                <w:lang w:val="zh-CN"/>
              </w:rPr>
            </w:pPr>
          </w:p>
        </w:tc>
        <w:tc>
          <w:tcPr>
            <w:tcW w:w="1515" w:type="pct"/>
            <w:vAlign w:val="center"/>
          </w:tcPr>
          <w:p w14:paraId="59BA4437">
            <w:pPr>
              <w:adjustRightInd w:val="0"/>
              <w:jc w:val="center"/>
              <w:rPr>
                <w:rFonts w:ascii="宋体" w:hAnsi="宋体" w:cs="宋体"/>
                <w:color w:val="auto"/>
                <w:szCs w:val="21"/>
                <w:highlight w:val="none"/>
                <w:lang w:val="zh-CN"/>
              </w:rPr>
            </w:pPr>
          </w:p>
        </w:tc>
        <w:tc>
          <w:tcPr>
            <w:tcW w:w="1364" w:type="pct"/>
            <w:gridSpan w:val="2"/>
            <w:vAlign w:val="center"/>
          </w:tcPr>
          <w:p w14:paraId="0A072374">
            <w:pPr>
              <w:adjustRightInd w:val="0"/>
              <w:jc w:val="center"/>
              <w:rPr>
                <w:rFonts w:ascii="宋体" w:hAnsi="宋体" w:cs="宋体"/>
                <w:color w:val="auto"/>
                <w:szCs w:val="21"/>
                <w:highlight w:val="none"/>
                <w:lang w:val="zh-CN"/>
              </w:rPr>
            </w:pPr>
          </w:p>
        </w:tc>
        <w:tc>
          <w:tcPr>
            <w:tcW w:w="709" w:type="pct"/>
            <w:vAlign w:val="center"/>
          </w:tcPr>
          <w:p w14:paraId="60985917">
            <w:pPr>
              <w:adjustRightInd w:val="0"/>
              <w:jc w:val="center"/>
              <w:rPr>
                <w:rFonts w:ascii="宋体" w:hAnsi="宋体" w:cs="宋体"/>
                <w:color w:val="auto"/>
                <w:szCs w:val="21"/>
                <w:highlight w:val="none"/>
                <w:lang w:val="zh-CN"/>
              </w:rPr>
            </w:pPr>
          </w:p>
        </w:tc>
      </w:tr>
      <w:tr w14:paraId="1A1E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3F64A6">
            <w:pPr>
              <w:adjustRightInd w:val="0"/>
              <w:jc w:val="center"/>
              <w:rPr>
                <w:rFonts w:ascii="宋体" w:hAnsi="宋体" w:cs="宋体"/>
                <w:color w:val="auto"/>
                <w:szCs w:val="21"/>
                <w:highlight w:val="none"/>
                <w:lang w:val="zh-CN"/>
              </w:rPr>
            </w:pPr>
          </w:p>
        </w:tc>
        <w:tc>
          <w:tcPr>
            <w:tcW w:w="974" w:type="pct"/>
            <w:vAlign w:val="center"/>
          </w:tcPr>
          <w:p w14:paraId="68A9F7E0">
            <w:pPr>
              <w:adjustRightInd w:val="0"/>
              <w:jc w:val="center"/>
              <w:rPr>
                <w:rFonts w:ascii="宋体" w:hAnsi="宋体" w:cs="宋体"/>
                <w:color w:val="auto"/>
                <w:szCs w:val="21"/>
                <w:highlight w:val="none"/>
                <w:lang w:val="zh-CN"/>
              </w:rPr>
            </w:pPr>
          </w:p>
        </w:tc>
        <w:tc>
          <w:tcPr>
            <w:tcW w:w="1515" w:type="pct"/>
            <w:vAlign w:val="center"/>
          </w:tcPr>
          <w:p w14:paraId="508D3C07">
            <w:pPr>
              <w:adjustRightInd w:val="0"/>
              <w:jc w:val="center"/>
              <w:rPr>
                <w:rFonts w:ascii="宋体" w:hAnsi="宋体" w:cs="宋体"/>
                <w:color w:val="auto"/>
                <w:szCs w:val="21"/>
                <w:highlight w:val="none"/>
                <w:lang w:val="zh-CN"/>
              </w:rPr>
            </w:pPr>
          </w:p>
        </w:tc>
        <w:tc>
          <w:tcPr>
            <w:tcW w:w="1364" w:type="pct"/>
            <w:gridSpan w:val="2"/>
            <w:vAlign w:val="center"/>
          </w:tcPr>
          <w:p w14:paraId="083926FD">
            <w:pPr>
              <w:adjustRightInd w:val="0"/>
              <w:jc w:val="center"/>
              <w:rPr>
                <w:rFonts w:ascii="宋体" w:hAnsi="宋体" w:cs="宋体"/>
                <w:color w:val="auto"/>
                <w:szCs w:val="21"/>
                <w:highlight w:val="none"/>
                <w:lang w:val="zh-CN"/>
              </w:rPr>
            </w:pPr>
          </w:p>
        </w:tc>
        <w:tc>
          <w:tcPr>
            <w:tcW w:w="709" w:type="pct"/>
            <w:vAlign w:val="center"/>
          </w:tcPr>
          <w:p w14:paraId="67A7A3E0">
            <w:pPr>
              <w:adjustRightInd w:val="0"/>
              <w:jc w:val="center"/>
              <w:rPr>
                <w:rFonts w:ascii="宋体" w:hAnsi="宋体" w:cs="宋体"/>
                <w:color w:val="auto"/>
                <w:szCs w:val="21"/>
                <w:highlight w:val="none"/>
                <w:lang w:val="zh-CN"/>
              </w:rPr>
            </w:pPr>
          </w:p>
        </w:tc>
      </w:tr>
      <w:tr w14:paraId="1894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190260D">
            <w:pPr>
              <w:adjustRightInd w:val="0"/>
              <w:jc w:val="center"/>
              <w:rPr>
                <w:rFonts w:ascii="宋体" w:hAnsi="宋体" w:cs="宋体"/>
                <w:color w:val="auto"/>
                <w:szCs w:val="21"/>
                <w:highlight w:val="none"/>
                <w:lang w:val="zh-CN"/>
              </w:rPr>
            </w:pPr>
          </w:p>
        </w:tc>
        <w:tc>
          <w:tcPr>
            <w:tcW w:w="974" w:type="pct"/>
            <w:vAlign w:val="center"/>
          </w:tcPr>
          <w:p w14:paraId="47317CDA">
            <w:pPr>
              <w:adjustRightInd w:val="0"/>
              <w:jc w:val="center"/>
              <w:rPr>
                <w:rFonts w:ascii="宋体" w:hAnsi="宋体" w:cs="宋体"/>
                <w:color w:val="auto"/>
                <w:szCs w:val="21"/>
                <w:highlight w:val="none"/>
                <w:lang w:val="zh-CN"/>
              </w:rPr>
            </w:pPr>
          </w:p>
        </w:tc>
        <w:tc>
          <w:tcPr>
            <w:tcW w:w="1515" w:type="pct"/>
            <w:vAlign w:val="center"/>
          </w:tcPr>
          <w:p w14:paraId="0557B53E">
            <w:pPr>
              <w:adjustRightInd w:val="0"/>
              <w:jc w:val="center"/>
              <w:rPr>
                <w:rFonts w:ascii="宋体" w:hAnsi="宋体" w:cs="宋体"/>
                <w:color w:val="auto"/>
                <w:szCs w:val="21"/>
                <w:highlight w:val="none"/>
                <w:lang w:val="zh-CN"/>
              </w:rPr>
            </w:pPr>
          </w:p>
        </w:tc>
        <w:tc>
          <w:tcPr>
            <w:tcW w:w="1364" w:type="pct"/>
            <w:gridSpan w:val="2"/>
            <w:vAlign w:val="center"/>
          </w:tcPr>
          <w:p w14:paraId="79C56262">
            <w:pPr>
              <w:adjustRightInd w:val="0"/>
              <w:jc w:val="center"/>
              <w:rPr>
                <w:rFonts w:ascii="宋体" w:hAnsi="宋体" w:cs="宋体"/>
                <w:color w:val="auto"/>
                <w:szCs w:val="21"/>
                <w:highlight w:val="none"/>
                <w:lang w:val="zh-CN"/>
              </w:rPr>
            </w:pPr>
          </w:p>
        </w:tc>
        <w:tc>
          <w:tcPr>
            <w:tcW w:w="709" w:type="pct"/>
            <w:vAlign w:val="center"/>
          </w:tcPr>
          <w:p w14:paraId="5E4381E8">
            <w:pPr>
              <w:adjustRightInd w:val="0"/>
              <w:jc w:val="center"/>
              <w:rPr>
                <w:rFonts w:ascii="宋体" w:hAnsi="宋体" w:cs="宋体"/>
                <w:color w:val="auto"/>
                <w:szCs w:val="21"/>
                <w:highlight w:val="none"/>
                <w:lang w:val="zh-CN"/>
              </w:rPr>
            </w:pPr>
          </w:p>
        </w:tc>
      </w:tr>
      <w:tr w14:paraId="0F6F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9D638F">
            <w:pPr>
              <w:jc w:val="center"/>
              <w:rPr>
                <w:rFonts w:ascii="宋体" w:hAnsi="宋体" w:cs="Arial"/>
                <w:color w:val="auto"/>
                <w:szCs w:val="21"/>
                <w:highlight w:val="none"/>
              </w:rPr>
            </w:pPr>
          </w:p>
        </w:tc>
        <w:tc>
          <w:tcPr>
            <w:tcW w:w="974" w:type="pct"/>
            <w:vAlign w:val="center"/>
          </w:tcPr>
          <w:p w14:paraId="751556E5">
            <w:pPr>
              <w:jc w:val="center"/>
              <w:rPr>
                <w:rFonts w:ascii="宋体" w:hAnsi="宋体" w:cs="Arial"/>
                <w:color w:val="auto"/>
                <w:szCs w:val="21"/>
                <w:highlight w:val="none"/>
              </w:rPr>
            </w:pPr>
          </w:p>
        </w:tc>
        <w:tc>
          <w:tcPr>
            <w:tcW w:w="1515" w:type="pct"/>
            <w:vAlign w:val="center"/>
          </w:tcPr>
          <w:p w14:paraId="78A0548B">
            <w:pPr>
              <w:jc w:val="center"/>
              <w:rPr>
                <w:rFonts w:ascii="宋体" w:hAnsi="宋体" w:cs="Arial"/>
                <w:color w:val="auto"/>
                <w:szCs w:val="21"/>
                <w:highlight w:val="none"/>
              </w:rPr>
            </w:pPr>
          </w:p>
        </w:tc>
        <w:tc>
          <w:tcPr>
            <w:tcW w:w="1364" w:type="pct"/>
            <w:gridSpan w:val="2"/>
            <w:vAlign w:val="center"/>
          </w:tcPr>
          <w:p w14:paraId="22F3283B">
            <w:pPr>
              <w:jc w:val="center"/>
              <w:rPr>
                <w:rFonts w:ascii="宋体" w:hAnsi="宋体" w:cs="Arial"/>
                <w:color w:val="auto"/>
                <w:szCs w:val="21"/>
                <w:highlight w:val="none"/>
              </w:rPr>
            </w:pPr>
          </w:p>
        </w:tc>
        <w:tc>
          <w:tcPr>
            <w:tcW w:w="709" w:type="pct"/>
            <w:vAlign w:val="center"/>
          </w:tcPr>
          <w:p w14:paraId="4FB457AC">
            <w:pPr>
              <w:jc w:val="center"/>
              <w:rPr>
                <w:rFonts w:ascii="宋体" w:hAnsi="宋体" w:cs="Arial"/>
                <w:color w:val="auto"/>
                <w:szCs w:val="21"/>
                <w:highlight w:val="none"/>
              </w:rPr>
            </w:pPr>
          </w:p>
        </w:tc>
      </w:tr>
    </w:tbl>
    <w:p w14:paraId="45F71D32">
      <w:pPr>
        <w:adjustRightInd w:val="0"/>
        <w:spacing w:line="360" w:lineRule="auto"/>
        <w:jc w:val="left"/>
        <w:rPr>
          <w:rFonts w:ascii="宋体" w:hAnsi="宋体" w:cs="宋体"/>
          <w:color w:val="auto"/>
          <w:szCs w:val="21"/>
          <w:highlight w:val="none"/>
          <w:lang w:val="zh-CN"/>
        </w:rPr>
      </w:pPr>
    </w:p>
    <w:p w14:paraId="514243C4">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6AAFCF27">
      <w:pPr>
        <w:widowControl/>
        <w:spacing w:line="360" w:lineRule="auto"/>
        <w:jc w:val="left"/>
        <w:rPr>
          <w:rFonts w:ascii="宋体" w:hAnsi="宋体" w:cs="宋体"/>
          <w:color w:val="auto"/>
          <w:szCs w:val="21"/>
          <w:highlight w:val="none"/>
          <w:lang w:val="zh-CN"/>
        </w:rPr>
      </w:pPr>
    </w:p>
    <w:p w14:paraId="4BF82908">
      <w:pPr>
        <w:pStyle w:val="16"/>
        <w:widowControl/>
        <w:ind w:firstLine="480"/>
        <w:rPr>
          <w:color w:val="auto"/>
          <w:highlight w:val="none"/>
        </w:rPr>
      </w:pPr>
      <w:r>
        <w:rPr>
          <w:color w:val="auto"/>
          <w:highlight w:val="none"/>
        </w:rPr>
        <w:t>说明：</w:t>
      </w:r>
    </w:p>
    <w:p w14:paraId="05095386">
      <w:pPr>
        <w:pStyle w:val="16"/>
        <w:widowControl/>
        <w:numPr>
          <w:ilvl w:val="0"/>
          <w:numId w:val="70"/>
        </w:numPr>
        <w:ind w:firstLineChars="0"/>
        <w:rPr>
          <w:color w:val="auto"/>
          <w:highlight w:val="none"/>
        </w:rPr>
      </w:pPr>
      <w:r>
        <w:rPr>
          <w:color w:val="auto"/>
          <w:highlight w:val="none"/>
        </w:rPr>
        <w:t>如果行数不够，请自行增加；</w:t>
      </w:r>
    </w:p>
    <w:p w14:paraId="0A38C25C">
      <w:pPr>
        <w:pStyle w:val="16"/>
        <w:widowControl/>
        <w:numPr>
          <w:ilvl w:val="0"/>
          <w:numId w:val="70"/>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45AD5F9E">
      <w:pPr>
        <w:pStyle w:val="16"/>
        <w:widowControl/>
        <w:numPr>
          <w:ilvl w:val="0"/>
          <w:numId w:val="70"/>
        </w:numPr>
        <w:ind w:firstLineChars="0"/>
        <w:rPr>
          <w:color w:val="auto"/>
          <w:highlight w:val="none"/>
        </w:rPr>
      </w:pPr>
      <w:r>
        <w:rPr>
          <w:color w:val="auto"/>
          <w:highlight w:val="none"/>
        </w:rPr>
        <w:t>响应作为响应文件重要的组成部分，不应通过简单拷贝或简单标注</w:t>
      </w:r>
      <w:r>
        <w:rPr>
          <w:rFonts w:hint="eastAsia"/>
          <w:color w:val="auto"/>
          <w:highlight w:val="none"/>
        </w:rPr>
        <w:t>“</w:t>
      </w:r>
      <w:r>
        <w:rPr>
          <w:color w:val="auto"/>
          <w:highlight w:val="none"/>
        </w:rPr>
        <w:t>符合”“满足”。</w:t>
      </w:r>
    </w:p>
    <w:p w14:paraId="4FEA3AD2">
      <w:pPr>
        <w:rPr>
          <w:rFonts w:ascii="宋体" w:hAnsi="宋体"/>
          <w:b/>
          <w:color w:val="auto"/>
          <w:highlight w:val="none"/>
        </w:rPr>
      </w:pPr>
      <w:r>
        <w:rPr>
          <w:rFonts w:hint="eastAsia" w:ascii="宋体" w:hAnsi="宋体"/>
          <w:b/>
          <w:color w:val="auto"/>
          <w:highlight w:val="none"/>
        </w:rPr>
        <w:br w:type="page"/>
      </w:r>
    </w:p>
    <w:p w14:paraId="3A769F78">
      <w:pPr>
        <w:pStyle w:val="16"/>
        <w:ind w:firstLine="482"/>
        <w:rPr>
          <w:b/>
          <w:color w:val="auto"/>
          <w:highlight w:val="none"/>
        </w:rPr>
      </w:pPr>
      <w:r>
        <w:rPr>
          <w:b/>
          <w:color w:val="auto"/>
          <w:highlight w:val="none"/>
        </w:rPr>
        <w:t>目录八、服务方案或承诺</w:t>
      </w:r>
    </w:p>
    <w:p w14:paraId="55D8EFD1">
      <w:pPr>
        <w:spacing w:line="240" w:lineRule="atLeast"/>
        <w:rPr>
          <w:rFonts w:ascii="宋体" w:hAnsi="宋体"/>
          <w:b/>
          <w:color w:val="auto"/>
          <w:highlight w:val="none"/>
        </w:rPr>
      </w:pPr>
    </w:p>
    <w:p w14:paraId="14319656">
      <w:pPr>
        <w:pStyle w:val="41"/>
        <w:rPr>
          <w:color w:val="auto"/>
          <w:highlight w:val="none"/>
        </w:rPr>
      </w:pPr>
      <w:r>
        <w:rPr>
          <w:color w:val="auto"/>
          <w:highlight w:val="none"/>
        </w:rPr>
        <w:t>服务方案或承诺</w:t>
      </w:r>
    </w:p>
    <w:p w14:paraId="6A3B7D8E">
      <w:pPr>
        <w:spacing w:line="240" w:lineRule="atLeast"/>
        <w:rPr>
          <w:rFonts w:ascii="宋体" w:hAnsi="宋体" w:cs="宋体"/>
          <w:color w:val="auto"/>
          <w:sz w:val="36"/>
          <w:szCs w:val="36"/>
          <w:highlight w:val="none"/>
          <w:lang w:val="zh-CN"/>
        </w:rPr>
      </w:pPr>
    </w:p>
    <w:p w14:paraId="6822057F">
      <w:pPr>
        <w:spacing w:line="240" w:lineRule="atLeast"/>
        <w:rPr>
          <w:rFonts w:ascii="宋体" w:hAnsi="宋体" w:cs="宋体"/>
          <w:color w:val="auto"/>
          <w:sz w:val="36"/>
          <w:szCs w:val="36"/>
          <w:highlight w:val="none"/>
        </w:rPr>
      </w:pPr>
    </w:p>
    <w:p w14:paraId="6A532CE7">
      <w:pPr>
        <w:spacing w:line="240" w:lineRule="atLeast"/>
        <w:rPr>
          <w:rFonts w:ascii="宋体" w:hAnsi="宋体" w:cs="宋体"/>
          <w:color w:val="auto"/>
          <w:sz w:val="36"/>
          <w:szCs w:val="36"/>
          <w:highlight w:val="none"/>
        </w:rPr>
      </w:pPr>
    </w:p>
    <w:p w14:paraId="62519D01">
      <w:pPr>
        <w:pStyle w:val="43"/>
        <w:ind w:firstLine="720"/>
        <w:rPr>
          <w:rFonts w:cs="宋体"/>
          <w:color w:val="auto"/>
          <w:sz w:val="36"/>
          <w:szCs w:val="36"/>
          <w:highlight w:val="none"/>
        </w:rPr>
      </w:pPr>
    </w:p>
    <w:p w14:paraId="7B910DE1">
      <w:pPr>
        <w:rPr>
          <w:color w:val="auto"/>
          <w:highlight w:val="none"/>
        </w:rPr>
      </w:pPr>
    </w:p>
    <w:p w14:paraId="489FEA28">
      <w:pPr>
        <w:spacing w:line="240" w:lineRule="atLeast"/>
        <w:rPr>
          <w:rFonts w:ascii="宋体" w:hAnsi="宋体" w:cs="宋体"/>
          <w:color w:val="auto"/>
          <w:sz w:val="36"/>
          <w:szCs w:val="36"/>
          <w:highlight w:val="none"/>
        </w:rPr>
      </w:pPr>
    </w:p>
    <w:p w14:paraId="6E34ACA8">
      <w:pPr>
        <w:pStyle w:val="16"/>
        <w:widowControl/>
        <w:ind w:firstLine="482"/>
        <w:rPr>
          <w:b/>
          <w:color w:val="auto"/>
          <w:highlight w:val="none"/>
        </w:rPr>
      </w:pPr>
      <w:r>
        <w:rPr>
          <w:b/>
          <w:color w:val="auto"/>
          <w:highlight w:val="none"/>
        </w:rPr>
        <w:t>目录九、拟投入本项目人员一览表</w:t>
      </w:r>
    </w:p>
    <w:p w14:paraId="3631FBA0">
      <w:pPr>
        <w:widowControl/>
        <w:adjustRightInd w:val="0"/>
        <w:spacing w:line="440" w:lineRule="exact"/>
        <w:rPr>
          <w:rFonts w:ascii="宋体" w:hAnsi="宋体"/>
          <w:b/>
          <w:bCs/>
          <w:color w:val="auto"/>
          <w:sz w:val="24"/>
          <w:highlight w:val="none"/>
        </w:rPr>
      </w:pPr>
    </w:p>
    <w:p w14:paraId="5B66483F">
      <w:pPr>
        <w:pStyle w:val="263"/>
        <w:widowControl/>
        <w:outlineLvl w:val="9"/>
        <w:rPr>
          <w:rFonts w:hint="eastAsia" w:eastAsia="宋体"/>
          <w:color w:val="auto"/>
          <w:highlight w:val="none"/>
          <w:lang w:eastAsia="zh-CN"/>
        </w:rPr>
      </w:pPr>
      <w:bookmarkStart w:id="21" w:name="_Toc14092"/>
      <w:bookmarkStart w:id="22" w:name="_Toc32681"/>
      <w:r>
        <w:rPr>
          <w:color w:val="auto"/>
          <w:highlight w:val="none"/>
        </w:rPr>
        <w:t>拟投入本项目人员一览表</w:t>
      </w:r>
      <w:bookmarkEnd w:id="21"/>
      <w:bookmarkEnd w:id="22"/>
      <w:r>
        <w:rPr>
          <w:rFonts w:hint="eastAsia"/>
          <w:color w:val="auto"/>
          <w:highlight w:val="none"/>
          <w:lang w:eastAsia="zh-CN"/>
        </w:rPr>
        <w:t>（参考格式）</w:t>
      </w:r>
    </w:p>
    <w:p w14:paraId="499C2208">
      <w:pPr>
        <w:widowControl/>
        <w:adjustRightInd w:val="0"/>
        <w:spacing w:line="440" w:lineRule="exact"/>
        <w:jc w:val="center"/>
        <w:rPr>
          <w:rFonts w:ascii="宋体" w:hAnsi="宋体"/>
          <w:b/>
          <w:bCs/>
          <w:color w:val="auto"/>
          <w:szCs w:val="21"/>
          <w:highlight w:val="none"/>
        </w:rPr>
      </w:pPr>
    </w:p>
    <w:p w14:paraId="380B5894">
      <w:pPr>
        <w:widowControl/>
        <w:adjustRightInd w:val="0"/>
        <w:spacing w:line="440" w:lineRule="exact"/>
        <w:rPr>
          <w:rFonts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14FA1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17182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118EDA8A">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4B8066E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3E58066A">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582127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079B4C5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50B55AB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546EA4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9BF42CE">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9F0FE9D">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5F5177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0EA40F9">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E15F98">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2042B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9D44A0A">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AF41E15">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6B720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377FBB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872F140">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BCB4A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5A84D81">
            <w:pPr>
              <w:widowControl/>
              <w:adjustRightInd w:val="0"/>
              <w:rPr>
                <w:rFonts w:ascii="宋体" w:hAnsi="宋体" w:cs="宋体"/>
                <w:color w:val="auto"/>
                <w:szCs w:val="21"/>
                <w:highlight w:val="none"/>
              </w:rPr>
            </w:pPr>
          </w:p>
        </w:tc>
      </w:tr>
      <w:tr w14:paraId="2736478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B57CA0A">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D50EB5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72140F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B92DCF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CFC84FC">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41D2C12">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2BD961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2E13C21">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DEC45E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E5530D">
            <w:pPr>
              <w:widowControl/>
              <w:adjustRightInd w:val="0"/>
              <w:rPr>
                <w:rFonts w:ascii="宋体" w:hAnsi="宋体" w:cs="宋体"/>
                <w:color w:val="auto"/>
                <w:szCs w:val="21"/>
                <w:highlight w:val="none"/>
              </w:rPr>
            </w:pPr>
          </w:p>
        </w:tc>
      </w:tr>
      <w:tr w14:paraId="090DF67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C8B305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3E67B73">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676D4F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8F0B74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D9A7C32">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BAD670">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C905326">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0F4B7A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CA1196D">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DE8218F">
            <w:pPr>
              <w:widowControl/>
              <w:adjustRightInd w:val="0"/>
              <w:rPr>
                <w:rFonts w:ascii="宋体" w:hAnsi="宋体" w:cs="宋体"/>
                <w:color w:val="auto"/>
                <w:szCs w:val="21"/>
                <w:highlight w:val="none"/>
              </w:rPr>
            </w:pPr>
          </w:p>
        </w:tc>
      </w:tr>
      <w:tr w14:paraId="7DE4668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63CA8C8">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11C2D2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8B71AC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33BE72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B40BC4A">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8A6AAC2">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F256FA4">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F65A0F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1130D0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1C3F052">
            <w:pPr>
              <w:widowControl/>
              <w:adjustRightInd w:val="0"/>
              <w:rPr>
                <w:rFonts w:ascii="宋体" w:hAnsi="宋体" w:cs="宋体"/>
                <w:color w:val="auto"/>
                <w:szCs w:val="21"/>
                <w:highlight w:val="none"/>
              </w:rPr>
            </w:pPr>
          </w:p>
        </w:tc>
      </w:tr>
      <w:tr w14:paraId="56BE9E4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FBF4DB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86D5038">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74B12F1">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1601E52">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2DD621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62B76A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EAE9258">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4A09FA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636AC1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62843AE">
            <w:pPr>
              <w:widowControl/>
              <w:adjustRightInd w:val="0"/>
              <w:rPr>
                <w:rFonts w:ascii="宋体" w:hAnsi="宋体" w:cs="宋体"/>
                <w:color w:val="auto"/>
                <w:szCs w:val="21"/>
                <w:highlight w:val="none"/>
              </w:rPr>
            </w:pPr>
          </w:p>
        </w:tc>
      </w:tr>
      <w:tr w14:paraId="2A84C46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381143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464D84">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1A2EB3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BA784D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7B72DA">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CF74616">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82FD8C4">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8983533">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2D8DE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E042217">
            <w:pPr>
              <w:widowControl/>
              <w:adjustRightInd w:val="0"/>
              <w:rPr>
                <w:rFonts w:ascii="宋体" w:hAnsi="宋体" w:cs="宋体"/>
                <w:color w:val="auto"/>
                <w:szCs w:val="21"/>
                <w:highlight w:val="none"/>
              </w:rPr>
            </w:pPr>
          </w:p>
        </w:tc>
      </w:tr>
      <w:tr w14:paraId="0291657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FF3D3B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B231A6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EAAAF85">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0155B1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12C1310">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BA4904F">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E111537">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7A080AE">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DA9247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5A548CB">
            <w:pPr>
              <w:widowControl/>
              <w:adjustRightInd w:val="0"/>
              <w:rPr>
                <w:rFonts w:ascii="宋体" w:hAnsi="宋体" w:cs="宋体"/>
                <w:color w:val="auto"/>
                <w:szCs w:val="21"/>
                <w:highlight w:val="none"/>
              </w:rPr>
            </w:pPr>
          </w:p>
        </w:tc>
      </w:tr>
      <w:tr w14:paraId="293EA41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9BE318F">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BFE7FF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AD57512">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696AD4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229CD24">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18B73AC">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D80D452">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0769903">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CAF01C">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D833257">
            <w:pPr>
              <w:widowControl/>
              <w:adjustRightInd w:val="0"/>
              <w:rPr>
                <w:rFonts w:ascii="宋体" w:hAnsi="宋体" w:cs="宋体"/>
                <w:color w:val="auto"/>
                <w:szCs w:val="21"/>
                <w:highlight w:val="none"/>
              </w:rPr>
            </w:pPr>
          </w:p>
        </w:tc>
      </w:tr>
    </w:tbl>
    <w:p w14:paraId="474A4094">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2BFCA964">
      <w:pPr>
        <w:pStyle w:val="22"/>
        <w:rPr>
          <w:color w:val="auto"/>
          <w:szCs w:val="21"/>
          <w:highlight w:val="none"/>
        </w:rPr>
      </w:pPr>
    </w:p>
    <w:p w14:paraId="7A4A7A3F">
      <w:pPr>
        <w:pStyle w:val="16"/>
        <w:widowControl/>
        <w:ind w:firstLine="482"/>
        <w:rPr>
          <w:b/>
          <w:color w:val="auto"/>
          <w:highlight w:val="none"/>
        </w:rPr>
      </w:pPr>
      <w:r>
        <w:rPr>
          <w:b/>
          <w:color w:val="auto"/>
          <w:highlight w:val="none"/>
        </w:rPr>
        <w:t>说明：如果行数不够，请自行增加。</w:t>
      </w:r>
    </w:p>
    <w:p w14:paraId="770A8354">
      <w:pPr>
        <w:spacing w:line="240" w:lineRule="atLeast"/>
        <w:rPr>
          <w:rFonts w:ascii="宋体" w:hAnsi="宋体"/>
          <w:b/>
          <w:color w:val="auto"/>
          <w:highlight w:val="none"/>
        </w:rPr>
      </w:pPr>
    </w:p>
    <w:p w14:paraId="48DEDB9B">
      <w:pPr>
        <w:rPr>
          <w:rFonts w:ascii="宋体" w:hAnsi="宋体"/>
          <w:b/>
          <w:color w:val="auto"/>
          <w:highlight w:val="none"/>
        </w:rPr>
      </w:pPr>
      <w:r>
        <w:rPr>
          <w:rFonts w:hint="eastAsia" w:ascii="宋体" w:hAnsi="宋体"/>
          <w:b/>
          <w:color w:val="auto"/>
          <w:highlight w:val="none"/>
        </w:rPr>
        <w:br w:type="page"/>
      </w:r>
    </w:p>
    <w:p w14:paraId="2BB3A35F">
      <w:pPr>
        <w:pStyle w:val="261"/>
        <w:rPr>
          <w:color w:val="auto"/>
          <w:highlight w:val="none"/>
        </w:rPr>
      </w:pPr>
      <w:r>
        <w:rPr>
          <w:color w:val="auto"/>
          <w:highlight w:val="none"/>
        </w:rPr>
        <w:t>目录十、响应需要的其他证明文件及材料</w:t>
      </w:r>
    </w:p>
    <w:p w14:paraId="21C2FEDB">
      <w:pPr>
        <w:spacing w:line="240" w:lineRule="atLeast"/>
        <w:rPr>
          <w:rFonts w:ascii="宋体" w:hAnsi="宋体"/>
          <w:b/>
          <w:color w:val="auto"/>
          <w:highlight w:val="none"/>
        </w:rPr>
      </w:pPr>
    </w:p>
    <w:p w14:paraId="430B1D98">
      <w:pPr>
        <w:spacing w:line="240" w:lineRule="atLeast"/>
        <w:rPr>
          <w:rFonts w:ascii="宋体" w:hAnsi="宋体"/>
          <w:b/>
          <w:color w:val="auto"/>
          <w:highlight w:val="none"/>
        </w:rPr>
      </w:pPr>
    </w:p>
    <w:p w14:paraId="20647C23">
      <w:pPr>
        <w:pStyle w:val="265"/>
        <w:rPr>
          <w:color w:val="auto"/>
          <w:highlight w:val="none"/>
        </w:rPr>
      </w:pPr>
      <w:r>
        <w:rPr>
          <w:color w:val="auto"/>
          <w:highlight w:val="none"/>
        </w:rPr>
        <w:t>响应需要的其他证明文件及材料（若有）</w:t>
      </w:r>
    </w:p>
    <w:p w14:paraId="772772AD">
      <w:pPr>
        <w:rPr>
          <w:rFonts w:ascii="宋体" w:cs="宋体"/>
          <w:b/>
          <w:color w:val="auto"/>
          <w:highlight w:val="none"/>
          <w:lang w:val="zh-CN"/>
        </w:rPr>
      </w:pPr>
      <w:r>
        <w:rPr>
          <w:rFonts w:hint="eastAsia" w:ascii="宋体" w:cs="宋体"/>
          <w:b/>
          <w:color w:val="auto"/>
          <w:highlight w:val="none"/>
          <w:lang w:val="zh-CN"/>
        </w:rPr>
        <w:br w:type="page"/>
      </w:r>
    </w:p>
    <w:p w14:paraId="54CF1D80">
      <w:pPr>
        <w:pStyle w:val="260"/>
        <w:rPr>
          <w:color w:val="auto"/>
          <w:highlight w:val="none"/>
        </w:rPr>
      </w:pPr>
      <w:r>
        <w:rPr>
          <w:rFonts w:hint="eastAsia"/>
          <w:color w:val="auto"/>
          <w:highlight w:val="none"/>
        </w:rPr>
        <w:t>附件一、承诺书</w:t>
      </w:r>
    </w:p>
    <w:p w14:paraId="374D35EB">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39C3FEC9">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我单位（供应商名称）承诺：</w:t>
      </w:r>
    </w:p>
    <w:p w14:paraId="317AEB7F">
      <w:pPr>
        <w:adjustRightInd w:val="0"/>
        <w:spacing w:line="360" w:lineRule="auto"/>
        <w:ind w:firstLine="480" w:firstLineChars="200"/>
        <w:rPr>
          <w:rFonts w:ascii="Times New Roman" w:hAnsi="Times New Roman"/>
          <w:color w:val="auto"/>
          <w:sz w:val="24"/>
          <w:highlight w:val="none"/>
        </w:rPr>
      </w:pPr>
    </w:p>
    <w:p w14:paraId="7725639A">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5C71CA9C">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p w14:paraId="3BB235A8">
      <w:pPr>
        <w:adjustRightInd w:val="0"/>
        <w:spacing w:line="360" w:lineRule="auto"/>
        <w:ind w:firstLine="6480" w:firstLineChars="2700"/>
        <w:rPr>
          <w:rFonts w:ascii="Times New Roman" w:hAnsi="Times New Roman"/>
          <w:color w:val="auto"/>
          <w:sz w:val="24"/>
          <w:highlight w:val="none"/>
        </w:rPr>
      </w:pPr>
    </w:p>
    <w:p w14:paraId="70BBDEF4">
      <w:pPr>
        <w:pStyle w:val="260"/>
        <w:rPr>
          <w:color w:val="auto"/>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3F73E">
    <w:pPr>
      <w:pStyle w:val="28"/>
    </w:pPr>
    <w:r>
      <w:pict>
        <v:shape id="文本框 1026" o:spid="_x0000_s4099"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path/>
          <v:fill on="f" focussize="0,0"/>
          <v:stroke on="f" joinstyle="miter"/>
          <v:imagedata o:title=""/>
          <o:lock v:ext="edit"/>
          <v:textbox inset="0mm,0mm,0mm,0mm">
            <w:txbxContent>
              <w:p w14:paraId="14768FF4">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60</w:t>
                </w:r>
                <w:r>
                  <w:rPr>
                    <w:rFonts w:hint="eastAsia" w:ascii="宋体" w:hAnsi="宋体" w:cs="宋体"/>
                  </w:rPr>
                  <w:fldChar w:fldCharType="end"/>
                </w:r>
                <w:r>
                  <w:rPr>
                    <w:rFonts w:hint="eastAsia" w:ascii="宋体" w:hAnsi="宋体" w:cs="宋体"/>
                  </w:rPr>
                  <w:t xml:space="preserve"> 页 共 </w:t>
                </w:r>
                <w:r>
                  <w:fldChar w:fldCharType="begin"/>
                </w:r>
                <w:r>
                  <w:instrText xml:space="preserve"> NUMPAGES  \* MERGEFORMAT </w:instrText>
                </w:r>
                <w:r>
                  <w:fldChar w:fldCharType="separate"/>
                </w:r>
                <w:r>
                  <w:rPr>
                    <w:rFonts w:ascii="宋体" w:hAnsi="宋体" w:cs="宋体"/>
                  </w:rPr>
                  <w:t>66</w:t>
                </w:r>
                <w:r>
                  <w:rPr>
                    <w:rFonts w:ascii="宋体" w:hAnsi="宋体" w:cs="宋体"/>
                  </w:rPr>
                  <w:fldChar w:fldCharType="end"/>
                </w:r>
                <w:r>
                  <w:rPr>
                    <w:rFonts w:hint="eastAsia" w:ascii="宋体" w:hAnsi="宋体" w:cs="宋体"/>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FFAE9">
    <w:pPr>
      <w:pStyle w:val="29"/>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8FFFC470"/>
    <w:multiLevelType w:val="singleLevel"/>
    <w:tmpl w:val="8FFFC470"/>
    <w:lvl w:ilvl="0" w:tentative="0">
      <w:start w:val="1"/>
      <w:numFmt w:val="decimal"/>
      <w:suff w:val="nothing"/>
      <w:lvlText w:val="%1、"/>
      <w:lvlJc w:val="left"/>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0A20CE3"/>
    <w:multiLevelType w:val="singleLevel"/>
    <w:tmpl w:val="E0A20CE3"/>
    <w:lvl w:ilvl="0" w:tentative="0">
      <w:start w:val="2"/>
      <w:numFmt w:val="chineseCounting"/>
      <w:suff w:val="nothing"/>
      <w:lvlText w:val="%1、"/>
      <w:lvlJc w:val="left"/>
      <w:rPr>
        <w:rFonts w:hint="eastAsia"/>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08"/>
    <w:multiLevelType w:val="singleLevel"/>
    <w:tmpl w:val="00000008"/>
    <w:lvl w:ilvl="0" w:tentative="0">
      <w:start w:val="1"/>
      <w:numFmt w:val="decimal"/>
      <w:suff w:val="nothing"/>
      <w:lvlText w:val="（%1）"/>
      <w:lvlJc w:val="left"/>
    </w:lvl>
  </w:abstractNum>
  <w:abstractNum w:abstractNumId="36">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1"/>
    <w:multiLevelType w:val="multilevel"/>
    <w:tmpl w:val="00000011"/>
    <w:lvl w:ilvl="0" w:tentative="0">
      <w:start w:val="1"/>
      <w:numFmt w:val="decimal"/>
      <w:lvlText w:val="%1、"/>
      <w:lvlJc w:val="left"/>
      <w:pPr>
        <w:tabs>
          <w:tab w:val="left" w:pos="1017"/>
        </w:tabs>
        <w:ind w:left="1017" w:hanging="450"/>
      </w:pPr>
      <w:rPr>
        <w:rFonts w:hint="eastAsia"/>
      </w:rPr>
    </w:lvl>
    <w:lvl w:ilvl="1" w:tentative="0">
      <w:start w:val="1"/>
      <w:numFmt w:val="lowerLetter"/>
      <w:lvlText w:val="%2)"/>
      <w:lvlJc w:val="left"/>
      <w:pPr>
        <w:ind w:left="840" w:hanging="420"/>
      </w:pPr>
    </w:lvl>
    <w:lvl w:ilvl="2" w:tentative="0">
      <w:start w:val="1"/>
      <w:numFmt w:val="japaneseCounting"/>
      <w:lvlText w:val="%3、"/>
      <w:lvlJc w:val="right"/>
      <w:pPr>
        <w:ind w:left="1260" w:hanging="420"/>
      </w:pPr>
      <w:rPr>
        <w:rFonts w:ascii="宋体" w:hAnsi="宋体" w:eastAsia="宋体" w:cs="Times New Roman"/>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000013"/>
    <w:multiLevelType w:val="multilevel"/>
    <w:tmpl w:val="0000001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00000014"/>
    <w:multiLevelType w:val="multilevel"/>
    <w:tmpl w:val="000000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5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5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5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3">
    <w:nsid w:val="318533B0"/>
    <w:multiLevelType w:val="singleLevel"/>
    <w:tmpl w:val="318533B0"/>
    <w:lvl w:ilvl="0" w:tentative="0">
      <w:start w:val="4"/>
      <w:numFmt w:val="chineseCounting"/>
      <w:suff w:val="space"/>
      <w:lvlText w:val="第%1章"/>
      <w:lvlJc w:val="left"/>
      <w:rPr>
        <w:rFonts w:hint="eastAsia"/>
      </w:rPr>
    </w:lvl>
  </w:abstractNum>
  <w:abstractNum w:abstractNumId="5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6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6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8">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9">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60"/>
  </w:num>
  <w:num w:numId="2">
    <w:abstractNumId w:val="13"/>
  </w:num>
  <w:num w:numId="3">
    <w:abstractNumId w:val="49"/>
  </w:num>
  <w:num w:numId="4">
    <w:abstractNumId w:val="68"/>
  </w:num>
  <w:num w:numId="5">
    <w:abstractNumId w:val="45"/>
  </w:num>
  <w:num w:numId="6">
    <w:abstractNumId w:val="20"/>
  </w:num>
  <w:num w:numId="7">
    <w:abstractNumId w:val="56"/>
  </w:num>
  <w:num w:numId="8">
    <w:abstractNumId w:val="52"/>
  </w:num>
  <w:num w:numId="9">
    <w:abstractNumId w:val="9"/>
  </w:num>
  <w:num w:numId="10">
    <w:abstractNumId w:val="16"/>
  </w:num>
  <w:num w:numId="11">
    <w:abstractNumId w:val="59"/>
  </w:num>
  <w:num w:numId="12">
    <w:abstractNumId w:val="69"/>
  </w:num>
  <w:num w:numId="13">
    <w:abstractNumId w:val="12"/>
  </w:num>
  <w:num w:numId="14">
    <w:abstractNumId w:val="66"/>
  </w:num>
  <w:num w:numId="15">
    <w:abstractNumId w:val="51"/>
  </w:num>
  <w:num w:numId="16">
    <w:abstractNumId w:val="65"/>
  </w:num>
  <w:num w:numId="17">
    <w:abstractNumId w:val="54"/>
  </w:num>
  <w:num w:numId="18">
    <w:abstractNumId w:val="44"/>
  </w:num>
  <w:num w:numId="19">
    <w:abstractNumId w:val="48"/>
  </w:num>
  <w:num w:numId="20">
    <w:abstractNumId w:val="14"/>
  </w:num>
  <w:num w:numId="21">
    <w:abstractNumId w:val="25"/>
  </w:num>
  <w:num w:numId="22">
    <w:abstractNumId w:val="31"/>
  </w:num>
  <w:num w:numId="23">
    <w:abstractNumId w:val="57"/>
  </w:num>
  <w:num w:numId="24">
    <w:abstractNumId w:val="27"/>
  </w:num>
  <w:num w:numId="25">
    <w:abstractNumId w:val="7"/>
  </w:num>
  <w:num w:numId="26">
    <w:abstractNumId w:val="58"/>
  </w:num>
  <w:num w:numId="27">
    <w:abstractNumId w:val="15"/>
  </w:num>
  <w:num w:numId="28">
    <w:abstractNumId w:val="3"/>
  </w:num>
  <w:num w:numId="29">
    <w:abstractNumId w:val="61"/>
  </w:num>
  <w:num w:numId="30">
    <w:abstractNumId w:val="55"/>
  </w:num>
  <w:num w:numId="31">
    <w:abstractNumId w:val="46"/>
  </w:num>
  <w:num w:numId="32">
    <w:abstractNumId w:val="8"/>
  </w:num>
  <w:num w:numId="33">
    <w:abstractNumId w:val="47"/>
  </w:num>
  <w:num w:numId="34">
    <w:abstractNumId w:val="63"/>
  </w:num>
  <w:num w:numId="35">
    <w:abstractNumId w:val="62"/>
  </w:num>
  <w:num w:numId="36">
    <w:abstractNumId w:val="4"/>
  </w:num>
  <w:num w:numId="37">
    <w:abstractNumId w:val="28"/>
  </w:num>
  <w:num w:numId="38">
    <w:abstractNumId w:val="64"/>
  </w:num>
  <w:num w:numId="39">
    <w:abstractNumId w:val="23"/>
  </w:num>
  <w:num w:numId="40">
    <w:abstractNumId w:val="10"/>
  </w:num>
  <w:num w:numId="41">
    <w:abstractNumId w:val="5"/>
  </w:num>
  <w:num w:numId="42">
    <w:abstractNumId w:val="11"/>
  </w:num>
  <w:num w:numId="43">
    <w:abstractNumId w:val="29"/>
  </w:num>
  <w:num w:numId="44">
    <w:abstractNumId w:val="17"/>
  </w:num>
  <w:num w:numId="45">
    <w:abstractNumId w:val="26"/>
  </w:num>
  <w:num w:numId="46">
    <w:abstractNumId w:val="18"/>
  </w:num>
  <w:num w:numId="47">
    <w:abstractNumId w:val="67"/>
  </w:num>
  <w:num w:numId="48">
    <w:abstractNumId w:val="19"/>
  </w:num>
  <w:num w:numId="49">
    <w:abstractNumId w:val="22"/>
  </w:num>
  <w:num w:numId="50">
    <w:abstractNumId w:val="1"/>
  </w:num>
  <w:num w:numId="51">
    <w:abstractNumId w:val="6"/>
  </w:num>
  <w:num w:numId="52">
    <w:abstractNumId w:val="2"/>
  </w:num>
  <w:num w:numId="53">
    <w:abstractNumId w:val="53"/>
  </w:num>
  <w:num w:numId="54">
    <w:abstractNumId w:val="40"/>
  </w:num>
  <w:num w:numId="55">
    <w:abstractNumId w:val="37"/>
  </w:num>
  <w:num w:numId="56">
    <w:abstractNumId w:val="38"/>
  </w:num>
  <w:num w:numId="57">
    <w:abstractNumId w:val="43"/>
  </w:num>
  <w:num w:numId="58">
    <w:abstractNumId w:val="42"/>
  </w:num>
  <w:num w:numId="59">
    <w:abstractNumId w:val="41"/>
  </w:num>
  <w:num w:numId="60">
    <w:abstractNumId w:val="34"/>
  </w:num>
  <w:num w:numId="61">
    <w:abstractNumId w:val="39"/>
  </w:num>
  <w:num w:numId="62">
    <w:abstractNumId w:val="32"/>
  </w:num>
  <w:num w:numId="63">
    <w:abstractNumId w:val="33"/>
  </w:num>
  <w:num w:numId="64">
    <w:abstractNumId w:val="36"/>
  </w:num>
  <w:num w:numId="65">
    <w:abstractNumId w:val="35"/>
  </w:num>
  <w:num w:numId="66">
    <w:abstractNumId w:val="24"/>
  </w:num>
  <w:num w:numId="67">
    <w:abstractNumId w:val="0"/>
  </w:num>
  <w:num w:numId="68">
    <w:abstractNumId w:val="50"/>
  </w:num>
  <w:num w:numId="69">
    <w:abstractNumId w:val="30"/>
  </w:num>
  <w:num w:numId="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hdrShapeDefaults>
    <o:shapelayout v:ext="edit">
      <o:idmap v:ext="edit" data="3,4"/>
    </o:shapelayout>
  </w:hdrShapeDefaults>
  <w:compat>
    <w:doNotLeaveBackslashAlone/>
    <w:ulTrailSpace/>
    <w:doNotExpandShiftReturn/>
    <w:doNotWrapTextWithPunct/>
    <w:doNotUseEastAsianBreakRules/>
    <w:useFELayout/>
    <w:compatSetting w:name="compatibilityMode" w:uri="http://schemas.microsoft.com/office/word" w:val="12"/>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21D3B"/>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08AD"/>
    <w:rsid w:val="00341584"/>
    <w:rsid w:val="00341E4E"/>
    <w:rsid w:val="00346C93"/>
    <w:rsid w:val="003567D1"/>
    <w:rsid w:val="00361D2E"/>
    <w:rsid w:val="0039013E"/>
    <w:rsid w:val="00395A8A"/>
    <w:rsid w:val="003A766D"/>
    <w:rsid w:val="003B7A90"/>
    <w:rsid w:val="003C28D7"/>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55C8F"/>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CFD"/>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3B0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115EA"/>
    <w:rsid w:val="00D210A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981637"/>
    <w:rsid w:val="05CB3586"/>
    <w:rsid w:val="060D10D2"/>
    <w:rsid w:val="066C72D7"/>
    <w:rsid w:val="07EF7321"/>
    <w:rsid w:val="08823813"/>
    <w:rsid w:val="08A40BE4"/>
    <w:rsid w:val="08B07D72"/>
    <w:rsid w:val="08BA7F54"/>
    <w:rsid w:val="08E45039"/>
    <w:rsid w:val="091A23B4"/>
    <w:rsid w:val="091D123B"/>
    <w:rsid w:val="096B4234"/>
    <w:rsid w:val="098053F7"/>
    <w:rsid w:val="09865C52"/>
    <w:rsid w:val="09F8516F"/>
    <w:rsid w:val="0A1318AA"/>
    <w:rsid w:val="0A1554BB"/>
    <w:rsid w:val="0A170B9C"/>
    <w:rsid w:val="0A1D4625"/>
    <w:rsid w:val="0B0D419A"/>
    <w:rsid w:val="0BAA1044"/>
    <w:rsid w:val="0C06116B"/>
    <w:rsid w:val="0C4B5C57"/>
    <w:rsid w:val="0C9534E4"/>
    <w:rsid w:val="0D4B59D5"/>
    <w:rsid w:val="0DC64FDA"/>
    <w:rsid w:val="0DD73C46"/>
    <w:rsid w:val="0E5626EA"/>
    <w:rsid w:val="0EFA6269"/>
    <w:rsid w:val="0FE50224"/>
    <w:rsid w:val="10591750"/>
    <w:rsid w:val="1101240C"/>
    <w:rsid w:val="119D6FA6"/>
    <w:rsid w:val="11ED31A7"/>
    <w:rsid w:val="11EF0D52"/>
    <w:rsid w:val="12332D92"/>
    <w:rsid w:val="123C49C0"/>
    <w:rsid w:val="124A36D5"/>
    <w:rsid w:val="12721277"/>
    <w:rsid w:val="12A83E03"/>
    <w:rsid w:val="12B979DD"/>
    <w:rsid w:val="130726B9"/>
    <w:rsid w:val="134358DA"/>
    <w:rsid w:val="1345230E"/>
    <w:rsid w:val="13B8520A"/>
    <w:rsid w:val="15B33C35"/>
    <w:rsid w:val="15F5735F"/>
    <w:rsid w:val="160A26DF"/>
    <w:rsid w:val="17163A31"/>
    <w:rsid w:val="1720639D"/>
    <w:rsid w:val="177B5642"/>
    <w:rsid w:val="17A83E52"/>
    <w:rsid w:val="18056F1E"/>
    <w:rsid w:val="18824714"/>
    <w:rsid w:val="18AE6841"/>
    <w:rsid w:val="18E611E1"/>
    <w:rsid w:val="19063631"/>
    <w:rsid w:val="1951749F"/>
    <w:rsid w:val="1959610D"/>
    <w:rsid w:val="19933EEE"/>
    <w:rsid w:val="19CB13F6"/>
    <w:rsid w:val="19E55985"/>
    <w:rsid w:val="19F85670"/>
    <w:rsid w:val="1A0836F9"/>
    <w:rsid w:val="1A355B24"/>
    <w:rsid w:val="1A4426FE"/>
    <w:rsid w:val="1A5852A5"/>
    <w:rsid w:val="1A6C60CD"/>
    <w:rsid w:val="1B1875CE"/>
    <w:rsid w:val="1B835B95"/>
    <w:rsid w:val="1BA842D2"/>
    <w:rsid w:val="1BCD48DA"/>
    <w:rsid w:val="1C8E057A"/>
    <w:rsid w:val="1CA11867"/>
    <w:rsid w:val="1CBA19FF"/>
    <w:rsid w:val="1D2422D8"/>
    <w:rsid w:val="1D7F5DED"/>
    <w:rsid w:val="1D88230D"/>
    <w:rsid w:val="1D9E57B3"/>
    <w:rsid w:val="1E036392"/>
    <w:rsid w:val="1EF63F47"/>
    <w:rsid w:val="1F951903"/>
    <w:rsid w:val="200636BC"/>
    <w:rsid w:val="207E43F5"/>
    <w:rsid w:val="209D7852"/>
    <w:rsid w:val="20C067BC"/>
    <w:rsid w:val="20F33BE5"/>
    <w:rsid w:val="21AF7EF2"/>
    <w:rsid w:val="21C30CB0"/>
    <w:rsid w:val="21D104C4"/>
    <w:rsid w:val="21E6112F"/>
    <w:rsid w:val="21F36849"/>
    <w:rsid w:val="22017635"/>
    <w:rsid w:val="222334A6"/>
    <w:rsid w:val="229D231D"/>
    <w:rsid w:val="23325476"/>
    <w:rsid w:val="235E3DED"/>
    <w:rsid w:val="241E2177"/>
    <w:rsid w:val="2445396E"/>
    <w:rsid w:val="247D6DFF"/>
    <w:rsid w:val="24DB34C6"/>
    <w:rsid w:val="2557368E"/>
    <w:rsid w:val="255B7C91"/>
    <w:rsid w:val="25643BBA"/>
    <w:rsid w:val="25FE6C33"/>
    <w:rsid w:val="26203303"/>
    <w:rsid w:val="26A20EBF"/>
    <w:rsid w:val="26B03760"/>
    <w:rsid w:val="27DE4458"/>
    <w:rsid w:val="27E9484A"/>
    <w:rsid w:val="283F5126"/>
    <w:rsid w:val="28920A3E"/>
    <w:rsid w:val="29135EE2"/>
    <w:rsid w:val="291B6C85"/>
    <w:rsid w:val="293B10D5"/>
    <w:rsid w:val="29945580"/>
    <w:rsid w:val="29FD7462"/>
    <w:rsid w:val="2A337FFE"/>
    <w:rsid w:val="2B1E2A5D"/>
    <w:rsid w:val="2B2140BD"/>
    <w:rsid w:val="2B867186"/>
    <w:rsid w:val="2B9C1C62"/>
    <w:rsid w:val="2BDB3C20"/>
    <w:rsid w:val="2BFF27DA"/>
    <w:rsid w:val="2C4C35F9"/>
    <w:rsid w:val="2D900EBE"/>
    <w:rsid w:val="2DB27BB8"/>
    <w:rsid w:val="2DCA68F9"/>
    <w:rsid w:val="2DE31D62"/>
    <w:rsid w:val="2E165C6D"/>
    <w:rsid w:val="2EDD678B"/>
    <w:rsid w:val="2EE411BC"/>
    <w:rsid w:val="2EEC39D8"/>
    <w:rsid w:val="2EED10C4"/>
    <w:rsid w:val="2F057E2F"/>
    <w:rsid w:val="2F3321FA"/>
    <w:rsid w:val="2F544C9F"/>
    <w:rsid w:val="2F751905"/>
    <w:rsid w:val="2F8B2FC9"/>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BD137C"/>
    <w:rsid w:val="36F01751"/>
    <w:rsid w:val="37315AF4"/>
    <w:rsid w:val="373A0C1E"/>
    <w:rsid w:val="37620175"/>
    <w:rsid w:val="37C64260"/>
    <w:rsid w:val="37FA7A6D"/>
    <w:rsid w:val="38496D6C"/>
    <w:rsid w:val="388D1222"/>
    <w:rsid w:val="3892621E"/>
    <w:rsid w:val="38B663C8"/>
    <w:rsid w:val="38C904AC"/>
    <w:rsid w:val="38CA2129"/>
    <w:rsid w:val="38E05B90"/>
    <w:rsid w:val="3A2A6B90"/>
    <w:rsid w:val="3A744447"/>
    <w:rsid w:val="3AA30888"/>
    <w:rsid w:val="3ADD5E57"/>
    <w:rsid w:val="3AFB3576"/>
    <w:rsid w:val="3BBA2AA9"/>
    <w:rsid w:val="3BC44F5A"/>
    <w:rsid w:val="3BD74CEB"/>
    <w:rsid w:val="3BED091B"/>
    <w:rsid w:val="3C60699C"/>
    <w:rsid w:val="3C875932"/>
    <w:rsid w:val="3CF60458"/>
    <w:rsid w:val="3D042809"/>
    <w:rsid w:val="3E2409BB"/>
    <w:rsid w:val="3E8743FE"/>
    <w:rsid w:val="3F0C10F2"/>
    <w:rsid w:val="3F992808"/>
    <w:rsid w:val="3FB83028"/>
    <w:rsid w:val="3FBE048B"/>
    <w:rsid w:val="3FC54CB1"/>
    <w:rsid w:val="3FDB17C4"/>
    <w:rsid w:val="3FEB6F5A"/>
    <w:rsid w:val="4067627C"/>
    <w:rsid w:val="409265EE"/>
    <w:rsid w:val="40DB6278"/>
    <w:rsid w:val="415218E2"/>
    <w:rsid w:val="41C9151C"/>
    <w:rsid w:val="41F221ED"/>
    <w:rsid w:val="431C742A"/>
    <w:rsid w:val="444F53BD"/>
    <w:rsid w:val="44737C99"/>
    <w:rsid w:val="44ED5664"/>
    <w:rsid w:val="44F364BA"/>
    <w:rsid w:val="456A6701"/>
    <w:rsid w:val="45A1630C"/>
    <w:rsid w:val="45D756FD"/>
    <w:rsid w:val="45F24ED8"/>
    <w:rsid w:val="473A796F"/>
    <w:rsid w:val="47726C6E"/>
    <w:rsid w:val="47ED547B"/>
    <w:rsid w:val="483729CC"/>
    <w:rsid w:val="48616533"/>
    <w:rsid w:val="486C49B0"/>
    <w:rsid w:val="489610DE"/>
    <w:rsid w:val="48E73DE4"/>
    <w:rsid w:val="494476DB"/>
    <w:rsid w:val="496F29A9"/>
    <w:rsid w:val="49A454A8"/>
    <w:rsid w:val="49B22A94"/>
    <w:rsid w:val="49BB376E"/>
    <w:rsid w:val="49BC0661"/>
    <w:rsid w:val="49BF63F4"/>
    <w:rsid w:val="49C66341"/>
    <w:rsid w:val="4A8E3303"/>
    <w:rsid w:val="4AA743C5"/>
    <w:rsid w:val="4B1E03E7"/>
    <w:rsid w:val="4B30329B"/>
    <w:rsid w:val="4BA95F1B"/>
    <w:rsid w:val="4BB54ECC"/>
    <w:rsid w:val="4BD9754E"/>
    <w:rsid w:val="4BE920DE"/>
    <w:rsid w:val="4C054A64"/>
    <w:rsid w:val="4C4C4730"/>
    <w:rsid w:val="4C5B7027"/>
    <w:rsid w:val="4C6D6F48"/>
    <w:rsid w:val="4D371A30"/>
    <w:rsid w:val="4D717A9A"/>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7F6CE6"/>
    <w:rsid w:val="54803E83"/>
    <w:rsid w:val="54A67309"/>
    <w:rsid w:val="54F2599B"/>
    <w:rsid w:val="563228AA"/>
    <w:rsid w:val="563B3C13"/>
    <w:rsid w:val="56C43C09"/>
    <w:rsid w:val="56EA18C1"/>
    <w:rsid w:val="57106FCA"/>
    <w:rsid w:val="575E22AF"/>
    <w:rsid w:val="57A23F4A"/>
    <w:rsid w:val="57A46D66"/>
    <w:rsid w:val="57B42F13"/>
    <w:rsid w:val="58070251"/>
    <w:rsid w:val="584C2108"/>
    <w:rsid w:val="58827087"/>
    <w:rsid w:val="58F5454D"/>
    <w:rsid w:val="592D018B"/>
    <w:rsid w:val="594B0A11"/>
    <w:rsid w:val="5A253D2B"/>
    <w:rsid w:val="5A7B154E"/>
    <w:rsid w:val="5B7F1DF1"/>
    <w:rsid w:val="5BBB46B0"/>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2B3AE7"/>
    <w:rsid w:val="5F4C3A48"/>
    <w:rsid w:val="5F6C3BE2"/>
    <w:rsid w:val="605303A5"/>
    <w:rsid w:val="60687CFB"/>
    <w:rsid w:val="61614E76"/>
    <w:rsid w:val="62095B02"/>
    <w:rsid w:val="62451DF4"/>
    <w:rsid w:val="625D5667"/>
    <w:rsid w:val="62A019CE"/>
    <w:rsid w:val="62CD0900"/>
    <w:rsid w:val="63F024E1"/>
    <w:rsid w:val="64276A3B"/>
    <w:rsid w:val="6497136C"/>
    <w:rsid w:val="64C45DE1"/>
    <w:rsid w:val="64D03589"/>
    <w:rsid w:val="65420B1A"/>
    <w:rsid w:val="65817895"/>
    <w:rsid w:val="66DC7C70"/>
    <w:rsid w:val="671F556E"/>
    <w:rsid w:val="67E27EFB"/>
    <w:rsid w:val="67E934CF"/>
    <w:rsid w:val="686F7E78"/>
    <w:rsid w:val="69154ABB"/>
    <w:rsid w:val="6A040A94"/>
    <w:rsid w:val="6A31115D"/>
    <w:rsid w:val="6A927A03"/>
    <w:rsid w:val="6AF503DD"/>
    <w:rsid w:val="6B5131C2"/>
    <w:rsid w:val="6B603B25"/>
    <w:rsid w:val="6B7457A6"/>
    <w:rsid w:val="6BA54463"/>
    <w:rsid w:val="6C863145"/>
    <w:rsid w:val="6D0244F4"/>
    <w:rsid w:val="6D9A573D"/>
    <w:rsid w:val="6E2D0DB9"/>
    <w:rsid w:val="6F0A08FB"/>
    <w:rsid w:val="6F7A7103"/>
    <w:rsid w:val="6F826A2D"/>
    <w:rsid w:val="6FB70357"/>
    <w:rsid w:val="6FDC61FC"/>
    <w:rsid w:val="7009478C"/>
    <w:rsid w:val="70813A4D"/>
    <w:rsid w:val="70A703CB"/>
    <w:rsid w:val="70E33C39"/>
    <w:rsid w:val="718524BB"/>
    <w:rsid w:val="72624905"/>
    <w:rsid w:val="728C28C5"/>
    <w:rsid w:val="7371347D"/>
    <w:rsid w:val="74547A54"/>
    <w:rsid w:val="74591FEB"/>
    <w:rsid w:val="748B4BCA"/>
    <w:rsid w:val="74CF1C9F"/>
    <w:rsid w:val="74E00EDF"/>
    <w:rsid w:val="750951B1"/>
    <w:rsid w:val="757C1E26"/>
    <w:rsid w:val="75CF430F"/>
    <w:rsid w:val="75EF25F8"/>
    <w:rsid w:val="75F2239C"/>
    <w:rsid w:val="76373B19"/>
    <w:rsid w:val="76BD44A5"/>
    <w:rsid w:val="76E47139"/>
    <w:rsid w:val="77456248"/>
    <w:rsid w:val="77FA652A"/>
    <w:rsid w:val="78283BA0"/>
    <w:rsid w:val="785769BA"/>
    <w:rsid w:val="788E6CCB"/>
    <w:rsid w:val="79312F28"/>
    <w:rsid w:val="79BF22E2"/>
    <w:rsid w:val="7A094544"/>
    <w:rsid w:val="7A212511"/>
    <w:rsid w:val="7AF81F4F"/>
    <w:rsid w:val="7B0004F2"/>
    <w:rsid w:val="7B1C3E77"/>
    <w:rsid w:val="7B8C08E9"/>
    <w:rsid w:val="7D1961AD"/>
    <w:rsid w:val="7D3812BF"/>
    <w:rsid w:val="7D3927A9"/>
    <w:rsid w:val="7D553A71"/>
    <w:rsid w:val="7DA67B57"/>
    <w:rsid w:val="7E0D1B42"/>
    <w:rsid w:val="7EB51837"/>
    <w:rsid w:val="7EDE320A"/>
    <w:rsid w:val="7F13473F"/>
    <w:rsid w:val="7F264BB1"/>
    <w:rsid w:val="7F4C0ABC"/>
    <w:rsid w:val="7F535BDC"/>
    <w:rsid w:val="7FA507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4"/>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4">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5">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3"/>
    <w:unhideWhenUsed/>
    <w:qFormat/>
    <w:uiPriority w:val="99"/>
    <w:pPr>
      <w:jc w:val="left"/>
    </w:pPr>
  </w:style>
  <w:style w:type="paragraph" w:styleId="16">
    <w:name w:val="Body Text"/>
    <w:basedOn w:val="1"/>
    <w:next w:val="1"/>
    <w:link w:val="74"/>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8"/>
    <w:qFormat/>
    <w:uiPriority w:val="0"/>
    <w:pPr>
      <w:spacing w:line="480" w:lineRule="exact"/>
      <w:ind w:firstLine="480" w:firstLineChars="200"/>
    </w:pPr>
    <w:rPr>
      <w:rFonts w:ascii="宋体" w:hAnsi="宋体"/>
      <w:sz w:val="24"/>
    </w:rPr>
  </w:style>
  <w:style w:type="paragraph" w:styleId="18">
    <w:name w:val="envelope return"/>
    <w:basedOn w:val="1"/>
    <w:qFormat/>
    <w:uiPriority w:val="0"/>
    <w:pPr>
      <w:snapToGrid w:val="0"/>
    </w:pPr>
    <w:rPr>
      <w:rFonts w:ascii="Arial" w:hAnsi="Arial"/>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spacing w:after="57"/>
      <w:ind w:left="850"/>
    </w:pPr>
  </w:style>
  <w:style w:type="paragraph" w:styleId="32">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3">
    <w:name w:val="footnote text"/>
    <w:basedOn w:val="1"/>
    <w:link w:val="82"/>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qFormat/>
    <w:uiPriority w:val="39"/>
    <w:pPr>
      <w:ind w:left="420"/>
    </w:pPr>
  </w:style>
  <w:style w:type="paragraph" w:styleId="37">
    <w:name w:val="toc 9"/>
    <w:basedOn w:val="1"/>
    <w:next w:val="1"/>
    <w:unhideWhenUsed/>
    <w:qFormat/>
    <w:uiPriority w:val="39"/>
    <w:pPr>
      <w:spacing w:after="57"/>
      <w:ind w:left="2268"/>
    </w:pPr>
  </w:style>
  <w:style w:type="paragraph" w:styleId="38">
    <w:name w:val="Message Header"/>
    <w:basedOn w:val="1"/>
    <w:next w:val="16"/>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szCs w:val="24"/>
    </w:rPr>
  </w:style>
  <w:style w:type="paragraph" w:styleId="39">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4"/>
    <w:qFormat/>
    <w:uiPriority w:val="0"/>
    <w:pPr>
      <w:spacing w:line="360" w:lineRule="auto"/>
      <w:jc w:val="center"/>
    </w:pPr>
    <w:rPr>
      <w:rFonts w:ascii="Times New Roman" w:hAnsi="Times New Roman" w:eastAsia="黑体"/>
      <w:sz w:val="44"/>
    </w:rPr>
  </w:style>
  <w:style w:type="paragraph" w:styleId="42">
    <w:name w:val="annotation subject"/>
    <w:basedOn w:val="15"/>
    <w:next w:val="15"/>
    <w:link w:val="85"/>
    <w:unhideWhenUsed/>
    <w:qFormat/>
    <w:uiPriority w:val="99"/>
    <w:rPr>
      <w:b/>
      <w:bCs/>
    </w:rPr>
  </w:style>
  <w:style w:type="paragraph" w:styleId="43">
    <w:name w:val="Body Text First Indent 2"/>
    <w:basedOn w:val="17"/>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styleId="59">
    <w:name w:val="List Paragraph"/>
    <w:basedOn w:val="1"/>
    <w:qFormat/>
    <w:uiPriority w:val="99"/>
    <w:pPr>
      <w:ind w:firstLine="420" w:firstLineChars="200"/>
    </w:pPr>
  </w:style>
  <w:style w:type="paragraph" w:customStyle="1" w:styleId="60">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1">
    <w:name w:val="一级条标题"/>
    <w:basedOn w:val="62"/>
    <w:next w:val="6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2">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3">
    <w:name w:val="段"/>
    <w:basedOn w:val="1"/>
    <w:next w:val="1"/>
    <w:qFormat/>
    <w:uiPriority w:val="0"/>
    <w:pPr>
      <w:widowControl/>
      <w:ind w:firstLine="200"/>
    </w:pPr>
    <w:rPr>
      <w:rFonts w:hint="eastAsia" w:ascii="宋体"/>
      <w:szCs w:val="20"/>
    </w:rPr>
  </w:style>
  <w:style w:type="character" w:customStyle="1" w:styleId="64">
    <w:name w:val="标题 1 Char"/>
    <w:link w:val="2"/>
    <w:qFormat/>
    <w:uiPriority w:val="99"/>
    <w:rPr>
      <w:rFonts w:ascii="宋体" w:hAnsi="宋体" w:eastAsia="宋体" w:cs="Times New Roman"/>
      <w:b/>
      <w:bCs/>
      <w:sz w:val="14"/>
      <w:szCs w:val="14"/>
    </w:rPr>
  </w:style>
  <w:style w:type="character" w:customStyle="1" w:styleId="65">
    <w:name w:val="标题 2 Char"/>
    <w:link w:val="3"/>
    <w:qFormat/>
    <w:uiPriority w:val="0"/>
    <w:rPr>
      <w:rFonts w:ascii="Arial" w:hAnsi="Arial" w:eastAsia="黑体" w:cs="Arial"/>
      <w:b/>
      <w:bCs/>
      <w:sz w:val="32"/>
      <w:szCs w:val="32"/>
    </w:rPr>
  </w:style>
  <w:style w:type="character" w:customStyle="1" w:styleId="66">
    <w:name w:val="标题 3 Char"/>
    <w:link w:val="4"/>
    <w:qFormat/>
    <w:uiPriority w:val="0"/>
    <w:rPr>
      <w:rFonts w:ascii="Times New Roman" w:hAnsi="Times New Roman" w:eastAsia="宋体" w:cs="Times New Roman"/>
      <w:b/>
      <w:bCs/>
      <w:sz w:val="32"/>
      <w:szCs w:val="32"/>
    </w:rPr>
  </w:style>
  <w:style w:type="character" w:customStyle="1" w:styleId="67">
    <w:name w:val="标题 4 Char"/>
    <w:link w:val="5"/>
    <w:qFormat/>
    <w:uiPriority w:val="9"/>
    <w:rPr>
      <w:rFonts w:ascii="Calibri Light" w:hAnsi="Calibri Light" w:eastAsia="黑体" w:cs="Times New Roman"/>
      <w:b/>
      <w:bCs/>
      <w:sz w:val="28"/>
      <w:szCs w:val="28"/>
    </w:rPr>
  </w:style>
  <w:style w:type="character" w:customStyle="1" w:styleId="68">
    <w:name w:val="标题 5 Char"/>
    <w:link w:val="6"/>
    <w:qFormat/>
    <w:uiPriority w:val="9"/>
    <w:rPr>
      <w:rFonts w:ascii="Arial" w:hAnsi="Arial" w:eastAsia="Arial" w:cs="Arial"/>
      <w:b/>
      <w:bCs/>
      <w:sz w:val="24"/>
      <w:szCs w:val="24"/>
    </w:rPr>
  </w:style>
  <w:style w:type="character" w:customStyle="1" w:styleId="69">
    <w:name w:val="标题 6 Char"/>
    <w:link w:val="7"/>
    <w:qFormat/>
    <w:uiPriority w:val="9"/>
    <w:rPr>
      <w:rFonts w:ascii="Arial" w:hAnsi="Arial" w:eastAsia="Arial" w:cs="Arial"/>
      <w:b/>
      <w:bCs/>
      <w:sz w:val="22"/>
      <w:szCs w:val="22"/>
    </w:rPr>
  </w:style>
  <w:style w:type="character" w:customStyle="1" w:styleId="70">
    <w:name w:val="标题 7 Char"/>
    <w:link w:val="8"/>
    <w:qFormat/>
    <w:uiPriority w:val="9"/>
    <w:rPr>
      <w:rFonts w:ascii="Arial" w:hAnsi="Arial" w:eastAsia="Arial" w:cs="Arial"/>
      <w:b/>
      <w:bCs/>
      <w:i/>
      <w:iCs/>
      <w:sz w:val="22"/>
      <w:szCs w:val="22"/>
    </w:rPr>
  </w:style>
  <w:style w:type="character" w:customStyle="1" w:styleId="71">
    <w:name w:val="标题 8 Char"/>
    <w:link w:val="9"/>
    <w:qFormat/>
    <w:uiPriority w:val="9"/>
    <w:rPr>
      <w:rFonts w:ascii="Arial" w:hAnsi="Arial" w:eastAsia="Arial" w:cs="Arial"/>
      <w:i/>
      <w:iCs/>
      <w:sz w:val="22"/>
      <w:szCs w:val="22"/>
    </w:rPr>
  </w:style>
  <w:style w:type="character" w:customStyle="1" w:styleId="72">
    <w:name w:val="标题 9 Char"/>
    <w:link w:val="10"/>
    <w:qFormat/>
    <w:uiPriority w:val="9"/>
    <w:rPr>
      <w:rFonts w:ascii="Arial" w:hAnsi="Arial" w:eastAsia="Arial" w:cs="Arial"/>
      <w:i/>
      <w:iCs/>
      <w:sz w:val="21"/>
      <w:szCs w:val="21"/>
    </w:rPr>
  </w:style>
  <w:style w:type="character" w:customStyle="1" w:styleId="73">
    <w:name w:val="批注文字 Char"/>
    <w:link w:val="15"/>
    <w:qFormat/>
    <w:uiPriority w:val="0"/>
    <w:rPr>
      <w:rFonts w:ascii="Calibri" w:hAnsi="Calibri" w:eastAsia="宋体" w:cs="Times New Roman"/>
      <w:sz w:val="21"/>
      <w:szCs w:val="22"/>
    </w:rPr>
  </w:style>
  <w:style w:type="character" w:customStyle="1" w:styleId="74">
    <w:name w:val="正文文本 Char"/>
    <w:link w:val="16"/>
    <w:qFormat/>
    <w:uiPriority w:val="99"/>
    <w:rPr>
      <w:rFonts w:ascii="Times New Roman" w:hAnsi="Times New Roman" w:eastAsia="宋体" w:cs="Times New Roman"/>
      <w:sz w:val="24"/>
      <w:szCs w:val="24"/>
    </w:rPr>
  </w:style>
  <w:style w:type="character" w:customStyle="1" w:styleId="75">
    <w:name w:val="纯文本 Char"/>
    <w:link w:val="22"/>
    <w:qFormat/>
    <w:uiPriority w:val="0"/>
    <w:rPr>
      <w:rFonts w:ascii="宋体" w:hAnsi="Courier New"/>
      <w:sz w:val="21"/>
      <w:szCs w:val="22"/>
    </w:rPr>
  </w:style>
  <w:style w:type="character" w:customStyle="1" w:styleId="76">
    <w:name w:val="日期 Char"/>
    <w:link w:val="24"/>
    <w:qFormat/>
    <w:uiPriority w:val="0"/>
    <w:rPr>
      <w:rFonts w:ascii="Times New Roman" w:hAnsi="Times New Roman" w:eastAsia="宋体" w:cs="Times New Roman"/>
      <w:sz w:val="21"/>
      <w:szCs w:val="24"/>
    </w:rPr>
  </w:style>
  <w:style w:type="character" w:customStyle="1" w:styleId="77">
    <w:name w:val="尾注文本 Char"/>
    <w:link w:val="26"/>
    <w:qFormat/>
    <w:uiPriority w:val="99"/>
    <w:rPr>
      <w:sz w:val="20"/>
    </w:rPr>
  </w:style>
  <w:style w:type="character" w:customStyle="1" w:styleId="78">
    <w:name w:val="批注框文本 Char"/>
    <w:link w:val="27"/>
    <w:semiHidden/>
    <w:qFormat/>
    <w:uiPriority w:val="99"/>
    <w:rPr>
      <w:sz w:val="18"/>
      <w:szCs w:val="18"/>
    </w:rPr>
  </w:style>
  <w:style w:type="character" w:customStyle="1" w:styleId="79">
    <w:name w:val="页脚 Char"/>
    <w:link w:val="28"/>
    <w:qFormat/>
    <w:uiPriority w:val="99"/>
    <w:rPr>
      <w:sz w:val="18"/>
      <w:szCs w:val="18"/>
    </w:rPr>
  </w:style>
  <w:style w:type="character" w:customStyle="1" w:styleId="80">
    <w:name w:val="页眉 Char"/>
    <w:link w:val="29"/>
    <w:qFormat/>
    <w:uiPriority w:val="99"/>
    <w:rPr>
      <w:sz w:val="18"/>
      <w:szCs w:val="18"/>
    </w:rPr>
  </w:style>
  <w:style w:type="character" w:customStyle="1" w:styleId="81">
    <w:name w:val="副标题 Char"/>
    <w:link w:val="32"/>
    <w:qFormat/>
    <w:uiPriority w:val="11"/>
    <w:rPr>
      <w:sz w:val="24"/>
      <w:szCs w:val="24"/>
    </w:rPr>
  </w:style>
  <w:style w:type="character" w:customStyle="1" w:styleId="82">
    <w:name w:val="脚注文本 Char"/>
    <w:link w:val="33"/>
    <w:qFormat/>
    <w:uiPriority w:val="99"/>
    <w:rPr>
      <w:sz w:val="18"/>
    </w:rPr>
  </w:style>
  <w:style w:type="character" w:customStyle="1" w:styleId="83">
    <w:name w:val="HTML 预设格式 Char"/>
    <w:link w:val="39"/>
    <w:qFormat/>
    <w:uiPriority w:val="99"/>
    <w:rPr>
      <w:rFonts w:ascii="Arial" w:hAnsi="Arial" w:eastAsia="宋体" w:cs="Times New Roman"/>
      <w:sz w:val="11"/>
      <w:szCs w:val="11"/>
    </w:rPr>
  </w:style>
  <w:style w:type="character" w:customStyle="1" w:styleId="84">
    <w:name w:val="标题 Char"/>
    <w:link w:val="41"/>
    <w:qFormat/>
    <w:uiPriority w:val="0"/>
    <w:rPr>
      <w:rFonts w:ascii="Cambria" w:hAnsi="Cambria" w:eastAsia="黑体" w:cs="Times New Roman"/>
      <w:b/>
      <w:bCs/>
      <w:sz w:val="52"/>
      <w:szCs w:val="32"/>
    </w:rPr>
  </w:style>
  <w:style w:type="character" w:customStyle="1" w:styleId="85">
    <w:name w:val="批注主题 Char"/>
    <w:link w:val="42"/>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7"/>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6">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4"/>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4"/>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top w:w="0" w:type="dxa"/>
        <w:left w:w="108" w:type="dxa"/>
        <w:bottom w:w="0" w:type="dxa"/>
        <w:right w:w="108" w:type="dxa"/>
      </w:tblCellMar>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top w:w="0" w:type="dxa"/>
        <w:left w:w="108" w:type="dxa"/>
        <w:bottom w:w="0" w:type="dxa"/>
        <w:right w:w="108" w:type="dxa"/>
      </w:tblCellMar>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top w:w="0" w:type="dxa"/>
        <w:left w:w="108" w:type="dxa"/>
        <w:bottom w:w="0" w:type="dxa"/>
        <w:right w:w="108" w:type="dxa"/>
      </w:tblCellMar>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top w:w="0" w:type="dxa"/>
        <w:left w:w="108" w:type="dxa"/>
        <w:bottom w:w="0" w:type="dxa"/>
        <w:right w:w="108" w:type="dxa"/>
      </w:tblCellMar>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top w:w="0" w:type="dxa"/>
        <w:left w:w="108" w:type="dxa"/>
        <w:bottom w:w="0" w:type="dxa"/>
        <w:right w:w="108" w:type="dxa"/>
      </w:tblCellMar>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top w:w="0" w:type="dxa"/>
        <w:left w:w="108" w:type="dxa"/>
        <w:bottom w:w="0" w:type="dxa"/>
        <w:right w:w="108" w:type="dxa"/>
      </w:tblCellMar>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4"/>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4"/>
    <w:qFormat/>
    <w:uiPriority w:val="99"/>
    <w:tblPr>
      <w:tblBorders>
        <w:bottom w:val="single" w:color="68A3D8" w:sz="4" w:space="0"/>
        <w:insideH w:val="single" w:color="68A3D8" w:sz="4" w:space="0"/>
        <w:insideV w:val="single" w:color="68A3D8" w:sz="4" w:space="0"/>
      </w:tblBorders>
      <w:tblCellMar>
        <w:top w:w="0" w:type="dxa"/>
        <w:left w:w="108" w:type="dxa"/>
        <w:bottom w:w="0" w:type="dxa"/>
        <w:right w:w="108" w:type="dxa"/>
      </w:tblCellMar>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4"/>
    <w:qFormat/>
    <w:uiPriority w:val="99"/>
    <w:tblPr>
      <w:tblBorders>
        <w:bottom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4"/>
    <w:qFormat/>
    <w:uiPriority w:val="99"/>
    <w:tblPr>
      <w:tblBorders>
        <w:bottom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4"/>
    <w:qFormat/>
    <w:uiPriority w:val="99"/>
    <w:tblPr>
      <w:tblBorders>
        <w:bottom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4"/>
    <w:qFormat/>
    <w:uiPriority w:val="99"/>
    <w:tblPr>
      <w:tblBorders>
        <w:bottom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4"/>
    <w:qFormat/>
    <w:uiPriority w:val="99"/>
    <w:tblPr>
      <w:tblBorders>
        <w:bottom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4"/>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4"/>
    <w:qFormat/>
    <w:uiPriority w:val="99"/>
    <w:tblPr>
      <w:tblBorders>
        <w:bottom w:val="single" w:color="68A3D8" w:sz="4" w:space="0"/>
        <w:insideH w:val="single" w:color="68A3D8" w:sz="4" w:space="0"/>
        <w:insideV w:val="single" w:color="68A3D8"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4"/>
    <w:qFormat/>
    <w:uiPriority w:val="99"/>
    <w:tblPr>
      <w:tblBorders>
        <w:bottom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4"/>
    <w:qFormat/>
    <w:uiPriority w:val="99"/>
    <w:tblPr>
      <w:tblBorders>
        <w:bottom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4"/>
    <w:qFormat/>
    <w:uiPriority w:val="99"/>
    <w:tblPr>
      <w:tblBorders>
        <w:bottom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4"/>
    <w:qFormat/>
    <w:uiPriority w:val="99"/>
    <w:tblPr>
      <w:tblBorders>
        <w:bottom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4"/>
    <w:qFormat/>
    <w:uiPriority w:val="99"/>
    <w:tblPr>
      <w:tblBorders>
        <w:bottom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top w:w="0" w:type="dxa"/>
        <w:left w:w="108" w:type="dxa"/>
        <w:bottom w:w="0" w:type="dxa"/>
        <w:right w:w="108" w:type="dxa"/>
      </w:tblCellMar>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CellMar>
        <w:top w:w="0" w:type="dxa"/>
        <w:left w:w="108" w:type="dxa"/>
        <w:bottom w:w="0" w:type="dxa"/>
        <w:right w:w="108" w:type="dxa"/>
      </w:tblCellMar>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CellMar>
        <w:top w:w="0" w:type="dxa"/>
        <w:left w:w="108" w:type="dxa"/>
        <w:bottom w:w="0" w:type="dxa"/>
        <w:right w:w="108" w:type="dxa"/>
      </w:tblCellMar>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CellMar>
        <w:top w:w="0" w:type="dxa"/>
        <w:left w:w="108" w:type="dxa"/>
        <w:bottom w:w="0" w:type="dxa"/>
        <w:right w:w="108" w:type="dxa"/>
      </w:tblCellMar>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4"/>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4"/>
    <w:qFormat/>
    <w:uiPriority w:val="99"/>
    <w:tblPr>
      <w:tblBorders>
        <w:top w:val="single" w:color="A2C6E7" w:sz="4" w:space="0"/>
        <w:bottom w:val="single" w:color="A2C6E7" w:sz="4" w:space="0"/>
        <w:insideH w:val="single" w:color="A2C6E7"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4"/>
    <w:qFormat/>
    <w:uiPriority w:val="99"/>
    <w:tblPr>
      <w:tblBorders>
        <w:top w:val="single" w:color="F4B58A" w:sz="4" w:space="0"/>
        <w:bottom w:val="single" w:color="F4B58A" w:sz="4" w:space="0"/>
        <w:insideH w:val="single" w:color="F4B58A"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4"/>
    <w:qFormat/>
    <w:uiPriority w:val="99"/>
    <w:tblPr>
      <w:tblBorders>
        <w:top w:val="single" w:color="CCCCCC" w:sz="4" w:space="0"/>
        <w:bottom w:val="single" w:color="CCCCCC" w:sz="4" w:space="0"/>
        <w:insideH w:val="single" w:color="CCCCCC"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4"/>
    <w:qFormat/>
    <w:uiPriority w:val="99"/>
    <w:tblPr>
      <w:tblBorders>
        <w:top w:val="single" w:color="FFDB6E" w:sz="4" w:space="0"/>
        <w:bottom w:val="single" w:color="FFDB6E" w:sz="4" w:space="0"/>
        <w:insideH w:val="single" w:color="FFDB6E"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4"/>
    <w:qFormat/>
    <w:uiPriority w:val="99"/>
    <w:tblPr>
      <w:tblBorders>
        <w:top w:val="single" w:color="95AFDD" w:sz="4" w:space="0"/>
        <w:bottom w:val="single" w:color="95AFDD" w:sz="4" w:space="0"/>
        <w:insideH w:val="single" w:color="95AFDD"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4"/>
    <w:qFormat/>
    <w:uiPriority w:val="99"/>
    <w:tblPr>
      <w:tblBorders>
        <w:top w:val="single" w:color="ADD394" w:sz="4" w:space="0"/>
        <w:bottom w:val="single" w:color="ADD394" w:sz="4" w:space="0"/>
        <w:insideH w:val="single" w:color="ADD394"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4"/>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CellMar>
        <w:top w:w="0" w:type="dxa"/>
        <w:left w:w="108" w:type="dxa"/>
        <w:bottom w:w="0" w:type="dxa"/>
        <w:right w:w="108" w:type="dxa"/>
      </w:tblCellMar>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CellMar>
        <w:top w:w="0" w:type="dxa"/>
        <w:left w:w="108" w:type="dxa"/>
        <w:bottom w:w="0" w:type="dxa"/>
        <w:right w:w="108" w:type="dxa"/>
      </w:tblCellMar>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CellMar>
        <w:top w:w="0" w:type="dxa"/>
        <w:left w:w="108" w:type="dxa"/>
        <w:bottom w:w="0" w:type="dxa"/>
        <w:right w:w="108" w:type="dxa"/>
      </w:tblCellMar>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CellMar>
        <w:top w:w="0" w:type="dxa"/>
        <w:left w:w="108" w:type="dxa"/>
        <w:bottom w:w="0" w:type="dxa"/>
        <w:right w:w="108" w:type="dxa"/>
      </w:tblCellMar>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CellMar>
        <w:top w:w="0" w:type="dxa"/>
        <w:left w:w="108" w:type="dxa"/>
        <w:bottom w:w="0" w:type="dxa"/>
        <w:right w:w="108" w:type="dxa"/>
      </w:tblCellMar>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CellMar>
        <w:top w:w="0" w:type="dxa"/>
        <w:left w:w="108" w:type="dxa"/>
        <w:bottom w:w="0" w:type="dxa"/>
        <w:right w:w="108" w:type="dxa"/>
      </w:tblCellMar>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CellMar>
        <w:top w:w="0" w:type="dxa"/>
        <w:left w:w="108" w:type="dxa"/>
        <w:bottom w:w="0" w:type="dxa"/>
        <w:right w:w="108" w:type="dxa"/>
      </w:tblCellMar>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CellMar>
        <w:top w:w="0" w:type="dxa"/>
        <w:left w:w="108" w:type="dxa"/>
        <w:bottom w:w="0" w:type="dxa"/>
        <w:right w:w="108" w:type="dxa"/>
      </w:tblCellMar>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CellMar>
        <w:top w:w="0" w:type="dxa"/>
        <w:left w:w="108" w:type="dxa"/>
        <w:bottom w:w="0" w:type="dxa"/>
        <w:right w:w="108" w:type="dxa"/>
      </w:tblCellMar>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CellMar>
        <w:top w:w="0" w:type="dxa"/>
        <w:left w:w="108" w:type="dxa"/>
        <w:bottom w:w="0" w:type="dxa"/>
        <w:right w:w="108" w:type="dxa"/>
      </w:tblCellMar>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4"/>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4"/>
    <w:qFormat/>
    <w:uiPriority w:val="99"/>
    <w:tblPr>
      <w:tblBorders>
        <w:top w:val="single" w:color="5B9BD5" w:sz="4" w:space="0"/>
        <w:bottom w:val="single" w:color="5B9BD5" w:sz="4" w:space="0"/>
      </w:tblBorders>
      <w:tblCellMar>
        <w:top w:w="0" w:type="dxa"/>
        <w:left w:w="108" w:type="dxa"/>
        <w:bottom w:w="0" w:type="dxa"/>
        <w:right w:w="108" w:type="dxa"/>
      </w:tblCellMar>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4"/>
    <w:qFormat/>
    <w:uiPriority w:val="99"/>
    <w:tblPr>
      <w:tblBorders>
        <w:top w:val="single" w:color="F4B285" w:sz="4" w:space="0"/>
        <w:bottom w:val="single" w:color="F4B285" w:sz="4" w:space="0"/>
      </w:tblBorders>
      <w:tblCellMar>
        <w:top w:w="0" w:type="dxa"/>
        <w:left w:w="108" w:type="dxa"/>
        <w:bottom w:w="0" w:type="dxa"/>
        <w:right w:w="108" w:type="dxa"/>
      </w:tblCellMar>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4"/>
    <w:qFormat/>
    <w:uiPriority w:val="99"/>
    <w:tblPr>
      <w:tblBorders>
        <w:top w:val="single" w:color="C9C9C9" w:sz="4" w:space="0"/>
        <w:bottom w:val="single" w:color="C9C9C9" w:sz="4" w:space="0"/>
      </w:tblBorders>
      <w:tblCellMar>
        <w:top w:w="0" w:type="dxa"/>
        <w:left w:w="108" w:type="dxa"/>
        <w:bottom w:w="0" w:type="dxa"/>
        <w:right w:w="108" w:type="dxa"/>
      </w:tblCellMar>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4"/>
    <w:qFormat/>
    <w:uiPriority w:val="99"/>
    <w:tblPr>
      <w:tblBorders>
        <w:top w:val="single" w:color="FFD864" w:sz="4" w:space="0"/>
        <w:bottom w:val="single" w:color="FFD864" w:sz="4" w:space="0"/>
      </w:tblBorders>
      <w:tblCellMar>
        <w:top w:w="0" w:type="dxa"/>
        <w:left w:w="108" w:type="dxa"/>
        <w:bottom w:w="0" w:type="dxa"/>
        <w:right w:w="108" w:type="dxa"/>
      </w:tblCellMar>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4"/>
    <w:qFormat/>
    <w:uiPriority w:val="99"/>
    <w:tblPr>
      <w:tblBorders>
        <w:top w:val="single" w:color="8EA9DB" w:sz="4" w:space="0"/>
        <w:bottom w:val="single" w:color="8EA9DB" w:sz="4" w:space="0"/>
      </w:tblBorders>
      <w:tblCellMar>
        <w:top w:w="0" w:type="dxa"/>
        <w:left w:w="108" w:type="dxa"/>
        <w:bottom w:w="0" w:type="dxa"/>
        <w:right w:w="108" w:type="dxa"/>
      </w:tblCellMar>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4"/>
    <w:qFormat/>
    <w:uiPriority w:val="99"/>
    <w:tblPr>
      <w:tblBorders>
        <w:top w:val="single" w:color="A9D08E" w:sz="4" w:space="0"/>
        <w:bottom w:val="single" w:color="A9D08E" w:sz="4" w:space="0"/>
      </w:tblBorders>
      <w:tblCellMar>
        <w:top w:w="0" w:type="dxa"/>
        <w:left w:w="108" w:type="dxa"/>
        <w:bottom w:w="0" w:type="dxa"/>
        <w:right w:w="108" w:type="dxa"/>
      </w:tblCellMar>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4"/>
    <w:qFormat/>
    <w:uiPriority w:val="99"/>
    <w:tblPr>
      <w:tblBorders>
        <w:right w:val="single" w:color="7E7E7E" w:sz="4" w:space="0"/>
      </w:tblBorders>
      <w:tblCellMar>
        <w:top w:w="0" w:type="dxa"/>
        <w:left w:w="108" w:type="dxa"/>
        <w:bottom w:w="0" w:type="dxa"/>
        <w:right w:w="108" w:type="dxa"/>
      </w:tblCellMar>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4"/>
    <w:qFormat/>
    <w:uiPriority w:val="99"/>
    <w:tblPr>
      <w:tblBorders>
        <w:right w:val="single" w:color="5B9BD5" w:sz="4" w:space="0"/>
      </w:tblBorders>
      <w:tblCellMar>
        <w:top w:w="0" w:type="dxa"/>
        <w:left w:w="108" w:type="dxa"/>
        <w:bottom w:w="0" w:type="dxa"/>
        <w:right w:w="108" w:type="dxa"/>
      </w:tblCellMar>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4"/>
    <w:qFormat/>
    <w:uiPriority w:val="99"/>
    <w:tblPr>
      <w:tblBorders>
        <w:right w:val="single" w:color="F4B285" w:sz="4" w:space="0"/>
      </w:tblBorders>
      <w:tblCellMar>
        <w:top w:w="0" w:type="dxa"/>
        <w:left w:w="108" w:type="dxa"/>
        <w:bottom w:w="0" w:type="dxa"/>
        <w:right w:w="108" w:type="dxa"/>
      </w:tblCellMar>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4"/>
    <w:qFormat/>
    <w:uiPriority w:val="99"/>
    <w:tblPr>
      <w:tblBorders>
        <w:right w:val="single" w:color="C9C9C9" w:sz="4" w:space="0"/>
      </w:tblBorders>
      <w:tblCellMar>
        <w:top w:w="0" w:type="dxa"/>
        <w:left w:w="108" w:type="dxa"/>
        <w:bottom w:w="0" w:type="dxa"/>
        <w:right w:w="108" w:type="dxa"/>
      </w:tblCellMar>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4"/>
    <w:qFormat/>
    <w:uiPriority w:val="99"/>
    <w:tblPr>
      <w:tblBorders>
        <w:right w:val="single" w:color="FFD864" w:sz="4" w:space="0"/>
      </w:tblBorders>
      <w:tblCellMar>
        <w:top w:w="0" w:type="dxa"/>
        <w:left w:w="108" w:type="dxa"/>
        <w:bottom w:w="0" w:type="dxa"/>
        <w:right w:w="108" w:type="dxa"/>
      </w:tblCellMar>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4"/>
    <w:qFormat/>
    <w:uiPriority w:val="99"/>
    <w:tblPr>
      <w:tblBorders>
        <w:right w:val="single" w:color="8EA9DB" w:sz="4" w:space="0"/>
      </w:tblBorders>
      <w:tblCellMar>
        <w:top w:w="0" w:type="dxa"/>
        <w:left w:w="108" w:type="dxa"/>
        <w:bottom w:w="0" w:type="dxa"/>
        <w:right w:w="108" w:type="dxa"/>
      </w:tblCellMar>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4"/>
    <w:qFormat/>
    <w:uiPriority w:val="99"/>
    <w:tblPr>
      <w:tblBorders>
        <w:right w:val="single" w:color="A9D08E" w:sz="4" w:space="0"/>
      </w:tblBorders>
      <w:tblCellMar>
        <w:top w:w="0" w:type="dxa"/>
        <w:left w:w="108" w:type="dxa"/>
        <w:bottom w:w="0" w:type="dxa"/>
        <w:right w:w="108" w:type="dxa"/>
      </w:tblCellMar>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top w:w="0" w:type="dxa"/>
        <w:left w:w="108" w:type="dxa"/>
        <w:bottom w:w="0" w:type="dxa"/>
        <w:right w:w="108" w:type="dxa"/>
      </w:tblCellMar>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top w:w="0" w:type="dxa"/>
        <w:left w:w="108" w:type="dxa"/>
        <w:bottom w:w="0" w:type="dxa"/>
        <w:right w:w="108" w:type="dxa"/>
      </w:tblCellMar>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top w:w="0" w:type="dxa"/>
        <w:left w:w="108" w:type="dxa"/>
        <w:bottom w:w="0" w:type="dxa"/>
        <w:right w:w="108" w:type="dxa"/>
      </w:tblCellMar>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top w:w="0" w:type="dxa"/>
        <w:left w:w="108" w:type="dxa"/>
        <w:bottom w:w="0" w:type="dxa"/>
        <w:right w:w="108" w:type="dxa"/>
      </w:tblCellMar>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top w:w="0" w:type="dxa"/>
        <w:left w:w="108" w:type="dxa"/>
        <w:bottom w:w="0" w:type="dxa"/>
        <w:right w:w="108" w:type="dxa"/>
      </w:tblCellMar>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top w:w="0" w:type="dxa"/>
        <w:left w:w="108" w:type="dxa"/>
        <w:bottom w:w="0" w:type="dxa"/>
        <w:right w:w="108" w:type="dxa"/>
      </w:tblCellMar>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4"/>
    <w:semiHidden/>
    <w:qFormat/>
    <w:uiPriority w:val="2"/>
    <w:tblPr>
      <w:tblCellMar>
        <w:top w:w="0" w:type="dxa"/>
        <w:left w:w="0" w:type="dxa"/>
        <w:bottom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72">
    <w:name w:val="列表段落11"/>
    <w:basedOn w:val="1"/>
    <w:qFormat/>
    <w:uiPriority w:val="99"/>
    <w:pPr>
      <w:ind w:firstLine="420"/>
    </w:pPr>
  </w:style>
  <w:style w:type="paragraph" w:customStyle="1" w:styleId="273">
    <w:name w:val="17babae4-54f0-44fa-a444-1068224df0ac"/>
    <w:basedOn w:val="41"/>
    <w:next w:val="274"/>
    <w:qFormat/>
    <w:uiPriority w:val="0"/>
    <w:pPr>
      <w:adjustRightInd w:val="0"/>
      <w:spacing w:line="288" w:lineRule="auto"/>
    </w:pPr>
    <w:rPr>
      <w:rFonts w:ascii="微软雅黑" w:hAnsi="微软雅黑" w:eastAsia="微软雅黑"/>
      <w:color w:val="000000"/>
      <w:sz w:val="40"/>
      <w:szCs w:val="56"/>
    </w:rPr>
  </w:style>
  <w:style w:type="paragraph" w:customStyle="1" w:styleId="274">
    <w:name w:val="acbfdd8b-e11b-4d36-88ff-6049b138f862"/>
    <w:basedOn w:val="1"/>
    <w:qFormat/>
    <w:uiPriority w:val="0"/>
    <w:pPr>
      <w:adjustRightInd w:val="0"/>
      <w:spacing w:line="288" w:lineRule="auto"/>
      <w:jc w:val="left"/>
    </w:pPr>
    <w:rPr>
      <w:rFonts w:ascii="微软雅黑" w:hAnsi="微软雅黑" w:eastAsia="微软雅黑"/>
      <w:bCs/>
      <w:color w:val="000000"/>
      <w:sz w:val="22"/>
      <w:szCs w:val="56"/>
    </w:rPr>
  </w:style>
  <w:style w:type="paragraph" w:customStyle="1" w:styleId="275">
    <w:name w:val="21bc9c4b-6a32-43e5-beaa-fd2d792c5735"/>
    <w:basedOn w:val="2"/>
    <w:next w:val="274"/>
    <w:qFormat/>
    <w:uiPriority w:val="0"/>
    <w:pPr>
      <w:adjustRightInd w:val="0"/>
      <w:spacing w:before="0" w:after="0" w:line="288" w:lineRule="auto"/>
      <w:jc w:val="left"/>
    </w:pPr>
    <w:rPr>
      <w:rFonts w:ascii="微软雅黑" w:hAnsi="微软雅黑" w:eastAsia="微软雅黑" w:cs="Times New Roman"/>
      <w:color w:val="000000"/>
      <w:sz w:val="32"/>
    </w:rPr>
  </w:style>
  <w:style w:type="paragraph" w:customStyle="1" w:styleId="276">
    <w:name w:val="样式2"/>
    <w:basedOn w:val="1"/>
    <w:next w:val="1"/>
    <w:qFormat/>
    <w:uiPriority w:val="0"/>
    <w:pPr>
      <w:keepNext/>
      <w:spacing w:before="240" w:after="60" w:line="360" w:lineRule="auto"/>
      <w:ind w:left="200" w:leftChars="200"/>
      <w:jc w:val="center"/>
      <w:outlineLvl w:val="1"/>
    </w:pPr>
    <w:rPr>
      <w:rFonts w:ascii="宋体" w:hAnsi="宋体"/>
      <w:b/>
      <w:bCs/>
      <w:i/>
      <w:iCs/>
      <w:sz w:val="24"/>
    </w:rPr>
  </w:style>
  <w:style w:type="paragraph" w:customStyle="1" w:styleId="277">
    <w:name w:val="Blockquote"/>
    <w:basedOn w:val="1"/>
    <w:qFormat/>
    <w:uiPriority w:val="99"/>
    <w:pPr>
      <w:autoSpaceDE w:val="0"/>
      <w:autoSpaceDN w:val="0"/>
      <w:adjustRightInd w:val="0"/>
      <w:spacing w:before="100" w:after="100"/>
      <w:ind w:left="360" w:right="360"/>
      <w:jc w:val="left"/>
    </w:pPr>
    <w:rPr>
      <w:kern w:val="0"/>
      <w:sz w:val="24"/>
      <w:szCs w:val="20"/>
    </w:rPr>
  </w:style>
  <w:style w:type="character" w:customStyle="1" w:styleId="278">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1D374-10BF-48E7-B5CF-647BF719606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12209</Words>
  <Characters>12721</Characters>
  <Lines>37</Lines>
  <Paragraphs>56</Paragraphs>
  <TotalTime>0</TotalTime>
  <ScaleCrop>false</ScaleCrop>
  <LinksUpToDate>false</LinksUpToDate>
  <CharactersWithSpaces>12746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代理</cp:lastModifiedBy>
  <dcterms:modified xsi:type="dcterms:W3CDTF">2025-10-24T09:14:03Z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C7B1A4CC19534C588A841EF2C924739A</vt:lpwstr>
  </property>
  <property fmtid="{D5CDD505-2E9C-101B-9397-08002B2CF9AE}" pid="4" name="KSOTemplateDocerSaveRecord">
    <vt:lpwstr>eyJoZGlkIjoiNjg4OGIwNWEyNGI0YjcwMTA2MTQwNTYwOGZhYzZiMTciLCJ1c2VySWQiOiIzNzQ2MTQ5NzQifQ==</vt:lpwstr>
  </property>
</Properties>
</file>