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1546B9">
      <w:pPr>
        <w:spacing w:line="360" w:lineRule="auto"/>
        <w:jc w:val="center"/>
        <w:rPr>
          <w:rFonts w:hint="eastAsia" w:ascii="宋体" w:hAnsi="宋体"/>
          <w:b/>
          <w:color w:val="000000" w:themeColor="text1"/>
          <w:sz w:val="44"/>
          <w:highlight w:val="none"/>
          <w:shd w:val="clear" w:color="auto" w:fill="FFFFFF"/>
          <w14:textFill>
            <w14:solidFill>
              <w14:schemeClr w14:val="tx1"/>
            </w14:solidFill>
          </w14:textFill>
        </w:rPr>
      </w:pPr>
    </w:p>
    <w:p w14:paraId="60C83195">
      <w:pPr>
        <w:spacing w:line="360" w:lineRule="auto"/>
        <w:jc w:val="center"/>
        <w:rPr>
          <w:rFonts w:hint="eastAsia" w:ascii="宋体" w:hAnsi="宋体" w:cs="宋体"/>
          <w:b/>
          <w:color w:val="000000" w:themeColor="text1"/>
          <w:sz w:val="44"/>
          <w:highlight w:val="none"/>
          <w:shd w:val="clear" w:color="auto" w:fill="FFFFFF"/>
          <w14:textFill>
            <w14:solidFill>
              <w14:schemeClr w14:val="tx1"/>
            </w14:solidFill>
          </w14:textFill>
        </w:rPr>
      </w:pPr>
      <w:r>
        <w:rPr>
          <w:rFonts w:hint="eastAsia" w:ascii="宋体" w:hAnsi="宋体" w:cs="宋体"/>
          <w:b/>
          <w:color w:val="000000" w:themeColor="text1"/>
          <w:sz w:val="44"/>
          <w:highlight w:val="none"/>
          <w:shd w:val="clear" w:color="auto" w:fill="FFFFFF"/>
          <w14:textFill>
            <w14:solidFill>
              <w14:schemeClr w14:val="tx1"/>
            </w14:solidFill>
          </w14:textFill>
        </w:rPr>
        <w:t>南京邮电大学5G核心网接入测试系统项目</w:t>
      </w:r>
    </w:p>
    <w:p w14:paraId="4846E001">
      <w:pPr>
        <w:spacing w:line="360" w:lineRule="auto"/>
        <w:jc w:val="center"/>
        <w:rPr>
          <w:rFonts w:hint="default" w:ascii="宋体" w:hAnsi="宋体" w:eastAsia="宋体" w:cs="宋体"/>
          <w:b/>
          <w:color w:val="000000" w:themeColor="text1"/>
          <w:sz w:val="32"/>
          <w:highlight w:val="none"/>
          <w:shd w:val="clear" w:color="auto" w:fill="FFFFFF"/>
          <w:lang w:val="en-US" w:eastAsia="zh-CN"/>
          <w14:textFill>
            <w14:solidFill>
              <w14:schemeClr w14:val="tx1"/>
            </w14:solidFill>
          </w14:textFill>
        </w:rPr>
      </w:pPr>
      <w:r>
        <w:rPr>
          <w:rFonts w:hint="eastAsia" w:ascii="宋体" w:hAnsi="宋体" w:cs="宋体"/>
          <w:b/>
          <w:color w:val="000000" w:themeColor="text1"/>
          <w:sz w:val="44"/>
          <w:highlight w:val="none"/>
          <w:shd w:val="clear" w:color="auto" w:fill="FFFFFF"/>
          <w:lang w:eastAsia="zh-CN"/>
          <w14:textFill>
            <w14:solidFill>
              <w14:schemeClr w14:val="tx1"/>
            </w14:solidFill>
          </w14:textFill>
        </w:rPr>
        <w:t>（</w:t>
      </w:r>
      <w:r>
        <w:rPr>
          <w:rFonts w:hint="eastAsia" w:ascii="宋体" w:hAnsi="宋体" w:cs="宋体"/>
          <w:b/>
          <w:color w:val="000000" w:themeColor="text1"/>
          <w:sz w:val="44"/>
          <w:highlight w:val="none"/>
          <w:shd w:val="clear" w:color="auto" w:fill="FFFFFF"/>
          <w:lang w:val="en-US" w:eastAsia="zh-CN"/>
          <w14:textFill>
            <w14:solidFill>
              <w14:schemeClr w14:val="tx1"/>
            </w14:solidFill>
          </w14:textFill>
        </w:rPr>
        <w:t>第二次）</w:t>
      </w:r>
    </w:p>
    <w:p w14:paraId="620C5410">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0E01D184">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76CF7769">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1024FBC5">
      <w:pPr>
        <w:spacing w:line="360" w:lineRule="auto"/>
        <w:jc w:val="center"/>
        <w:rPr>
          <w:rFonts w:hint="eastAsia" w:ascii="宋体" w:hAnsi="宋体" w:cs="宋体"/>
          <w:b/>
          <w:color w:val="000000" w:themeColor="text1"/>
          <w:sz w:val="32"/>
          <w:highlight w:val="none"/>
          <w:shd w:val="clear" w:color="auto" w:fill="FFFFFF"/>
          <w14:textFill>
            <w14:solidFill>
              <w14:schemeClr w14:val="tx1"/>
            </w14:solidFill>
          </w14:textFill>
        </w:rPr>
      </w:pPr>
    </w:p>
    <w:p w14:paraId="75DB7B85">
      <w:pPr>
        <w:spacing w:line="360" w:lineRule="auto"/>
        <w:jc w:val="center"/>
        <w:rPr>
          <w:rFonts w:hint="eastAsia" w:ascii="宋体" w:hAnsi="宋体" w:cs="宋体"/>
          <w:b/>
          <w:color w:val="000000" w:themeColor="text1"/>
          <w:sz w:val="32"/>
          <w:highlight w:val="none"/>
          <w:shd w:val="clear" w:color="auto" w:fill="FFFFFF"/>
          <w14:textFill>
            <w14:solidFill>
              <w14:schemeClr w14:val="tx1"/>
            </w14:solidFill>
          </w14:textFill>
        </w:rPr>
      </w:pPr>
    </w:p>
    <w:p w14:paraId="001E9E0C">
      <w:pPr>
        <w:spacing w:line="360" w:lineRule="auto"/>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14:paraId="31A1E83C">
      <w:pPr>
        <w:pStyle w:val="257"/>
        <w:ind w:firstLine="0"/>
        <w:jc w:val="center"/>
        <w:rPr>
          <w:rFonts w:hint="eastAsia" w:asciiTheme="majorEastAsia" w:hAnsiTheme="majorEastAsia" w:eastAsiaTheme="majorEastAsia"/>
          <w:b/>
          <w:sz w:val="36"/>
          <w:szCs w:val="36"/>
          <w:highlight w:val="none"/>
          <w:lang w:eastAsia="zh-CN"/>
        </w:rPr>
      </w:pPr>
      <w:r>
        <w:rPr>
          <w:rFonts w:ascii="宋体" w:hAnsi="宋体" w:cs="宋体"/>
          <w:b/>
          <w:color w:val="000000" w:themeColor="text1"/>
          <w:sz w:val="28"/>
          <w:highlight w:val="none"/>
          <w14:textFill>
            <w14:solidFill>
              <w14:schemeClr w14:val="tx1"/>
            </w14:solidFill>
          </w14:textFill>
        </w:rPr>
        <w:t>项目编号：</w:t>
      </w:r>
      <w:r>
        <w:rPr>
          <w:rFonts w:asciiTheme="majorEastAsia" w:hAnsiTheme="majorEastAsia" w:eastAsiaTheme="majorEastAsia"/>
          <w:b/>
          <w:sz w:val="36"/>
          <w:szCs w:val="36"/>
          <w:highlight w:val="none"/>
        </w:rPr>
        <w:t>NYCG2025-H115/</w:t>
      </w:r>
      <w:r>
        <w:rPr>
          <w:rFonts w:hint="eastAsia" w:asciiTheme="majorEastAsia" w:hAnsiTheme="majorEastAsia" w:eastAsiaTheme="majorEastAsia"/>
          <w:b/>
          <w:sz w:val="36"/>
          <w:szCs w:val="36"/>
          <w:highlight w:val="none"/>
          <w:lang w:eastAsia="zh-CN"/>
        </w:rPr>
        <w:t>GPDI-NJ-2025-04183</w:t>
      </w:r>
    </w:p>
    <w:p w14:paraId="2B571047">
      <w:pPr>
        <w:spacing w:line="360" w:lineRule="auto"/>
        <w:jc w:val="center"/>
        <w:rPr>
          <w:rFonts w:hint="eastAsia" w:ascii="宋体" w:hAnsi="宋体" w:cs="宋体"/>
          <w:b/>
          <w:color w:val="000000" w:themeColor="text1"/>
          <w:sz w:val="36"/>
          <w:highlight w:val="none"/>
          <w14:textFill>
            <w14:solidFill>
              <w14:schemeClr w14:val="tx1"/>
            </w14:solidFill>
          </w14:textFill>
        </w:rPr>
      </w:pPr>
    </w:p>
    <w:p w14:paraId="46184AC9">
      <w:pPr>
        <w:spacing w:line="360" w:lineRule="auto"/>
        <w:jc w:val="center"/>
        <w:rPr>
          <w:rFonts w:hint="eastAsia" w:ascii="宋体" w:hAnsi="宋体" w:cs="宋体"/>
          <w:b/>
          <w:color w:val="000000" w:themeColor="text1"/>
          <w:sz w:val="36"/>
          <w:highlight w:val="none"/>
          <w14:textFill>
            <w14:solidFill>
              <w14:schemeClr w14:val="tx1"/>
            </w14:solidFill>
          </w14:textFill>
        </w:rPr>
      </w:pPr>
    </w:p>
    <w:p w14:paraId="2CF9D670">
      <w:pPr>
        <w:spacing w:line="360" w:lineRule="auto"/>
        <w:jc w:val="center"/>
        <w:rPr>
          <w:rFonts w:hint="eastAsia" w:ascii="宋体" w:hAnsi="宋体" w:cs="宋体"/>
          <w:b/>
          <w:color w:val="000000" w:themeColor="text1"/>
          <w:sz w:val="36"/>
          <w:highlight w:val="none"/>
          <w14:textFill>
            <w14:solidFill>
              <w14:schemeClr w14:val="tx1"/>
            </w14:solidFill>
          </w14:textFill>
        </w:rPr>
      </w:pPr>
    </w:p>
    <w:p w14:paraId="07A4633A">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487F680F">
      <w:pPr>
        <w:spacing w:line="360" w:lineRule="auto"/>
        <w:rPr>
          <w:rFonts w:hint="eastAsia"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采购人：</w:t>
      </w:r>
      <w:r>
        <w:rPr>
          <w:rFonts w:hint="eastAsia" w:ascii="宋体" w:hAnsi="宋体"/>
          <w:b/>
          <w:color w:val="000000" w:themeColor="text1"/>
          <w:sz w:val="36"/>
          <w:szCs w:val="36"/>
          <w:highlight w:val="none"/>
          <w14:textFill>
            <w14:solidFill>
              <w14:schemeClr w14:val="tx1"/>
            </w14:solidFill>
          </w14:textFill>
        </w:rPr>
        <w:t>南京邮电大学</w:t>
      </w:r>
    </w:p>
    <w:p w14:paraId="5AC7E5EF">
      <w:pPr>
        <w:spacing w:line="360" w:lineRule="auto"/>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采购</w:t>
      </w:r>
      <w:r>
        <w:rPr>
          <w:rFonts w:ascii="宋体" w:hAnsi="宋体" w:cs="宋体"/>
          <w:b/>
          <w:color w:val="000000" w:themeColor="text1"/>
          <w:sz w:val="36"/>
          <w:highlight w:val="none"/>
          <w14:textFill>
            <w14:solidFill>
              <w14:schemeClr w14:val="tx1"/>
            </w14:solidFill>
          </w14:textFill>
        </w:rPr>
        <w:t>代理机构：</w:t>
      </w:r>
      <w:r>
        <w:rPr>
          <w:rFonts w:hint="eastAsia" w:ascii="宋体" w:hAnsi="宋体" w:cs="宋体"/>
          <w:b/>
          <w:color w:val="000000" w:themeColor="text1"/>
          <w:sz w:val="36"/>
          <w:highlight w:val="none"/>
          <w14:textFill>
            <w14:solidFill>
              <w14:schemeClr w14:val="tx1"/>
            </w14:solidFill>
          </w14:textFill>
        </w:rPr>
        <w:t>广东省电信规划设计院有限公司</w:t>
      </w:r>
      <w:r>
        <w:rPr>
          <w:rFonts w:ascii="宋体" w:hAnsi="宋体" w:cs="宋体"/>
          <w:b/>
          <w:color w:val="000000" w:themeColor="text1"/>
          <w:sz w:val="36"/>
          <w:highlight w:val="none"/>
          <w14:textFill>
            <w14:solidFill>
              <w14:schemeClr w14:val="tx1"/>
            </w14:solidFill>
          </w14:textFill>
        </w:rPr>
        <w:t xml:space="preserve"> </w:t>
      </w:r>
    </w:p>
    <w:p w14:paraId="41CCDD89">
      <w:pPr>
        <w:spacing w:line="360" w:lineRule="auto"/>
        <w:jc w:val="left"/>
        <w:rPr>
          <w:rFonts w:hint="eastAsia"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日期：二〇二</w:t>
      </w:r>
      <w:r>
        <w:rPr>
          <w:rFonts w:hint="eastAsia" w:ascii="宋体" w:hAnsi="宋体" w:cs="宋体"/>
          <w:b/>
          <w:color w:val="000000" w:themeColor="text1"/>
          <w:sz w:val="36"/>
          <w:highlight w:val="none"/>
          <w14:textFill>
            <w14:solidFill>
              <w14:schemeClr w14:val="tx1"/>
            </w14:solidFill>
          </w14:textFill>
        </w:rPr>
        <w:t>五</w:t>
      </w:r>
      <w:r>
        <w:rPr>
          <w:rFonts w:ascii="宋体" w:hAnsi="宋体" w:cs="宋体"/>
          <w:b/>
          <w:color w:val="000000" w:themeColor="text1"/>
          <w:sz w:val="36"/>
          <w:highlight w:val="none"/>
          <w14:textFill>
            <w14:solidFill>
              <w14:schemeClr w14:val="tx1"/>
            </w14:solidFill>
          </w14:textFill>
        </w:rPr>
        <w:t>年</w:t>
      </w:r>
      <w:r>
        <w:rPr>
          <w:rFonts w:hint="eastAsia" w:ascii="宋体" w:hAnsi="宋体" w:cs="宋体"/>
          <w:b/>
          <w:color w:val="000000" w:themeColor="text1"/>
          <w:sz w:val="36"/>
          <w:highlight w:val="none"/>
          <w14:textFill>
            <w14:solidFill>
              <w14:schemeClr w14:val="tx1"/>
            </w14:solidFill>
          </w14:textFill>
        </w:rPr>
        <w:t>十一</w:t>
      </w:r>
      <w:r>
        <w:rPr>
          <w:rFonts w:ascii="宋体" w:hAnsi="宋体" w:cs="宋体"/>
          <w:b/>
          <w:color w:val="000000" w:themeColor="text1"/>
          <w:sz w:val="36"/>
          <w:highlight w:val="none"/>
          <w14:textFill>
            <w14:solidFill>
              <w14:schemeClr w14:val="tx1"/>
            </w14:solidFill>
          </w14:textFill>
        </w:rPr>
        <w:t>月</w:t>
      </w:r>
    </w:p>
    <w:p w14:paraId="6B5BB732">
      <w:pPr>
        <w:spacing w:line="360" w:lineRule="auto"/>
        <w:jc w:val="center"/>
        <w:outlineLvl w:val="0"/>
        <w:rPr>
          <w:rFonts w:hint="eastAsia" w:ascii="宋体" w:hAnsi="宋体" w:cs="黑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br w:type="page"/>
      </w: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公开比选公告</w:t>
      </w:r>
    </w:p>
    <w:p w14:paraId="388FDE9E">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025C2B25">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asciiTheme="majorEastAsia" w:hAnsiTheme="majorEastAsia" w:eastAsiaTheme="majorEastAsia"/>
          <w:szCs w:val="24"/>
          <w:highlight w:val="none"/>
        </w:rPr>
        <w:t>NYCG2025-H115/</w:t>
      </w:r>
      <w:r>
        <w:rPr>
          <w:rFonts w:hint="eastAsia" w:asciiTheme="majorEastAsia" w:hAnsiTheme="majorEastAsia" w:eastAsiaTheme="majorEastAsia"/>
          <w:szCs w:val="24"/>
          <w:highlight w:val="none"/>
          <w:lang w:eastAsia="zh-CN"/>
        </w:rPr>
        <w:t>GPDI-NJ-2025-04183</w:t>
      </w:r>
      <w:r>
        <w:rPr>
          <w:color w:val="000000" w:themeColor="text1"/>
          <w:highlight w:val="none"/>
          <w14:textFill>
            <w14:solidFill>
              <w14:schemeClr w14:val="tx1"/>
            </w14:solidFill>
          </w14:textFill>
        </w:rPr>
        <w:t>；</w:t>
      </w:r>
    </w:p>
    <w:p w14:paraId="24EFD275">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asciiTheme="majorEastAsia" w:hAnsiTheme="majorEastAsia" w:eastAsiaTheme="majorEastAsia"/>
          <w:szCs w:val="24"/>
          <w:highlight w:val="none"/>
        </w:rPr>
        <w:t>南京邮电大学5G核心网接入测试系统项目</w:t>
      </w:r>
      <w:r>
        <w:rPr>
          <w:color w:val="000000" w:themeColor="text1"/>
          <w:highlight w:val="none"/>
          <w14:textFill>
            <w14:solidFill>
              <w14:schemeClr w14:val="tx1"/>
            </w14:solidFill>
          </w14:textFill>
        </w:rPr>
        <w:t>；</w:t>
      </w:r>
    </w:p>
    <w:p w14:paraId="1F6985D6">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14:textFill>
            <w14:solidFill>
              <w14:schemeClr w14:val="tx1"/>
            </w14:solidFill>
          </w14:textFill>
        </w:rPr>
        <w:t>80</w:t>
      </w:r>
      <w:r>
        <w:rPr>
          <w:color w:val="000000" w:themeColor="text1"/>
          <w:highlight w:val="none"/>
          <w14:textFill>
            <w14:solidFill>
              <w14:schemeClr w14:val="tx1"/>
            </w14:solidFill>
          </w14:textFill>
        </w:rPr>
        <w:t>万元；</w:t>
      </w:r>
    </w:p>
    <w:p w14:paraId="2E40171E">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14:textFill>
            <w14:solidFill>
              <w14:schemeClr w14:val="tx1"/>
            </w14:solidFill>
          </w14:textFill>
        </w:rPr>
        <w:t>80</w:t>
      </w:r>
      <w:r>
        <w:rPr>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，响应报价超过单价最高限价的，响应文件作无效处理。</w:t>
      </w:r>
    </w:p>
    <w:p w14:paraId="6BC3B276">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采购方式：公开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14:paraId="4DA24D88">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r>
        <w:rPr>
          <w:rFonts w:hint="eastAsia" w:asciiTheme="majorEastAsia" w:hAnsiTheme="majorEastAsia" w:eastAsiaTheme="majorEastAsia"/>
          <w:szCs w:val="24"/>
          <w:highlight w:val="none"/>
        </w:rPr>
        <w:t>南京邮电大学5G核心网接入测试系统项目</w:t>
      </w:r>
      <w:r>
        <w:rPr>
          <w:color w:val="000000" w:themeColor="text1"/>
          <w:highlight w:val="none"/>
          <w14:textFill>
            <w14:solidFill>
              <w14:schemeClr w14:val="tx1"/>
            </w14:solidFill>
          </w14:textFill>
        </w:rPr>
        <w:t>，具体详见采购文件。</w:t>
      </w:r>
    </w:p>
    <w:p w14:paraId="66852D33">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合同履行期限：</w:t>
      </w:r>
      <w:r>
        <w:rPr>
          <w:rFonts w:hint="eastAsia"/>
          <w:color w:val="000000" w:themeColor="text1"/>
          <w:highlight w:val="none"/>
          <w14:textFill>
            <w14:solidFill>
              <w14:schemeClr w14:val="tx1"/>
            </w14:solidFill>
          </w14:textFill>
        </w:rPr>
        <w:t>合同签订之日起30天内全部免费安装调试完毕</w:t>
      </w:r>
    </w:p>
    <w:p w14:paraId="1E23F2B8">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本项目是否接受联合体响应：不接受。</w:t>
      </w:r>
    </w:p>
    <w:p w14:paraId="6423339D">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本项目是否接受进口产品响应：不接受。</w:t>
      </w:r>
    </w:p>
    <w:p w14:paraId="358005C6">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0B6A3A73">
      <w:pPr>
        <w:pStyle w:val="17"/>
        <w:numPr>
          <w:ilvl w:val="0"/>
          <w:numId w:val="4"/>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满足《中华人民共和国政府采购法》第二十二条规定：</w:t>
      </w:r>
    </w:p>
    <w:p w14:paraId="05510621">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1064C3E2">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w:t>
      </w:r>
      <w:r>
        <w:rPr>
          <w:rFonts w:hint="eastAsia"/>
          <w:color w:val="000000" w:themeColor="text1"/>
          <w:highlight w:val="none"/>
          <w14:textFill>
            <w14:solidFill>
              <w14:schemeClr w14:val="tx1"/>
            </w14:solidFill>
          </w14:textFill>
        </w:rPr>
        <w:t>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（2025年5月至2025年10月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04BB68CE">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24B0670D">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（2025年5月至2025年10月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1E6E2AC0">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036AD71A">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34CAC1A2">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无。</w:t>
      </w:r>
    </w:p>
    <w:p w14:paraId="61733EBD">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1D3ABF2A">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71C47450">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18AF1AE6">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w:t>
      </w:r>
    </w:p>
    <w:p w14:paraId="10A7AA85">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0B45764E">
      <w:pPr>
        <w:pStyle w:val="17"/>
        <w:numPr>
          <w:ilvl w:val="0"/>
          <w:numId w:val="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时间：2025年</w:t>
      </w:r>
      <w:r>
        <w:rPr>
          <w:rFonts w:hint="eastAsia"/>
          <w:color w:val="000000" w:themeColor="text1"/>
          <w:highlight w:val="none"/>
          <w:lang w:val="en-US" w:eastAsia="zh-CN"/>
          <w14:textFill>
            <w14:solidFill>
              <w14:schemeClr w14:val="tx1"/>
            </w14:solidFill>
          </w14:textFill>
        </w:rPr>
        <w:t>11</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26</w:t>
      </w:r>
      <w:r>
        <w:rPr>
          <w:color w:val="000000" w:themeColor="text1"/>
          <w:highlight w:val="none"/>
          <w14:textFill>
            <w14:solidFill>
              <w14:schemeClr w14:val="tx1"/>
            </w14:solidFill>
          </w14:textFill>
        </w:rPr>
        <w:t>日上午09:00至2025年</w:t>
      </w:r>
      <w:r>
        <w:rPr>
          <w:rFonts w:hint="eastAsia"/>
          <w:color w:val="000000" w:themeColor="text1"/>
          <w:highlight w:val="none"/>
          <w:lang w:val="en-US" w:eastAsia="zh-CN"/>
          <w14:textFill>
            <w14:solidFill>
              <w14:schemeClr w14:val="tx1"/>
            </w14:solidFill>
          </w14:textFill>
        </w:rPr>
        <w:t>12</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w:t>
      </w:r>
      <w:r>
        <w:rPr>
          <w:color w:val="000000" w:themeColor="text1"/>
          <w:highlight w:val="none"/>
          <w14:textFill>
            <w14:solidFill>
              <w14:schemeClr w14:val="tx1"/>
            </w14:solidFill>
          </w14:textFill>
        </w:rPr>
        <w:t>日17:00（北京时间）</w:t>
      </w:r>
    </w:p>
    <w:p w14:paraId="02D8347A">
      <w:pPr>
        <w:pStyle w:val="17"/>
        <w:numPr>
          <w:ilvl w:val="0"/>
          <w:numId w:val="6"/>
        </w:numPr>
        <w:spacing w:line="360" w:lineRule="auto"/>
        <w:ind w:firstLineChars="0"/>
        <w:rPr>
          <w:rFonts w:hint="eastAsia" w:asciiTheme="majorEastAsia" w:hAnsiTheme="majorEastAsia" w:eastAsiaTheme="majorEastAsia"/>
          <w:szCs w:val="24"/>
          <w:highlight w:val="none"/>
        </w:rPr>
      </w:pPr>
      <w:r>
        <w:rPr>
          <w:color w:val="000000" w:themeColor="text1"/>
          <w:highlight w:val="none"/>
          <w14:textFill>
            <w14:solidFill>
              <w14:schemeClr w14:val="tx1"/>
            </w14:solidFill>
          </w14:textFill>
        </w:rPr>
        <w:t xml:space="preserve">获取方式： </w:t>
      </w:r>
      <w:r>
        <w:rPr>
          <w:rFonts w:asciiTheme="majorEastAsia" w:hAnsiTheme="majorEastAsia" w:eastAsiaTheme="majorEastAsia"/>
          <w:szCs w:val="24"/>
          <w:highlight w:val="none"/>
        </w:rPr>
        <w:t>通过“</w:t>
      </w:r>
      <w:r>
        <w:rPr>
          <w:rFonts w:hint="eastAsia" w:asciiTheme="majorEastAsia" w:hAnsiTheme="majorEastAsia" w:eastAsiaTheme="majorEastAsia"/>
          <w:szCs w:val="24"/>
          <w:highlight w:val="none"/>
        </w:rPr>
        <w:t>采购</w:t>
      </w:r>
      <w:r>
        <w:rPr>
          <w:rFonts w:asciiTheme="majorEastAsia" w:hAnsiTheme="majorEastAsia" w:eastAsiaTheme="majorEastAsia"/>
          <w:szCs w:val="24"/>
          <w:highlight w:val="none"/>
        </w:rPr>
        <w:t>代理机构”的电子平台获取</w:t>
      </w:r>
      <w:r>
        <w:rPr>
          <w:rFonts w:hint="eastAsia" w:asciiTheme="majorEastAsia" w:hAnsiTheme="majorEastAsia" w:eastAsiaTheme="majorEastAsia"/>
          <w:szCs w:val="24"/>
          <w:highlight w:val="none"/>
        </w:rPr>
        <w:t>公开比选</w:t>
      </w:r>
      <w:r>
        <w:rPr>
          <w:rFonts w:asciiTheme="majorEastAsia" w:hAnsiTheme="majorEastAsia" w:eastAsiaTheme="majorEastAsia"/>
          <w:szCs w:val="24"/>
          <w:highlight w:val="none"/>
        </w:rPr>
        <w:t>文件。</w:t>
      </w:r>
    </w:p>
    <w:p w14:paraId="3B61F141">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方式：线上购买，售价 500 元（人民币），售后不退。通过“</w:t>
      </w:r>
      <w:r>
        <w:rPr>
          <w:rFonts w:hint="eastAsia" w:asciiTheme="majorEastAsia" w:hAnsiTheme="majorEastAsia" w:eastAsiaTheme="majorEastAsia"/>
          <w:sz w:val="24"/>
          <w:szCs w:val="24"/>
          <w:highlight w:val="none"/>
        </w:rPr>
        <w:t>采购</w:t>
      </w:r>
      <w:r>
        <w:rPr>
          <w:rFonts w:asciiTheme="majorEastAsia" w:hAnsiTheme="majorEastAsia" w:eastAsiaTheme="majorEastAsia"/>
          <w:sz w:val="24"/>
          <w:szCs w:val="24"/>
          <w:highlight w:val="none"/>
        </w:rPr>
        <w:t>代理机构”的电子平台进行文件费支付及网上获取比选文件。通过以下两种方式之一（a或b）即可进行费用支付。</w:t>
      </w:r>
    </w:p>
    <w:p w14:paraId="377128A7">
      <w:pPr>
        <w:adjustRightInd w:val="0"/>
        <w:snapToGrid w:val="0"/>
        <w:spacing w:line="360" w:lineRule="auto"/>
        <w:ind w:firstLine="482"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a.手机端：</w:t>
      </w:r>
      <w:r>
        <w:rPr>
          <w:rFonts w:asciiTheme="majorEastAsia" w:hAnsiTheme="majorEastAsia" w:eastAsiaTheme="majorEastAsia"/>
          <w:sz w:val="24"/>
          <w:szCs w:val="24"/>
          <w:highlight w:val="none"/>
        </w:rPr>
        <w:t>获取时间内关注微信公众号“采易招”点击“公共服务”</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“投标登记”</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“公开项目/邀请项目”找到相应的项目进行登记，并进行报名材料上传及支付。</w:t>
      </w:r>
    </w:p>
    <w:p w14:paraId="0B315794">
      <w:pPr>
        <w:adjustRightInd w:val="0"/>
        <w:snapToGrid w:val="0"/>
        <w:spacing w:line="360" w:lineRule="auto"/>
        <w:ind w:firstLine="482"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b.PC端：</w:t>
      </w:r>
      <w:r>
        <w:rPr>
          <w:rFonts w:hint="eastAsia" w:asciiTheme="majorEastAsia" w:hAnsiTheme="majorEastAsia" w:eastAsiaTheme="majorEastAsia"/>
          <w:sz w:val="24"/>
          <w:szCs w:val="24"/>
          <w:highlight w:val="none"/>
        </w:rPr>
        <w:t>输入“采易招”网址（https://www.gpdi.com/homepage</w:t>
      </w:r>
      <w:r>
        <w:rPr>
          <w:rFonts w:hint="eastAsia" w:asciiTheme="majorEastAsia" w:hAnsiTheme="majorEastAsia" w:eastAsiaTheme="majorEastAsia"/>
          <w:sz w:val="24"/>
          <w:szCs w:val="24"/>
          <w:highlight w:val="none"/>
          <w:lang w:eastAsia="zh-CN"/>
        </w:rPr>
        <w:t>）</w:t>
      </w:r>
      <w:r>
        <w:rPr>
          <w:rFonts w:hint="eastAsia" w:asciiTheme="majorEastAsia" w:hAnsiTheme="majorEastAsia" w:eastAsiaTheme="majorEastAsia"/>
          <w:sz w:val="24"/>
          <w:szCs w:val="24"/>
          <w:highlight w:val="none"/>
        </w:rPr>
        <w:t>，注册登录（步骤</w:t>
      </w:r>
    </w:p>
    <w:p w14:paraId="7EF9721F">
      <w:pPr>
        <w:adjustRightInd w:val="0"/>
        <w:snapToGrid w:val="0"/>
        <w:spacing w:line="360" w:lineRule="auto"/>
        <w:jc w:val="left"/>
        <w:rPr>
          <w:rFonts w:hint="eastAsia"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详细操作指引见“采易招”电子采购与招标平台</w:t>
      </w:r>
      <w:r>
        <w:rPr>
          <w:rFonts w:hint="eastAsia" w:asciiTheme="majorEastAsia" w:hAnsiTheme="majorEastAsia" w:eastAsiaTheme="majorEastAsia"/>
          <w:sz w:val="24"/>
          <w:szCs w:val="24"/>
          <w:highlight w:val="none"/>
          <w:lang w:eastAsia="zh-CN"/>
        </w:rPr>
        <w:t>（</w:t>
      </w:r>
      <w:r>
        <w:rPr>
          <w:rFonts w:hint="eastAsia" w:asciiTheme="majorEastAsia" w:hAnsiTheme="majorEastAsia" w:eastAsiaTheme="majorEastAsia"/>
          <w:sz w:val="24"/>
          <w:szCs w:val="24"/>
          <w:highlight w:val="none"/>
        </w:rPr>
        <w:t>https://www.gpdi.com/homepage</w:t>
      </w:r>
      <w:r>
        <w:rPr>
          <w:rFonts w:hint="eastAsia" w:asciiTheme="majorEastAsia" w:hAnsiTheme="majorEastAsia" w:eastAsiaTheme="majorEastAsia"/>
          <w:sz w:val="24"/>
          <w:szCs w:val="24"/>
          <w:highlight w:val="none"/>
          <w:lang w:eastAsia="zh-CN"/>
        </w:rPr>
        <w:t>）</w:t>
      </w:r>
      <w:r>
        <w:rPr>
          <w:rFonts w:hint="eastAsia" w:asciiTheme="majorEastAsia" w:hAnsiTheme="majorEastAsia" w:eastAsiaTheme="majorEastAsia"/>
          <w:sz w:val="24"/>
          <w:szCs w:val="24"/>
          <w:highlight w:val="none"/>
        </w:rPr>
        <w:t>--服务指南--供应商操作手册）后，点击“我要报名”找到相应的项目进行登记，并进行报名材料上传及支付、文件的自助获取。</w:t>
      </w:r>
    </w:p>
    <w:p w14:paraId="429C19A8">
      <w:pPr>
        <w:spacing w:line="360" w:lineRule="auto"/>
        <w:ind w:firstLine="480" w:firstLineChars="200"/>
        <w:rPr>
          <w:rFonts w:hint="eastAsia"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注</w:t>
      </w:r>
      <w:r>
        <w:rPr>
          <w:rFonts w:hint="eastAsia" w:asciiTheme="majorEastAsia" w:hAnsiTheme="majorEastAsia" w:eastAsiaTheme="majorEastAsia"/>
          <w:sz w:val="24"/>
          <w:szCs w:val="24"/>
          <w:highlight w:val="none"/>
          <w:lang w:eastAsia="zh-CN"/>
        </w:rPr>
        <w:t>：</w:t>
      </w:r>
      <w:r>
        <w:rPr>
          <w:rFonts w:hint="eastAsia" w:asciiTheme="majorEastAsia" w:hAnsiTheme="majorEastAsia" w:eastAsiaTheme="majorEastAsia"/>
          <w:sz w:val="24"/>
          <w:szCs w:val="24"/>
          <w:highlight w:val="none"/>
        </w:rPr>
        <w:t>“采易招”IT 支撑QQ:2604586483（工作日9:00-12:00，下午2:30-5:30），该QQ仅解决“采易</w:t>
      </w:r>
      <w:r>
        <w:rPr>
          <w:rFonts w:asciiTheme="majorEastAsia" w:hAnsiTheme="majorEastAsia" w:eastAsiaTheme="majorEastAsia"/>
          <w:sz w:val="24"/>
          <w:szCs w:val="24"/>
          <w:highlight w:val="none"/>
        </w:rPr>
        <w:t>招</w:t>
      </w:r>
      <w:r>
        <w:rPr>
          <w:rFonts w:hint="eastAsia" w:asciiTheme="majorEastAsia" w:hAnsiTheme="majorEastAsia" w:eastAsiaTheme="majorEastAsia"/>
          <w:sz w:val="24"/>
          <w:szCs w:val="24"/>
          <w:highlight w:val="none"/>
        </w:rPr>
        <w:t>”系统问题，业务相关问题请详询公告“八、对本次采购提出询问，请按以下方式联系。”中的联系。</w:t>
      </w:r>
    </w:p>
    <w:p w14:paraId="7991086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14:paraId="4BFBAD4F">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售价：500元，本</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公告包含的采购文件售价总和。</w:t>
      </w:r>
    </w:p>
    <w:p w14:paraId="1134868B">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271A49FB">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14:textFill>
            <w14:solidFill>
              <w14:schemeClr w14:val="tx1"/>
            </w14:solidFill>
          </w14:textFill>
        </w:rPr>
        <w:t>1</w:t>
      </w:r>
      <w:r>
        <w:rPr>
          <w:rFonts w:hint="eastAsia"/>
          <w:color w:val="000000" w:themeColor="text1"/>
          <w:highlight w:val="none"/>
          <w:u w:val="single"/>
          <w:lang w:val="en-US" w:eastAsia="zh-CN"/>
          <w14:textFill>
            <w14:solidFill>
              <w14:schemeClr w14:val="tx1"/>
            </w14:solidFill>
          </w14:textFill>
        </w:rPr>
        <w:t>2</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3</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14:textFill>
            <w14:solidFill>
              <w14:schemeClr w14:val="tx1"/>
            </w14:solidFill>
          </w14:textFill>
        </w:rPr>
        <w:t>00</w:t>
      </w:r>
      <w:r>
        <w:rPr>
          <w:color w:val="000000" w:themeColor="text1"/>
          <w:highlight w:val="none"/>
          <w:u w:val="single"/>
          <w14:textFill>
            <w14:solidFill>
              <w14:schemeClr w14:val="tx1"/>
            </w14:solidFill>
          </w14:textFill>
        </w:rPr>
        <w:t>分；</w:t>
      </w:r>
    </w:p>
    <w:p w14:paraId="3694E09A">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14:textFill>
            <w14:solidFill>
              <w14:schemeClr w14:val="tx1"/>
            </w14:solidFill>
          </w14:textFill>
        </w:rPr>
        <w:t>1</w:t>
      </w:r>
      <w:r>
        <w:rPr>
          <w:rFonts w:hint="eastAsia"/>
          <w:color w:val="000000" w:themeColor="text1"/>
          <w:highlight w:val="none"/>
          <w:u w:val="single"/>
          <w:lang w:val="en-US" w:eastAsia="zh-CN"/>
          <w14:textFill>
            <w14:solidFill>
              <w14:schemeClr w14:val="tx1"/>
            </w14:solidFill>
          </w14:textFill>
        </w:rPr>
        <w:t>2</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3</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14:textFill>
            <w14:solidFill>
              <w14:schemeClr w14:val="tx1"/>
            </w14:solidFill>
          </w14:textFill>
        </w:rPr>
        <w:t>30</w:t>
      </w:r>
      <w:r>
        <w:rPr>
          <w:color w:val="000000" w:themeColor="text1"/>
          <w:highlight w:val="none"/>
          <w:u w:val="single"/>
          <w14:textFill>
            <w14:solidFill>
              <w14:schemeClr w14:val="tx1"/>
            </w14:solidFill>
          </w14:textFill>
        </w:rPr>
        <w:t>分。</w:t>
      </w:r>
    </w:p>
    <w:p w14:paraId="08793330">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地点：南京市</w:t>
      </w:r>
      <w:r>
        <w:rPr>
          <w:rFonts w:hint="eastAsia"/>
          <w:color w:val="000000" w:themeColor="text1"/>
          <w:highlight w:val="none"/>
          <w14:textFill>
            <w14:solidFill>
              <w14:schemeClr w14:val="tx1"/>
            </w14:solidFill>
          </w14:textFill>
        </w:rPr>
        <w:t>浦口区万寿路149号万象企业中心B 12栋9楼会议室一</w:t>
      </w:r>
    </w:p>
    <w:p w14:paraId="2CAD779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仪式。</w:t>
      </w:r>
    </w:p>
    <w:p w14:paraId="15D22D82">
      <w:pPr>
        <w:pStyle w:val="17"/>
        <w:numPr>
          <w:ilvl w:val="0"/>
          <w:numId w:val="2"/>
        </w:numPr>
        <w:spacing w:line="360" w:lineRule="auto"/>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p>
    <w:p w14:paraId="3B28908B">
      <w:pPr>
        <w:pStyle w:val="17"/>
        <w:spacing w:line="360" w:lineRule="auto"/>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自本公告发布之日起5日。</w:t>
      </w:r>
    </w:p>
    <w:p w14:paraId="1E3E06CE">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4C97CC4D">
      <w:pPr>
        <w:pStyle w:val="17"/>
        <w:numPr>
          <w:ilvl w:val="0"/>
          <w:numId w:val="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14:paraId="76857A0A">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14:paraId="79A7CA3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35049DAE">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0D21FB00">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采购人信息</w:t>
      </w:r>
    </w:p>
    <w:p w14:paraId="6BA6D9D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14:paraId="7B00A2D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14:paraId="6274DF4F">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14:paraId="38A7D09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14:paraId="18FAD4A1">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采购代理机构信息</w:t>
      </w:r>
    </w:p>
    <w:p w14:paraId="69BBE3C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 广东省电信规划设计院有限公司</w:t>
      </w:r>
    </w:p>
    <w:p w14:paraId="681F1BF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w:t>
      </w:r>
      <w:r>
        <w:rPr>
          <w:rFonts w:hint="eastAsia"/>
          <w:color w:val="000000" w:themeColor="text1"/>
          <w:highlight w:val="none"/>
          <w14:textFill>
            <w14:solidFill>
              <w14:schemeClr w14:val="tx1"/>
            </w14:solidFill>
          </w14:textFill>
        </w:rPr>
        <w:t>南京市浦口区万寿路149号万象企业中心B12栋9楼</w:t>
      </w:r>
    </w:p>
    <w:p w14:paraId="0C80D389">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13901582163</w:t>
      </w:r>
    </w:p>
    <w:p w14:paraId="453FEB76">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项目联系方式</w:t>
      </w:r>
    </w:p>
    <w:p w14:paraId="4038ECA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项目联系人： 卜彩霞</w:t>
      </w:r>
      <w:r>
        <w:rPr>
          <w:rFonts w:hint="eastAsia"/>
          <w:color w:val="000000" w:themeColor="text1"/>
          <w:highlight w:val="none"/>
          <w14:textFill>
            <w14:solidFill>
              <w14:schemeClr w14:val="tx1"/>
            </w14:solidFill>
          </w14:textFill>
        </w:rPr>
        <w:t>、王永琰、</w:t>
      </w:r>
      <w:r>
        <w:rPr>
          <w:color w:val="000000" w:themeColor="text1"/>
          <w:highlight w:val="none"/>
          <w14:textFill>
            <w14:solidFill>
              <w14:schemeClr w14:val="tx1"/>
            </w14:solidFill>
          </w14:textFill>
        </w:rPr>
        <w:t>蒋卫林</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徐康康</w:t>
      </w:r>
    </w:p>
    <w:p w14:paraId="62DB93E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电话：</w:t>
      </w:r>
      <w:r>
        <w:rPr>
          <w:rFonts w:hint="eastAsia"/>
          <w:color w:val="000000" w:themeColor="text1"/>
          <w:highlight w:val="none"/>
          <w14:textFill>
            <w14:solidFill>
              <w14:schemeClr w14:val="tx1"/>
            </w14:solidFill>
          </w14:textFill>
        </w:rPr>
        <w:t>13901582163</w:t>
      </w:r>
    </w:p>
    <w:p w14:paraId="1CC567C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35393796"/>
      <w:bookmarkStart w:id="3" w:name="_Toc28359008"/>
      <w:bookmarkStart w:id="4" w:name="_Toc28359085"/>
      <w:bookmarkStart w:id="5" w:name="_Toc35393627"/>
    </w:p>
    <w:bookmarkEnd w:id="2"/>
    <w:bookmarkEnd w:id="3"/>
    <w:bookmarkEnd w:id="4"/>
    <w:bookmarkEnd w:id="5"/>
    <w:p w14:paraId="5C2AD784">
      <w:pPr>
        <w:spacing w:line="360" w:lineRule="auto"/>
        <w:rPr>
          <w:rFonts w:hint="eastAsia" w:ascii="宋体" w:hAnsi="宋体" w:cs="黑体"/>
          <w:color w:val="000000" w:themeColor="text1"/>
          <w:sz w:val="36"/>
          <w:highlight w:val="none"/>
          <w14:textFill>
            <w14:solidFill>
              <w14:schemeClr w14:val="tx1"/>
            </w14:solidFill>
          </w14:textFill>
        </w:rPr>
      </w:pPr>
      <w:r>
        <w:rPr>
          <w:rFonts w:ascii="宋体" w:hAnsi="宋体" w:cs="黑体"/>
          <w:color w:val="000000" w:themeColor="text1"/>
          <w:sz w:val="36"/>
          <w:highlight w:val="none"/>
          <w14:textFill>
            <w14:solidFill>
              <w14:schemeClr w14:val="tx1"/>
            </w14:solidFill>
          </w14:textFill>
        </w:rPr>
        <w:br w:type="page"/>
      </w:r>
    </w:p>
    <w:p w14:paraId="729AD2D1">
      <w:pPr>
        <w:pStyle w:val="2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第二章  </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w:t>
      </w:r>
    </w:p>
    <w:p w14:paraId="3896A366">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14:paraId="0607431F">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14:paraId="5FA69F2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w:t>
      </w:r>
      <w:r>
        <w:rPr>
          <w:color w:val="000000" w:themeColor="text1"/>
          <w:highlight w:val="none"/>
          <w14:textFill>
            <w14:solidFill>
              <w14:schemeClr w14:val="tx1"/>
            </w14:solidFill>
          </w14:textFill>
        </w:rPr>
        <w:t>《南京邮电大学校内集中采购管理实施细则 （试行）》（校发〔2023〕39号）《南京邮电大学采购项目质疑答复和投诉处理实施细则（试行）》（校发〔2023〕38号）等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14:paraId="163573EA">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14:paraId="1BACA76F">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14:paraId="49A0157B">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是指本采购文件中所述相关</w:t>
      </w: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w:t>
      </w:r>
    </w:p>
    <w:p w14:paraId="1D64E674">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用户或使用单位</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是指接受服务的单位。</w:t>
      </w:r>
    </w:p>
    <w:p w14:paraId="42E9B0A7">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14:paraId="1A2ADF92">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14:paraId="79CFA2E7">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14:paraId="2DA960F8">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55F9D70B">
      <w:pPr>
        <w:pStyle w:val="17"/>
        <w:widowControl/>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14:paraId="6CBBAFBD">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14:paraId="7751D154">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14:paraId="18D88478">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14:paraId="455EBA4C">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14:paraId="5E1DD31E">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14:paraId="39391A1D">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14:paraId="5EAB99CF">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78387AC7">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14:paraId="29CB29AB">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14:paraId="720A44E2">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14:paraId="0F01820C">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14:paraId="47E6C839">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14:paraId="7B9BFF95">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2AA8DEE8">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2B7C33CA">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14:paraId="56DB8720">
      <w:pPr>
        <w:pStyle w:val="17"/>
        <w:numPr>
          <w:ilvl w:val="0"/>
          <w:numId w:val="12"/>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14:paraId="3EDBC00D">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14:paraId="0F637C01">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采购代理服务费按照国家发展和改革委员会下发的《关于降低部分建设项目收费标准规范收费行为等有关问题的通知》（发改价格</w:t>
      </w:r>
      <w:r>
        <w:rPr>
          <w:rFonts w:hint="eastAsia"/>
          <w:color w:val="000000" w:themeColor="text1"/>
          <w:highlight w:val="none"/>
          <w14:textFill>
            <w14:solidFill>
              <w14:schemeClr w14:val="tx1"/>
            </w14:solidFill>
          </w14:textFill>
        </w:rPr>
        <w:t>〔2011〕</w:t>
      </w:r>
      <w:r>
        <w:rPr>
          <w:color w:val="000000" w:themeColor="text1"/>
          <w:highlight w:val="none"/>
          <w14:textFill>
            <w14:solidFill>
              <w14:schemeClr w14:val="tx1"/>
            </w14:solidFill>
          </w14:textFill>
        </w:rPr>
        <w:t>534 号）所列采购代理服务费收费标准下浮</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58</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%（优惠率）收取。代理服务费包括所供服务相关的所有费用，工程类采购代理项目报价包含编制工程量清单、确定</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控制价等所有费用。</w:t>
      </w:r>
    </w:p>
    <w:p w14:paraId="7698FE90">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666AD019">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采购代理服务费按项目结算，由采购代理服务商向具体项目的成交单位收取。</w:t>
      </w:r>
      <w:r>
        <w:rPr>
          <w:rFonts w:hint="eastAsia"/>
          <w:color w:val="000000" w:themeColor="text1"/>
          <w:highlight w:val="none"/>
          <w14:textFill>
            <w14:solidFill>
              <w14:schemeClr w14:val="tx1"/>
            </w14:solidFill>
          </w14:textFill>
        </w:rPr>
        <w:t>成交供应商须在领取成交通知书前，向采购代理机构一次性缴清采购代理服务费。</w:t>
      </w:r>
    </w:p>
    <w:p w14:paraId="2ABE3D9A">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14:paraId="5F4E13B6">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515713FE">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14:paraId="14A6E02D">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14:paraId="60F2DD3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 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14:paraId="601D49AA">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14:paraId="5E9FF1EC">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w:t>
      </w:r>
      <w:r>
        <w:rPr>
          <w:rFonts w:hint="eastAsia"/>
          <w:color w:val="000000" w:themeColor="text1"/>
          <w:highlight w:val="none"/>
          <w:lang w:val="en-US" w:eastAsia="zh-CN"/>
          <w14:textFill>
            <w14:solidFill>
              <w14:schemeClr w14:val="tx1"/>
            </w14:solidFill>
          </w14:textFill>
        </w:rPr>
        <w:t>被授权人</w:t>
      </w:r>
      <w:r>
        <w:rPr>
          <w:color w:val="000000" w:themeColor="text1"/>
          <w:highlight w:val="none"/>
          <w14:textFill>
            <w14:solidFill>
              <w14:schemeClr w14:val="tx1"/>
            </w14:solidFill>
          </w14:textFill>
        </w:rPr>
        <w:t>的身份证复印件（有授权委托的），或法定代表人身份证复印件（无授权委托的）；</w:t>
      </w:r>
    </w:p>
    <w:p w14:paraId="3910CB8B">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545D610C">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14:paraId="1D60E320">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14:paraId="28F60D55">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14:paraId="026A2D08">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14:paraId="3E4E3365">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14:paraId="591678F7">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14:paraId="4E2B9351">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14:paraId="78BF605E">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14:paraId="60E0DD19">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14:paraId="2D8EF81A">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14:paraId="60D0C620">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14:paraId="444D9ACF">
      <w:pPr>
        <w:pStyle w:val="17"/>
        <w:widowControl/>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14:paraId="7038C13A">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14:paraId="4C59B998">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14:paraId="2931C8DF">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75F3E5E1">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14:paraId="28C6E4E5">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14:paraId="7147FE47">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14:paraId="71F2E8D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14:paraId="0EDC8F40">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14:paraId="3E7054CE">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14:paraId="76723268">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十日内响应有效。</w:t>
      </w:r>
    </w:p>
    <w:p w14:paraId="1604BC3D">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4EB63EC2">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p>
    <w:p w14:paraId="40928712">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14:paraId="50549B46">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8D5AF2F">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14:paraId="18AE875A">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14:paraId="7A8B4309">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14:paraId="4B97AB14">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14:paraId="148AED05">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14:paraId="30B3889F">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14:paraId="728D1141">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14:paraId="28DBCE1F">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14:paraId="137F3722">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1272CBDA">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14:paraId="59031C05">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14:paraId="6756E400">
      <w:pPr>
        <w:pStyle w:val="17"/>
        <w:numPr>
          <w:ilvl w:val="0"/>
          <w:numId w:val="26"/>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14:paraId="0B75BB54">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14:paraId="3EA04B80">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267D3A01">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14:paraId="2D26FD4C">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14:paraId="4BD02AA5">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14:paraId="0C00D436">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14:paraId="16D9CE0C">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3CC25F34">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highlight w:val="none"/>
          <w14:textFill>
            <w14:solidFill>
              <w14:schemeClr w14:val="tx1"/>
            </w14:solidFill>
          </w14:textFill>
        </w:rPr>
        <w:t>其</w:t>
      </w:r>
      <w:r>
        <w:rPr>
          <w:color w:val="000000" w:themeColor="text1"/>
          <w:highlight w:val="none"/>
          <w14:textFill>
            <w14:solidFill>
              <w14:schemeClr w14:val="tx1"/>
            </w14:solidFill>
          </w14:textFill>
        </w:rPr>
        <w:t>响应无效。</w:t>
      </w:r>
    </w:p>
    <w:p w14:paraId="07CB1441">
      <w:pPr>
        <w:pStyle w:val="17"/>
        <w:numPr>
          <w:ilvl w:val="0"/>
          <w:numId w:val="27"/>
        </w:numPr>
        <w:spacing w:line="360" w:lineRule="auto"/>
        <w:ind w:firstLine="420"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14:paraId="14D4A43C">
      <w:pPr>
        <w:pStyle w:val="17"/>
        <w:numPr>
          <w:ilvl w:val="0"/>
          <w:numId w:val="27"/>
        </w:numPr>
        <w:spacing w:line="360" w:lineRule="auto"/>
        <w:ind w:firstLine="420"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w:t>
      </w:r>
    </w:p>
    <w:p w14:paraId="3CAD4220">
      <w:pPr>
        <w:pStyle w:val="17"/>
        <w:spacing w:line="360" w:lineRule="auto"/>
        <w:ind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19.10.1</w:t>
      </w:r>
      <w:r>
        <w:rPr>
          <w:rFonts w:hint="eastAsia"/>
          <w:color w:val="000000" w:themeColor="text1"/>
          <w:highlight w:val="none"/>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5DCEA588">
      <w:pPr>
        <w:pStyle w:val="17"/>
        <w:spacing w:line="360" w:lineRule="auto"/>
        <w:ind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19.10.2</w:t>
      </w:r>
      <w:r>
        <w:rPr>
          <w:rFonts w:hint="eastAsia"/>
          <w:color w:val="000000" w:themeColor="text1"/>
          <w:highlight w:val="none"/>
          <w14:textFill>
            <w14:solidFill>
              <w14:schemeClr w14:val="tx1"/>
            </w14:solidFill>
          </w14:textFill>
        </w:rPr>
        <w:t>除1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所列两个条件的，可转为单一来源方式采购。</w:t>
      </w:r>
    </w:p>
    <w:p w14:paraId="5BB13F6D">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9.11</w:t>
      </w:r>
      <w:r>
        <w:rPr>
          <w:rFonts w:hint="eastAsia"/>
          <w:color w:val="000000" w:themeColor="text1"/>
          <w:highlight w:val="none"/>
          <w14:textFill>
            <w14:solidFill>
              <w14:schemeClr w14:val="tx1"/>
            </w14:solidFill>
          </w14:textFill>
        </w:rPr>
        <w:t>相同品牌产品</w:t>
      </w:r>
    </w:p>
    <w:p w14:paraId="39DB1D74">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2605B15A">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437184BD">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非单一产品采购项目，采购文件中将载明其中的核心产品，核心产品见《第四章 项目需求》。多家供应商提供的核心产品品牌相同的，按前两款规定处理。</w:t>
      </w:r>
    </w:p>
    <w:p w14:paraId="74FE2597">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14:paraId="54F51760">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14:paraId="598EB216">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评审工作由代理机构组织，具体评审事务由依法组建的评审委员会负责，并独立履行下列职责：</w:t>
      </w:r>
    </w:p>
    <w:p w14:paraId="5252EBA1">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14:paraId="52266012">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14:paraId="2540718D">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14:paraId="3450EDFD">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14:paraId="1FC6CC7E">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14:paraId="289FBF7D">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评审委员会由采购人代表和有关技术、经济等方面的专家组成，独立开展评审工作。</w:t>
      </w:r>
    </w:p>
    <w:p w14:paraId="1381DD5A">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14:paraId="78158F59">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响应文件的资格审查</w:t>
      </w:r>
    </w:p>
    <w:p w14:paraId="6E293860">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依法对供应商的资格进行审查。</w:t>
      </w:r>
    </w:p>
    <w:p w14:paraId="3E649C35">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依据法律法规和采购文件的规定，对响应文件中的资格证明文件等进行审查，以确定供应商是否具备响应资格。</w:t>
      </w:r>
    </w:p>
    <w:p w14:paraId="34C9754C">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在进行资格性审查的同时，将在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网站（www.creditchina.gov.cn）、对供应商是否被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网站（www.creditchina.gov.cn）列入失信被执行人、重大税收违法失信主体、严重违法失信行为记录名单进行查询，以确定供应商是否具备响应资格。查询结果将以网页打印的形式留存并归档。</w:t>
      </w:r>
    </w:p>
    <w:p w14:paraId="2FA5A87F">
      <w:pPr>
        <w:pStyle w:val="17"/>
        <w:widowControl/>
        <w:numPr>
          <w:ilvl w:val="0"/>
          <w:numId w:val="3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响应文件有下列情况之一的，在资格审查时按照无效响应处理</w:t>
      </w:r>
    </w:p>
    <w:p w14:paraId="013DD959">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不具备采购文件规定资格条件的；</w:t>
      </w:r>
    </w:p>
    <w:p w14:paraId="3CC7CA34">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7A50070">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14:paraId="700E9BEE">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7B80F218">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14:paraId="1CD46DA5">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1C7F0E36">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14:paraId="5150FB18">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未按照采购文件规定的要求密封、签署、盖章的；</w:t>
      </w:r>
    </w:p>
    <w:p w14:paraId="2ABD9A84">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不具备采购文件中规定的资格要求的；</w:t>
      </w:r>
    </w:p>
    <w:p w14:paraId="46DD88C7">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14:paraId="3BD5176E">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14:paraId="78F0A854">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14:paraId="4376A8C2">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3A34F943">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14:paraId="1D4B5091">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.2.2.6有下列情形之一的予以废标，同时将废标理由通知所有供应商</w:t>
      </w:r>
    </w:p>
    <w:p w14:paraId="6D5E7A41">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w:t>
      </w:r>
      <w:r>
        <w:rPr>
          <w:rFonts w:hint="eastAsia"/>
          <w:color w:val="000000" w:themeColor="text1"/>
          <w:highlight w:val="none"/>
          <w14:textFill>
            <w14:solidFill>
              <w14:schemeClr w14:val="tx1"/>
            </w14:solidFill>
          </w14:textFill>
        </w:rPr>
        <w:t>19.10</w:t>
      </w:r>
      <w:r>
        <w:rPr>
          <w:color w:val="000000" w:themeColor="text1"/>
          <w:highlight w:val="none"/>
          <w14:textFill>
            <w14:solidFill>
              <w14:schemeClr w14:val="tx1"/>
            </w14:solidFill>
          </w14:textFill>
        </w:rPr>
        <w:t>中规定的情形外，符合资格条件的供应商或者对采购文件作实质性响应的供应商不足三家的；</w:t>
      </w:r>
    </w:p>
    <w:p w14:paraId="5C84F690">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14:paraId="73F3E254">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14:paraId="6E3E9F8F">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14:paraId="737C1247">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14:paraId="79D62C32">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评审委员会将对确定为实质性响应的响应文件进行进一步评审，看其是否有计算上或累加上的算术错误，修正错误的原则如下：</w:t>
      </w:r>
    </w:p>
    <w:p w14:paraId="286A647D">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14:paraId="149DDFA9">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079A1E7B">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3E8FFE1F">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3514AFE6">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w:t>
      </w:r>
      <w:r>
        <w:rPr>
          <w:rFonts w:hint="eastAsia"/>
          <w:color w:val="000000" w:themeColor="text1"/>
          <w:highlight w:val="none"/>
          <w:lang w:val="en-US" w:eastAsia="zh-CN"/>
          <w14:textFill>
            <w14:solidFill>
              <w14:schemeClr w14:val="tx1"/>
            </w14:solidFill>
          </w14:textFill>
        </w:rPr>
        <w:t>被授权人</w:t>
      </w:r>
      <w:r>
        <w:rPr>
          <w:color w:val="000000" w:themeColor="text1"/>
          <w:highlight w:val="none"/>
          <w14:textFill>
            <w14:solidFill>
              <w14:schemeClr w14:val="tx1"/>
            </w14:solidFill>
          </w14:textFill>
        </w:rPr>
        <w:t>签字，但不得超出响应文件的范围或者改变响应文件的实质性内容。</w:t>
      </w:r>
    </w:p>
    <w:p w14:paraId="75ACCCB7">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14:paraId="0136713C">
      <w:pPr>
        <w:pStyle w:val="17"/>
        <w:widowControl/>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14:paraId="20A2BBE1">
      <w:pPr>
        <w:pStyle w:val="17"/>
        <w:widowControl/>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14:paraId="1E0E593E">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14:paraId="27826ED6">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14:paraId="51E2D8A0">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14:paraId="069D6242">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14:paraId="5ECF3DF7">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评审委员会直接确定排名第一的成交候选人为成交供应商；</w:t>
      </w:r>
    </w:p>
    <w:p w14:paraId="4F890B37">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采购人项目单位在评审委员会推荐的成交候选人中按顺序确定成交供应商。</w:t>
      </w:r>
    </w:p>
    <w:p w14:paraId="578018B1">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684024BA">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14:paraId="7FCDD905">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14:paraId="170B92C6">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14:paraId="320A7672">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代理机构和评审委员会对未成交的供应商不作未成交原因的解释。</w:t>
      </w:r>
    </w:p>
    <w:p w14:paraId="566EB5F3">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14:paraId="70471081">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14:paraId="71510DE9">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评审委员会根据全体评审成员签字的原始评审记录和评审结果编写评审报告。</w:t>
      </w:r>
    </w:p>
    <w:p w14:paraId="4D8F96F5">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14:paraId="189F23D3">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14:paraId="2C2E21EE">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14:paraId="00D87DDC">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14:paraId="0C60FE99">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14:paraId="0013E45E">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14:paraId="162C8C48">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460E62BD">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30EEBB78">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519AA93C">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355B36F1">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14:paraId="075794B8">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14:paraId="45F1102A">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14:paraId="4C05F360">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1B5674B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5EC8EF04">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14:paraId="5D86586C">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14:paraId="05FB1DA0">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14:paraId="0DAC364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14:paraId="22AC0423">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14:paraId="3C27763A">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14:paraId="50EF5BCC">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14:paraId="09A17AF4">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14:paraId="12F68DF4">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14:paraId="17B07CAB">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14:paraId="68AB7A58">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14:paraId="15817416">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14:paraId="224F3BF9">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14:paraId="54BC79FA">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5DA04057">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14:paraId="67D11F3F">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14:paraId="5CA8A554">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w:t>
      </w:r>
      <w:r>
        <w:rPr>
          <w:rFonts w:hint="eastAsia"/>
          <w:color w:val="000000" w:themeColor="text1"/>
          <w:highlight w:val="none"/>
          <w:lang w:val="en-US" w:eastAsia="zh-CN"/>
          <w14:textFill>
            <w14:solidFill>
              <w14:schemeClr w14:val="tx1"/>
            </w14:solidFill>
          </w14:textFill>
        </w:rPr>
        <w:t>被授权人</w:t>
      </w:r>
      <w:r>
        <w:rPr>
          <w:color w:val="000000" w:themeColor="text1"/>
          <w:highlight w:val="none"/>
          <w14:textFill>
            <w14:solidFill>
              <w14:schemeClr w14:val="tx1"/>
            </w14:solidFill>
          </w14:textFill>
        </w:rPr>
        <w:t>签字或者盖章，并加盖公章。</w:t>
      </w:r>
    </w:p>
    <w:p w14:paraId="4CDB6181">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14:paraId="17387179">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14:paraId="6B66001A">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14:paraId="431EDAC8">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14:paraId="11BC15E2">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14:paraId="77A02FCD">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14:paraId="5756CE39">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14:paraId="38323933">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14:paraId="79C920DB">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14:paraId="33FE6EC4">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质疑供应商对代理机构的答复不满意，或者代理机构未在规定时间内作出答复的，可</w:t>
      </w:r>
      <w:r>
        <w:rPr>
          <w:rFonts w:hint="eastAsia"/>
          <w:color w:val="000000" w:themeColor="text1"/>
          <w:highlight w:val="none"/>
          <w14:textFill>
            <w14:solidFill>
              <w14:schemeClr w14:val="tx1"/>
            </w14:solidFill>
          </w14:textFill>
        </w:rPr>
        <w:t>可以在答复期满后10日内</w:t>
      </w:r>
      <w:r>
        <w:rPr>
          <w:color w:val="000000" w:themeColor="text1"/>
          <w:highlight w:val="none"/>
          <w14:textFill>
            <w14:solidFill>
              <w14:schemeClr w14:val="tx1"/>
            </w14:solidFill>
          </w14:textFill>
        </w:rPr>
        <w:t>向有关行政监督部门提起投诉。</w:t>
      </w:r>
    </w:p>
    <w:p w14:paraId="42EC1CC3">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14:paraId="77182A38">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14:paraId="7518AE30">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14:paraId="4EDF4D6A">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14:paraId="67A9BD96">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75DB1AC6">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14:paraId="719F24B9">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14:paraId="0150C4B9">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w:t>
      </w:r>
      <w:r>
        <w:rPr>
          <w:rFonts w:hint="eastAsia"/>
          <w:color w:val="000000" w:themeColor="text1"/>
          <w:highlight w:val="none"/>
          <w:lang w:val="en-US" w:eastAsia="zh-CN"/>
          <w14:textFill>
            <w14:solidFill>
              <w14:schemeClr w14:val="tx1"/>
            </w14:solidFill>
          </w14:textFill>
        </w:rPr>
        <w:t>被</w:t>
      </w:r>
      <w:r>
        <w:rPr>
          <w:color w:val="000000" w:themeColor="text1"/>
          <w:highlight w:val="none"/>
          <w14:textFill>
            <w14:solidFill>
              <w14:schemeClr w14:val="tx1"/>
            </w14:solidFill>
          </w14:textFill>
        </w:rPr>
        <w:t>授权</w:t>
      </w:r>
      <w:r>
        <w:rPr>
          <w:rFonts w:hint="eastAsia"/>
          <w:color w:val="000000" w:themeColor="text1"/>
          <w:highlight w:val="none"/>
          <w:lang w:val="en-US" w:eastAsia="zh-CN"/>
          <w14:textFill>
            <w14:solidFill>
              <w14:schemeClr w14:val="tx1"/>
            </w14:solidFill>
          </w14:textFill>
        </w:rPr>
        <w:t>人</w:t>
      </w:r>
      <w:r>
        <w:rPr>
          <w:color w:val="000000" w:themeColor="text1"/>
          <w:highlight w:val="none"/>
          <w14:textFill>
            <w14:solidFill>
              <w14:schemeClr w14:val="tx1"/>
            </w14:solidFill>
          </w14:textFill>
        </w:rPr>
        <w:t>签字或者盖章，并加盖公章。</w:t>
      </w:r>
    </w:p>
    <w:p w14:paraId="129795E5">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14:paraId="5C5E3DDE">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14:paraId="26786486">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73B53601">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09E5AF97">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14:paraId="1D88FE35">
      <w:pPr>
        <w:pStyle w:val="2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  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14:paraId="2B8D0B8D">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14:paraId="5D00E0F6">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14:paraId="05C314D0">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28022211">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p w14:paraId="410013D9">
      <w:pPr>
        <w:spacing w:line="360" w:lineRule="auto"/>
        <w:rPr>
          <w:rFonts w:hint="eastAsia" w:ascii="宋体" w:hAnsi="宋体"/>
          <w:b/>
          <w:bCs/>
          <w:highlight w:val="none"/>
        </w:rPr>
      </w:pPr>
      <w:r>
        <w:rPr>
          <w:rFonts w:hint="eastAsia" w:ascii="宋体" w:hAnsi="宋体"/>
          <w:b/>
          <w:bCs/>
          <w:highlight w:val="none"/>
        </w:rPr>
        <w:t>2.1初步评审</w:t>
      </w:r>
    </w:p>
    <w:tbl>
      <w:tblPr>
        <w:tblStyle w:val="45"/>
        <w:tblW w:w="9247" w:type="dxa"/>
        <w:tblInd w:w="0" w:type="dxa"/>
        <w:tblLayout w:type="fixed"/>
        <w:tblCellMar>
          <w:top w:w="0" w:type="dxa"/>
          <w:left w:w="108" w:type="dxa"/>
          <w:bottom w:w="0" w:type="dxa"/>
          <w:right w:w="108" w:type="dxa"/>
        </w:tblCellMar>
      </w:tblPr>
      <w:tblGrid>
        <w:gridCol w:w="796"/>
        <w:gridCol w:w="2436"/>
        <w:gridCol w:w="6015"/>
      </w:tblGrid>
      <w:tr w14:paraId="77F5A828">
        <w:tblPrEx>
          <w:tblCellMar>
            <w:top w:w="0" w:type="dxa"/>
            <w:left w:w="108" w:type="dxa"/>
            <w:bottom w:w="0" w:type="dxa"/>
            <w:right w:w="108" w:type="dxa"/>
          </w:tblCellMar>
        </w:tblPrEx>
        <w:trPr>
          <w:trHeight w:val="454" w:hRule="atLeast"/>
          <w:tblHeader/>
        </w:trPr>
        <w:tc>
          <w:tcPr>
            <w:tcW w:w="3232" w:type="dxa"/>
            <w:gridSpan w:val="2"/>
            <w:tcBorders>
              <w:top w:val="single" w:color="auto" w:sz="8" w:space="0"/>
              <w:left w:val="single" w:color="auto" w:sz="8" w:space="0"/>
              <w:bottom w:val="single" w:color="auto" w:sz="8" w:space="0"/>
              <w:right w:val="single" w:color="000000" w:sz="8" w:space="0"/>
            </w:tcBorders>
            <w:vAlign w:val="center"/>
          </w:tcPr>
          <w:p w14:paraId="74E1A9FC">
            <w:pPr>
              <w:widowControl/>
              <w:ind w:left="218" w:leftChars="104"/>
              <w:jc w:val="center"/>
              <w:rPr>
                <w:rFonts w:hint="eastAsia" w:ascii="宋体" w:hAnsi="宋体" w:cs="宋体"/>
                <w:b/>
                <w:bCs/>
                <w:szCs w:val="21"/>
                <w:highlight w:val="none"/>
              </w:rPr>
            </w:pPr>
            <w:bookmarkStart w:id="6" w:name="_Hlk178325456"/>
            <w:r>
              <w:rPr>
                <w:rFonts w:hint="eastAsia" w:ascii="宋体" w:hAnsi="宋体" w:cs="宋体"/>
                <w:b/>
                <w:bCs/>
                <w:szCs w:val="21"/>
                <w:highlight w:val="none"/>
              </w:rPr>
              <w:t>评审因素</w:t>
            </w:r>
          </w:p>
        </w:tc>
        <w:tc>
          <w:tcPr>
            <w:tcW w:w="6015" w:type="dxa"/>
            <w:tcBorders>
              <w:top w:val="single" w:color="auto" w:sz="8" w:space="0"/>
              <w:left w:val="nil"/>
              <w:bottom w:val="single" w:color="auto" w:sz="8" w:space="0"/>
              <w:right w:val="single" w:color="auto" w:sz="8" w:space="0"/>
            </w:tcBorders>
            <w:vAlign w:val="center"/>
          </w:tcPr>
          <w:p w14:paraId="10431126">
            <w:pPr>
              <w:widowControl/>
              <w:jc w:val="center"/>
              <w:rPr>
                <w:rFonts w:hint="eastAsia" w:ascii="宋体" w:hAnsi="宋体" w:cs="宋体"/>
                <w:b/>
                <w:bCs/>
                <w:szCs w:val="21"/>
                <w:highlight w:val="none"/>
              </w:rPr>
            </w:pPr>
            <w:r>
              <w:rPr>
                <w:rFonts w:hint="eastAsia" w:ascii="宋体" w:hAnsi="宋体" w:cs="宋体"/>
                <w:b/>
                <w:bCs/>
                <w:szCs w:val="21"/>
                <w:highlight w:val="none"/>
              </w:rPr>
              <w:t>评审标准</w:t>
            </w:r>
          </w:p>
        </w:tc>
      </w:tr>
      <w:tr w14:paraId="76AE2F01">
        <w:tblPrEx>
          <w:tblCellMar>
            <w:top w:w="0" w:type="dxa"/>
            <w:left w:w="108" w:type="dxa"/>
            <w:bottom w:w="0" w:type="dxa"/>
            <w:right w:w="108" w:type="dxa"/>
          </w:tblCellMar>
        </w:tblPrEx>
        <w:trPr>
          <w:trHeight w:val="454" w:hRule="atLeast"/>
        </w:trPr>
        <w:tc>
          <w:tcPr>
            <w:tcW w:w="796" w:type="dxa"/>
            <w:vMerge w:val="restart"/>
            <w:tcBorders>
              <w:top w:val="nil"/>
              <w:left w:val="single" w:color="auto" w:sz="8" w:space="0"/>
              <w:bottom w:val="single" w:color="000000" w:sz="8" w:space="0"/>
              <w:right w:val="single" w:color="auto" w:sz="8" w:space="0"/>
            </w:tcBorders>
            <w:vAlign w:val="center"/>
          </w:tcPr>
          <w:p w14:paraId="26410011">
            <w:pPr>
              <w:widowControl/>
              <w:jc w:val="center"/>
              <w:rPr>
                <w:rFonts w:hint="eastAsia" w:ascii="宋体" w:hAnsi="宋体" w:cs="宋体"/>
                <w:szCs w:val="21"/>
                <w:highlight w:val="none"/>
              </w:rPr>
            </w:pPr>
            <w:r>
              <w:rPr>
                <w:rFonts w:hint="eastAsia" w:ascii="宋体" w:hAnsi="宋体" w:cs="宋体"/>
                <w:szCs w:val="21"/>
                <w:highlight w:val="none"/>
              </w:rPr>
              <w:t>形式评审</w:t>
            </w:r>
          </w:p>
        </w:tc>
        <w:tc>
          <w:tcPr>
            <w:tcW w:w="2436" w:type="dxa"/>
            <w:tcBorders>
              <w:top w:val="nil"/>
              <w:left w:val="nil"/>
              <w:bottom w:val="single" w:color="auto" w:sz="8" w:space="0"/>
              <w:right w:val="single" w:color="auto" w:sz="8" w:space="0"/>
            </w:tcBorders>
            <w:vAlign w:val="center"/>
          </w:tcPr>
          <w:p w14:paraId="26AC57A1">
            <w:pPr>
              <w:widowControl/>
              <w:jc w:val="center"/>
              <w:rPr>
                <w:rFonts w:hint="eastAsia" w:ascii="宋体" w:hAnsi="宋体" w:cs="宋体"/>
                <w:szCs w:val="21"/>
                <w:highlight w:val="none"/>
              </w:rPr>
            </w:pPr>
            <w:r>
              <w:rPr>
                <w:rFonts w:hint="eastAsia" w:ascii="宋体" w:hAnsi="宋体" w:cs="宋体"/>
                <w:szCs w:val="21"/>
                <w:highlight w:val="none"/>
              </w:rPr>
              <w:t>供应人名称</w:t>
            </w:r>
          </w:p>
        </w:tc>
        <w:tc>
          <w:tcPr>
            <w:tcW w:w="6015" w:type="dxa"/>
            <w:tcBorders>
              <w:top w:val="nil"/>
              <w:left w:val="nil"/>
              <w:bottom w:val="single" w:color="auto" w:sz="8" w:space="0"/>
              <w:right w:val="single" w:color="auto" w:sz="8" w:space="0"/>
            </w:tcBorders>
            <w:vAlign w:val="center"/>
          </w:tcPr>
          <w:p w14:paraId="3CAA91F5">
            <w:pPr>
              <w:widowControl/>
              <w:rPr>
                <w:rFonts w:hint="eastAsia" w:ascii="宋体" w:hAnsi="宋体" w:cs="宋体"/>
                <w:szCs w:val="21"/>
                <w:highlight w:val="none"/>
              </w:rPr>
            </w:pPr>
            <w:r>
              <w:rPr>
                <w:rFonts w:hint="eastAsia" w:ascii="宋体" w:hAnsi="宋体" w:cs="宋体"/>
                <w:szCs w:val="21"/>
                <w:highlight w:val="none"/>
              </w:rPr>
              <w:t>【与营业执照、资质证书一致】</w:t>
            </w:r>
          </w:p>
        </w:tc>
      </w:tr>
      <w:tr w14:paraId="661020FA">
        <w:tblPrEx>
          <w:tblCellMar>
            <w:top w:w="0" w:type="dxa"/>
            <w:left w:w="108" w:type="dxa"/>
            <w:bottom w:w="0" w:type="dxa"/>
            <w:right w:w="108" w:type="dxa"/>
          </w:tblCellMar>
        </w:tblPrEx>
        <w:trPr>
          <w:trHeight w:val="454" w:hRule="atLeast"/>
        </w:trPr>
        <w:tc>
          <w:tcPr>
            <w:tcW w:w="796" w:type="dxa"/>
            <w:vMerge w:val="continue"/>
            <w:tcBorders>
              <w:top w:val="nil"/>
              <w:left w:val="single" w:color="auto" w:sz="8" w:space="0"/>
              <w:bottom w:val="single" w:color="000000" w:sz="8" w:space="0"/>
              <w:right w:val="single" w:color="auto" w:sz="8" w:space="0"/>
            </w:tcBorders>
            <w:vAlign w:val="center"/>
          </w:tcPr>
          <w:p w14:paraId="134E32C0">
            <w:pPr>
              <w:widowControl/>
              <w:jc w:val="left"/>
              <w:rPr>
                <w:rFonts w:hint="eastAsia"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39FDAD1E">
            <w:pPr>
              <w:widowControl/>
              <w:jc w:val="center"/>
              <w:rPr>
                <w:rFonts w:hint="eastAsia" w:ascii="宋体" w:hAnsi="宋体" w:cs="宋体"/>
                <w:szCs w:val="21"/>
                <w:highlight w:val="none"/>
              </w:rPr>
            </w:pPr>
            <w:r>
              <w:rPr>
                <w:rFonts w:hint="eastAsia" w:ascii="宋体" w:hAnsi="宋体" w:cs="宋体"/>
                <w:szCs w:val="21"/>
                <w:highlight w:val="none"/>
              </w:rPr>
              <w:t>响应文件签字盖章</w:t>
            </w:r>
          </w:p>
        </w:tc>
        <w:tc>
          <w:tcPr>
            <w:tcW w:w="6015" w:type="dxa"/>
            <w:tcBorders>
              <w:top w:val="nil"/>
              <w:left w:val="nil"/>
              <w:bottom w:val="single" w:color="auto" w:sz="8" w:space="0"/>
              <w:right w:val="single" w:color="auto" w:sz="8" w:space="0"/>
            </w:tcBorders>
            <w:vAlign w:val="center"/>
          </w:tcPr>
          <w:p w14:paraId="53E728AC">
            <w:pPr>
              <w:widowControl/>
              <w:rPr>
                <w:rFonts w:hint="eastAsia" w:ascii="宋体" w:hAnsi="宋体" w:cs="宋体"/>
                <w:szCs w:val="21"/>
                <w:highlight w:val="none"/>
              </w:rPr>
            </w:pPr>
            <w:r>
              <w:rPr>
                <w:rFonts w:hint="eastAsia" w:ascii="宋体" w:hAnsi="宋体" w:cs="宋体"/>
                <w:szCs w:val="21"/>
                <w:highlight w:val="none"/>
              </w:rPr>
              <w:t>【有法定代表人或其委托代理人签字或加盖单位公章】</w:t>
            </w:r>
          </w:p>
        </w:tc>
      </w:tr>
      <w:tr w14:paraId="660C2D4C">
        <w:tblPrEx>
          <w:tblCellMar>
            <w:top w:w="0" w:type="dxa"/>
            <w:left w:w="108" w:type="dxa"/>
            <w:bottom w:w="0" w:type="dxa"/>
            <w:right w:w="108" w:type="dxa"/>
          </w:tblCellMar>
        </w:tblPrEx>
        <w:trPr>
          <w:trHeight w:val="454" w:hRule="atLeast"/>
        </w:trPr>
        <w:tc>
          <w:tcPr>
            <w:tcW w:w="796" w:type="dxa"/>
            <w:vMerge w:val="continue"/>
            <w:tcBorders>
              <w:top w:val="nil"/>
              <w:left w:val="single" w:color="auto" w:sz="8" w:space="0"/>
              <w:bottom w:val="single" w:color="000000" w:sz="8" w:space="0"/>
              <w:right w:val="single" w:color="auto" w:sz="8" w:space="0"/>
            </w:tcBorders>
            <w:vAlign w:val="center"/>
          </w:tcPr>
          <w:p w14:paraId="13CE1680">
            <w:pPr>
              <w:widowControl/>
              <w:jc w:val="left"/>
              <w:rPr>
                <w:rFonts w:hint="eastAsia"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6441F3C1">
            <w:pPr>
              <w:widowControl/>
              <w:jc w:val="center"/>
              <w:rPr>
                <w:rFonts w:hint="eastAsia" w:ascii="宋体" w:hAnsi="宋体" w:cs="宋体"/>
                <w:szCs w:val="21"/>
                <w:highlight w:val="none"/>
              </w:rPr>
            </w:pPr>
            <w:r>
              <w:rPr>
                <w:rFonts w:hint="eastAsia" w:ascii="宋体" w:hAnsi="宋体" w:cs="宋体"/>
                <w:szCs w:val="21"/>
                <w:highlight w:val="none"/>
              </w:rPr>
              <w:t>法定代表人授权书</w:t>
            </w:r>
          </w:p>
        </w:tc>
        <w:tc>
          <w:tcPr>
            <w:tcW w:w="6015" w:type="dxa"/>
            <w:tcBorders>
              <w:top w:val="nil"/>
              <w:left w:val="nil"/>
              <w:bottom w:val="single" w:color="auto" w:sz="8" w:space="0"/>
              <w:right w:val="single" w:color="auto" w:sz="8" w:space="0"/>
            </w:tcBorders>
            <w:vAlign w:val="center"/>
          </w:tcPr>
          <w:p w14:paraId="51312959">
            <w:pPr>
              <w:widowControl/>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被授权</w:t>
            </w:r>
            <w:r>
              <w:rPr>
                <w:rFonts w:hint="eastAsia" w:ascii="宋体" w:hAnsi="宋体" w:cs="宋体"/>
                <w:szCs w:val="21"/>
                <w:highlight w:val="none"/>
              </w:rPr>
              <w:t>人身份证复印件与法定代表人授权委托书一致】</w:t>
            </w:r>
          </w:p>
        </w:tc>
      </w:tr>
      <w:tr w14:paraId="7E88104E">
        <w:tblPrEx>
          <w:tblCellMar>
            <w:top w:w="0" w:type="dxa"/>
            <w:left w:w="108" w:type="dxa"/>
            <w:bottom w:w="0" w:type="dxa"/>
            <w:right w:w="108" w:type="dxa"/>
          </w:tblCellMar>
        </w:tblPrEx>
        <w:trPr>
          <w:trHeight w:val="454" w:hRule="atLeast"/>
        </w:trPr>
        <w:tc>
          <w:tcPr>
            <w:tcW w:w="796" w:type="dxa"/>
            <w:vMerge w:val="continue"/>
            <w:tcBorders>
              <w:top w:val="nil"/>
              <w:left w:val="single" w:color="auto" w:sz="8" w:space="0"/>
              <w:bottom w:val="single" w:color="000000" w:sz="8" w:space="0"/>
              <w:right w:val="single" w:color="auto" w:sz="8" w:space="0"/>
            </w:tcBorders>
            <w:vAlign w:val="center"/>
          </w:tcPr>
          <w:p w14:paraId="7C32A103">
            <w:pPr>
              <w:widowControl/>
              <w:jc w:val="left"/>
              <w:rPr>
                <w:rFonts w:hint="eastAsia"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3D57D937">
            <w:pPr>
              <w:widowControl/>
              <w:jc w:val="center"/>
              <w:rPr>
                <w:rFonts w:hint="eastAsia" w:ascii="宋体" w:hAnsi="宋体" w:cs="宋体"/>
                <w:szCs w:val="21"/>
                <w:highlight w:val="none"/>
              </w:rPr>
            </w:pPr>
            <w:r>
              <w:rPr>
                <w:rFonts w:hint="eastAsia" w:ascii="宋体" w:hAnsi="宋体" w:cs="宋体"/>
                <w:szCs w:val="21"/>
                <w:highlight w:val="none"/>
              </w:rPr>
              <w:t>响应文件格式</w:t>
            </w:r>
          </w:p>
        </w:tc>
        <w:tc>
          <w:tcPr>
            <w:tcW w:w="6015" w:type="dxa"/>
            <w:tcBorders>
              <w:top w:val="nil"/>
              <w:left w:val="nil"/>
              <w:bottom w:val="single" w:color="auto" w:sz="8" w:space="0"/>
              <w:right w:val="single" w:color="auto" w:sz="8" w:space="0"/>
            </w:tcBorders>
            <w:vAlign w:val="center"/>
          </w:tcPr>
          <w:p w14:paraId="6E34E6D3">
            <w:pPr>
              <w:widowControl/>
              <w:rPr>
                <w:rFonts w:hint="eastAsia" w:ascii="宋体" w:hAnsi="宋体" w:cs="宋体"/>
                <w:szCs w:val="21"/>
                <w:highlight w:val="none"/>
              </w:rPr>
            </w:pPr>
            <w:r>
              <w:rPr>
                <w:rFonts w:hint="eastAsia" w:ascii="宋体" w:hAnsi="宋体" w:cs="宋体"/>
                <w:szCs w:val="21"/>
                <w:highlight w:val="none"/>
              </w:rPr>
              <w:t>【按照比选文件规定的格式、内容填写，字迹清晰可辨】</w:t>
            </w:r>
          </w:p>
        </w:tc>
      </w:tr>
      <w:tr w14:paraId="5FEB8D33">
        <w:tblPrEx>
          <w:tblCellMar>
            <w:top w:w="0" w:type="dxa"/>
            <w:left w:w="108" w:type="dxa"/>
            <w:bottom w:w="0" w:type="dxa"/>
            <w:right w:w="108" w:type="dxa"/>
          </w:tblCellMar>
        </w:tblPrEx>
        <w:trPr>
          <w:trHeight w:val="454" w:hRule="atLeast"/>
        </w:trPr>
        <w:tc>
          <w:tcPr>
            <w:tcW w:w="796" w:type="dxa"/>
            <w:vMerge w:val="restart"/>
            <w:tcBorders>
              <w:top w:val="nil"/>
              <w:left w:val="single" w:color="auto" w:sz="8" w:space="0"/>
              <w:right w:val="single" w:color="auto" w:sz="8" w:space="0"/>
            </w:tcBorders>
            <w:vAlign w:val="center"/>
          </w:tcPr>
          <w:p w14:paraId="44E670A7">
            <w:pPr>
              <w:widowControl/>
              <w:jc w:val="center"/>
              <w:rPr>
                <w:rFonts w:hint="eastAsia" w:ascii="宋体" w:hAnsi="宋体" w:cs="宋体"/>
                <w:szCs w:val="21"/>
                <w:highlight w:val="none"/>
              </w:rPr>
            </w:pPr>
            <w:r>
              <w:rPr>
                <w:rFonts w:hint="eastAsia" w:ascii="宋体" w:hAnsi="宋体" w:cs="宋体"/>
                <w:szCs w:val="21"/>
                <w:highlight w:val="none"/>
              </w:rPr>
              <w:t>资格评审</w:t>
            </w:r>
          </w:p>
        </w:tc>
        <w:tc>
          <w:tcPr>
            <w:tcW w:w="2436" w:type="dxa"/>
            <w:tcBorders>
              <w:top w:val="nil"/>
              <w:left w:val="nil"/>
              <w:bottom w:val="single" w:color="auto" w:sz="8" w:space="0"/>
              <w:right w:val="single" w:color="auto" w:sz="8" w:space="0"/>
            </w:tcBorders>
            <w:vAlign w:val="center"/>
          </w:tcPr>
          <w:p w14:paraId="577C9B4C">
            <w:pPr>
              <w:widowControl/>
              <w:jc w:val="center"/>
              <w:rPr>
                <w:rFonts w:hint="eastAsia" w:ascii="宋体" w:hAnsi="宋体" w:cs="宋体"/>
                <w:szCs w:val="21"/>
                <w:highlight w:val="none"/>
              </w:rPr>
            </w:pPr>
            <w:r>
              <w:rPr>
                <w:rFonts w:hint="eastAsia" w:ascii="宋体" w:hAnsi="宋体" w:cs="宋体"/>
                <w:szCs w:val="21"/>
                <w:highlight w:val="none"/>
              </w:rPr>
              <w:t>基本要求</w:t>
            </w:r>
          </w:p>
        </w:tc>
        <w:tc>
          <w:tcPr>
            <w:tcW w:w="6015" w:type="dxa"/>
            <w:tcBorders>
              <w:top w:val="nil"/>
              <w:left w:val="nil"/>
              <w:bottom w:val="single" w:color="auto" w:sz="8" w:space="0"/>
              <w:right w:val="single" w:color="auto" w:sz="8" w:space="0"/>
            </w:tcBorders>
            <w:vAlign w:val="center"/>
          </w:tcPr>
          <w:p w14:paraId="625E8A46">
            <w:pPr>
              <w:widowControl/>
              <w:jc w:val="left"/>
              <w:rPr>
                <w:rFonts w:hint="eastAsia" w:ascii="宋体" w:hAnsi="宋体" w:cs="宋体"/>
                <w:szCs w:val="21"/>
                <w:highlight w:val="none"/>
              </w:rPr>
            </w:pPr>
            <w:r>
              <w:rPr>
                <w:rFonts w:hint="eastAsia" w:ascii="宋体" w:hAnsi="宋体" w:cs="宋体"/>
                <w:szCs w:val="21"/>
                <w:highlight w:val="none"/>
              </w:rPr>
              <w:t>法人或者其他组织的营业执照等证明文件，自然人的身份证明，</w:t>
            </w:r>
            <w:r>
              <w:rPr>
                <w:rFonts w:hint="eastAsia" w:ascii="宋体" w:hAnsi="宋体" w:cs="宋体"/>
                <w:b/>
                <w:bCs/>
                <w:szCs w:val="21"/>
                <w:highlight w:val="none"/>
              </w:rPr>
              <w:t>提供相关证明材料加盖公章</w:t>
            </w:r>
            <w:r>
              <w:rPr>
                <w:rFonts w:hint="eastAsia" w:ascii="宋体" w:hAnsi="宋体" w:cs="宋体"/>
                <w:szCs w:val="21"/>
                <w:highlight w:val="none"/>
              </w:rPr>
              <w:t>。</w:t>
            </w:r>
          </w:p>
        </w:tc>
      </w:tr>
      <w:tr w14:paraId="539CDB2F">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6A94BB56">
            <w:pPr>
              <w:widowControl/>
              <w:jc w:val="left"/>
              <w:rPr>
                <w:rFonts w:hint="eastAsia"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66E3BBF7">
            <w:pPr>
              <w:widowControl/>
              <w:jc w:val="center"/>
              <w:rPr>
                <w:rFonts w:hint="eastAsia" w:ascii="宋体" w:hAnsi="宋体" w:cs="宋体"/>
                <w:szCs w:val="21"/>
                <w:highlight w:val="none"/>
              </w:rPr>
            </w:pPr>
            <w:r>
              <w:rPr>
                <w:rFonts w:hint="eastAsia" w:ascii="宋体" w:hAnsi="宋体" w:cs="宋体"/>
                <w:szCs w:val="21"/>
                <w:highlight w:val="none"/>
              </w:rPr>
              <w:t>财务状况</w:t>
            </w:r>
          </w:p>
        </w:tc>
        <w:tc>
          <w:tcPr>
            <w:tcW w:w="6015" w:type="dxa"/>
            <w:tcBorders>
              <w:top w:val="nil"/>
              <w:left w:val="nil"/>
              <w:bottom w:val="single" w:color="auto" w:sz="8" w:space="0"/>
              <w:right w:val="single" w:color="auto" w:sz="8" w:space="0"/>
            </w:tcBorders>
            <w:vAlign w:val="center"/>
          </w:tcPr>
          <w:p w14:paraId="49AED7E2">
            <w:pPr>
              <w:widowControl/>
              <w:rPr>
                <w:rFonts w:hint="eastAsia" w:ascii="宋体" w:hAnsi="宋体" w:cs="宋体"/>
                <w:szCs w:val="21"/>
                <w:highlight w:val="none"/>
              </w:rPr>
            </w:pPr>
            <w:r>
              <w:rPr>
                <w:rFonts w:ascii="宋体" w:hAnsi="宋体"/>
                <w:color w:val="000000" w:themeColor="text1"/>
                <w:szCs w:val="21"/>
                <w:highlight w:val="none"/>
                <w14:textFill>
                  <w14:solidFill>
                    <w14:schemeClr w14:val="tx1"/>
                  </w14:solidFill>
                </w14:textFill>
              </w:rPr>
              <w:t>具有良好的商业信誉和健全的财务会计制度（提供</w:t>
            </w:r>
            <w:r>
              <w:rPr>
                <w:rFonts w:hint="eastAsia" w:ascii="宋体" w:hAnsi="宋体"/>
                <w:color w:val="000000" w:themeColor="text1"/>
                <w:szCs w:val="21"/>
                <w:highlight w:val="none"/>
                <w14:textFill>
                  <w14:solidFill>
                    <w14:schemeClr w14:val="tx1"/>
                  </w14:solidFill>
                </w14:textFill>
              </w:rPr>
              <w:t>2024年度</w:t>
            </w:r>
            <w:r>
              <w:rPr>
                <w:rFonts w:ascii="宋体" w:hAnsi="宋体"/>
                <w:color w:val="000000" w:themeColor="text1"/>
                <w:szCs w:val="21"/>
                <w:highlight w:val="none"/>
                <w14:textFill>
                  <w14:solidFill>
                    <w14:schemeClr w14:val="tx1"/>
                  </w14:solidFill>
                </w14:textFill>
              </w:rPr>
              <w:t>的审计报告复印件加盖公章或响应截止时间前</w:t>
            </w:r>
            <w:r>
              <w:rPr>
                <w:rFonts w:hint="eastAsia" w:ascii="宋体" w:hAnsi="宋体"/>
                <w:color w:val="000000" w:themeColor="text1"/>
                <w:szCs w:val="21"/>
                <w:highlight w:val="none"/>
                <w14:textFill>
                  <w14:solidFill>
                    <w14:schemeClr w14:val="tx1"/>
                  </w14:solidFill>
                </w14:textFill>
              </w:rPr>
              <w:t>半年</w:t>
            </w:r>
            <w:r>
              <w:rPr>
                <w:rFonts w:ascii="宋体" w:hAnsi="宋体"/>
                <w:color w:val="000000" w:themeColor="text1"/>
                <w:szCs w:val="21"/>
                <w:highlight w:val="none"/>
                <w14:textFill>
                  <w14:solidFill>
                    <w14:schemeClr w14:val="tx1"/>
                  </w14:solidFill>
                </w14:textFill>
              </w:rPr>
              <w:t>内</w:t>
            </w:r>
            <w:r>
              <w:rPr>
                <w:rFonts w:hint="eastAsia" w:ascii="宋体" w:hAnsi="宋体"/>
                <w:color w:val="000000" w:themeColor="text1"/>
                <w:szCs w:val="21"/>
                <w:highlight w:val="none"/>
                <w14:textFill>
                  <w14:solidFill>
                    <w14:schemeClr w14:val="tx1"/>
                  </w14:solidFill>
                </w14:textFill>
              </w:rPr>
              <w:t>（2025年5月至2025年10月）</w:t>
            </w:r>
            <w:r>
              <w:rPr>
                <w:rFonts w:hint="eastAsia"/>
                <w:color w:val="000000" w:themeColor="text1"/>
                <w:highlight w:val="none"/>
                <w:lang w:val="en-US" w:eastAsia="zh-CN"/>
                <w14:textFill>
                  <w14:solidFill>
                    <w14:schemeClr w14:val="tx1"/>
                  </w14:solidFill>
                </w14:textFill>
              </w:rPr>
              <w:t>中</w:t>
            </w:r>
            <w:r>
              <w:rPr>
                <w:rFonts w:ascii="宋体" w:hAnsi="宋体"/>
                <w:color w:val="000000" w:themeColor="text1"/>
                <w:szCs w:val="2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ascii="宋体" w:hAnsi="宋体"/>
                <w:color w:val="000000" w:themeColor="text1"/>
                <w:szCs w:val="21"/>
                <w:highlight w:val="none"/>
                <w14:textFill>
                  <w14:solidFill>
                    <w14:schemeClr w14:val="tx1"/>
                  </w14:solidFill>
                </w14:textFill>
              </w:rPr>
              <w:t>个月</w:t>
            </w:r>
            <w:r>
              <w:rPr>
                <w:rFonts w:ascii="宋体" w:hAnsi="宋体"/>
                <w:color w:val="000000" w:themeColor="text1"/>
                <w:szCs w:val="21"/>
                <w:highlight w:val="none"/>
                <w14:textFill>
                  <w14:solidFill>
                    <w14:schemeClr w14:val="tx1"/>
                  </w14:solidFill>
                </w14:textFill>
              </w:rPr>
              <w:t>的无须提供）</w:t>
            </w:r>
            <w:r>
              <w:rPr>
                <w:rFonts w:hint="eastAsia" w:ascii="宋体" w:hAnsi="宋体" w:cs="宋体"/>
                <w:b/>
                <w:bCs/>
                <w:szCs w:val="21"/>
                <w:highlight w:val="none"/>
              </w:rPr>
              <w:t>提供证明材料加盖公章</w:t>
            </w:r>
          </w:p>
        </w:tc>
      </w:tr>
      <w:tr w14:paraId="43F8070B">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43916AFF">
            <w:pPr>
              <w:widowControl/>
              <w:jc w:val="left"/>
              <w:rPr>
                <w:rFonts w:hint="eastAsia"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3CC29912">
            <w:pPr>
              <w:widowControl/>
              <w:jc w:val="center"/>
              <w:rPr>
                <w:rFonts w:hint="eastAsia" w:ascii="宋体" w:hAnsi="宋体" w:cs="宋体"/>
                <w:szCs w:val="21"/>
                <w:highlight w:val="none"/>
              </w:rPr>
            </w:pPr>
            <w:r>
              <w:rPr>
                <w:rFonts w:hint="eastAsia" w:ascii="宋体" w:hAnsi="宋体" w:cs="宋体"/>
                <w:szCs w:val="21"/>
                <w:highlight w:val="none"/>
              </w:rPr>
              <w:t>技术能力声明</w:t>
            </w:r>
          </w:p>
        </w:tc>
        <w:tc>
          <w:tcPr>
            <w:tcW w:w="6015" w:type="dxa"/>
            <w:tcBorders>
              <w:top w:val="nil"/>
              <w:left w:val="nil"/>
              <w:bottom w:val="single" w:color="auto" w:sz="8" w:space="0"/>
              <w:right w:val="single" w:color="auto" w:sz="8" w:space="0"/>
            </w:tcBorders>
            <w:vAlign w:val="center"/>
          </w:tcPr>
          <w:p w14:paraId="1077189D">
            <w:pPr>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具有履行合同所必需的设备和专业技术能力（根据项目需求提供履行合同所必需的设备和专业技术能力的声明函或证明材料）</w:t>
            </w:r>
            <w:r>
              <w:rPr>
                <w:rFonts w:hint="eastAsia" w:ascii="宋体" w:hAnsi="宋体" w:cs="宋体"/>
                <w:b/>
                <w:bCs/>
                <w:szCs w:val="21"/>
                <w:highlight w:val="none"/>
              </w:rPr>
              <w:t>提供原件加盖公章</w:t>
            </w:r>
          </w:p>
        </w:tc>
      </w:tr>
      <w:tr w14:paraId="525A83C0">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1D32F9D4">
            <w:pPr>
              <w:widowControl/>
              <w:jc w:val="left"/>
              <w:rPr>
                <w:rFonts w:hint="eastAsia"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47A702C5">
            <w:pPr>
              <w:widowControl/>
              <w:jc w:val="center"/>
              <w:rPr>
                <w:rFonts w:hint="eastAsia" w:ascii="宋体" w:hAnsi="宋体" w:cs="宋体"/>
                <w:szCs w:val="21"/>
                <w:highlight w:val="none"/>
              </w:rPr>
            </w:pPr>
            <w:r>
              <w:rPr>
                <w:rFonts w:hint="eastAsia" w:ascii="宋体" w:hAnsi="宋体" w:cs="宋体"/>
                <w:szCs w:val="21"/>
                <w:highlight w:val="none"/>
              </w:rPr>
              <w:t>纳税情况</w:t>
            </w:r>
          </w:p>
        </w:tc>
        <w:tc>
          <w:tcPr>
            <w:tcW w:w="6015" w:type="dxa"/>
            <w:tcBorders>
              <w:top w:val="nil"/>
              <w:left w:val="nil"/>
              <w:bottom w:val="single" w:color="auto" w:sz="8" w:space="0"/>
              <w:right w:val="single" w:color="auto" w:sz="8" w:space="0"/>
            </w:tcBorders>
            <w:vAlign w:val="center"/>
          </w:tcPr>
          <w:p w14:paraId="6D2227B7">
            <w:pPr>
              <w:widowControl/>
              <w:rPr>
                <w:rFonts w:hint="eastAsia" w:ascii="宋体" w:hAnsi="宋体" w:cs="宋体"/>
                <w:szCs w:val="21"/>
                <w:highlight w:val="none"/>
              </w:rPr>
            </w:pPr>
            <w:r>
              <w:rPr>
                <w:rFonts w:ascii="宋体" w:hAnsi="宋体"/>
                <w:color w:val="000000" w:themeColor="text1"/>
                <w:szCs w:val="21"/>
                <w:highlight w:val="none"/>
                <w14:textFill>
                  <w14:solidFill>
                    <w14:schemeClr w14:val="tx1"/>
                  </w14:solidFill>
                </w14:textFill>
              </w:rPr>
              <w:t>有依法缴纳税收和社会保障资金的良好记录（提供响应截止时间前</w:t>
            </w:r>
            <w:r>
              <w:rPr>
                <w:rFonts w:hint="eastAsia" w:ascii="宋体" w:hAnsi="宋体"/>
                <w:color w:val="000000" w:themeColor="text1"/>
                <w:szCs w:val="21"/>
                <w:highlight w:val="none"/>
                <w14:textFill>
                  <w14:solidFill>
                    <w14:schemeClr w14:val="tx1"/>
                  </w14:solidFill>
                </w14:textFill>
              </w:rPr>
              <w:t>半年</w:t>
            </w:r>
            <w:r>
              <w:rPr>
                <w:rFonts w:ascii="宋体" w:hAnsi="宋体"/>
                <w:color w:val="000000" w:themeColor="text1"/>
                <w:szCs w:val="21"/>
                <w:highlight w:val="none"/>
                <w14:textFill>
                  <w14:solidFill>
                    <w14:schemeClr w14:val="tx1"/>
                  </w14:solidFill>
                </w14:textFill>
              </w:rPr>
              <w:t>内</w:t>
            </w:r>
            <w:r>
              <w:rPr>
                <w:rFonts w:hint="eastAsia" w:ascii="宋体" w:hAnsi="宋体"/>
                <w:color w:val="000000" w:themeColor="text1"/>
                <w:szCs w:val="21"/>
                <w:highlight w:val="none"/>
                <w14:textFill>
                  <w14:solidFill>
                    <w14:schemeClr w14:val="tx1"/>
                  </w14:solidFill>
                </w14:textFill>
              </w:rPr>
              <w:t>（2025年5月至2025年10月）</w:t>
            </w:r>
            <w:r>
              <w:rPr>
                <w:rFonts w:hint="eastAsia"/>
                <w:color w:val="000000" w:themeColor="text1"/>
                <w:highlight w:val="none"/>
                <w:lang w:val="en-US" w:eastAsia="zh-CN"/>
                <w14:textFill>
                  <w14:solidFill>
                    <w14:schemeClr w14:val="tx1"/>
                  </w14:solidFill>
                </w14:textFill>
              </w:rPr>
              <w:t>中</w:t>
            </w:r>
            <w:r>
              <w:rPr>
                <w:rFonts w:ascii="宋体" w:hAnsi="宋体"/>
                <w:color w:val="000000" w:themeColor="text1"/>
                <w:szCs w:val="2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r>
              <w:rPr>
                <w:rFonts w:hint="eastAsia" w:ascii="宋体" w:hAnsi="宋体" w:cs="宋体"/>
                <w:szCs w:val="21"/>
                <w:highlight w:val="none"/>
              </w:rPr>
              <w:t>。</w:t>
            </w:r>
            <w:r>
              <w:rPr>
                <w:rFonts w:hint="eastAsia" w:ascii="宋体" w:hAnsi="宋体" w:cs="宋体"/>
                <w:b/>
                <w:bCs/>
                <w:szCs w:val="21"/>
                <w:highlight w:val="none"/>
              </w:rPr>
              <w:t>证明材料提供复印件加盖公章</w:t>
            </w:r>
          </w:p>
        </w:tc>
      </w:tr>
      <w:tr w14:paraId="24DE159F">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757D48B8">
            <w:pPr>
              <w:widowControl/>
              <w:jc w:val="left"/>
              <w:rPr>
                <w:rFonts w:hint="eastAsia" w:ascii="宋体" w:hAnsi="宋体" w:cs="宋体"/>
                <w:szCs w:val="21"/>
                <w:highlight w:val="none"/>
              </w:rPr>
            </w:pPr>
          </w:p>
        </w:tc>
        <w:tc>
          <w:tcPr>
            <w:tcW w:w="2436" w:type="dxa"/>
            <w:tcBorders>
              <w:top w:val="nil"/>
              <w:left w:val="single" w:color="auto" w:sz="8" w:space="0"/>
              <w:bottom w:val="single" w:color="000000" w:sz="8" w:space="0"/>
              <w:right w:val="single" w:color="auto" w:sz="8" w:space="0"/>
            </w:tcBorders>
            <w:vAlign w:val="center"/>
          </w:tcPr>
          <w:p w14:paraId="625BB13B">
            <w:pPr>
              <w:widowControl/>
              <w:jc w:val="left"/>
              <w:rPr>
                <w:rFonts w:hint="eastAsia" w:ascii="宋体" w:hAnsi="宋体" w:cs="宋体"/>
                <w:szCs w:val="21"/>
                <w:highlight w:val="none"/>
              </w:rPr>
            </w:pPr>
            <w:r>
              <w:rPr>
                <w:rFonts w:hint="eastAsia" w:ascii="宋体" w:hAnsi="宋体" w:cs="宋体"/>
                <w:szCs w:val="21"/>
                <w:highlight w:val="none"/>
              </w:rPr>
              <w:t>重大违法记录书面声明</w:t>
            </w:r>
          </w:p>
        </w:tc>
        <w:tc>
          <w:tcPr>
            <w:tcW w:w="6015" w:type="dxa"/>
            <w:tcBorders>
              <w:top w:val="nil"/>
              <w:left w:val="nil"/>
              <w:bottom w:val="single" w:color="auto" w:sz="8" w:space="0"/>
              <w:right w:val="single" w:color="auto" w:sz="8" w:space="0"/>
            </w:tcBorders>
            <w:vAlign w:val="center"/>
          </w:tcPr>
          <w:p w14:paraId="72AAFDF8">
            <w:pPr>
              <w:widowControl/>
              <w:rPr>
                <w:rFonts w:hint="eastAsia" w:ascii="宋体" w:hAnsi="宋体" w:cs="宋体"/>
                <w:szCs w:val="21"/>
                <w:highlight w:val="none"/>
              </w:rPr>
            </w:pPr>
            <w:r>
              <w:rPr>
                <w:rFonts w:hint="eastAsia" w:ascii="宋体" w:hAnsi="宋体" w:cs="宋体"/>
                <w:szCs w:val="21"/>
                <w:highlight w:val="none"/>
              </w:rPr>
              <w:t>参加本次采购活动前三年内，在经营活动中没有重大违法记录（提供参加本次采购活动前3年内在经营活动中没有重大违法记录的书面声明）；</w:t>
            </w:r>
            <w:r>
              <w:rPr>
                <w:rFonts w:hint="eastAsia" w:ascii="宋体" w:hAnsi="宋体" w:cs="宋体"/>
                <w:b/>
                <w:bCs/>
                <w:szCs w:val="21"/>
                <w:highlight w:val="none"/>
              </w:rPr>
              <w:t>提供原件加盖公章</w:t>
            </w:r>
          </w:p>
        </w:tc>
      </w:tr>
      <w:tr w14:paraId="16FE1868">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76F0386B">
            <w:pPr>
              <w:widowControl/>
              <w:jc w:val="left"/>
              <w:rPr>
                <w:rFonts w:hint="eastAsia" w:ascii="宋体" w:hAnsi="宋体" w:cs="宋体"/>
                <w:szCs w:val="21"/>
                <w:highlight w:val="none"/>
              </w:rPr>
            </w:pPr>
          </w:p>
        </w:tc>
        <w:tc>
          <w:tcPr>
            <w:tcW w:w="2436" w:type="dxa"/>
            <w:tcBorders>
              <w:top w:val="nil"/>
              <w:left w:val="nil"/>
              <w:bottom w:val="single" w:color="auto" w:sz="4" w:space="0"/>
              <w:right w:val="single" w:color="auto" w:sz="8" w:space="0"/>
            </w:tcBorders>
            <w:vAlign w:val="center"/>
          </w:tcPr>
          <w:p w14:paraId="78B161E5">
            <w:pPr>
              <w:widowControl/>
              <w:jc w:val="center"/>
              <w:rPr>
                <w:rFonts w:hint="eastAsia" w:ascii="宋体" w:hAnsi="宋体" w:cs="宋体"/>
                <w:szCs w:val="21"/>
                <w:highlight w:val="none"/>
              </w:rPr>
            </w:pPr>
            <w:r>
              <w:rPr>
                <w:rFonts w:hint="eastAsia" w:ascii="宋体" w:hAnsi="宋体" w:cs="宋体"/>
                <w:szCs w:val="21"/>
                <w:highlight w:val="none"/>
              </w:rPr>
              <w:t>非联合体要求</w:t>
            </w:r>
          </w:p>
        </w:tc>
        <w:tc>
          <w:tcPr>
            <w:tcW w:w="6015" w:type="dxa"/>
            <w:tcBorders>
              <w:top w:val="nil"/>
              <w:left w:val="nil"/>
              <w:bottom w:val="single" w:color="auto" w:sz="4" w:space="0"/>
              <w:right w:val="single" w:color="auto" w:sz="8" w:space="0"/>
            </w:tcBorders>
            <w:vAlign w:val="center"/>
          </w:tcPr>
          <w:p w14:paraId="4805864D">
            <w:pPr>
              <w:widowControl/>
              <w:rPr>
                <w:rFonts w:hint="eastAsia" w:ascii="宋体" w:hAnsi="宋体" w:cs="宋体"/>
                <w:szCs w:val="21"/>
                <w:highlight w:val="none"/>
              </w:rPr>
            </w:pPr>
            <w:r>
              <w:rPr>
                <w:rFonts w:hint="eastAsia" w:ascii="宋体" w:hAnsi="宋体" w:cs="宋体"/>
                <w:szCs w:val="21"/>
                <w:highlight w:val="none"/>
              </w:rPr>
              <w:t>本项目不接受联合体响应。</w:t>
            </w:r>
          </w:p>
        </w:tc>
      </w:tr>
      <w:tr w14:paraId="083591FC">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2CFB1EDB">
            <w:pPr>
              <w:widowControl/>
              <w:jc w:val="left"/>
              <w:rPr>
                <w:rFonts w:hint="eastAsia" w:ascii="宋体" w:hAnsi="宋体" w:cs="宋体"/>
                <w:szCs w:val="21"/>
                <w:highlight w:val="none"/>
              </w:rPr>
            </w:pPr>
          </w:p>
        </w:tc>
        <w:tc>
          <w:tcPr>
            <w:tcW w:w="2436" w:type="dxa"/>
            <w:vMerge w:val="restart"/>
            <w:tcBorders>
              <w:top w:val="nil"/>
              <w:left w:val="nil"/>
              <w:bottom w:val="single" w:color="auto" w:sz="4" w:space="0"/>
              <w:right w:val="single" w:color="auto" w:sz="8" w:space="0"/>
            </w:tcBorders>
            <w:vAlign w:val="center"/>
          </w:tcPr>
          <w:p w14:paraId="38DB7F91">
            <w:pPr>
              <w:widowControl/>
              <w:jc w:val="center"/>
              <w:rPr>
                <w:rFonts w:hint="eastAsia" w:ascii="宋体" w:hAnsi="宋体" w:cs="宋体"/>
                <w:szCs w:val="21"/>
                <w:highlight w:val="none"/>
              </w:rPr>
            </w:pPr>
            <w:r>
              <w:rPr>
                <w:rFonts w:hint="eastAsia" w:ascii="宋体" w:hAnsi="宋体" w:cs="宋体"/>
                <w:szCs w:val="21"/>
                <w:highlight w:val="none"/>
              </w:rPr>
              <w:t>不得参与响应的情形</w:t>
            </w:r>
          </w:p>
        </w:tc>
        <w:tc>
          <w:tcPr>
            <w:tcW w:w="6015" w:type="dxa"/>
            <w:tcBorders>
              <w:top w:val="nil"/>
              <w:left w:val="nil"/>
              <w:bottom w:val="single" w:color="auto" w:sz="4" w:space="0"/>
              <w:right w:val="single" w:color="auto" w:sz="8" w:space="0"/>
            </w:tcBorders>
            <w:vAlign w:val="center"/>
          </w:tcPr>
          <w:p w14:paraId="57B9A681">
            <w:pPr>
              <w:widowControl/>
              <w:rPr>
                <w:rFonts w:hint="eastAsia" w:ascii="宋体" w:hAnsi="宋体" w:cs="宋体"/>
                <w:szCs w:val="21"/>
                <w:highlight w:val="none"/>
              </w:rPr>
            </w:pPr>
            <w:r>
              <w:rPr>
                <w:rFonts w:ascii="宋体" w:hAnsi="宋体"/>
                <w:color w:val="000000" w:themeColor="text1"/>
                <w:szCs w:val="21"/>
                <w:highlight w:val="none"/>
                <w14:textFill>
                  <w14:solidFill>
                    <w14:schemeClr w14:val="tx1"/>
                  </w14:solidFill>
                </w14:textFill>
              </w:rPr>
              <w:t>供应商单位负责人为同一人或者存在直接控股、管理关系的不同供应商，不得参加同一合同项下的采购或采购活动</w:t>
            </w:r>
          </w:p>
        </w:tc>
      </w:tr>
      <w:tr w14:paraId="041A7673">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0A2E3256">
            <w:pPr>
              <w:widowControl/>
              <w:jc w:val="left"/>
              <w:rPr>
                <w:rFonts w:hint="eastAsia" w:ascii="宋体" w:hAnsi="宋体" w:cs="宋体"/>
                <w:szCs w:val="21"/>
                <w:highlight w:val="none"/>
              </w:rPr>
            </w:pPr>
          </w:p>
        </w:tc>
        <w:tc>
          <w:tcPr>
            <w:tcW w:w="2436" w:type="dxa"/>
            <w:vMerge w:val="continue"/>
            <w:tcBorders>
              <w:top w:val="nil"/>
              <w:left w:val="nil"/>
              <w:bottom w:val="single" w:color="auto" w:sz="4" w:space="0"/>
              <w:right w:val="single" w:color="auto" w:sz="8" w:space="0"/>
            </w:tcBorders>
            <w:vAlign w:val="center"/>
          </w:tcPr>
          <w:p w14:paraId="294DD327">
            <w:pPr>
              <w:widowControl/>
              <w:jc w:val="center"/>
              <w:rPr>
                <w:rFonts w:hint="eastAsia" w:ascii="宋体" w:hAnsi="宋体" w:cs="宋体"/>
                <w:szCs w:val="21"/>
                <w:highlight w:val="none"/>
              </w:rPr>
            </w:pPr>
          </w:p>
        </w:tc>
        <w:tc>
          <w:tcPr>
            <w:tcW w:w="6015" w:type="dxa"/>
            <w:tcBorders>
              <w:top w:val="nil"/>
              <w:left w:val="nil"/>
              <w:bottom w:val="single" w:color="auto" w:sz="4" w:space="0"/>
              <w:right w:val="single" w:color="auto" w:sz="8" w:space="0"/>
            </w:tcBorders>
            <w:vAlign w:val="center"/>
          </w:tcPr>
          <w:p w14:paraId="29AA44B4">
            <w:pPr>
              <w:widowControl/>
              <w:rPr>
                <w:rFonts w:hint="eastAsia" w:ascii="宋体" w:hAnsi="宋体" w:cs="宋体"/>
                <w:szCs w:val="21"/>
                <w:highlight w:val="none"/>
              </w:rPr>
            </w:pPr>
            <w:r>
              <w:rPr>
                <w:rFonts w:ascii="宋体" w:hAnsi="宋体"/>
                <w:color w:val="000000" w:themeColor="text1"/>
                <w:szCs w:val="21"/>
                <w:highlight w:val="none"/>
                <w14:textFill>
                  <w14:solidFill>
                    <w14:schemeClr w14:val="tx1"/>
                  </w14:solidFill>
                </w14:textFill>
              </w:rPr>
              <w:t>凡为本项目提供整体设计、规范编制或者项目管理、检测等服务的供应商，不得再参加本项目的采购或采购活动</w:t>
            </w:r>
          </w:p>
        </w:tc>
      </w:tr>
      <w:tr w14:paraId="66890035">
        <w:tblPrEx>
          <w:tblCellMar>
            <w:top w:w="0" w:type="dxa"/>
            <w:left w:w="108" w:type="dxa"/>
            <w:bottom w:w="0" w:type="dxa"/>
            <w:right w:w="108" w:type="dxa"/>
          </w:tblCellMar>
        </w:tblPrEx>
        <w:trPr>
          <w:trHeight w:val="454" w:hRule="atLeast"/>
        </w:trPr>
        <w:tc>
          <w:tcPr>
            <w:tcW w:w="796" w:type="dxa"/>
            <w:vMerge w:val="continue"/>
            <w:tcBorders>
              <w:left w:val="single" w:color="auto" w:sz="8" w:space="0"/>
              <w:bottom w:val="single" w:color="auto" w:sz="4" w:space="0"/>
              <w:right w:val="single" w:color="auto" w:sz="8" w:space="0"/>
            </w:tcBorders>
            <w:vAlign w:val="center"/>
          </w:tcPr>
          <w:p w14:paraId="063ED114">
            <w:pPr>
              <w:widowControl/>
              <w:jc w:val="left"/>
              <w:rPr>
                <w:rFonts w:hint="eastAsia" w:ascii="宋体" w:hAnsi="宋体" w:cs="宋体"/>
                <w:szCs w:val="21"/>
                <w:highlight w:val="none"/>
              </w:rPr>
            </w:pPr>
          </w:p>
        </w:tc>
        <w:tc>
          <w:tcPr>
            <w:tcW w:w="2436" w:type="dxa"/>
            <w:vMerge w:val="continue"/>
            <w:tcBorders>
              <w:top w:val="nil"/>
              <w:left w:val="nil"/>
              <w:bottom w:val="single" w:color="auto" w:sz="4" w:space="0"/>
              <w:right w:val="single" w:color="auto" w:sz="8" w:space="0"/>
            </w:tcBorders>
            <w:vAlign w:val="center"/>
          </w:tcPr>
          <w:p w14:paraId="32E7A1B1">
            <w:pPr>
              <w:widowControl/>
              <w:jc w:val="center"/>
              <w:rPr>
                <w:rFonts w:hint="eastAsia" w:ascii="宋体" w:hAnsi="宋体" w:cs="宋体"/>
                <w:szCs w:val="21"/>
                <w:highlight w:val="none"/>
              </w:rPr>
            </w:pPr>
          </w:p>
        </w:tc>
        <w:tc>
          <w:tcPr>
            <w:tcW w:w="6015" w:type="dxa"/>
            <w:tcBorders>
              <w:top w:val="nil"/>
              <w:left w:val="nil"/>
              <w:bottom w:val="single" w:color="auto" w:sz="4" w:space="0"/>
              <w:right w:val="single" w:color="auto" w:sz="8" w:space="0"/>
            </w:tcBorders>
            <w:vAlign w:val="center"/>
          </w:tcPr>
          <w:p w14:paraId="7B32CA54">
            <w:pPr>
              <w:widowControl/>
              <w:rPr>
                <w:rFonts w:hint="eastAsia" w:ascii="宋体" w:hAnsi="宋体" w:cs="宋体"/>
                <w:szCs w:val="21"/>
                <w:highlight w:val="none"/>
              </w:rPr>
            </w:pPr>
            <w:r>
              <w:rPr>
                <w:rFonts w:ascii="宋体" w:hAnsi="宋体"/>
                <w:color w:val="000000" w:themeColor="text1"/>
                <w:szCs w:val="21"/>
                <w:highlight w:val="none"/>
                <w14:textFill>
                  <w14:solidFill>
                    <w14:schemeClr w14:val="tx1"/>
                  </w14:solidFill>
                </w14:textFill>
              </w:rPr>
              <w:t>供应商被</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信用中国</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网站（www.creditchina.gov.cn）列入失信被执行人、重大税收违法失信主体、严重违法失信行为记录名单</w:t>
            </w:r>
            <w:r>
              <w:rPr>
                <w:rFonts w:hint="eastAsia" w:ascii="宋体" w:hAnsi="宋体"/>
                <w:color w:val="000000" w:themeColor="text1"/>
                <w:szCs w:val="21"/>
                <w:highlight w:val="none"/>
                <w14:textFill>
                  <w14:solidFill>
                    <w14:schemeClr w14:val="tx1"/>
                  </w14:solidFill>
                </w14:textFill>
              </w:rPr>
              <w:t>。</w:t>
            </w:r>
          </w:p>
        </w:tc>
      </w:tr>
      <w:tr w14:paraId="3F59D605">
        <w:tblPrEx>
          <w:tblCellMar>
            <w:top w:w="0" w:type="dxa"/>
            <w:left w:w="108" w:type="dxa"/>
            <w:bottom w:w="0" w:type="dxa"/>
            <w:right w:w="108" w:type="dxa"/>
          </w:tblCellMar>
        </w:tblPrEx>
        <w:trPr>
          <w:trHeight w:val="454" w:hRule="atLeast"/>
        </w:trPr>
        <w:tc>
          <w:tcPr>
            <w:tcW w:w="796" w:type="dxa"/>
            <w:vMerge w:val="restart"/>
            <w:tcBorders>
              <w:top w:val="single" w:color="auto" w:sz="4" w:space="0"/>
              <w:left w:val="single" w:color="auto" w:sz="4" w:space="0"/>
              <w:right w:val="single" w:color="auto" w:sz="4" w:space="0"/>
            </w:tcBorders>
            <w:vAlign w:val="center"/>
          </w:tcPr>
          <w:p w14:paraId="30D9EFA9">
            <w:pPr>
              <w:widowControl/>
              <w:jc w:val="center"/>
              <w:rPr>
                <w:rFonts w:hint="eastAsia" w:ascii="宋体" w:hAnsi="宋体" w:cs="宋体"/>
                <w:szCs w:val="21"/>
                <w:highlight w:val="none"/>
              </w:rPr>
            </w:pPr>
            <w:r>
              <w:rPr>
                <w:rFonts w:hint="eastAsia" w:ascii="宋体" w:hAnsi="宋体" w:cs="宋体"/>
                <w:szCs w:val="21"/>
                <w:highlight w:val="none"/>
              </w:rPr>
              <w:t>响应性评审</w:t>
            </w:r>
          </w:p>
        </w:tc>
        <w:tc>
          <w:tcPr>
            <w:tcW w:w="2436" w:type="dxa"/>
            <w:tcBorders>
              <w:top w:val="single" w:color="auto" w:sz="4" w:space="0"/>
              <w:left w:val="single" w:color="auto" w:sz="4" w:space="0"/>
              <w:bottom w:val="single" w:color="auto" w:sz="4" w:space="0"/>
              <w:right w:val="single" w:color="auto" w:sz="4" w:space="0"/>
            </w:tcBorders>
            <w:vAlign w:val="center"/>
          </w:tcPr>
          <w:p w14:paraId="33CBEA48">
            <w:pPr>
              <w:widowControl/>
              <w:jc w:val="center"/>
              <w:rPr>
                <w:rFonts w:hint="eastAsia" w:ascii="宋体" w:hAnsi="宋体" w:cs="宋体"/>
                <w:szCs w:val="21"/>
                <w:highlight w:val="none"/>
              </w:rPr>
            </w:pPr>
            <w:r>
              <w:rPr>
                <w:rFonts w:hint="eastAsia" w:ascii="宋体" w:hAnsi="宋体" w:cs="宋体"/>
                <w:szCs w:val="21"/>
                <w:highlight w:val="none"/>
              </w:rPr>
              <w:t>响应有效期</w:t>
            </w:r>
          </w:p>
        </w:tc>
        <w:tc>
          <w:tcPr>
            <w:tcW w:w="6015" w:type="dxa"/>
            <w:tcBorders>
              <w:top w:val="single" w:color="auto" w:sz="4" w:space="0"/>
              <w:left w:val="single" w:color="auto" w:sz="4" w:space="0"/>
              <w:bottom w:val="single" w:color="auto" w:sz="4" w:space="0"/>
              <w:right w:val="single" w:color="auto" w:sz="4" w:space="0"/>
            </w:tcBorders>
            <w:vAlign w:val="center"/>
          </w:tcPr>
          <w:p w14:paraId="30E7955D">
            <w:pPr>
              <w:widowControl/>
              <w:rPr>
                <w:rFonts w:hint="eastAsia" w:ascii="宋体" w:hAnsi="宋体" w:cs="宋体"/>
                <w:szCs w:val="21"/>
                <w:highlight w:val="none"/>
              </w:rPr>
            </w:pPr>
            <w:r>
              <w:rPr>
                <w:rFonts w:hint="eastAsia" w:ascii="宋体" w:hAnsi="宋体" w:cs="宋体"/>
                <w:szCs w:val="21"/>
                <w:highlight w:val="none"/>
              </w:rPr>
              <w:t>90日历天。</w:t>
            </w:r>
          </w:p>
        </w:tc>
      </w:tr>
      <w:tr w14:paraId="0B61A098">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7474515C">
            <w:pPr>
              <w:widowControl/>
              <w:jc w:val="left"/>
              <w:rPr>
                <w:rFonts w:hint="eastAsia" w:ascii="宋体" w:hAnsi="宋体" w:cs="宋体"/>
                <w:szCs w:val="21"/>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2D622491">
            <w:pPr>
              <w:widowControl/>
              <w:jc w:val="center"/>
              <w:rPr>
                <w:rFonts w:hint="eastAsia" w:ascii="宋体" w:hAnsi="宋体" w:cs="宋体"/>
                <w:szCs w:val="21"/>
                <w:highlight w:val="none"/>
              </w:rPr>
            </w:pPr>
            <w:r>
              <w:rPr>
                <w:rFonts w:hint="eastAsia" w:ascii="宋体" w:hAnsi="宋体" w:cs="宋体"/>
                <w:szCs w:val="21"/>
                <w:highlight w:val="none"/>
              </w:rPr>
              <w:t>响应报价</w:t>
            </w:r>
          </w:p>
        </w:tc>
        <w:tc>
          <w:tcPr>
            <w:tcW w:w="6015" w:type="dxa"/>
            <w:tcBorders>
              <w:top w:val="single" w:color="auto" w:sz="4" w:space="0"/>
              <w:left w:val="single" w:color="auto" w:sz="4" w:space="0"/>
              <w:bottom w:val="single" w:color="auto" w:sz="4" w:space="0"/>
              <w:right w:val="single" w:color="auto" w:sz="4" w:space="0"/>
            </w:tcBorders>
            <w:vAlign w:val="center"/>
          </w:tcPr>
          <w:p w14:paraId="2921A91E">
            <w:pPr>
              <w:widowControl/>
              <w:rPr>
                <w:rFonts w:hint="eastAsia" w:ascii="宋体" w:hAnsi="宋体" w:cs="宋体"/>
                <w:szCs w:val="21"/>
                <w:highlight w:val="none"/>
              </w:rPr>
            </w:pPr>
            <w:r>
              <w:rPr>
                <w:rFonts w:hint="eastAsia" w:ascii="宋体" w:hAnsi="宋体" w:cs="宋体"/>
                <w:szCs w:val="21"/>
                <w:highlight w:val="none"/>
              </w:rPr>
              <w:t>唯一报价且满足响应一览表要求。</w:t>
            </w:r>
          </w:p>
        </w:tc>
      </w:tr>
      <w:tr w14:paraId="7A2FFE75">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3B5A9FA4">
            <w:pPr>
              <w:widowControl/>
              <w:jc w:val="left"/>
              <w:rPr>
                <w:rFonts w:hint="eastAsia" w:ascii="宋体" w:hAnsi="宋体" w:cs="宋体"/>
                <w:szCs w:val="21"/>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1EAB27CE">
            <w:pPr>
              <w:widowControl/>
              <w:jc w:val="center"/>
              <w:rPr>
                <w:rFonts w:hint="eastAsia" w:ascii="宋体" w:hAnsi="宋体" w:cs="宋体"/>
                <w:szCs w:val="21"/>
                <w:highlight w:val="none"/>
              </w:rPr>
            </w:pPr>
            <w:r>
              <w:rPr>
                <w:rFonts w:hint="eastAsia" w:ascii="宋体" w:hAnsi="宋体" w:cs="宋体"/>
                <w:szCs w:val="21"/>
                <w:highlight w:val="none"/>
              </w:rPr>
              <w:t>合同偏离</w:t>
            </w:r>
          </w:p>
        </w:tc>
        <w:tc>
          <w:tcPr>
            <w:tcW w:w="6015" w:type="dxa"/>
            <w:tcBorders>
              <w:top w:val="single" w:color="auto" w:sz="4" w:space="0"/>
              <w:left w:val="single" w:color="auto" w:sz="4" w:space="0"/>
              <w:bottom w:val="single" w:color="auto" w:sz="4" w:space="0"/>
              <w:right w:val="single" w:color="auto" w:sz="4" w:space="0"/>
            </w:tcBorders>
            <w:vAlign w:val="center"/>
          </w:tcPr>
          <w:p w14:paraId="2722B96B">
            <w:pPr>
              <w:widowControl/>
              <w:rPr>
                <w:rFonts w:hint="eastAsia" w:ascii="宋体" w:hAnsi="宋体" w:cs="宋体"/>
                <w:szCs w:val="21"/>
                <w:highlight w:val="none"/>
              </w:rPr>
            </w:pPr>
            <w:r>
              <w:rPr>
                <w:rFonts w:hint="eastAsia" w:ascii="宋体" w:hAnsi="宋体" w:cs="宋体"/>
                <w:szCs w:val="21"/>
                <w:highlight w:val="none"/>
              </w:rPr>
              <w:t>满足合同条款偏离表要求。</w:t>
            </w:r>
          </w:p>
        </w:tc>
      </w:tr>
      <w:tr w14:paraId="516CCAD2">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1E41BE60">
            <w:pPr>
              <w:widowControl/>
              <w:jc w:val="left"/>
              <w:rPr>
                <w:rFonts w:hint="eastAsia" w:ascii="宋体" w:hAnsi="宋体" w:cs="宋体"/>
                <w:szCs w:val="21"/>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5B3123B1">
            <w:pPr>
              <w:widowControl/>
              <w:jc w:val="center"/>
              <w:rPr>
                <w:rFonts w:hint="eastAsia" w:ascii="宋体" w:hAnsi="宋体" w:cs="宋体"/>
                <w:szCs w:val="21"/>
                <w:highlight w:val="none"/>
              </w:rPr>
            </w:pPr>
            <w:r>
              <w:rPr>
                <w:rFonts w:hint="eastAsia" w:ascii="宋体" w:hAnsi="宋体" w:cs="宋体"/>
                <w:szCs w:val="21"/>
                <w:highlight w:val="none"/>
              </w:rPr>
              <w:t>技术偏离</w:t>
            </w:r>
          </w:p>
        </w:tc>
        <w:tc>
          <w:tcPr>
            <w:tcW w:w="6015" w:type="dxa"/>
            <w:tcBorders>
              <w:top w:val="single" w:color="auto" w:sz="4" w:space="0"/>
              <w:left w:val="single" w:color="auto" w:sz="4" w:space="0"/>
              <w:bottom w:val="single" w:color="auto" w:sz="4" w:space="0"/>
              <w:right w:val="single" w:color="auto" w:sz="4" w:space="0"/>
            </w:tcBorders>
            <w:vAlign w:val="center"/>
          </w:tcPr>
          <w:p w14:paraId="07332DB2">
            <w:pPr>
              <w:widowControl/>
              <w:rPr>
                <w:rFonts w:hint="eastAsia" w:ascii="宋体" w:hAnsi="宋体" w:cs="宋体"/>
                <w:szCs w:val="21"/>
                <w:highlight w:val="none"/>
              </w:rPr>
            </w:pPr>
            <w:r>
              <w:rPr>
                <w:rFonts w:hint="eastAsia" w:ascii="宋体" w:hAnsi="宋体" w:cs="宋体"/>
                <w:szCs w:val="21"/>
                <w:highlight w:val="none"/>
              </w:rPr>
              <w:t>满足技术规格偏离表要求。</w:t>
            </w:r>
          </w:p>
        </w:tc>
      </w:tr>
      <w:bookmarkEnd w:id="6"/>
    </w:tbl>
    <w:p w14:paraId="07A71C57">
      <w:pPr>
        <w:spacing w:before="360" w:beforeLines="150" w:line="360" w:lineRule="auto"/>
        <w:rPr>
          <w:highlight w:val="none"/>
        </w:rPr>
      </w:pPr>
      <w:r>
        <w:rPr>
          <w:rFonts w:ascii="宋体" w:hAnsi="宋体"/>
          <w:b/>
          <w:bCs/>
          <w:highlight w:val="none"/>
        </w:rPr>
        <w:t>2.2详细评审</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2"/>
        <w:gridCol w:w="7222"/>
      </w:tblGrid>
      <w:tr w14:paraId="4FB77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71" w:type="pct"/>
            <w:vAlign w:val="center"/>
          </w:tcPr>
          <w:p w14:paraId="30F6E928">
            <w:pPr>
              <w:widowControl/>
              <w:adjustRightInd w:val="0"/>
              <w:snapToGrid w:val="0"/>
              <w:spacing w:line="300" w:lineRule="auto"/>
              <w:jc w:val="center"/>
              <w:rPr>
                <w:rFonts w:hint="eastAsia" w:ascii="宋体" w:hAnsi="宋体"/>
                <w:szCs w:val="21"/>
                <w:highlight w:val="none"/>
              </w:rPr>
            </w:pPr>
            <w:r>
              <w:rPr>
                <w:rFonts w:hint="eastAsia" w:ascii="宋体" w:hAnsi="宋体" w:cs="仿宋"/>
                <w:b/>
                <w:bCs/>
                <w:szCs w:val="21"/>
                <w:highlight w:val="none"/>
              </w:rPr>
              <w:t>评分因素</w:t>
            </w:r>
          </w:p>
        </w:tc>
        <w:tc>
          <w:tcPr>
            <w:tcW w:w="3729" w:type="pct"/>
            <w:vAlign w:val="center"/>
          </w:tcPr>
          <w:p w14:paraId="0B5B7C2D">
            <w:pPr>
              <w:widowControl/>
              <w:adjustRightInd w:val="0"/>
              <w:snapToGrid w:val="0"/>
              <w:spacing w:line="300" w:lineRule="auto"/>
              <w:jc w:val="center"/>
              <w:rPr>
                <w:rFonts w:hint="eastAsia" w:ascii="宋体" w:hAnsi="宋体"/>
                <w:szCs w:val="21"/>
                <w:highlight w:val="none"/>
              </w:rPr>
            </w:pPr>
            <w:r>
              <w:rPr>
                <w:rFonts w:hint="eastAsia" w:ascii="宋体" w:hAnsi="宋体" w:cs="仿宋"/>
                <w:b/>
                <w:bCs/>
                <w:szCs w:val="21"/>
                <w:highlight w:val="none"/>
              </w:rPr>
              <w:t>评审标准分值</w:t>
            </w:r>
          </w:p>
        </w:tc>
      </w:tr>
      <w:tr w14:paraId="604E9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pct"/>
            <w:vAlign w:val="center"/>
          </w:tcPr>
          <w:p w14:paraId="4CB38136">
            <w:pPr>
              <w:adjustRightInd w:val="0"/>
              <w:snapToGrid w:val="0"/>
              <w:spacing w:line="300" w:lineRule="auto"/>
              <w:jc w:val="center"/>
              <w:rPr>
                <w:rFonts w:hint="eastAsia" w:ascii="宋体" w:hAnsi="宋体" w:cs="仿宋"/>
                <w:b/>
                <w:bCs/>
                <w:szCs w:val="21"/>
                <w:highlight w:val="none"/>
              </w:rPr>
            </w:pPr>
            <w:r>
              <w:rPr>
                <w:rFonts w:hint="eastAsia" w:ascii="宋体" w:hAnsi="宋体" w:cs="仿宋"/>
                <w:b/>
                <w:bCs/>
                <w:szCs w:val="21"/>
                <w:highlight w:val="none"/>
              </w:rPr>
              <w:t>响应报价</w:t>
            </w:r>
          </w:p>
          <w:p w14:paraId="1D70E337">
            <w:pPr>
              <w:widowControl/>
              <w:adjustRightInd w:val="0"/>
              <w:snapToGrid w:val="0"/>
              <w:spacing w:line="300" w:lineRule="auto"/>
              <w:jc w:val="center"/>
              <w:rPr>
                <w:rFonts w:hint="eastAsia" w:ascii="宋体" w:hAnsi="宋体"/>
                <w:szCs w:val="21"/>
                <w:highlight w:val="none"/>
              </w:rPr>
            </w:pPr>
            <w:r>
              <w:rPr>
                <w:rFonts w:hint="eastAsia" w:ascii="宋体" w:hAnsi="宋体" w:cs="仿宋"/>
                <w:b/>
                <w:bCs/>
                <w:szCs w:val="21"/>
                <w:highlight w:val="none"/>
              </w:rPr>
              <w:t>（30分）</w:t>
            </w:r>
          </w:p>
        </w:tc>
        <w:tc>
          <w:tcPr>
            <w:tcW w:w="3729" w:type="pct"/>
            <w:vAlign w:val="center"/>
          </w:tcPr>
          <w:p w14:paraId="0EC96C5B">
            <w:pPr>
              <w:adjustRightInd w:val="0"/>
              <w:snapToGrid w:val="0"/>
              <w:spacing w:line="300" w:lineRule="auto"/>
              <w:jc w:val="left"/>
              <w:rPr>
                <w:rFonts w:hint="eastAsia" w:ascii="宋体" w:hAnsi="宋体"/>
                <w:szCs w:val="21"/>
                <w:highlight w:val="none"/>
              </w:rPr>
            </w:pPr>
            <w:r>
              <w:rPr>
                <w:rFonts w:hint="eastAsia" w:ascii="宋体" w:hAnsi="宋体"/>
                <w:szCs w:val="21"/>
                <w:highlight w:val="none"/>
              </w:rPr>
              <w:t>价格分采用低价优先法计算，即满足采购文件要求且报价最低的供应商报价为评审基准价，其价格分为满分30分，</w:t>
            </w:r>
            <w:r>
              <w:rPr>
                <w:rFonts w:hint="eastAsia" w:ascii="宋体" w:hAnsi="宋体"/>
                <w:szCs w:val="21"/>
                <w:highlight w:val="none"/>
                <w:lang w:eastAsia="zh-CN"/>
              </w:rPr>
              <w:t>其他</w:t>
            </w:r>
            <w:r>
              <w:rPr>
                <w:rFonts w:hint="eastAsia" w:ascii="宋体" w:hAnsi="宋体"/>
                <w:szCs w:val="21"/>
                <w:highlight w:val="none"/>
              </w:rPr>
              <w:t>供应商的价格分统一按照以下公式计算：报价得分=（最低报价/该单位的响应报价）*30。</w:t>
            </w:r>
          </w:p>
        </w:tc>
      </w:tr>
      <w:tr w14:paraId="1963D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5000" w:type="pct"/>
            <w:gridSpan w:val="2"/>
            <w:vAlign w:val="center"/>
          </w:tcPr>
          <w:p w14:paraId="42AE740D">
            <w:pPr>
              <w:widowControl/>
              <w:adjustRightInd w:val="0"/>
              <w:snapToGrid w:val="0"/>
              <w:spacing w:line="300" w:lineRule="auto"/>
              <w:jc w:val="left"/>
              <w:rPr>
                <w:rFonts w:hint="eastAsia" w:ascii="宋体" w:hAnsi="宋体"/>
                <w:b/>
                <w:bCs/>
                <w:szCs w:val="21"/>
                <w:highlight w:val="none"/>
              </w:rPr>
            </w:pPr>
            <w:r>
              <w:rPr>
                <w:rFonts w:hint="eastAsia" w:ascii="宋体" w:hAnsi="宋体"/>
                <w:b/>
                <w:bCs/>
                <w:szCs w:val="21"/>
                <w:highlight w:val="none"/>
              </w:rPr>
              <w:t>启动异常低价审查的情形和具体要求：</w:t>
            </w:r>
          </w:p>
          <w:p w14:paraId="39A6F86E">
            <w:pPr>
              <w:widowControl/>
              <w:adjustRightInd w:val="0"/>
              <w:snapToGrid w:val="0"/>
              <w:spacing w:line="300" w:lineRule="auto"/>
              <w:jc w:val="left"/>
              <w:rPr>
                <w:rFonts w:hint="eastAsia" w:ascii="宋体" w:hAnsi="宋体"/>
                <w:szCs w:val="21"/>
                <w:highlight w:val="none"/>
              </w:rPr>
            </w:pPr>
            <w:r>
              <w:rPr>
                <w:rFonts w:hint="eastAsia" w:ascii="宋体" w:hAnsi="宋体"/>
                <w:szCs w:val="21"/>
                <w:highlight w:val="none"/>
              </w:rPr>
              <w:t>（一）评审过程中出现下列情形之一的，评审委员会应当启动异常低价响应审查程序</w:t>
            </w:r>
            <w:r>
              <w:rPr>
                <w:rFonts w:hint="eastAsia" w:ascii="宋体" w:hAnsi="宋体"/>
                <w:szCs w:val="21"/>
                <w:highlight w:val="none"/>
                <w:lang w:eastAsia="zh-CN"/>
              </w:rPr>
              <w:t>：</w:t>
            </w:r>
          </w:p>
          <w:p w14:paraId="55956867">
            <w:pPr>
              <w:widowControl/>
              <w:adjustRightInd w:val="0"/>
              <w:snapToGrid w:val="0"/>
              <w:spacing w:line="300" w:lineRule="auto"/>
              <w:jc w:val="left"/>
              <w:rPr>
                <w:rFonts w:hint="eastAsia" w:ascii="宋体" w:hAnsi="宋体"/>
                <w:szCs w:val="21"/>
                <w:highlight w:val="none"/>
              </w:rPr>
            </w:pPr>
            <w:r>
              <w:rPr>
                <w:rFonts w:hint="eastAsia" w:ascii="宋体" w:hAnsi="宋体"/>
                <w:szCs w:val="21"/>
                <w:highlight w:val="none"/>
              </w:rPr>
              <w:t>1.响应报价低于采购项目预算50%的，即响应报价＜采购项目预算x50%；</w:t>
            </w:r>
          </w:p>
          <w:p w14:paraId="5FD32C74">
            <w:pPr>
              <w:widowControl/>
              <w:adjustRightInd w:val="0"/>
              <w:snapToGrid w:val="0"/>
              <w:spacing w:line="300" w:lineRule="auto"/>
              <w:jc w:val="left"/>
              <w:rPr>
                <w:rFonts w:hint="eastAsia" w:ascii="宋体" w:hAnsi="宋体"/>
                <w:szCs w:val="21"/>
                <w:highlight w:val="none"/>
              </w:rPr>
            </w:pPr>
            <w:r>
              <w:rPr>
                <w:rFonts w:hint="eastAsia" w:ascii="宋体" w:hAnsi="宋体"/>
                <w:szCs w:val="21"/>
                <w:highlight w:val="none"/>
              </w:rPr>
              <w:t>2.响应报价低于采购项目最高限价45%的，即响应报价＜采购项目最高限价x45%；</w:t>
            </w:r>
          </w:p>
          <w:p w14:paraId="435D53B4">
            <w:pPr>
              <w:widowControl/>
              <w:adjustRightInd w:val="0"/>
              <w:snapToGrid w:val="0"/>
              <w:spacing w:line="300" w:lineRule="auto"/>
              <w:jc w:val="left"/>
              <w:rPr>
                <w:rFonts w:hint="eastAsia" w:ascii="宋体" w:hAnsi="宋体"/>
                <w:szCs w:val="21"/>
                <w:highlight w:val="none"/>
              </w:rPr>
            </w:pPr>
            <w:r>
              <w:rPr>
                <w:rFonts w:hint="eastAsia" w:ascii="宋体" w:hAnsi="宋体"/>
                <w:szCs w:val="21"/>
                <w:highlight w:val="none"/>
              </w:rPr>
              <w:t>3.评审委员会认定的供应商报价过低、有可能影响产品质量或者不能诚信履约的其他情形。</w:t>
            </w:r>
          </w:p>
          <w:p w14:paraId="6E60FA01">
            <w:pPr>
              <w:adjustRightInd w:val="0"/>
              <w:snapToGrid w:val="0"/>
              <w:spacing w:line="300" w:lineRule="auto"/>
              <w:jc w:val="left"/>
              <w:rPr>
                <w:rFonts w:hint="eastAsia" w:ascii="宋体" w:hAnsi="宋体"/>
                <w:i/>
                <w:iCs/>
                <w:szCs w:val="21"/>
                <w:highlight w:val="none"/>
              </w:rPr>
            </w:pPr>
            <w:r>
              <w:rPr>
                <w:rFonts w:hint="eastAsia" w:ascii="宋体" w:hAnsi="宋体"/>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24E4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pct"/>
            <w:vAlign w:val="center"/>
          </w:tcPr>
          <w:p w14:paraId="26E8569A">
            <w:pPr>
              <w:pBdr>
                <w:top w:val="none" w:color="000000" w:sz="0" w:space="0"/>
                <w:left w:val="none" w:color="000000" w:sz="0" w:space="0"/>
                <w:bottom w:val="none" w:color="000000" w:sz="0" w:space="0"/>
                <w:right w:val="none" w:color="000000" w:sz="0" w:space="0"/>
              </w:pBdr>
              <w:spacing w:line="300" w:lineRule="auto"/>
              <w:jc w:val="center"/>
              <w:rPr>
                <w:rFonts w:hint="eastAsia" w:ascii="宋体" w:hAnsi="宋体" w:cs="宋体"/>
                <w:b/>
                <w:szCs w:val="21"/>
                <w:highlight w:val="none"/>
              </w:rPr>
            </w:pPr>
            <w:r>
              <w:rPr>
                <w:rFonts w:hint="eastAsia" w:ascii="宋体" w:hAnsi="宋体" w:cs="宋体"/>
                <w:b/>
                <w:szCs w:val="21"/>
                <w:highlight w:val="none"/>
              </w:rPr>
              <w:t>技术响应</w:t>
            </w:r>
          </w:p>
          <w:p w14:paraId="3A4F2604">
            <w:pPr>
              <w:pBdr>
                <w:top w:val="none" w:color="000000" w:sz="0" w:space="0"/>
                <w:left w:val="none" w:color="000000" w:sz="0" w:space="0"/>
                <w:bottom w:val="none" w:color="000000" w:sz="0" w:space="0"/>
                <w:right w:val="none" w:color="000000" w:sz="0" w:space="0"/>
              </w:pBdr>
              <w:spacing w:line="300" w:lineRule="auto"/>
              <w:jc w:val="center"/>
              <w:rPr>
                <w:rFonts w:hint="eastAsia" w:ascii="宋体" w:hAnsi="宋体"/>
                <w:szCs w:val="21"/>
                <w:highlight w:val="none"/>
              </w:rPr>
            </w:pPr>
            <w:r>
              <w:rPr>
                <w:rFonts w:hint="eastAsia" w:ascii="宋体" w:hAnsi="宋体" w:cs="宋体"/>
                <w:b/>
                <w:szCs w:val="21"/>
                <w:highlight w:val="none"/>
              </w:rPr>
              <w:t>（32分）</w:t>
            </w:r>
          </w:p>
        </w:tc>
        <w:tc>
          <w:tcPr>
            <w:tcW w:w="3729" w:type="pct"/>
            <w:vAlign w:val="center"/>
          </w:tcPr>
          <w:p w14:paraId="097239A7">
            <w:pPr>
              <w:spacing w:line="300" w:lineRule="auto"/>
              <w:rPr>
                <w:rFonts w:hint="eastAsia" w:ascii="宋体" w:hAnsi="宋体" w:cs="宋体"/>
                <w:szCs w:val="21"/>
                <w:highlight w:val="none"/>
              </w:rPr>
            </w:pPr>
            <w:r>
              <w:rPr>
                <w:rFonts w:hint="eastAsia" w:ascii="宋体" w:hAnsi="宋体" w:cs="宋体"/>
                <w:szCs w:val="21"/>
                <w:highlight w:val="none"/>
              </w:rPr>
              <w:t>根据对采购文件第四章“四、主要技术参数要求”响应情况进行评分，全部满足得32分，采购文件中标注“★”为实质性指标，不满足为无效响应。</w:t>
            </w:r>
          </w:p>
          <w:p w14:paraId="7E1A791B">
            <w:pPr>
              <w:spacing w:line="300" w:lineRule="auto"/>
              <w:rPr>
                <w:rFonts w:hint="eastAsia" w:ascii="宋体" w:hAnsi="宋体" w:cs="宋体"/>
                <w:szCs w:val="21"/>
                <w:highlight w:val="none"/>
              </w:rPr>
            </w:pPr>
            <w:r>
              <w:rPr>
                <w:rFonts w:hint="eastAsia" w:ascii="宋体" w:hAnsi="宋体" w:cs="宋体"/>
                <w:szCs w:val="21"/>
                <w:highlight w:val="none"/>
              </w:rPr>
              <w:t>标▲号技术指标</w:t>
            </w:r>
            <w:r>
              <w:rPr>
                <w:rFonts w:hint="eastAsia" w:ascii="宋体" w:hAnsi="宋体" w:cs="宋体"/>
                <w:szCs w:val="21"/>
                <w:highlight w:val="none"/>
                <w:lang w:eastAsia="zh-CN"/>
              </w:rPr>
              <w:t>（</w:t>
            </w:r>
            <w:r>
              <w:rPr>
                <w:rFonts w:hint="eastAsia" w:ascii="宋体" w:hAnsi="宋体" w:cs="宋体"/>
                <w:szCs w:val="21"/>
                <w:highlight w:val="none"/>
                <w:lang w:val="en-US" w:eastAsia="zh-CN"/>
              </w:rPr>
              <w:t>6条）</w:t>
            </w:r>
            <w:r>
              <w:rPr>
                <w:rFonts w:hint="eastAsia" w:ascii="宋体" w:hAnsi="宋体" w:cs="宋体"/>
                <w:szCs w:val="21"/>
                <w:highlight w:val="none"/>
              </w:rPr>
              <w:t>为重要技术条款，每有一项负偏离扣4分；</w:t>
            </w:r>
          </w:p>
          <w:p w14:paraId="58A4FEE9">
            <w:pPr>
              <w:spacing w:line="300" w:lineRule="auto"/>
              <w:rPr>
                <w:rFonts w:hint="eastAsia" w:ascii="宋体" w:hAnsi="宋体" w:cs="宋体"/>
                <w:szCs w:val="21"/>
                <w:highlight w:val="none"/>
              </w:rPr>
            </w:pPr>
            <w:r>
              <w:rPr>
                <w:rFonts w:hint="eastAsia" w:ascii="宋体" w:hAnsi="宋体" w:cs="宋体"/>
                <w:szCs w:val="21"/>
                <w:highlight w:val="none"/>
              </w:rPr>
              <w:t>其他未标记的指标项</w:t>
            </w:r>
            <w:r>
              <w:rPr>
                <w:rFonts w:hint="eastAsia" w:ascii="宋体" w:hAnsi="宋体" w:cs="宋体"/>
                <w:szCs w:val="21"/>
                <w:highlight w:val="none"/>
                <w:lang w:eastAsia="zh-CN"/>
              </w:rPr>
              <w:t>（</w:t>
            </w:r>
            <w:r>
              <w:rPr>
                <w:rFonts w:hint="eastAsia" w:ascii="宋体" w:hAnsi="宋体" w:cs="宋体"/>
                <w:szCs w:val="21"/>
                <w:highlight w:val="none"/>
                <w:lang w:val="en-US" w:eastAsia="zh-CN"/>
              </w:rPr>
              <w:t>8条）</w:t>
            </w:r>
            <w:r>
              <w:rPr>
                <w:rFonts w:hint="eastAsia" w:ascii="宋体" w:hAnsi="宋体" w:cs="宋体"/>
                <w:szCs w:val="21"/>
                <w:highlight w:val="none"/>
              </w:rPr>
              <w:t>为一般技术条款，每有一项负偏离扣1分。</w:t>
            </w:r>
          </w:p>
          <w:p w14:paraId="4CD42575">
            <w:pPr>
              <w:pStyle w:val="16"/>
              <w:pBdr>
                <w:top w:val="none" w:color="000000" w:sz="0" w:space="0"/>
                <w:left w:val="none" w:color="000000" w:sz="0" w:space="0"/>
                <w:right w:val="none" w:color="000000" w:sz="0" w:space="0"/>
              </w:pBdr>
              <w:spacing w:line="300" w:lineRule="auto"/>
              <w:rPr>
                <w:rFonts w:hint="eastAsia" w:ascii="宋体" w:hAnsi="宋体" w:cs="宋体"/>
                <w:b/>
                <w:bCs/>
                <w:szCs w:val="21"/>
                <w:highlight w:val="none"/>
              </w:rPr>
            </w:pPr>
            <w:r>
              <w:rPr>
                <w:rFonts w:hint="eastAsia" w:ascii="宋体" w:hAnsi="宋体" w:cs="宋体"/>
                <w:b/>
                <w:bCs/>
                <w:szCs w:val="21"/>
                <w:highlight w:val="none"/>
              </w:rPr>
              <w:t>注：</w:t>
            </w:r>
          </w:p>
          <w:p w14:paraId="05973CE0">
            <w:pPr>
              <w:pStyle w:val="16"/>
              <w:numPr>
                <w:ilvl w:val="0"/>
                <w:numId w:val="53"/>
              </w:numPr>
              <w:pBdr>
                <w:top w:val="none" w:color="000000" w:sz="0" w:space="0"/>
                <w:left w:val="none" w:color="000000" w:sz="0" w:space="0"/>
                <w:right w:val="none" w:color="000000" w:sz="0" w:space="0"/>
              </w:pBdr>
              <w:spacing w:line="300" w:lineRule="auto"/>
              <w:rPr>
                <w:rFonts w:hint="eastAsia" w:ascii="宋体" w:hAnsi="宋体" w:cs="宋体"/>
                <w:b/>
                <w:bCs/>
                <w:szCs w:val="21"/>
                <w:highlight w:val="none"/>
              </w:rPr>
            </w:pPr>
            <w:r>
              <w:rPr>
                <w:rFonts w:hint="eastAsia" w:ascii="宋体" w:hAnsi="宋体" w:cs="宋体"/>
                <w:b/>
                <w:bCs/>
                <w:szCs w:val="21"/>
                <w:highlight w:val="none"/>
              </w:rPr>
              <w:t>对标注“★”和“▲”项的技术要求必须在响应文件中提供公开发行的产品说明书或产品彩页或第三方检测报告复印件或可查询的产品制造商官网截图（附官网链接）或产品功能截图等佐证材料（如为复印件需加盖供应商公章，供应商自行承诺的证明材料不认可），未提供佐证资料的，评审时不予认可</w:t>
            </w:r>
            <w:r>
              <w:rPr>
                <w:rFonts w:hint="eastAsia" w:ascii="宋体" w:hAnsi="宋体" w:cs="宋体"/>
                <w:szCs w:val="21"/>
                <w:highlight w:val="none"/>
              </w:rPr>
              <w:t>：</w:t>
            </w:r>
            <w:r>
              <w:rPr>
                <w:rFonts w:hint="eastAsia" w:ascii="宋体" w:hAnsi="宋体" w:cs="宋体"/>
                <w:b/>
                <w:bCs/>
                <w:szCs w:val="21"/>
                <w:highlight w:val="none"/>
              </w:rPr>
              <w:t>加</w:t>
            </w:r>
            <w:r>
              <w:rPr>
                <w:rFonts w:hint="eastAsia" w:ascii="宋体" w:hAnsi="宋体"/>
                <w:b/>
                <w:bCs/>
                <w:szCs w:val="21"/>
                <w:highlight w:val="none"/>
              </w:rPr>
              <w:t>“</w:t>
            </w:r>
            <w:r>
              <w:rPr>
                <w:rFonts w:hint="eastAsia" w:ascii="宋体" w:hAnsi="宋体" w:cs="宋体"/>
                <w:b/>
                <w:bCs/>
                <w:szCs w:val="21"/>
                <w:highlight w:val="none"/>
              </w:rPr>
              <w:t>★</w:t>
            </w:r>
            <w:r>
              <w:rPr>
                <w:rFonts w:hint="eastAsia" w:ascii="宋体" w:hAnsi="宋体"/>
                <w:b/>
                <w:bCs/>
                <w:szCs w:val="21"/>
                <w:highlight w:val="none"/>
              </w:rPr>
              <w:t>”</w:t>
            </w:r>
            <w:r>
              <w:rPr>
                <w:rFonts w:hint="eastAsia" w:ascii="宋体" w:hAnsi="宋体" w:cs="宋体"/>
                <w:b/>
                <w:bCs/>
                <w:szCs w:val="21"/>
                <w:highlight w:val="none"/>
              </w:rPr>
              <w:t>未提供佐证材料或提供的佐证材料不满足要求，按无效标处理；“▲”未提供佐证材料或提供的佐证材料不满足要求的，按负偏离扣分处理。</w:t>
            </w:r>
          </w:p>
          <w:p w14:paraId="16071906">
            <w:pPr>
              <w:spacing w:line="300" w:lineRule="auto"/>
              <w:rPr>
                <w:rFonts w:hint="eastAsia" w:ascii="宋体" w:hAnsi="宋体" w:cs="宋体"/>
                <w:b/>
                <w:bCs/>
                <w:szCs w:val="21"/>
                <w:highlight w:val="none"/>
              </w:rPr>
            </w:pPr>
            <w:r>
              <w:rPr>
                <w:rFonts w:hint="eastAsia" w:ascii="宋体" w:hAnsi="宋体" w:cs="宋体"/>
                <w:b/>
                <w:bCs/>
                <w:szCs w:val="21"/>
                <w:highlight w:val="none"/>
              </w:rPr>
              <w:t>（3）一般技术条款以技术规格偏离表应答为准。</w:t>
            </w:r>
          </w:p>
          <w:p w14:paraId="2957B5C4">
            <w:pPr>
              <w:spacing w:line="300" w:lineRule="auto"/>
              <w:rPr>
                <w:rFonts w:hint="eastAsia" w:ascii="宋体" w:hAnsi="宋体"/>
                <w:szCs w:val="21"/>
                <w:highlight w:val="none"/>
              </w:rPr>
            </w:pPr>
            <w:r>
              <w:rPr>
                <w:rFonts w:hint="eastAsia" w:ascii="宋体" w:hAnsi="宋体" w:cs="宋体"/>
                <w:b/>
                <w:bCs/>
                <w:szCs w:val="21"/>
                <w:highlight w:val="none"/>
              </w:rPr>
              <w:t>所有证明材料应在技术规格偏离表中注明证明材料页码。</w:t>
            </w:r>
          </w:p>
        </w:tc>
      </w:tr>
      <w:tr w14:paraId="43D22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pct"/>
            <w:vAlign w:val="center"/>
          </w:tcPr>
          <w:p w14:paraId="78C094CC">
            <w:pPr>
              <w:spacing w:line="360" w:lineRule="auto"/>
              <w:jc w:val="center"/>
              <w:rPr>
                <w:rFonts w:hint="eastAsia" w:ascii="宋体" w:hAnsi="宋体"/>
                <w:b/>
                <w:bCs/>
                <w:highlight w:val="none"/>
                <w:lang w:val="zh-CN"/>
              </w:rPr>
            </w:pPr>
            <w:r>
              <w:rPr>
                <w:rFonts w:hint="eastAsia" w:ascii="宋体" w:hAnsi="宋体"/>
                <w:b/>
                <w:bCs/>
                <w:highlight w:val="none"/>
                <w:lang w:val="zh-CN"/>
              </w:rPr>
              <w:t>产品综合评价</w:t>
            </w:r>
          </w:p>
          <w:p w14:paraId="0782402B">
            <w:pPr>
              <w:pStyle w:val="60"/>
              <w:ind w:firstLine="843" w:firstLineChars="400"/>
              <w:jc w:val="both"/>
              <w:rPr>
                <w:rFonts w:hint="eastAsia" w:ascii="宋体" w:hAnsi="宋体"/>
                <w:szCs w:val="21"/>
                <w:highlight w:val="none"/>
                <w:lang w:val="zh-CN"/>
              </w:rPr>
            </w:pPr>
            <w:r>
              <w:rPr>
                <w:rFonts w:hint="eastAsia" w:ascii="宋体" w:hAnsi="宋体"/>
                <w:highlight w:val="none"/>
              </w:rPr>
              <w:t>（10分）</w:t>
            </w:r>
          </w:p>
        </w:tc>
        <w:tc>
          <w:tcPr>
            <w:tcW w:w="3729" w:type="pct"/>
            <w:vAlign w:val="center"/>
          </w:tcPr>
          <w:p w14:paraId="02BC6748">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highlight w:val="none"/>
                <w:lang w:val="zh-CN"/>
              </w:rPr>
            </w:pPr>
            <w:r>
              <w:rPr>
                <w:rFonts w:hint="eastAsia" w:ascii="宋体" w:hAnsi="宋体" w:eastAsia="宋体" w:cs="宋体"/>
                <w:highlight w:val="none"/>
                <w:lang w:eastAsia="zh-CN"/>
              </w:rPr>
              <w:t>1.</w:t>
            </w:r>
            <w:r>
              <w:rPr>
                <w:rFonts w:hint="eastAsia" w:ascii="宋体" w:hAnsi="宋体" w:eastAsia="宋体" w:cs="宋体"/>
                <w:highlight w:val="none"/>
                <w:lang w:val="zh-CN"/>
              </w:rPr>
              <w:t>根据</w:t>
            </w:r>
            <w:r>
              <w:rPr>
                <w:rFonts w:hint="eastAsia" w:ascii="宋体" w:hAnsi="宋体" w:eastAsia="宋体" w:cs="宋体"/>
                <w:highlight w:val="none"/>
              </w:rPr>
              <w:t>供应商</w:t>
            </w:r>
            <w:r>
              <w:rPr>
                <w:rFonts w:hint="eastAsia" w:ascii="宋体" w:hAnsi="宋体" w:eastAsia="宋体" w:cs="宋体"/>
                <w:highlight w:val="none"/>
                <w:lang w:val="zh-CN"/>
              </w:rPr>
              <w:t>所投</w:t>
            </w:r>
            <w:r>
              <w:rPr>
                <w:rFonts w:hint="eastAsia" w:ascii="宋体" w:hAnsi="宋体" w:cs="宋体"/>
                <w:highlight w:val="none"/>
                <w:lang w:val="en-US" w:eastAsia="zh-CN"/>
              </w:rPr>
              <w:t>产品</w:t>
            </w:r>
            <w:r>
              <w:rPr>
                <w:rFonts w:hint="eastAsia" w:ascii="宋体" w:hAnsi="宋体" w:eastAsia="宋体" w:cs="宋体"/>
                <w:highlight w:val="none"/>
                <w:lang w:val="zh-CN"/>
              </w:rPr>
              <w:t>的</w:t>
            </w:r>
            <w:r>
              <w:rPr>
                <w:rFonts w:hint="eastAsia" w:ascii="宋体" w:hAnsi="宋体" w:cs="宋体"/>
                <w:highlight w:val="none"/>
                <w:lang w:val="en-US" w:eastAsia="zh-CN"/>
              </w:rPr>
              <w:t>耐用性、安全性以及可维护性等</w:t>
            </w:r>
            <w:r>
              <w:rPr>
                <w:rFonts w:hint="eastAsia" w:ascii="宋体" w:hAnsi="宋体" w:eastAsia="宋体" w:cs="宋体"/>
                <w:highlight w:val="none"/>
                <w:lang w:val="zh-CN"/>
              </w:rPr>
              <w:t>情况</w:t>
            </w:r>
            <w:r>
              <w:rPr>
                <w:rFonts w:hint="eastAsia" w:ascii="宋体" w:hAnsi="宋体" w:eastAsia="宋体" w:cs="宋体"/>
                <w:highlight w:val="none"/>
              </w:rPr>
              <w:t>进行打分</w:t>
            </w:r>
            <w:r>
              <w:rPr>
                <w:rFonts w:hint="eastAsia" w:ascii="宋体" w:hAnsi="宋体" w:eastAsia="宋体" w:cs="宋体"/>
                <w:highlight w:val="none"/>
                <w:lang w:val="zh-CN"/>
              </w:rPr>
              <w:t>。</w:t>
            </w:r>
          </w:p>
          <w:p w14:paraId="6FF4F452">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highlight w:val="none"/>
              </w:rPr>
            </w:pPr>
            <w:r>
              <w:rPr>
                <w:rFonts w:hint="eastAsia" w:ascii="宋体" w:hAnsi="宋体" w:cs="宋体"/>
                <w:highlight w:val="none"/>
                <w:lang w:val="en-US" w:eastAsia="zh-CN"/>
              </w:rPr>
              <w:t>产品耐用性、安全性以及可维护性高</w:t>
            </w:r>
            <w:r>
              <w:rPr>
                <w:rFonts w:hint="eastAsia" w:ascii="宋体" w:hAnsi="宋体" w:eastAsia="宋体" w:cs="宋体"/>
                <w:highlight w:val="none"/>
              </w:rPr>
              <w:t>的，得6分；</w:t>
            </w:r>
          </w:p>
          <w:p w14:paraId="5829048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highlight w:val="none"/>
              </w:rPr>
            </w:pPr>
            <w:r>
              <w:rPr>
                <w:rFonts w:hint="eastAsia" w:ascii="宋体" w:hAnsi="宋体" w:cs="宋体"/>
                <w:highlight w:val="none"/>
                <w:lang w:val="en-US" w:eastAsia="zh-CN"/>
              </w:rPr>
              <w:t>产品耐用性、安全性以及可维护性较高</w:t>
            </w:r>
            <w:r>
              <w:rPr>
                <w:rFonts w:hint="eastAsia" w:ascii="宋体" w:hAnsi="宋体" w:eastAsia="宋体" w:cs="宋体"/>
                <w:highlight w:val="none"/>
              </w:rPr>
              <w:t>的，得3分；</w:t>
            </w:r>
          </w:p>
          <w:p w14:paraId="338AB0A7">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highlight w:val="none"/>
              </w:rPr>
            </w:pPr>
            <w:r>
              <w:rPr>
                <w:rFonts w:hint="eastAsia" w:ascii="宋体" w:hAnsi="宋体" w:cs="宋体"/>
                <w:highlight w:val="none"/>
                <w:lang w:val="en-US" w:eastAsia="zh-CN"/>
              </w:rPr>
              <w:t>产品耐用性、安全性以及可维护性一般</w:t>
            </w:r>
            <w:r>
              <w:rPr>
                <w:rFonts w:hint="eastAsia" w:ascii="宋体" w:hAnsi="宋体" w:eastAsia="宋体" w:cs="宋体"/>
                <w:highlight w:val="none"/>
              </w:rPr>
              <w:t>的，得1分；</w:t>
            </w:r>
          </w:p>
          <w:p w14:paraId="61C07D4F">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highlight w:val="none"/>
              </w:rPr>
            </w:pPr>
            <w:r>
              <w:rPr>
                <w:rFonts w:hint="eastAsia" w:ascii="宋体" w:hAnsi="宋体" w:eastAsia="宋体" w:cs="宋体"/>
                <w:szCs w:val="21"/>
                <w:highlight w:val="none"/>
              </w:rPr>
              <w:t>不能满足本项目要求或未提供</w:t>
            </w:r>
            <w:r>
              <w:rPr>
                <w:rFonts w:hint="eastAsia" w:ascii="宋体" w:hAnsi="宋体" w:cs="宋体"/>
                <w:szCs w:val="21"/>
                <w:highlight w:val="none"/>
                <w:lang w:val="en-US" w:eastAsia="zh-CN"/>
              </w:rPr>
              <w:t>的</w:t>
            </w:r>
            <w:r>
              <w:rPr>
                <w:rFonts w:hint="eastAsia" w:ascii="宋体" w:hAnsi="宋体" w:eastAsia="宋体" w:cs="宋体"/>
                <w:szCs w:val="21"/>
                <w:highlight w:val="none"/>
              </w:rPr>
              <w:t>不得分</w:t>
            </w:r>
            <w:r>
              <w:rPr>
                <w:rFonts w:hint="eastAsia" w:ascii="宋体" w:hAnsi="宋体" w:eastAsia="宋体" w:cs="宋体"/>
                <w:highlight w:val="none"/>
              </w:rPr>
              <w:t>。</w:t>
            </w:r>
          </w:p>
          <w:p w14:paraId="48B0C75A">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zCs w:val="21"/>
                <w:highlight w:val="none"/>
              </w:rPr>
            </w:pPr>
            <w:r>
              <w:rPr>
                <w:rFonts w:hint="eastAsia" w:ascii="宋体" w:hAnsi="宋体" w:eastAsia="宋体" w:cs="宋体"/>
                <w:highlight w:val="none"/>
                <w:lang w:eastAsia="zh-CN"/>
              </w:rPr>
              <w:t>2.</w:t>
            </w:r>
            <w:r>
              <w:rPr>
                <w:rFonts w:hint="eastAsia" w:ascii="宋体" w:hAnsi="宋体" w:eastAsia="宋体" w:cs="宋体"/>
                <w:szCs w:val="21"/>
                <w:highlight w:val="none"/>
              </w:rPr>
              <w:t>根据供应商响应产品的质量反馈进行评分，总分4分：</w:t>
            </w:r>
          </w:p>
          <w:p w14:paraId="4D6C2D1E">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根据提供的2021年至今的用户书面评价及意见反馈情况，评价为优的每份得1分，最高得4分。</w:t>
            </w:r>
          </w:p>
        </w:tc>
      </w:tr>
      <w:tr w14:paraId="1F99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pct"/>
            <w:vAlign w:val="center"/>
          </w:tcPr>
          <w:p w14:paraId="7BFFB9D5">
            <w:pPr>
              <w:widowControl/>
              <w:spacing w:line="300" w:lineRule="auto"/>
              <w:jc w:val="center"/>
              <w:rPr>
                <w:rFonts w:hint="eastAsia" w:ascii="宋体" w:hAnsi="宋体"/>
                <w:b/>
                <w:bCs/>
                <w:szCs w:val="21"/>
                <w:highlight w:val="none"/>
                <w:lang w:val="zh-CN"/>
              </w:rPr>
            </w:pPr>
            <w:r>
              <w:rPr>
                <w:rFonts w:hint="eastAsia" w:ascii="宋体" w:hAnsi="宋体"/>
                <w:b/>
                <w:bCs/>
                <w:szCs w:val="21"/>
                <w:highlight w:val="none"/>
                <w:lang w:val="zh-CN"/>
              </w:rPr>
              <w:t>项目实施方案</w:t>
            </w:r>
          </w:p>
          <w:p w14:paraId="424DF7C3">
            <w:pPr>
              <w:widowControl/>
              <w:spacing w:line="300" w:lineRule="auto"/>
              <w:jc w:val="center"/>
              <w:rPr>
                <w:rFonts w:hint="eastAsia" w:ascii="宋体" w:hAnsi="宋体"/>
                <w:b/>
                <w:bCs/>
                <w:szCs w:val="21"/>
                <w:highlight w:val="none"/>
                <w:lang w:val="zh-CN"/>
              </w:rPr>
            </w:pPr>
            <w:r>
              <w:rPr>
                <w:rFonts w:hint="eastAsia" w:ascii="宋体" w:hAnsi="宋体"/>
                <w:b/>
                <w:bCs/>
                <w:szCs w:val="21"/>
                <w:highlight w:val="none"/>
                <w:lang w:val="zh-CN"/>
              </w:rPr>
              <w:t>（</w:t>
            </w:r>
            <w:r>
              <w:rPr>
                <w:rFonts w:hint="eastAsia" w:ascii="宋体" w:hAnsi="宋体"/>
                <w:b/>
                <w:bCs/>
                <w:szCs w:val="21"/>
                <w:highlight w:val="none"/>
              </w:rPr>
              <w:t>7分）</w:t>
            </w:r>
          </w:p>
        </w:tc>
        <w:tc>
          <w:tcPr>
            <w:tcW w:w="3729" w:type="pct"/>
            <w:vAlign w:val="center"/>
          </w:tcPr>
          <w:p w14:paraId="383C22D3">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针对本项目提供项目实施方案，内容包括但不限于：①项目建设背景及建设目标；②系统框架图；③安装进度计划；④质量保障措施。</w:t>
            </w:r>
          </w:p>
          <w:p w14:paraId="7610DB08">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方案内容完整、详细，进度控制合理，质量保障措施科学合理，可行性强且完全满足项目实际需求，得7分；</w:t>
            </w:r>
          </w:p>
          <w:p w14:paraId="7FAFAEB3">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trike/>
                <w:szCs w:val="21"/>
                <w:highlight w:val="none"/>
              </w:rPr>
            </w:pPr>
            <w:r>
              <w:rPr>
                <w:rFonts w:hint="eastAsia" w:ascii="宋体" w:hAnsi="宋体" w:eastAsia="宋体" w:cs="宋体"/>
                <w:szCs w:val="21"/>
                <w:highlight w:val="none"/>
              </w:rPr>
              <w:t>方案内容完整，进度控制较合理，质量保障措施合理，可行性较强且满足项目实际需求，得5分；</w:t>
            </w:r>
          </w:p>
          <w:p w14:paraId="11CDFF58">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方案内容基本完整，具有进度控制但略有瑕疵，质量保障措施基本合理，基本满足项目实际需求，得3分；</w:t>
            </w:r>
          </w:p>
          <w:p w14:paraId="4426CD28">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不能满足本项目要求或未提供</w:t>
            </w:r>
            <w:r>
              <w:rPr>
                <w:rFonts w:hint="eastAsia" w:ascii="宋体" w:hAnsi="宋体" w:cs="宋体"/>
                <w:szCs w:val="21"/>
                <w:highlight w:val="none"/>
                <w:lang w:val="en-US" w:eastAsia="zh-CN"/>
              </w:rPr>
              <w:t>的</w:t>
            </w:r>
            <w:r>
              <w:rPr>
                <w:rFonts w:hint="eastAsia" w:ascii="宋体" w:hAnsi="宋体" w:eastAsia="宋体" w:cs="宋体"/>
                <w:szCs w:val="21"/>
                <w:highlight w:val="none"/>
              </w:rPr>
              <w:t>不得分。</w:t>
            </w:r>
          </w:p>
        </w:tc>
      </w:tr>
      <w:tr w14:paraId="5219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pct"/>
            <w:vAlign w:val="center"/>
          </w:tcPr>
          <w:p w14:paraId="43A44651">
            <w:pPr>
              <w:widowControl/>
              <w:spacing w:line="300" w:lineRule="auto"/>
              <w:jc w:val="center"/>
              <w:rPr>
                <w:rFonts w:hint="eastAsia" w:ascii="宋体" w:hAnsi="宋体"/>
                <w:b/>
                <w:bCs/>
                <w:szCs w:val="21"/>
                <w:highlight w:val="none"/>
              </w:rPr>
            </w:pPr>
            <w:r>
              <w:rPr>
                <w:rFonts w:hint="eastAsia" w:ascii="宋体" w:hAnsi="宋体"/>
                <w:b/>
                <w:bCs/>
                <w:szCs w:val="21"/>
                <w:highlight w:val="none"/>
              </w:rPr>
              <w:t>售后服务方案</w:t>
            </w:r>
          </w:p>
          <w:p w14:paraId="102A60C7">
            <w:pPr>
              <w:pStyle w:val="60"/>
              <w:spacing w:line="300" w:lineRule="auto"/>
              <w:rPr>
                <w:rFonts w:hint="eastAsia" w:ascii="宋体" w:hAnsi="宋体"/>
                <w:szCs w:val="21"/>
                <w:highlight w:val="none"/>
              </w:rPr>
            </w:pPr>
            <w:r>
              <w:rPr>
                <w:rFonts w:hint="eastAsia" w:ascii="宋体" w:hAnsi="宋体"/>
                <w:szCs w:val="21"/>
                <w:highlight w:val="none"/>
              </w:rPr>
              <w:t>（6分）</w:t>
            </w:r>
          </w:p>
        </w:tc>
        <w:tc>
          <w:tcPr>
            <w:tcW w:w="3729" w:type="pct"/>
            <w:vAlign w:val="center"/>
          </w:tcPr>
          <w:p w14:paraId="0FB29C0F">
            <w:pPr>
              <w:spacing w:line="300" w:lineRule="auto"/>
              <w:rPr>
                <w:rFonts w:hint="eastAsia" w:ascii="宋体" w:hAnsi="宋体"/>
                <w:szCs w:val="21"/>
                <w:highlight w:val="none"/>
              </w:rPr>
            </w:pPr>
            <w:r>
              <w:rPr>
                <w:rFonts w:hint="eastAsia" w:ascii="宋体" w:hAnsi="宋体"/>
                <w:szCs w:val="21"/>
                <w:highlight w:val="none"/>
              </w:rPr>
              <w:t>根据供应商针对本项目的售后服务方案（如服务体系、服务内容、服务承诺、故障解决方案及响应时间、专业技术人员保障及服务电话、质保期内的售后服务范围、质保期满后的售后服务范围和收费情况等）综合评分。</w:t>
            </w:r>
            <w:r>
              <w:rPr>
                <w:rFonts w:hint="eastAsia" w:ascii="宋体" w:hAnsi="宋体"/>
                <w:szCs w:val="21"/>
                <w:highlight w:val="none"/>
              </w:rPr>
              <w:br w:type="textWrapping"/>
            </w:r>
            <w:r>
              <w:rPr>
                <w:rFonts w:hint="eastAsia" w:ascii="宋体" w:hAnsi="宋体"/>
                <w:szCs w:val="21"/>
                <w:highlight w:val="none"/>
              </w:rPr>
              <w:t>售后服务方案科学详细、可行性、合理性强，得6分；</w:t>
            </w:r>
            <w:r>
              <w:rPr>
                <w:rFonts w:hint="eastAsia" w:ascii="宋体" w:hAnsi="宋体"/>
                <w:szCs w:val="21"/>
                <w:highlight w:val="none"/>
              </w:rPr>
              <w:br w:type="textWrapping"/>
            </w:r>
            <w:r>
              <w:rPr>
                <w:rFonts w:hint="eastAsia" w:ascii="宋体" w:hAnsi="宋体"/>
                <w:szCs w:val="21"/>
                <w:highlight w:val="none"/>
              </w:rPr>
              <w:t>售后服务方案比较科学、比较详细、可行</w:t>
            </w:r>
            <w:r>
              <w:rPr>
                <w:rFonts w:hint="eastAsia" w:ascii="宋体" w:hAnsi="宋体"/>
                <w:szCs w:val="21"/>
                <w:highlight w:val="none"/>
                <w:lang w:eastAsia="zh-CN"/>
              </w:rPr>
              <w:t>性和</w:t>
            </w:r>
            <w:r>
              <w:rPr>
                <w:rFonts w:hint="eastAsia" w:ascii="宋体" w:hAnsi="宋体"/>
                <w:szCs w:val="21"/>
                <w:highlight w:val="none"/>
              </w:rPr>
              <w:t>合理性较强，得4分；</w:t>
            </w:r>
            <w:r>
              <w:rPr>
                <w:rFonts w:hint="eastAsia" w:ascii="宋体" w:hAnsi="宋体"/>
                <w:szCs w:val="21"/>
                <w:highlight w:val="none"/>
              </w:rPr>
              <w:br w:type="textWrapping"/>
            </w:r>
            <w:r>
              <w:rPr>
                <w:rFonts w:hint="eastAsia" w:ascii="宋体" w:hAnsi="宋体"/>
                <w:szCs w:val="21"/>
                <w:highlight w:val="none"/>
              </w:rPr>
              <w:t>售后服务方案不够科学、不够详细、可行</w:t>
            </w:r>
            <w:r>
              <w:rPr>
                <w:rFonts w:hint="eastAsia" w:ascii="宋体" w:hAnsi="宋体"/>
                <w:szCs w:val="21"/>
                <w:highlight w:val="none"/>
                <w:lang w:eastAsia="zh-CN"/>
              </w:rPr>
              <w:t>性和</w:t>
            </w:r>
            <w:r>
              <w:rPr>
                <w:rFonts w:hint="eastAsia" w:ascii="宋体" w:hAnsi="宋体"/>
                <w:szCs w:val="21"/>
                <w:highlight w:val="none"/>
              </w:rPr>
              <w:t>合理性一般，得</w:t>
            </w:r>
            <w:r>
              <w:rPr>
                <w:rFonts w:ascii="宋体" w:hAnsi="宋体"/>
                <w:szCs w:val="21"/>
                <w:highlight w:val="none"/>
              </w:rPr>
              <w:t>2</w:t>
            </w:r>
            <w:r>
              <w:rPr>
                <w:rFonts w:hint="eastAsia" w:ascii="宋体" w:hAnsi="宋体"/>
                <w:szCs w:val="21"/>
                <w:highlight w:val="none"/>
              </w:rPr>
              <w:t>分；</w:t>
            </w:r>
            <w:r>
              <w:rPr>
                <w:rFonts w:hint="eastAsia" w:ascii="宋体" w:hAnsi="宋体"/>
                <w:szCs w:val="21"/>
                <w:highlight w:val="none"/>
              </w:rPr>
              <w:br w:type="textWrapping"/>
            </w:r>
            <w:r>
              <w:rPr>
                <w:rFonts w:hint="eastAsia" w:ascii="宋体" w:hAnsi="宋体"/>
                <w:szCs w:val="21"/>
                <w:highlight w:val="none"/>
              </w:rPr>
              <w:t>不能满足本项目要求或未提供的不得分。</w:t>
            </w:r>
          </w:p>
        </w:tc>
      </w:tr>
      <w:tr w14:paraId="0302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pct"/>
            <w:vAlign w:val="center"/>
          </w:tcPr>
          <w:p w14:paraId="3DF264C0">
            <w:pPr>
              <w:widowControl/>
              <w:spacing w:line="300" w:lineRule="auto"/>
              <w:jc w:val="center"/>
              <w:rPr>
                <w:rFonts w:hint="eastAsia" w:ascii="宋体" w:hAnsi="宋体"/>
                <w:b/>
                <w:bCs/>
                <w:szCs w:val="21"/>
                <w:highlight w:val="none"/>
              </w:rPr>
            </w:pPr>
            <w:r>
              <w:rPr>
                <w:rFonts w:hint="eastAsia" w:ascii="宋体" w:hAnsi="宋体"/>
                <w:b/>
                <w:bCs/>
                <w:szCs w:val="21"/>
                <w:highlight w:val="none"/>
              </w:rPr>
              <w:t>培训方案</w:t>
            </w:r>
          </w:p>
          <w:p w14:paraId="170FEE7F">
            <w:pPr>
              <w:widowControl/>
              <w:spacing w:line="300" w:lineRule="auto"/>
              <w:jc w:val="center"/>
              <w:rPr>
                <w:rFonts w:hint="eastAsia" w:ascii="宋体" w:hAnsi="宋体"/>
                <w:b/>
                <w:bCs/>
                <w:szCs w:val="21"/>
                <w:highlight w:val="none"/>
              </w:rPr>
            </w:pPr>
            <w:r>
              <w:rPr>
                <w:rFonts w:hint="eastAsia" w:ascii="宋体" w:hAnsi="宋体"/>
                <w:b/>
                <w:bCs/>
                <w:szCs w:val="21"/>
                <w:highlight w:val="none"/>
              </w:rPr>
              <w:t>（5分）</w:t>
            </w:r>
          </w:p>
        </w:tc>
        <w:tc>
          <w:tcPr>
            <w:tcW w:w="3729" w:type="pct"/>
            <w:vAlign w:val="center"/>
          </w:tcPr>
          <w:p w14:paraId="2C5A122E">
            <w:pPr>
              <w:spacing w:line="300" w:lineRule="auto"/>
              <w:rPr>
                <w:rFonts w:hint="eastAsia" w:ascii="宋体" w:hAnsi="宋体"/>
                <w:szCs w:val="21"/>
                <w:highlight w:val="none"/>
              </w:rPr>
            </w:pPr>
            <w:r>
              <w:rPr>
                <w:rFonts w:hint="eastAsia" w:ascii="宋体" w:hAnsi="宋体"/>
                <w:szCs w:val="21"/>
                <w:highlight w:val="none"/>
              </w:rPr>
              <w:t>根据供应商提供的培训方案（包括但不限于培训计划、具体安排、时间规划、培训内容及培训效果评价、培训质量保证等）。</w:t>
            </w:r>
          </w:p>
          <w:p w14:paraId="38FAA7C3">
            <w:pPr>
              <w:spacing w:line="300" w:lineRule="auto"/>
              <w:rPr>
                <w:rFonts w:hint="eastAsia" w:ascii="宋体" w:hAnsi="宋体"/>
                <w:szCs w:val="21"/>
                <w:highlight w:val="none"/>
              </w:rPr>
            </w:pPr>
            <w:r>
              <w:rPr>
                <w:rFonts w:hint="eastAsia" w:ascii="宋体" w:hAnsi="宋体"/>
                <w:szCs w:val="21"/>
                <w:highlight w:val="none"/>
              </w:rPr>
              <w:t>培训方式多样，内容丰富，针对性强得5分；</w:t>
            </w:r>
            <w:r>
              <w:rPr>
                <w:rFonts w:hint="eastAsia" w:ascii="宋体" w:hAnsi="宋体"/>
                <w:szCs w:val="21"/>
                <w:highlight w:val="none"/>
              </w:rPr>
              <w:br w:type="textWrapping"/>
            </w:r>
            <w:r>
              <w:rPr>
                <w:rFonts w:hint="eastAsia" w:ascii="宋体" w:hAnsi="宋体"/>
                <w:szCs w:val="21"/>
                <w:highlight w:val="none"/>
              </w:rPr>
              <w:t>培训方式一般，内容完整，针对性一般得3分；</w:t>
            </w:r>
            <w:r>
              <w:rPr>
                <w:rFonts w:hint="eastAsia" w:ascii="宋体" w:hAnsi="宋体"/>
                <w:szCs w:val="21"/>
                <w:highlight w:val="none"/>
              </w:rPr>
              <w:br w:type="textWrapping"/>
            </w:r>
            <w:r>
              <w:rPr>
                <w:rFonts w:hint="eastAsia" w:ascii="宋体" w:hAnsi="宋体"/>
                <w:szCs w:val="21"/>
                <w:highlight w:val="none"/>
              </w:rPr>
              <w:t>培训方式单一，内容少，针对性较弱得1分；</w:t>
            </w:r>
            <w:r>
              <w:rPr>
                <w:rFonts w:hint="eastAsia" w:ascii="宋体" w:hAnsi="宋体"/>
                <w:szCs w:val="21"/>
                <w:highlight w:val="none"/>
              </w:rPr>
              <w:br w:type="textWrapping"/>
            </w:r>
            <w:r>
              <w:rPr>
                <w:rFonts w:hint="eastAsia" w:ascii="宋体" w:hAnsi="宋体"/>
                <w:szCs w:val="21"/>
                <w:highlight w:val="none"/>
              </w:rPr>
              <w:t>不能满足本项目要求或未提供的不得分。</w:t>
            </w:r>
          </w:p>
        </w:tc>
      </w:tr>
      <w:tr w14:paraId="67DEC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pct"/>
            <w:vAlign w:val="center"/>
          </w:tcPr>
          <w:p w14:paraId="1A7B962A">
            <w:pPr>
              <w:widowControl/>
              <w:spacing w:line="300" w:lineRule="auto"/>
              <w:jc w:val="center"/>
              <w:rPr>
                <w:rFonts w:hint="eastAsia" w:ascii="宋体" w:hAnsi="宋体"/>
                <w:b/>
                <w:bCs/>
                <w:szCs w:val="21"/>
                <w:highlight w:val="none"/>
              </w:rPr>
            </w:pPr>
            <w:r>
              <w:rPr>
                <w:rFonts w:hint="eastAsia" w:ascii="宋体" w:hAnsi="宋体"/>
                <w:b/>
                <w:bCs/>
                <w:szCs w:val="21"/>
                <w:highlight w:val="none"/>
              </w:rPr>
              <w:t>质保期</w:t>
            </w:r>
          </w:p>
          <w:p w14:paraId="123C777E">
            <w:pPr>
              <w:widowControl/>
              <w:spacing w:line="300" w:lineRule="auto"/>
              <w:jc w:val="center"/>
              <w:rPr>
                <w:rFonts w:hint="eastAsia" w:ascii="宋体" w:hAnsi="宋体"/>
                <w:b/>
                <w:bCs/>
                <w:szCs w:val="21"/>
                <w:highlight w:val="none"/>
              </w:rPr>
            </w:pPr>
            <w:r>
              <w:rPr>
                <w:rFonts w:hint="eastAsia" w:ascii="宋体" w:hAnsi="宋体"/>
                <w:b/>
                <w:bCs/>
                <w:szCs w:val="21"/>
                <w:highlight w:val="none"/>
              </w:rPr>
              <w:t>（2分）</w:t>
            </w:r>
          </w:p>
        </w:tc>
        <w:tc>
          <w:tcPr>
            <w:tcW w:w="3729" w:type="pct"/>
            <w:vAlign w:val="center"/>
          </w:tcPr>
          <w:p w14:paraId="34C0EA07">
            <w:pPr>
              <w:pStyle w:val="274"/>
              <w:spacing w:line="300" w:lineRule="auto"/>
              <w:jc w:val="both"/>
              <w:rPr>
                <w:rFonts w:hint="default" w:hAnsi="宋体" w:eastAsia="宋体"/>
                <w:sz w:val="21"/>
                <w:szCs w:val="21"/>
                <w:highlight w:val="none"/>
                <w:lang w:val="en-US" w:eastAsia="zh-CN"/>
              </w:rPr>
            </w:pPr>
            <w:r>
              <w:rPr>
                <w:rFonts w:hAnsi="宋体"/>
                <w:sz w:val="21"/>
                <w:szCs w:val="21"/>
                <w:highlight w:val="none"/>
                <w:lang w:bidi="ar"/>
              </w:rPr>
              <w:t>在免费</w:t>
            </w:r>
            <w:r>
              <w:rPr>
                <w:rFonts w:hint="eastAsia" w:hAnsi="宋体"/>
                <w:sz w:val="21"/>
                <w:szCs w:val="21"/>
                <w:highlight w:val="none"/>
                <w:lang w:val="en-US" w:eastAsia="zh-CN" w:bidi="ar"/>
              </w:rPr>
              <w:t>质保</w:t>
            </w:r>
            <w:r>
              <w:rPr>
                <w:rFonts w:hint="eastAsia" w:hAnsi="宋体"/>
                <w:sz w:val="21"/>
                <w:szCs w:val="21"/>
                <w:highlight w:val="none"/>
                <w:lang w:bidi="ar"/>
              </w:rPr>
              <w:t>一</w:t>
            </w:r>
            <w:r>
              <w:rPr>
                <w:rFonts w:hAnsi="宋体"/>
                <w:sz w:val="21"/>
                <w:szCs w:val="21"/>
                <w:highlight w:val="none"/>
                <w:lang w:bidi="ar"/>
              </w:rPr>
              <w:t>年的基础上，每增加一年</w:t>
            </w:r>
            <w:r>
              <w:rPr>
                <w:rFonts w:hint="eastAsia" w:hAnsi="宋体"/>
                <w:sz w:val="21"/>
                <w:szCs w:val="21"/>
                <w:highlight w:val="none"/>
                <w:lang w:bidi="ar"/>
              </w:rPr>
              <w:t>相同条件的</w:t>
            </w:r>
            <w:r>
              <w:rPr>
                <w:rFonts w:hAnsi="宋体"/>
                <w:sz w:val="21"/>
                <w:szCs w:val="21"/>
                <w:highlight w:val="none"/>
                <w:lang w:bidi="ar"/>
              </w:rPr>
              <w:t>免费</w:t>
            </w:r>
            <w:r>
              <w:rPr>
                <w:rFonts w:hint="eastAsia" w:hAnsi="宋体"/>
                <w:sz w:val="21"/>
                <w:szCs w:val="21"/>
                <w:highlight w:val="none"/>
                <w:lang w:val="en-US" w:eastAsia="zh-CN" w:bidi="ar"/>
              </w:rPr>
              <w:t>质保</w:t>
            </w:r>
            <w:r>
              <w:rPr>
                <w:rFonts w:hAnsi="宋体"/>
                <w:sz w:val="21"/>
                <w:szCs w:val="21"/>
                <w:highlight w:val="none"/>
                <w:lang w:bidi="ar"/>
              </w:rPr>
              <w:t>服务得1分，本项最高得2分。</w:t>
            </w:r>
            <w:r>
              <w:rPr>
                <w:rFonts w:hint="eastAsia" w:hAnsi="宋体"/>
                <w:sz w:val="21"/>
                <w:szCs w:val="21"/>
                <w:highlight w:val="none"/>
                <w:lang w:bidi="ar"/>
              </w:rPr>
              <w:t>（提供承诺函并加盖公章）</w:t>
            </w:r>
          </w:p>
        </w:tc>
      </w:tr>
      <w:tr w14:paraId="10FD9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71" w:type="pct"/>
            <w:vAlign w:val="center"/>
          </w:tcPr>
          <w:p w14:paraId="69559982">
            <w:pPr>
              <w:widowControl/>
              <w:spacing w:line="300" w:lineRule="auto"/>
              <w:jc w:val="center"/>
              <w:rPr>
                <w:rFonts w:hint="eastAsia" w:ascii="宋体" w:hAnsi="宋体"/>
                <w:b/>
                <w:bCs/>
                <w:szCs w:val="21"/>
                <w:highlight w:val="none"/>
              </w:rPr>
            </w:pPr>
            <w:r>
              <w:rPr>
                <w:rFonts w:hint="eastAsia" w:ascii="宋体" w:hAnsi="宋体"/>
                <w:b/>
                <w:bCs/>
                <w:szCs w:val="21"/>
                <w:highlight w:val="none"/>
              </w:rPr>
              <w:t>业绩</w:t>
            </w:r>
          </w:p>
          <w:p w14:paraId="13EF129B">
            <w:pPr>
              <w:widowControl/>
              <w:spacing w:line="300" w:lineRule="auto"/>
              <w:jc w:val="center"/>
              <w:rPr>
                <w:rFonts w:hint="eastAsia" w:ascii="宋体" w:hAnsi="宋体"/>
                <w:szCs w:val="21"/>
                <w:highlight w:val="none"/>
              </w:rPr>
            </w:pPr>
            <w:r>
              <w:rPr>
                <w:rFonts w:hint="eastAsia" w:ascii="宋体" w:hAnsi="宋体"/>
                <w:b/>
                <w:bCs/>
                <w:szCs w:val="21"/>
                <w:highlight w:val="none"/>
              </w:rPr>
              <w:t>（8分）</w:t>
            </w:r>
          </w:p>
        </w:tc>
        <w:tc>
          <w:tcPr>
            <w:tcW w:w="3729" w:type="pct"/>
            <w:vAlign w:val="center"/>
          </w:tcPr>
          <w:p w14:paraId="651C5241">
            <w:pPr>
              <w:widowControl/>
              <w:spacing w:line="300" w:lineRule="auto"/>
              <w:jc w:val="left"/>
              <w:rPr>
                <w:rFonts w:hint="eastAsia" w:ascii="宋体" w:hAnsi="宋体"/>
                <w:szCs w:val="21"/>
                <w:highlight w:val="none"/>
              </w:rPr>
            </w:pPr>
            <w:r>
              <w:rPr>
                <w:rFonts w:hint="eastAsia" w:ascii="宋体" w:hAnsi="宋体"/>
                <w:szCs w:val="21"/>
                <w:highlight w:val="none"/>
              </w:rPr>
              <w:t>自2022年11月起（以合同签订日期为准），供应商或响应产品厂家的业绩（5G核心网）打分，每提供1个有效业绩得</w:t>
            </w:r>
            <w:r>
              <w:rPr>
                <w:rFonts w:ascii="宋体" w:hAnsi="宋体"/>
                <w:szCs w:val="21"/>
                <w:highlight w:val="none"/>
              </w:rPr>
              <w:t>2</w:t>
            </w:r>
            <w:r>
              <w:rPr>
                <w:rFonts w:hint="eastAsia" w:ascii="宋体" w:hAnsi="宋体"/>
                <w:szCs w:val="21"/>
                <w:highlight w:val="none"/>
              </w:rPr>
              <w:t>分，最多得8分。要求提供业绩合同关键页复印件并加盖公章，原件备查。</w:t>
            </w:r>
          </w:p>
          <w:p w14:paraId="61B5A812">
            <w:pPr>
              <w:pStyle w:val="3"/>
              <w:spacing w:line="300" w:lineRule="auto"/>
              <w:rPr>
                <w:rFonts w:hint="eastAsia" w:ascii="宋体" w:hAnsi="宋体"/>
                <w:szCs w:val="21"/>
                <w:highlight w:val="none"/>
              </w:rPr>
            </w:pPr>
            <w:r>
              <w:rPr>
                <w:rFonts w:ascii="宋体" w:hAnsi="宋体"/>
                <w:szCs w:val="21"/>
                <w:highlight w:val="none"/>
              </w:rPr>
              <w:t>说明：</w:t>
            </w:r>
            <w:r>
              <w:rPr>
                <w:rFonts w:hint="eastAsia" w:ascii="宋体" w:hAnsi="宋体"/>
                <w:szCs w:val="21"/>
                <w:highlight w:val="none"/>
              </w:rPr>
              <w:t>业绩</w:t>
            </w:r>
            <w:r>
              <w:rPr>
                <w:rFonts w:ascii="宋体" w:hAnsi="宋体"/>
                <w:szCs w:val="21"/>
                <w:highlight w:val="none"/>
              </w:rPr>
              <w:t>时间以合同</w:t>
            </w:r>
            <w:r>
              <w:rPr>
                <w:rFonts w:hint="eastAsia" w:ascii="宋体" w:hAnsi="宋体"/>
                <w:szCs w:val="21"/>
                <w:highlight w:val="none"/>
              </w:rPr>
              <w:t>签订</w:t>
            </w:r>
            <w:r>
              <w:rPr>
                <w:rFonts w:ascii="宋体" w:hAnsi="宋体"/>
                <w:szCs w:val="21"/>
                <w:highlight w:val="none"/>
              </w:rPr>
              <w:t>日期为准，合同关键页复印件包括合同名称、金额、项目内容、盖章、日期等关键内容。</w:t>
            </w:r>
          </w:p>
        </w:tc>
      </w:tr>
    </w:tbl>
    <w:p w14:paraId="6B156033">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2E188721">
      <w:pPr>
        <w:pStyle w:val="265"/>
        <w:numPr>
          <w:ilvl w:val="0"/>
          <w:numId w:val="54"/>
        </w:num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采购需求</w:t>
      </w:r>
    </w:p>
    <w:p w14:paraId="7E04C78A">
      <w:pPr>
        <w:numPr>
          <w:ilvl w:val="0"/>
          <w:numId w:val="55"/>
        </w:numPr>
        <w:adjustRightInd w:val="0"/>
        <w:snapToGrid w:val="0"/>
        <w:spacing w:line="360" w:lineRule="auto"/>
        <w:outlineLvl w:val="2"/>
        <w:rPr>
          <w:b/>
          <w:sz w:val="28"/>
          <w:szCs w:val="28"/>
          <w:highlight w:val="none"/>
          <w:lang w:val="zh-CN"/>
        </w:rPr>
      </w:pPr>
      <w:bookmarkStart w:id="7" w:name="_Toc203665812"/>
      <w:r>
        <w:rPr>
          <w:rFonts w:hint="eastAsia"/>
          <w:b/>
          <w:sz w:val="28"/>
          <w:szCs w:val="28"/>
          <w:highlight w:val="none"/>
          <w:lang w:val="zh-CN"/>
        </w:rPr>
        <w:t>总则</w:t>
      </w:r>
      <w:bookmarkEnd w:id="7"/>
    </w:p>
    <w:p w14:paraId="1867EF13">
      <w:pPr>
        <w:pStyle w:val="3"/>
        <w:numPr>
          <w:ilvl w:val="2"/>
          <w:numId w:val="56"/>
        </w:numPr>
        <w:spacing w:line="360" w:lineRule="auto"/>
        <w:ind w:left="0" w:firstLine="707" w:firstLineChars="337"/>
        <w:jc w:val="left"/>
        <w:rPr>
          <w:rFonts w:hint="eastAsia" w:ascii="宋体" w:hAnsi="宋体" w:cs="宋体"/>
          <w:highlight w:val="none"/>
        </w:rPr>
      </w:pPr>
      <w:r>
        <w:rPr>
          <w:rFonts w:hint="eastAsia" w:ascii="宋体" w:hAnsi="宋体" w:cs="宋体"/>
          <w:highlight w:val="none"/>
        </w:rPr>
        <w:t>本货物需求及规格要求适用于本次采购项下所有货物的采购。</w:t>
      </w:r>
    </w:p>
    <w:p w14:paraId="664B5BC8">
      <w:pPr>
        <w:pStyle w:val="3"/>
        <w:numPr>
          <w:ilvl w:val="2"/>
          <w:numId w:val="56"/>
        </w:numPr>
        <w:spacing w:line="360" w:lineRule="auto"/>
        <w:ind w:left="0" w:firstLine="707" w:firstLineChars="337"/>
        <w:jc w:val="left"/>
        <w:rPr>
          <w:rFonts w:hint="eastAsia" w:ascii="宋体" w:hAnsi="宋体" w:cs="宋体"/>
          <w:highlight w:val="none"/>
        </w:rPr>
      </w:pPr>
      <w:r>
        <w:rPr>
          <w:rFonts w:hint="eastAsia" w:ascii="宋体" w:hAnsi="宋体" w:cs="宋体"/>
          <w:highlight w:val="none"/>
        </w:rPr>
        <w:t>标注带“★”号的为关键技术参数，供应商必须逐条响应，如出现任何负偏离或不满足将被否决。</w:t>
      </w:r>
    </w:p>
    <w:p w14:paraId="740CE41D">
      <w:pPr>
        <w:pStyle w:val="3"/>
        <w:numPr>
          <w:ilvl w:val="2"/>
          <w:numId w:val="56"/>
        </w:numPr>
        <w:spacing w:line="360" w:lineRule="auto"/>
        <w:ind w:left="0" w:firstLine="707" w:firstLineChars="337"/>
        <w:jc w:val="left"/>
        <w:rPr>
          <w:rFonts w:hint="eastAsia" w:ascii="宋体" w:hAnsi="宋体" w:cs="宋体"/>
          <w:highlight w:val="none"/>
        </w:rPr>
      </w:pPr>
      <w:r>
        <w:rPr>
          <w:rFonts w:hint="eastAsia" w:ascii="宋体" w:hAnsi="宋体" w:cs="宋体"/>
          <w:highlight w:val="none"/>
        </w:rPr>
        <w:t>标注带“▲”号的为重要技术参数，供应商必须逐条响应，如出现任何负偏离或不满足将影响评分。</w:t>
      </w:r>
    </w:p>
    <w:p w14:paraId="2D983249">
      <w:pPr>
        <w:pStyle w:val="3"/>
        <w:numPr>
          <w:ilvl w:val="2"/>
          <w:numId w:val="56"/>
        </w:numPr>
        <w:spacing w:line="360" w:lineRule="auto"/>
        <w:ind w:left="0" w:firstLine="707" w:firstLineChars="337"/>
        <w:jc w:val="left"/>
        <w:rPr>
          <w:rFonts w:hint="eastAsia" w:ascii="宋体" w:hAnsi="宋体" w:cs="宋体"/>
          <w:highlight w:val="none"/>
        </w:rPr>
      </w:pPr>
      <w:r>
        <w:rPr>
          <w:rFonts w:hint="eastAsia" w:ascii="宋体" w:hAnsi="宋体" w:cs="宋体"/>
          <w:highlight w:val="none"/>
        </w:rPr>
        <w:t>供应商须对采购文件“项目需求”的内容（标“▲”项内容除外）作出响应，若出现负偏离或不满足将影响评分。</w:t>
      </w:r>
    </w:p>
    <w:p w14:paraId="42CDD6D6">
      <w:pPr>
        <w:numPr>
          <w:ilvl w:val="0"/>
          <w:numId w:val="55"/>
        </w:numPr>
        <w:adjustRightInd w:val="0"/>
        <w:snapToGrid w:val="0"/>
        <w:spacing w:line="360" w:lineRule="auto"/>
        <w:outlineLvl w:val="2"/>
        <w:rPr>
          <w:b/>
          <w:sz w:val="28"/>
          <w:szCs w:val="28"/>
          <w:highlight w:val="none"/>
          <w:lang w:val="zh-CN"/>
        </w:rPr>
      </w:pPr>
      <w:r>
        <w:rPr>
          <w:rFonts w:hint="eastAsia"/>
          <w:b/>
          <w:sz w:val="28"/>
          <w:szCs w:val="28"/>
          <w:highlight w:val="none"/>
          <w:lang w:val="zh-CN"/>
        </w:rPr>
        <w:t>项目需求</w:t>
      </w:r>
    </w:p>
    <w:p w14:paraId="360818B9">
      <w:pPr>
        <w:pStyle w:val="29"/>
        <w:spacing w:line="360" w:lineRule="auto"/>
        <w:ind w:firstLine="420" w:firstLineChars="200"/>
        <w:rPr>
          <w:rFonts w:hint="eastAsia" w:asciiTheme="minorEastAsia" w:hAnsiTheme="minorEastAsia" w:eastAsiaTheme="minorEastAsia"/>
          <w:szCs w:val="21"/>
          <w:highlight w:val="none"/>
          <w:lang w:val="zh-CN" w:bidi="ar"/>
        </w:rPr>
      </w:pPr>
      <w:r>
        <w:rPr>
          <w:rFonts w:hint="eastAsia" w:asciiTheme="minorEastAsia" w:hAnsiTheme="minorEastAsia" w:eastAsiaTheme="minorEastAsia"/>
          <w:szCs w:val="21"/>
          <w:highlight w:val="none"/>
          <w:lang w:val="zh-CN" w:bidi="ar"/>
        </w:rPr>
        <w:t>本套试验装置可供本科生、硕士博士研究生进行无线通信以及5G通信方面的通信功能实验，包括信令流程分析，无线设备组网等，也可以提供信息与通信专业本科生参观及实验演示。同时可以满足科研要求。</w:t>
      </w:r>
    </w:p>
    <w:p w14:paraId="3B365C30">
      <w:pPr>
        <w:numPr>
          <w:ilvl w:val="0"/>
          <w:numId w:val="55"/>
        </w:numPr>
        <w:adjustRightInd w:val="0"/>
        <w:snapToGrid w:val="0"/>
        <w:spacing w:line="360" w:lineRule="auto"/>
        <w:outlineLvl w:val="2"/>
        <w:rPr>
          <w:b/>
          <w:sz w:val="28"/>
          <w:szCs w:val="28"/>
          <w:highlight w:val="none"/>
          <w:lang w:val="zh-CN"/>
        </w:rPr>
      </w:pPr>
      <w:r>
        <w:rPr>
          <w:rFonts w:hint="eastAsia"/>
          <w:b/>
          <w:sz w:val="28"/>
          <w:szCs w:val="28"/>
          <w:highlight w:val="none"/>
          <w:lang w:val="zh-CN"/>
        </w:rPr>
        <w:t>货物清单</w:t>
      </w:r>
    </w:p>
    <w:tbl>
      <w:tblPr>
        <w:tblStyle w:val="45"/>
        <w:tblW w:w="488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237"/>
        <w:gridCol w:w="3064"/>
        <w:gridCol w:w="1231"/>
        <w:gridCol w:w="1812"/>
        <w:gridCol w:w="2108"/>
      </w:tblGrid>
      <w:tr w14:paraId="163A58C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97" w:type="pct"/>
            <w:vAlign w:val="center"/>
          </w:tcPr>
          <w:p w14:paraId="2922B6B2">
            <w:pPr>
              <w:widowControl/>
              <w:jc w:val="center"/>
              <w:rPr>
                <w:rFonts w:hint="eastAsia" w:ascii="宋体" w:hAnsi="宋体"/>
                <w:b/>
                <w:bCs/>
                <w:szCs w:val="21"/>
                <w:highlight w:val="none"/>
              </w:rPr>
            </w:pPr>
            <w:r>
              <w:rPr>
                <w:rFonts w:ascii="宋体" w:hAnsi="宋体"/>
                <w:b/>
                <w:bCs/>
                <w:szCs w:val="21"/>
                <w:highlight w:val="none"/>
              </w:rPr>
              <w:t>序号</w:t>
            </w:r>
          </w:p>
        </w:tc>
        <w:tc>
          <w:tcPr>
            <w:tcW w:w="1478" w:type="pct"/>
            <w:vAlign w:val="center"/>
          </w:tcPr>
          <w:p w14:paraId="1D9827C0">
            <w:pPr>
              <w:widowControl/>
              <w:jc w:val="center"/>
              <w:rPr>
                <w:rFonts w:hint="eastAsia" w:ascii="宋体" w:hAnsi="宋体"/>
                <w:b/>
                <w:bCs/>
                <w:szCs w:val="21"/>
                <w:highlight w:val="none"/>
              </w:rPr>
            </w:pPr>
            <w:r>
              <w:rPr>
                <w:rFonts w:hint="eastAsia" w:ascii="宋体" w:hAnsi="宋体"/>
                <w:b/>
                <w:bCs/>
                <w:szCs w:val="21"/>
                <w:highlight w:val="none"/>
              </w:rPr>
              <w:t>产品</w:t>
            </w:r>
          </w:p>
        </w:tc>
        <w:tc>
          <w:tcPr>
            <w:tcW w:w="594" w:type="pct"/>
            <w:vAlign w:val="center"/>
          </w:tcPr>
          <w:p w14:paraId="723ED4C6">
            <w:pPr>
              <w:widowControl/>
              <w:jc w:val="center"/>
              <w:rPr>
                <w:rFonts w:hint="eastAsia" w:ascii="宋体" w:hAnsi="宋体"/>
                <w:b/>
                <w:bCs/>
                <w:szCs w:val="21"/>
                <w:highlight w:val="none"/>
              </w:rPr>
            </w:pPr>
            <w:r>
              <w:rPr>
                <w:rFonts w:ascii="宋体" w:hAnsi="宋体"/>
                <w:b/>
                <w:bCs/>
                <w:szCs w:val="21"/>
                <w:highlight w:val="none"/>
              </w:rPr>
              <w:t>数量</w:t>
            </w:r>
          </w:p>
        </w:tc>
        <w:tc>
          <w:tcPr>
            <w:tcW w:w="874" w:type="pct"/>
            <w:vAlign w:val="center"/>
          </w:tcPr>
          <w:p w14:paraId="73BF40FA">
            <w:pPr>
              <w:widowControl/>
              <w:jc w:val="center"/>
              <w:rPr>
                <w:rFonts w:hint="eastAsia" w:ascii="宋体" w:hAnsi="宋体"/>
                <w:b/>
                <w:bCs/>
                <w:szCs w:val="21"/>
                <w:highlight w:val="none"/>
              </w:rPr>
            </w:pPr>
            <w:r>
              <w:rPr>
                <w:rFonts w:hint="eastAsia" w:ascii="宋体" w:hAnsi="宋体"/>
                <w:b/>
                <w:bCs/>
                <w:szCs w:val="21"/>
                <w:highlight w:val="none"/>
              </w:rPr>
              <w:t>是否核心产品</w:t>
            </w:r>
          </w:p>
        </w:tc>
        <w:tc>
          <w:tcPr>
            <w:tcW w:w="1017" w:type="pct"/>
            <w:vAlign w:val="center"/>
          </w:tcPr>
          <w:p w14:paraId="73403F8E">
            <w:pPr>
              <w:widowControl/>
              <w:jc w:val="center"/>
              <w:rPr>
                <w:rFonts w:hint="eastAsia" w:ascii="宋体" w:hAnsi="宋体"/>
                <w:b/>
                <w:bCs/>
                <w:szCs w:val="21"/>
                <w:highlight w:val="none"/>
              </w:rPr>
            </w:pPr>
            <w:r>
              <w:rPr>
                <w:rFonts w:hint="eastAsia" w:ascii="宋体" w:hAnsi="宋体"/>
                <w:b/>
                <w:bCs/>
                <w:szCs w:val="21"/>
                <w:highlight w:val="none"/>
              </w:rPr>
              <w:t>总价预算（万元）</w:t>
            </w:r>
          </w:p>
        </w:tc>
      </w:tr>
      <w:tr w14:paraId="6FDB87D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97" w:type="pct"/>
            <w:vAlign w:val="center"/>
          </w:tcPr>
          <w:p w14:paraId="6CF9FA57">
            <w:pPr>
              <w:widowControl/>
              <w:jc w:val="center"/>
              <w:rPr>
                <w:rFonts w:hint="eastAsia" w:ascii="宋体" w:hAnsi="宋体"/>
                <w:szCs w:val="21"/>
                <w:highlight w:val="none"/>
              </w:rPr>
            </w:pPr>
            <w:r>
              <w:rPr>
                <w:rFonts w:ascii="宋体" w:hAnsi="宋体"/>
                <w:szCs w:val="21"/>
                <w:highlight w:val="none"/>
              </w:rPr>
              <w:t>1</w:t>
            </w:r>
          </w:p>
        </w:tc>
        <w:tc>
          <w:tcPr>
            <w:tcW w:w="1478" w:type="pct"/>
            <w:vAlign w:val="center"/>
          </w:tcPr>
          <w:p w14:paraId="5363A19C">
            <w:pPr>
              <w:widowControl/>
              <w:jc w:val="lef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5G</w:t>
            </w:r>
            <w:r>
              <w:rPr>
                <w:rFonts w:hint="eastAsia" w:ascii="宋体" w:hAnsi="宋体" w:cs="宋体"/>
                <w:szCs w:val="21"/>
                <w:highlight w:val="none"/>
              </w:rPr>
              <w:t>核心网接入测试系统</w:t>
            </w:r>
            <w:r>
              <w:rPr>
                <w:rFonts w:hint="eastAsia" w:ascii="宋体" w:hAnsi="宋体" w:cs="宋体"/>
                <w:szCs w:val="21"/>
                <w:highlight w:val="none"/>
                <w:lang w:eastAsia="zh-CN"/>
              </w:rPr>
              <w:t>（</w:t>
            </w:r>
            <w:r>
              <w:rPr>
                <w:rFonts w:hint="eastAsia" w:ascii="宋体" w:hAnsi="宋体" w:cs="宋体"/>
                <w:szCs w:val="21"/>
                <w:highlight w:val="none"/>
                <w:lang w:val="en-US" w:eastAsia="zh-CN"/>
              </w:rPr>
              <w:t>包含</w:t>
            </w:r>
            <w:r>
              <w:rPr>
                <w:rFonts w:hint="eastAsia" w:ascii="宋体" w:hAnsi="宋体" w:cs="宋体"/>
                <w:szCs w:val="21"/>
                <w:highlight w:val="none"/>
              </w:rPr>
              <w:t>信令面+媒体面</w:t>
            </w:r>
            <w:r>
              <w:rPr>
                <w:rFonts w:hint="eastAsia" w:ascii="宋体" w:hAnsi="宋体" w:cs="宋体"/>
                <w:szCs w:val="21"/>
                <w:highlight w:val="none"/>
                <w:lang w:eastAsia="zh-CN"/>
              </w:rPr>
              <w:t>、</w:t>
            </w:r>
            <w:r>
              <w:rPr>
                <w:rFonts w:hint="eastAsia" w:ascii="宋体" w:hAnsi="宋体" w:cs="宋体"/>
                <w:szCs w:val="21"/>
                <w:highlight w:val="none"/>
                <w:lang w:val="en-US" w:eastAsia="zh-CN"/>
              </w:rPr>
              <w:t>服务器、仿真基站、仿真终端）</w:t>
            </w:r>
          </w:p>
        </w:tc>
        <w:tc>
          <w:tcPr>
            <w:tcW w:w="594" w:type="pct"/>
            <w:vAlign w:val="center"/>
          </w:tcPr>
          <w:p w14:paraId="3A91E65B">
            <w:pPr>
              <w:widowControl/>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1套</w:t>
            </w:r>
          </w:p>
        </w:tc>
        <w:tc>
          <w:tcPr>
            <w:tcW w:w="874" w:type="pct"/>
            <w:vAlign w:val="center"/>
          </w:tcPr>
          <w:p w14:paraId="59981BDB">
            <w:pPr>
              <w:widowControl/>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是</w:t>
            </w:r>
          </w:p>
        </w:tc>
        <w:tc>
          <w:tcPr>
            <w:tcW w:w="1017" w:type="pct"/>
            <w:vAlign w:val="center"/>
          </w:tcPr>
          <w:p w14:paraId="165E4393">
            <w:pPr>
              <w:widowControl/>
              <w:jc w:val="center"/>
              <w:rPr>
                <w:rFonts w:hint="eastAsia" w:ascii="宋体" w:hAnsi="宋体" w:cs="宋体"/>
                <w:szCs w:val="21"/>
                <w:highlight w:val="none"/>
              </w:rPr>
            </w:pPr>
            <w:r>
              <w:rPr>
                <w:rFonts w:hint="eastAsia" w:ascii="宋体" w:hAnsi="宋体" w:cs="宋体"/>
                <w:szCs w:val="21"/>
                <w:highlight w:val="none"/>
              </w:rPr>
              <w:t>80</w:t>
            </w:r>
          </w:p>
        </w:tc>
      </w:tr>
    </w:tbl>
    <w:p w14:paraId="0F878EF1">
      <w:pPr>
        <w:pStyle w:val="29"/>
        <w:spacing w:line="360" w:lineRule="auto"/>
        <w:rPr>
          <w:sz w:val="24"/>
          <w:szCs w:val="24"/>
          <w:highlight w:val="none"/>
          <w:lang w:bidi="ar"/>
        </w:rPr>
      </w:pPr>
    </w:p>
    <w:p w14:paraId="5E8373C4">
      <w:pPr>
        <w:numPr>
          <w:ilvl w:val="0"/>
          <w:numId w:val="55"/>
        </w:numPr>
        <w:adjustRightInd w:val="0"/>
        <w:snapToGrid w:val="0"/>
        <w:spacing w:after="240" w:afterLines="100" w:line="360" w:lineRule="auto"/>
        <w:outlineLvl w:val="2"/>
        <w:rPr>
          <w:b/>
          <w:sz w:val="28"/>
          <w:szCs w:val="28"/>
          <w:highlight w:val="none"/>
          <w:lang w:val="zh-CN"/>
        </w:rPr>
      </w:pPr>
      <w:bookmarkStart w:id="19" w:name="_GoBack"/>
      <w:bookmarkEnd w:id="19"/>
      <w:r>
        <w:rPr>
          <w:rFonts w:hint="eastAsia"/>
          <w:b/>
          <w:sz w:val="28"/>
          <w:szCs w:val="28"/>
          <w:highlight w:val="none"/>
          <w:lang w:val="zh-CN"/>
        </w:rPr>
        <w:t>主要技术参数要求</w:t>
      </w:r>
    </w:p>
    <w:p w14:paraId="4386AF9E">
      <w:pPr>
        <w:pStyle w:val="3"/>
        <w:spacing w:before="240" w:beforeLines="100" w:line="360" w:lineRule="auto"/>
        <w:ind w:firstLine="422"/>
        <w:jc w:val="left"/>
        <w:rPr>
          <w:rFonts w:hint="eastAsia" w:ascii="宋体" w:hAnsi="宋体" w:cs="宋体"/>
          <w:b/>
          <w:bCs/>
          <w:szCs w:val="21"/>
          <w:highlight w:val="none"/>
          <w:lang w:bidi="ar"/>
        </w:rPr>
      </w:pPr>
      <w:r>
        <w:rPr>
          <w:rFonts w:hint="eastAsia" w:ascii="宋体" w:hAnsi="宋体" w:cs="宋体"/>
          <w:b/>
          <w:bCs/>
          <w:szCs w:val="21"/>
          <w:highlight w:val="none"/>
          <w:lang w:eastAsia="zh-CN" w:bidi="ar"/>
        </w:rPr>
        <w:t>（</w:t>
      </w:r>
      <w:r>
        <w:rPr>
          <w:rFonts w:hint="eastAsia" w:ascii="宋体" w:hAnsi="宋体" w:cs="宋体"/>
          <w:b/>
          <w:bCs/>
          <w:szCs w:val="21"/>
          <w:highlight w:val="none"/>
          <w:lang w:val="en-US" w:eastAsia="zh-CN" w:bidi="ar"/>
        </w:rPr>
        <w:t>一）</w:t>
      </w:r>
      <w:r>
        <w:rPr>
          <w:rFonts w:hint="eastAsia" w:ascii="宋体" w:hAnsi="宋体" w:cs="宋体"/>
          <w:b/>
          <w:bCs/>
          <w:szCs w:val="21"/>
          <w:highlight w:val="none"/>
          <w:lang w:bidi="ar"/>
        </w:rPr>
        <w:t>5GC核心网技术参数：</w:t>
      </w:r>
    </w:p>
    <w:p w14:paraId="056232A1">
      <w:pPr>
        <w:pStyle w:val="3"/>
        <w:numPr>
          <w:ilvl w:val="0"/>
          <w:numId w:val="57"/>
        </w:numPr>
        <w:spacing w:line="360" w:lineRule="auto"/>
        <w:ind w:left="0" w:firstLine="420"/>
        <w:jc w:val="left"/>
        <w:rPr>
          <w:rFonts w:hint="eastAsia" w:ascii="宋体" w:hAnsi="宋体" w:cs="宋体"/>
          <w:bCs/>
          <w:szCs w:val="21"/>
          <w:highlight w:val="none"/>
        </w:rPr>
      </w:pPr>
      <w:bookmarkStart w:id="8" w:name="_Hlk213231171"/>
      <w:r>
        <w:rPr>
          <w:rFonts w:hint="eastAsia" w:ascii="宋体" w:hAnsi="宋体" w:cs="宋体"/>
          <w:bCs/>
          <w:szCs w:val="21"/>
          <w:highlight w:val="none"/>
        </w:rPr>
        <w:t>★支持多个老师和学生并发使用，分别拥有独立账号，可同时使用互不影响。</w:t>
      </w:r>
    </w:p>
    <w:p w14:paraId="233CEEE8">
      <w:pPr>
        <w:pStyle w:val="3"/>
        <w:numPr>
          <w:ilvl w:val="0"/>
          <w:numId w:val="57"/>
        </w:numPr>
        <w:spacing w:line="360" w:lineRule="auto"/>
        <w:ind w:left="0" w:firstLine="420"/>
        <w:jc w:val="left"/>
        <w:rPr>
          <w:rFonts w:hint="eastAsia" w:ascii="宋体" w:hAnsi="宋体" w:cs="宋体"/>
          <w:bCs/>
          <w:szCs w:val="21"/>
          <w:highlight w:val="none"/>
        </w:rPr>
      </w:pPr>
      <w:r>
        <w:rPr>
          <w:rFonts w:hint="eastAsia" w:ascii="宋体" w:hAnsi="宋体" w:cs="宋体"/>
          <w:bCs/>
          <w:szCs w:val="21"/>
          <w:highlight w:val="none"/>
        </w:rPr>
        <w:t>★支持场景管理，内置默认场景题目不少于15个，可自定义实验模拟场景，通过拖拉拽的方式进行组网，单击网元图标进行参数配置。</w:t>
      </w:r>
    </w:p>
    <w:p w14:paraId="73A60F63">
      <w:pPr>
        <w:pStyle w:val="3"/>
        <w:numPr>
          <w:ilvl w:val="0"/>
          <w:numId w:val="57"/>
        </w:numPr>
        <w:spacing w:line="360" w:lineRule="auto"/>
        <w:ind w:left="0" w:firstLine="420"/>
        <w:jc w:val="left"/>
        <w:rPr>
          <w:rFonts w:hint="eastAsia" w:ascii="宋体" w:hAnsi="宋体" w:cs="宋体"/>
          <w:bCs/>
          <w:szCs w:val="21"/>
          <w:highlight w:val="none"/>
        </w:rPr>
      </w:pPr>
      <w:r>
        <w:rPr>
          <w:rFonts w:hint="eastAsia" w:ascii="宋体" w:hAnsi="宋体" w:cs="宋体"/>
          <w:bCs/>
          <w:szCs w:val="21"/>
          <w:highlight w:val="none"/>
        </w:rPr>
        <w:t>支持API接口对接。</w:t>
      </w:r>
    </w:p>
    <w:p w14:paraId="44A9471B">
      <w:pPr>
        <w:pStyle w:val="3"/>
        <w:numPr>
          <w:ilvl w:val="0"/>
          <w:numId w:val="57"/>
        </w:numPr>
        <w:spacing w:line="360" w:lineRule="auto"/>
        <w:ind w:left="0" w:firstLine="420"/>
        <w:jc w:val="left"/>
        <w:rPr>
          <w:rFonts w:hint="eastAsia" w:ascii="宋体" w:hAnsi="宋体"/>
          <w:szCs w:val="21"/>
          <w:highlight w:val="none"/>
          <w:lang w:bidi="ar"/>
        </w:rPr>
      </w:pPr>
      <w:r>
        <w:rPr>
          <w:rFonts w:hint="eastAsia" w:ascii="宋体" w:hAnsi="宋体"/>
          <w:szCs w:val="21"/>
          <w:highlight w:val="none"/>
          <w:lang w:bidi="ar"/>
        </w:rPr>
        <w:t>支持自动打分以及考试完成后分值展示。</w:t>
      </w:r>
    </w:p>
    <w:p w14:paraId="2D19BBE3">
      <w:pPr>
        <w:pStyle w:val="3"/>
        <w:numPr>
          <w:ilvl w:val="0"/>
          <w:numId w:val="57"/>
        </w:numPr>
        <w:spacing w:line="360" w:lineRule="auto"/>
        <w:ind w:left="0" w:firstLine="420"/>
        <w:jc w:val="left"/>
        <w:rPr>
          <w:rFonts w:hint="eastAsia" w:ascii="宋体" w:hAnsi="宋体" w:cs="宋体"/>
          <w:bCs/>
          <w:szCs w:val="21"/>
          <w:highlight w:val="none"/>
        </w:rPr>
      </w:pPr>
      <w:r>
        <w:rPr>
          <w:rFonts w:hint="eastAsia" w:ascii="宋体" w:hAnsi="宋体" w:cs="宋体"/>
          <w:szCs w:val="21"/>
          <w:highlight w:val="none"/>
          <w:lang w:bidi="ar"/>
        </w:rPr>
        <w:t>▲</w:t>
      </w:r>
      <w:r>
        <w:rPr>
          <w:rFonts w:hint="eastAsia" w:ascii="宋体" w:hAnsi="宋体" w:cs="宋体"/>
          <w:bCs/>
          <w:szCs w:val="21"/>
          <w:highlight w:val="none"/>
        </w:rPr>
        <w:t>支持老师分数查询，可以按用户名搜索查看每个账户的分数。</w:t>
      </w:r>
    </w:p>
    <w:p w14:paraId="4F49CE94">
      <w:pPr>
        <w:pStyle w:val="3"/>
        <w:numPr>
          <w:ilvl w:val="0"/>
          <w:numId w:val="57"/>
        </w:numPr>
        <w:spacing w:line="360" w:lineRule="auto"/>
        <w:ind w:left="0" w:firstLine="420"/>
        <w:jc w:val="left"/>
        <w:rPr>
          <w:rFonts w:hint="eastAsia" w:ascii="宋体" w:hAnsi="宋体" w:cs="宋体"/>
          <w:bCs/>
          <w:szCs w:val="21"/>
          <w:highlight w:val="none"/>
        </w:rPr>
      </w:pPr>
      <w:r>
        <w:rPr>
          <w:rFonts w:hint="eastAsia" w:ascii="宋体" w:hAnsi="宋体" w:cs="宋体"/>
          <w:bCs/>
          <w:szCs w:val="21"/>
          <w:highlight w:val="none"/>
        </w:rPr>
        <w:t>★支持老师账户对已考题目配置一键还原</w:t>
      </w:r>
      <w:r>
        <w:rPr>
          <w:rFonts w:hint="eastAsia" w:ascii="宋体" w:hAnsi="宋体" w:cs="宋体"/>
          <w:bCs/>
          <w:szCs w:val="21"/>
          <w:highlight w:val="none"/>
          <w:lang w:val="en-US" w:eastAsia="zh-CN"/>
        </w:rPr>
        <w:t>或者重置</w:t>
      </w:r>
      <w:r>
        <w:rPr>
          <w:rFonts w:hint="eastAsia" w:ascii="宋体" w:hAnsi="宋体" w:cs="宋体"/>
          <w:bCs/>
          <w:szCs w:val="21"/>
          <w:highlight w:val="none"/>
        </w:rPr>
        <w:t>功能，方便下批学生进行答题。</w:t>
      </w:r>
    </w:p>
    <w:p w14:paraId="5D86D8CF">
      <w:pPr>
        <w:pStyle w:val="3"/>
        <w:numPr>
          <w:ilvl w:val="0"/>
          <w:numId w:val="57"/>
        </w:numPr>
        <w:spacing w:line="360" w:lineRule="auto"/>
        <w:ind w:left="0" w:firstLine="420"/>
        <w:jc w:val="left"/>
        <w:rPr>
          <w:rFonts w:hint="eastAsia" w:ascii="宋体" w:hAnsi="宋体" w:cs="宋体"/>
          <w:bCs/>
          <w:szCs w:val="21"/>
          <w:highlight w:val="none"/>
        </w:rPr>
      </w:pPr>
      <w:r>
        <w:rPr>
          <w:rFonts w:hint="eastAsia" w:ascii="宋体" w:hAnsi="宋体" w:cs="宋体"/>
          <w:bCs/>
          <w:szCs w:val="21"/>
          <w:highlight w:val="none"/>
        </w:rPr>
        <w:t>支持学生将已修改的配置还原成初始配置，反复答题。</w:t>
      </w:r>
    </w:p>
    <w:p w14:paraId="19385D43">
      <w:pPr>
        <w:pStyle w:val="3"/>
        <w:numPr>
          <w:ilvl w:val="0"/>
          <w:numId w:val="57"/>
        </w:numPr>
        <w:spacing w:line="360" w:lineRule="auto"/>
        <w:ind w:left="0" w:firstLine="420"/>
        <w:jc w:val="left"/>
        <w:rPr>
          <w:rFonts w:hint="eastAsia" w:ascii="宋体" w:hAnsi="宋体" w:cs="宋体"/>
          <w:bCs/>
          <w:szCs w:val="21"/>
          <w:highlight w:val="none"/>
        </w:rPr>
      </w:pPr>
      <w:r>
        <w:rPr>
          <w:rFonts w:hint="eastAsia" w:ascii="宋体" w:hAnsi="宋体" w:cs="宋体"/>
          <w:bCs/>
          <w:szCs w:val="21"/>
          <w:highlight w:val="none"/>
        </w:rPr>
        <w:t>支持实验平台管理员批量开户。</w:t>
      </w:r>
    </w:p>
    <w:p w14:paraId="225E8193">
      <w:pPr>
        <w:pStyle w:val="3"/>
        <w:numPr>
          <w:ilvl w:val="0"/>
          <w:numId w:val="57"/>
        </w:numPr>
        <w:spacing w:line="360" w:lineRule="auto"/>
        <w:ind w:left="0" w:firstLine="420"/>
        <w:jc w:val="left"/>
        <w:rPr>
          <w:rFonts w:hint="eastAsia" w:ascii="宋体" w:hAnsi="宋体" w:cs="宋体"/>
          <w:bCs/>
          <w:szCs w:val="21"/>
          <w:highlight w:val="none"/>
        </w:rPr>
      </w:pPr>
      <w:r>
        <w:rPr>
          <w:rFonts w:hint="eastAsia" w:ascii="宋体" w:hAnsi="宋体" w:cs="宋体"/>
          <w:szCs w:val="21"/>
          <w:highlight w:val="none"/>
          <w:lang w:bidi="ar"/>
        </w:rPr>
        <w:t>▲</w:t>
      </w:r>
      <w:r>
        <w:rPr>
          <w:rFonts w:hint="eastAsia" w:ascii="宋体" w:hAnsi="宋体" w:cs="宋体"/>
          <w:bCs/>
          <w:szCs w:val="21"/>
          <w:highlight w:val="none"/>
        </w:rPr>
        <w:t>支持分权分域，管理员权限可以进行用户管理、权限管理。</w:t>
      </w:r>
    </w:p>
    <w:p w14:paraId="1E9D9AA7">
      <w:pPr>
        <w:pStyle w:val="3"/>
        <w:numPr>
          <w:ilvl w:val="0"/>
          <w:numId w:val="57"/>
        </w:numPr>
        <w:spacing w:line="360" w:lineRule="auto"/>
        <w:ind w:left="0" w:firstLine="420"/>
        <w:jc w:val="left"/>
        <w:rPr>
          <w:rFonts w:hint="eastAsia" w:ascii="宋体" w:hAnsi="宋体"/>
          <w:szCs w:val="21"/>
          <w:highlight w:val="none"/>
          <w:lang w:bidi="ar"/>
        </w:rPr>
      </w:pPr>
      <w:r>
        <w:rPr>
          <w:rFonts w:hint="eastAsia" w:ascii="宋体" w:hAnsi="宋体" w:cs="宋体"/>
          <w:szCs w:val="21"/>
          <w:highlight w:val="none"/>
          <w:lang w:bidi="ar"/>
        </w:rPr>
        <w:t>▲</w:t>
      </w:r>
      <w:r>
        <w:rPr>
          <w:rFonts w:hint="eastAsia" w:ascii="宋体" w:hAnsi="宋体"/>
          <w:szCs w:val="21"/>
          <w:highlight w:val="none"/>
          <w:lang w:bidi="ar"/>
        </w:rPr>
        <w:t>支持对4G/5G核心网网元的仿真和模拟，至少包括以下基础网元：UE/gNB/AMF/SMF/AUSF/UDM/UPF/NRF/PCF/NSSF/MME/SGW/PGW/HSS/PCRF/SEPP/SCP/NEF/CHF等。</w:t>
      </w:r>
    </w:p>
    <w:p w14:paraId="1F42BFA1">
      <w:pPr>
        <w:pStyle w:val="3"/>
        <w:numPr>
          <w:ilvl w:val="0"/>
          <w:numId w:val="57"/>
        </w:numPr>
        <w:spacing w:line="360" w:lineRule="auto"/>
        <w:ind w:left="0" w:firstLine="420"/>
        <w:jc w:val="left"/>
        <w:rPr>
          <w:rFonts w:hint="eastAsia" w:ascii="宋体" w:hAnsi="宋体"/>
          <w:szCs w:val="21"/>
          <w:highlight w:val="none"/>
          <w:lang w:bidi="ar"/>
        </w:rPr>
      </w:pPr>
      <w:r>
        <w:rPr>
          <w:rFonts w:hint="eastAsia" w:ascii="宋体" w:hAnsi="宋体" w:cs="宋体"/>
          <w:szCs w:val="21"/>
          <w:highlight w:val="none"/>
          <w:lang w:bidi="ar"/>
        </w:rPr>
        <w:t>▲</w:t>
      </w:r>
      <w:r>
        <w:rPr>
          <w:rFonts w:hint="eastAsia" w:ascii="宋体" w:hAnsi="宋体"/>
          <w:szCs w:val="21"/>
          <w:highlight w:val="none"/>
          <w:lang w:bidi="ar"/>
        </w:rPr>
        <w:t>支持4G/5G信令接口仿真，至少包括以下接口：N1、N2、N3、N4、S1-MME、S1-U、N7、N9等接口。</w:t>
      </w:r>
    </w:p>
    <w:p w14:paraId="5EBE377D">
      <w:pPr>
        <w:pStyle w:val="3"/>
        <w:numPr>
          <w:ilvl w:val="0"/>
          <w:numId w:val="57"/>
        </w:numPr>
        <w:spacing w:line="360" w:lineRule="auto"/>
        <w:ind w:left="0" w:firstLine="420"/>
        <w:jc w:val="left"/>
        <w:rPr>
          <w:rFonts w:hint="eastAsia" w:ascii="宋体" w:hAnsi="宋体"/>
          <w:szCs w:val="21"/>
          <w:highlight w:val="none"/>
          <w:lang w:bidi="ar"/>
        </w:rPr>
      </w:pPr>
      <w:r>
        <w:rPr>
          <w:rFonts w:hint="eastAsia" w:ascii="宋体" w:hAnsi="宋体" w:cs="宋体"/>
          <w:bCs/>
          <w:szCs w:val="21"/>
          <w:highlight w:val="none"/>
        </w:rPr>
        <w:t>★</w:t>
      </w:r>
      <w:r>
        <w:rPr>
          <w:rFonts w:hint="eastAsia" w:ascii="宋体" w:hAnsi="宋体"/>
          <w:szCs w:val="21"/>
          <w:highlight w:val="none"/>
          <w:lang w:bidi="ar"/>
        </w:rPr>
        <w:t>支持NPN场景，以及CAG特性。</w:t>
      </w:r>
    </w:p>
    <w:p w14:paraId="4263927F">
      <w:pPr>
        <w:pStyle w:val="3"/>
        <w:numPr>
          <w:ilvl w:val="0"/>
          <w:numId w:val="57"/>
        </w:numPr>
        <w:spacing w:line="360" w:lineRule="auto"/>
        <w:ind w:left="0" w:firstLine="420"/>
        <w:jc w:val="left"/>
        <w:rPr>
          <w:rFonts w:hint="eastAsia" w:ascii="宋体" w:hAnsi="宋体"/>
          <w:szCs w:val="21"/>
          <w:highlight w:val="none"/>
          <w:lang w:bidi="ar"/>
        </w:rPr>
      </w:pPr>
      <w:r>
        <w:rPr>
          <w:rFonts w:hint="eastAsia" w:ascii="宋体" w:hAnsi="宋体"/>
          <w:szCs w:val="21"/>
          <w:highlight w:val="none"/>
          <w:lang w:bidi="ar"/>
        </w:rPr>
        <w:t>支持UE上下线/Xn切换/N2切换/UE触发的业务请求/网络触发的业务请求/网络侧注销/网络侧触发PDU Session Modify/4G EPS互操作/流量牵引/多PDU Session/连续Xn切换/重建PDU Session/UE配置更新流程等信令流程/支持LBO与HR漫游场景/支持多信令流程的混合编排。</w:t>
      </w:r>
    </w:p>
    <w:p w14:paraId="00F7F50C">
      <w:pPr>
        <w:pStyle w:val="3"/>
        <w:numPr>
          <w:ilvl w:val="0"/>
          <w:numId w:val="57"/>
        </w:numPr>
        <w:spacing w:line="360" w:lineRule="auto"/>
        <w:ind w:left="0" w:firstLine="420"/>
        <w:jc w:val="left"/>
        <w:rPr>
          <w:rFonts w:hint="eastAsia" w:ascii="宋体" w:hAnsi="宋体"/>
          <w:szCs w:val="21"/>
          <w:highlight w:val="none"/>
          <w:lang w:bidi="ar"/>
        </w:rPr>
      </w:pPr>
      <w:r>
        <w:rPr>
          <w:rFonts w:hint="eastAsia" w:ascii="宋体" w:hAnsi="宋体" w:cs="宋体"/>
          <w:szCs w:val="21"/>
          <w:highlight w:val="none"/>
          <w:lang w:bidi="ar"/>
        </w:rPr>
        <w:t>吞吐</w:t>
      </w:r>
      <w:r>
        <w:rPr>
          <w:rFonts w:hint="eastAsia" w:ascii="宋体" w:hAnsi="宋体"/>
          <w:szCs w:val="21"/>
          <w:highlight w:val="none"/>
          <w:lang w:bidi="ar"/>
        </w:rPr>
        <w:t>性能：不小于2Gbps。</w:t>
      </w:r>
    </w:p>
    <w:p w14:paraId="51801B7B">
      <w:pPr>
        <w:pStyle w:val="3"/>
        <w:numPr>
          <w:ilvl w:val="0"/>
          <w:numId w:val="57"/>
        </w:numPr>
        <w:spacing w:line="360" w:lineRule="auto"/>
        <w:ind w:left="0" w:firstLine="420"/>
        <w:jc w:val="left"/>
        <w:rPr>
          <w:rFonts w:hint="eastAsia" w:ascii="宋体" w:hAnsi="宋体"/>
          <w:szCs w:val="21"/>
          <w:highlight w:val="none"/>
          <w:lang w:bidi="ar"/>
        </w:rPr>
      </w:pPr>
      <w:r>
        <w:rPr>
          <w:rFonts w:hint="eastAsia" w:ascii="宋体" w:hAnsi="宋体"/>
          <w:szCs w:val="21"/>
          <w:highlight w:val="none"/>
          <w:lang w:bidi="ar"/>
        </w:rPr>
        <w:t>支持在UI界面一键导出运行结果PCAP文件。</w:t>
      </w:r>
    </w:p>
    <w:p w14:paraId="3AAB23A9">
      <w:pPr>
        <w:pStyle w:val="3"/>
        <w:numPr>
          <w:ilvl w:val="0"/>
          <w:numId w:val="57"/>
        </w:numPr>
        <w:spacing w:line="360" w:lineRule="auto"/>
        <w:ind w:left="0" w:firstLine="420"/>
        <w:jc w:val="left"/>
        <w:rPr>
          <w:rFonts w:hint="eastAsia" w:ascii="宋体" w:hAnsi="宋体"/>
          <w:szCs w:val="21"/>
          <w:highlight w:val="none"/>
          <w:lang w:bidi="ar"/>
        </w:rPr>
      </w:pPr>
      <w:r>
        <w:rPr>
          <w:rFonts w:hint="eastAsia" w:ascii="宋体" w:hAnsi="宋体" w:cs="宋体"/>
          <w:szCs w:val="21"/>
          <w:highlight w:val="none"/>
          <w:lang w:bidi="ar"/>
        </w:rPr>
        <w:t>▲</w:t>
      </w:r>
      <w:r>
        <w:rPr>
          <w:rFonts w:hint="eastAsia" w:ascii="宋体" w:hAnsi="宋体"/>
          <w:szCs w:val="21"/>
          <w:highlight w:val="none"/>
          <w:lang w:bidi="ar"/>
        </w:rPr>
        <w:t>支持应用层协议仿真，包括但不限于HTTP、HTTPS、DNS、FTP。</w:t>
      </w:r>
    </w:p>
    <w:p w14:paraId="5283EC66">
      <w:pPr>
        <w:pStyle w:val="3"/>
        <w:numPr>
          <w:ilvl w:val="0"/>
          <w:numId w:val="57"/>
        </w:numPr>
        <w:spacing w:line="360" w:lineRule="auto"/>
        <w:ind w:left="0" w:firstLine="420"/>
        <w:jc w:val="left"/>
        <w:rPr>
          <w:rFonts w:hint="eastAsia" w:ascii="宋体" w:hAnsi="宋体"/>
          <w:szCs w:val="21"/>
          <w:highlight w:val="none"/>
          <w:lang w:bidi="ar"/>
        </w:rPr>
      </w:pPr>
      <w:r>
        <w:rPr>
          <w:rFonts w:hint="eastAsia" w:ascii="宋体" w:hAnsi="宋体" w:cs="宋体"/>
          <w:bCs/>
          <w:szCs w:val="21"/>
          <w:highlight w:val="none"/>
        </w:rPr>
        <w:t>★</w:t>
      </w:r>
      <w:r>
        <w:rPr>
          <w:rFonts w:hint="eastAsia" w:ascii="宋体" w:hAnsi="宋体"/>
          <w:szCs w:val="21"/>
          <w:highlight w:val="none"/>
          <w:lang w:bidi="ar"/>
        </w:rPr>
        <w:t>支持用户自定义RAW_TCP，RAW_UDP的业务流量模型，包括单次发送包长、发送间隔、发送次数。</w:t>
      </w:r>
    </w:p>
    <w:p w14:paraId="71881523">
      <w:pPr>
        <w:pStyle w:val="3"/>
        <w:spacing w:line="360" w:lineRule="auto"/>
        <w:ind w:firstLine="0" w:firstLineChars="0"/>
        <w:jc w:val="left"/>
        <w:rPr>
          <w:rFonts w:hint="eastAsia" w:ascii="宋体" w:hAnsi="宋体"/>
          <w:szCs w:val="21"/>
          <w:highlight w:val="none"/>
          <w:lang w:bidi="ar"/>
        </w:rPr>
      </w:pPr>
      <w:r>
        <w:rPr>
          <w:rFonts w:hint="eastAsia" w:ascii="宋体" w:hAnsi="宋体"/>
          <w:szCs w:val="21"/>
          <w:highlight w:val="none"/>
          <w:lang w:eastAsia="zh-CN" w:bidi="ar"/>
        </w:rPr>
        <w:t>（</w:t>
      </w:r>
      <w:r>
        <w:rPr>
          <w:rFonts w:hint="eastAsia" w:ascii="宋体" w:hAnsi="宋体"/>
          <w:szCs w:val="21"/>
          <w:highlight w:val="none"/>
          <w:lang w:val="en-US" w:eastAsia="zh-CN" w:bidi="ar"/>
        </w:rPr>
        <w:t>二）</w:t>
      </w:r>
      <w:r>
        <w:rPr>
          <w:rFonts w:hint="eastAsia" w:ascii="宋体" w:hAnsi="宋体"/>
          <w:szCs w:val="21"/>
          <w:highlight w:val="none"/>
          <w:lang w:bidi="ar"/>
        </w:rPr>
        <w:t>服务器技术参数：</w:t>
      </w:r>
    </w:p>
    <w:p w14:paraId="2A10F560">
      <w:pPr>
        <w:pStyle w:val="3"/>
        <w:widowControl/>
        <w:numPr>
          <w:ilvl w:val="0"/>
          <w:numId w:val="57"/>
        </w:numPr>
        <w:spacing w:line="360" w:lineRule="auto"/>
        <w:ind w:left="0" w:firstLine="420"/>
        <w:jc w:val="left"/>
        <w:textAlignment w:val="center"/>
        <w:rPr>
          <w:rFonts w:hint="eastAsia" w:ascii="宋体" w:hAnsi="宋体"/>
          <w:szCs w:val="21"/>
          <w:highlight w:val="none"/>
          <w:lang w:bidi="ar"/>
        </w:rPr>
      </w:pPr>
      <w:r>
        <w:rPr>
          <w:rFonts w:hint="eastAsia" w:ascii="宋体" w:hAnsi="宋体"/>
          <w:szCs w:val="21"/>
          <w:highlight w:val="none"/>
          <w:lang w:bidi="ar"/>
        </w:rPr>
        <w:t>服务器配置：</w:t>
      </w:r>
      <w:r>
        <w:rPr>
          <w:rFonts w:hint="eastAsia" w:ascii="宋体" w:hAnsi="宋体"/>
          <w:szCs w:val="21"/>
          <w:highlight w:val="none"/>
          <w:lang w:val="en-US" w:eastAsia="zh-CN" w:bidi="ar"/>
        </w:rPr>
        <w:t>不低于</w:t>
      </w:r>
      <w:r>
        <w:rPr>
          <w:rFonts w:hint="eastAsia" w:ascii="宋体" w:hAnsi="宋体"/>
          <w:szCs w:val="21"/>
          <w:highlight w:val="none"/>
          <w:lang w:bidi="ar"/>
        </w:rPr>
        <w:t>2颗处理器，20核，40线程，8X 16GB DDR4，1TB 7.2K RPM SATA 热插拔硬盘，750瓦1+1冗余电源，板载4 X GE端口，1*4口万兆网卡。</w:t>
      </w:r>
    </w:p>
    <w:p w14:paraId="4BE2C145">
      <w:pPr>
        <w:pStyle w:val="3"/>
        <w:widowControl/>
        <w:spacing w:line="360" w:lineRule="auto"/>
        <w:ind w:firstLine="0" w:firstLineChars="0"/>
        <w:jc w:val="left"/>
        <w:textAlignment w:val="center"/>
        <w:rPr>
          <w:rFonts w:hint="eastAsia" w:ascii="宋体" w:hAnsi="宋体"/>
          <w:szCs w:val="21"/>
          <w:highlight w:val="none"/>
          <w:lang w:bidi="ar"/>
        </w:rPr>
      </w:pPr>
      <w:r>
        <w:rPr>
          <w:rFonts w:hint="eastAsia" w:ascii="宋体" w:hAnsi="宋体"/>
          <w:szCs w:val="21"/>
          <w:highlight w:val="none"/>
          <w:lang w:eastAsia="zh-CN" w:bidi="ar"/>
        </w:rPr>
        <w:t>（</w:t>
      </w:r>
      <w:r>
        <w:rPr>
          <w:rFonts w:hint="eastAsia" w:ascii="宋体" w:hAnsi="宋体"/>
          <w:szCs w:val="21"/>
          <w:highlight w:val="none"/>
          <w:lang w:val="en-US" w:eastAsia="zh-CN" w:bidi="ar"/>
        </w:rPr>
        <w:t>三）</w:t>
      </w:r>
      <w:r>
        <w:rPr>
          <w:rFonts w:hint="eastAsia" w:ascii="宋体" w:hAnsi="宋体"/>
          <w:szCs w:val="21"/>
          <w:highlight w:val="none"/>
          <w:lang w:bidi="ar"/>
        </w:rPr>
        <w:t>仿真终端技术参数：</w:t>
      </w:r>
    </w:p>
    <w:p w14:paraId="7C85AA48">
      <w:pPr>
        <w:spacing w:line="360" w:lineRule="auto"/>
        <w:ind w:firstLine="420" w:firstLineChars="200"/>
        <w:jc w:val="left"/>
        <w:rPr>
          <w:rFonts w:hint="eastAsia" w:ascii="宋体" w:hAnsi="宋体"/>
          <w:szCs w:val="21"/>
          <w:highlight w:val="none"/>
          <w:lang w:bidi="ar"/>
        </w:rPr>
      </w:pPr>
      <w:r>
        <w:rPr>
          <w:rFonts w:hint="eastAsia" w:ascii="宋体" w:hAnsi="宋体"/>
          <w:szCs w:val="21"/>
          <w:highlight w:val="none"/>
          <w:lang w:bidi="ar"/>
        </w:rPr>
        <w:t>19.</w:t>
      </w:r>
      <w:r>
        <w:rPr>
          <w:rFonts w:hint="eastAsia" w:ascii="宋体" w:hAnsi="宋体" w:cs="宋体"/>
          <w:szCs w:val="21"/>
          <w:highlight w:val="none"/>
          <w:lang w:bidi="ar"/>
        </w:rPr>
        <w:t>▲</w:t>
      </w:r>
      <w:r>
        <w:rPr>
          <w:rFonts w:hint="eastAsia" w:ascii="宋体" w:hAnsi="宋体"/>
          <w:szCs w:val="21"/>
          <w:highlight w:val="none"/>
          <w:lang w:bidi="ar"/>
        </w:rPr>
        <w:t>不小于1000个UE同时在线。</w:t>
      </w:r>
    </w:p>
    <w:bookmarkEnd w:id="8"/>
    <w:p w14:paraId="4E36EF11">
      <w:pPr>
        <w:pStyle w:val="16"/>
        <w:spacing w:before="240" w:beforeLines="100" w:line="360" w:lineRule="auto"/>
        <w:ind w:firstLine="422" w:firstLineChars="200"/>
        <w:rPr>
          <w:sz w:val="24"/>
          <w:szCs w:val="24"/>
          <w:highlight w:val="none"/>
          <w:lang w:bidi="ar"/>
        </w:rPr>
      </w:pPr>
      <w:r>
        <w:rPr>
          <w:rFonts w:hint="eastAsia" w:ascii="宋体" w:hAnsi="宋体" w:cs="宋体"/>
          <w:b/>
          <w:bCs/>
          <w:szCs w:val="21"/>
          <w:highlight w:val="none"/>
        </w:rPr>
        <w:t>除特别要求的证明材料外，对标注“★”和“▲”项的技术要求必须在响应文件中提供公开发行的产品说明书或产品彩页或第三方检测报告复印件或可查询的产品制造商官网截图（附官网链接）或产品功能截图等佐证材料（如为复印件需加盖供应商公章，供应商自行承诺的证明材料不认可），未提供佐证资料的，评审时不予认可。</w:t>
      </w:r>
    </w:p>
    <w:p w14:paraId="2C7E471A">
      <w:pPr>
        <w:numPr>
          <w:ilvl w:val="0"/>
          <w:numId w:val="55"/>
        </w:numPr>
        <w:adjustRightInd w:val="0"/>
        <w:snapToGrid w:val="0"/>
        <w:spacing w:before="120" w:beforeLines="50" w:after="120" w:afterLines="50" w:line="360" w:lineRule="auto"/>
        <w:outlineLvl w:val="2"/>
        <w:rPr>
          <w:b/>
          <w:color w:val="000000" w:themeColor="text1"/>
          <w:sz w:val="28"/>
          <w:szCs w:val="28"/>
          <w:highlight w:val="none"/>
          <w:lang w:val="zh-CN"/>
          <w14:textFill>
            <w14:solidFill>
              <w14:schemeClr w14:val="tx1"/>
            </w14:solidFill>
          </w14:textFill>
        </w:rPr>
      </w:pPr>
      <w:r>
        <w:rPr>
          <w:rFonts w:hint="eastAsia"/>
          <w:b/>
          <w:color w:val="000000" w:themeColor="text1"/>
          <w:sz w:val="28"/>
          <w:szCs w:val="28"/>
          <w:highlight w:val="none"/>
          <w:lang w:val="zh-CN"/>
          <w14:textFill>
            <w14:solidFill>
              <w14:schemeClr w14:val="tx1"/>
            </w14:solidFill>
          </w14:textFill>
        </w:rPr>
        <w:t>商务条款</w:t>
      </w:r>
    </w:p>
    <w:p w14:paraId="41073AD8">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（一）交货期限：合同签订后30日内到货并安装调试完毕。</w:t>
      </w:r>
    </w:p>
    <w:p w14:paraId="4D695180">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（二）质量标准和验收要求</w:t>
      </w:r>
    </w:p>
    <w:p w14:paraId="5C687DF4">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（1）供应商应在设备到货前，对仪器实验室场地条件，如工作台、电气、网络等配套设施向采购人提出建议。</w:t>
      </w:r>
    </w:p>
    <w:p w14:paraId="2FB4ED68">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成交供应商提供的货物应是全新的、未使用过的原装合格正品，必须保证提供的货物完全与响应文件所述的质量、规格和性能相符，并保证所提供货物的合格率为100%，外观和内在质量都不得有任何问题。采购人有权对成交供应商提供的所有货物进行检测，如发现有质量问题或与</w:t>
      </w:r>
      <w:r>
        <w:rPr>
          <w:rFonts w:hint="eastAsia" w:ascii="宋体" w:hAnsi="宋体" w:cs="宋体"/>
          <w:sz w:val="24"/>
          <w:szCs w:val="24"/>
          <w:highlight w:val="none"/>
          <w:lang w:val="en-US" w:eastAsia="zh-CN"/>
        </w:rPr>
        <w:t>成交</w:t>
      </w:r>
      <w:r>
        <w:rPr>
          <w:rFonts w:hint="eastAsia" w:ascii="宋体" w:hAnsi="宋体" w:cs="宋体"/>
          <w:sz w:val="24"/>
          <w:szCs w:val="24"/>
          <w:highlight w:val="none"/>
        </w:rPr>
        <w:t>品牌、规格不符或以次充好，采购人有权退货并终止合同，所产生的损失及费用由成交供应商承担。</w:t>
      </w:r>
    </w:p>
    <w:p w14:paraId="4B047A9C">
      <w:pPr>
        <w:pStyle w:val="3"/>
        <w:numPr>
          <w:ilvl w:val="0"/>
          <w:numId w:val="53"/>
        </w:numPr>
        <w:adjustRightInd w:val="0"/>
        <w:snapToGrid w:val="0"/>
        <w:spacing w:line="360" w:lineRule="auto"/>
        <w:ind w:firstLineChars="0"/>
        <w:rPr>
          <w:rFonts w:hint="eastAsia" w:ascii="宋体" w:hAnsi="宋体" w:cs="宋体"/>
          <w:sz w:val="24"/>
          <w:szCs w:val="24"/>
          <w:highlight w:val="none"/>
        </w:rPr>
      </w:pPr>
      <w:r>
        <w:rPr>
          <w:rFonts w:hint="eastAsia" w:ascii="宋体" w:hAnsi="宋体" w:cs="宋体"/>
          <w:sz w:val="24"/>
          <w:szCs w:val="24"/>
          <w:highlight w:val="none"/>
        </w:rPr>
        <w:t>设备到货后，由供应商、采购人共同开箱验货；供应商保证货号的型号、规格、数量与合同相符。</w:t>
      </w:r>
    </w:p>
    <w:p w14:paraId="05E0859F">
      <w:pPr>
        <w:pStyle w:val="3"/>
        <w:numPr>
          <w:ilvl w:val="0"/>
          <w:numId w:val="53"/>
        </w:numPr>
        <w:adjustRightInd w:val="0"/>
        <w:snapToGrid w:val="0"/>
        <w:spacing w:line="360" w:lineRule="auto"/>
        <w:ind w:firstLineChars="0"/>
        <w:rPr>
          <w:rFonts w:hint="eastAsia" w:ascii="宋体" w:hAnsi="宋体" w:cs="宋体"/>
          <w:sz w:val="24"/>
          <w:szCs w:val="24"/>
          <w:highlight w:val="none"/>
        </w:rPr>
      </w:pPr>
      <w:r>
        <w:rPr>
          <w:rFonts w:hint="eastAsia" w:ascii="宋体" w:hAnsi="宋体" w:cs="宋体"/>
          <w:sz w:val="24"/>
          <w:szCs w:val="24"/>
          <w:highlight w:val="none"/>
        </w:rPr>
        <w:t>供应商负责到用户现场免费进行符合规范的安装调试，主要验收指标包括但不限于</w:t>
      </w:r>
      <w:r>
        <w:rPr>
          <w:rFonts w:hint="eastAsia" w:ascii="宋体" w:hAnsi="宋体" w:cs="宋体"/>
          <w:sz w:val="24"/>
          <w:szCs w:val="24"/>
          <w:highlight w:val="none"/>
          <w:lang w:eastAsia="zh-CN"/>
        </w:rPr>
        <w:t>：</w:t>
      </w:r>
      <w:r>
        <w:rPr>
          <w:rFonts w:hint="eastAsia" w:ascii="宋体" w:hAnsi="宋体" w:cs="宋体"/>
          <w:sz w:val="24"/>
          <w:szCs w:val="24"/>
          <w:highlight w:val="none"/>
        </w:rPr>
        <w:t>对仪器进行功能操作和性能指标测试，测试结果符合技术参数要求，不符合要求的测试项目进行系统重新配置。在系统整体验收完成后，签订验收报告。</w:t>
      </w:r>
    </w:p>
    <w:p w14:paraId="7E4E88C9">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成交供应商所提供的技术资料完整正确，数据和资料准确无误，能够保证设备按时正确地验收，并能满足正常运行和维修保养的需要。包括：货物产品合格证书、产品验收标准（含产品合格证验收清单等）、技术说明书、使用说明书、用户手册（中文）、培训资料及合同中要求的其他文件资料。所有设备须提交详细的技术规格，并注明品牌产地和生产厂地。</w:t>
      </w:r>
    </w:p>
    <w:p w14:paraId="25E27F82">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（三）培训</w:t>
      </w:r>
    </w:p>
    <w:p w14:paraId="4B8A3A7B">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验收合格后7天内供应商向采购人提供面向不少于5人、不低于8小时的免费现场或线上培训指导，供应商响应时需提供详细的培训计划。培训内容包括调试步骤、现场操作流程、工作原理、设备维护等理论培训及设备操作规程、现场操作、设备的维护、常见故障的排除、紧急情况的处理等。</w:t>
      </w:r>
    </w:p>
    <w:p w14:paraId="7D4254B2">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如采购人未使用过同类型货物，成交供应商还需就货物的功能对采购人人员进行相应的技术培训，培训地点主要在货物安装现场或由采购人安排。成交供应商提供培训及产品说明书，并提供培训资料。</w:t>
      </w:r>
    </w:p>
    <w:p w14:paraId="74B832E3">
      <w:pPr>
        <w:numPr>
          <w:ilvl w:val="0"/>
          <w:numId w:val="58"/>
        </w:num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付款条件：验收合格并签署验收报告后30天内支付合同金额的100%。</w:t>
      </w:r>
    </w:p>
    <w:p w14:paraId="1D81E4A7">
      <w:pPr>
        <w:numPr>
          <w:ilvl w:val="0"/>
          <w:numId w:val="58"/>
        </w:num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知识产权的归属和处理方式</w:t>
      </w:r>
    </w:p>
    <w:p w14:paraId="10464F28">
      <w:pPr>
        <w:numPr>
          <w:ilvl w:val="0"/>
          <w:numId w:val="0"/>
        </w:num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成交供应商为执行本项目而提供的设备、技术资料、软件的使用权归采购人所有，该使用权不受时间限制。成交供应商应保证，采购人在中华人民共和国使用该货物或货物的任何一部分时，免受第三方提出的侵犯其专利权、商标权或其他知识产权的指控。如发生此类纠纷，由成交供应商承担一切责任，并赔偿采购人因此遭受的一切损失。采购人无法继续使用该设备或设备使用限制超过本项目约定范围的，成交供应商应当退还全部或部分已付金额。</w:t>
      </w:r>
    </w:p>
    <w:p w14:paraId="598522FA">
      <w:pPr>
        <w:numPr>
          <w:ilvl w:val="0"/>
          <w:numId w:val="58"/>
        </w:num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质保要求</w:t>
      </w:r>
    </w:p>
    <w:p w14:paraId="639BBC0A">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1.设备到货并安装调试完毕，经采购人验收合格后进入质保期。在质保期内由原厂商负责保修，排除故障，无偿提供非操作不当及非外部原因造成的部件、配件的更换。</w:t>
      </w:r>
    </w:p>
    <w:p w14:paraId="6889C910">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2.质保期限：</w:t>
      </w:r>
      <w:r>
        <w:rPr>
          <w:rFonts w:hint="eastAsia" w:ascii="宋体" w:hAnsi="宋体" w:cs="宋体"/>
          <w:sz w:val="24"/>
          <w:highlight w:val="none"/>
          <w:lang w:val="zh-CN"/>
        </w:rPr>
        <w:t>所有设备</w:t>
      </w:r>
      <w:r>
        <w:rPr>
          <w:rFonts w:hint="eastAsia" w:ascii="宋体" w:hAnsi="宋体" w:cs="宋体"/>
          <w:sz w:val="24"/>
          <w:highlight w:val="none"/>
        </w:rPr>
        <w:t>的质保期</w:t>
      </w:r>
      <w:r>
        <w:rPr>
          <w:rFonts w:hint="eastAsia" w:ascii="宋体" w:hAnsi="宋体" w:cs="宋体"/>
          <w:sz w:val="24"/>
          <w:highlight w:val="none"/>
          <w:lang w:val="zh-CN"/>
        </w:rPr>
        <w:t>在非人为损坏情况下不少于</w:t>
      </w:r>
      <w:r>
        <w:rPr>
          <w:rFonts w:hint="eastAsia" w:ascii="宋体" w:hAnsi="宋体" w:cs="宋体"/>
          <w:sz w:val="24"/>
          <w:highlight w:val="none"/>
        </w:rPr>
        <w:t>1</w:t>
      </w:r>
      <w:r>
        <w:rPr>
          <w:rFonts w:hint="eastAsia" w:ascii="宋体" w:hAnsi="宋体" w:cs="宋体"/>
          <w:sz w:val="24"/>
          <w:highlight w:val="none"/>
          <w:lang w:val="zh-CN"/>
        </w:rPr>
        <w:t>年（质保期的计算自所有设备安装调试到位并通过验收合格后开始）。</w:t>
      </w:r>
      <w:r>
        <w:rPr>
          <w:rFonts w:hint="eastAsia" w:ascii="宋体" w:hAnsi="宋体" w:cs="宋体"/>
          <w:sz w:val="24"/>
          <w:szCs w:val="24"/>
          <w:highlight w:val="none"/>
        </w:rPr>
        <w:t>质保期内免费提供设备或配件的备件及升级服务，所供产品在使用中由于非人为原因出现的问题，供应商需免费进行维修不再收取任何费用。</w:t>
      </w:r>
      <w:r>
        <w:rPr>
          <w:highlight w:val="none"/>
        </w:rPr>
        <w:t xml:space="preserve"> </w:t>
      </w:r>
    </w:p>
    <w:p w14:paraId="77FF47F1">
      <w:pPr>
        <w:autoSpaceDE/>
        <w:autoSpaceDN/>
        <w:adjustRightInd w:val="0"/>
        <w:snapToGrid w:val="0"/>
        <w:spacing w:line="360" w:lineRule="auto"/>
        <w:ind w:firstLine="480" w:firstLineChars="200"/>
        <w:jc w:val="left"/>
        <w:rPr>
          <w:color w:val="000000" w:themeColor="text1"/>
          <w:highlight w:val="none"/>
          <w14:textFill>
            <w14:solidFill>
              <w14:schemeClr w14:val="tx1"/>
            </w14:solidFill>
          </w14:textFill>
        </w:rPr>
      </w:pPr>
      <w:r>
        <w:rPr>
          <w:rFonts w:hint="eastAsia" w:ascii="宋体" w:hAnsi="宋体" w:cs="宋体"/>
          <w:sz w:val="24"/>
          <w:szCs w:val="24"/>
          <w:highlight w:val="none"/>
        </w:rPr>
        <w:t>3.如货物在质保期内发生故障，需4小时内响应，如需现场解决，需要24小时内到达现场。质保期内工作日9:00-17:00内的免费的热线电话及网络协助支持，7x24小时技术支持（维保的具体响应时间按成交供应商应答承诺执行），免费质保期内，提供系统升级和安装服务；否则采购人将自行采取必要的措施，由此产生风险和费用应由成交供应商承担。</w:t>
      </w:r>
    </w:p>
    <w:p w14:paraId="0EF49F72">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140A7637">
      <w:pPr>
        <w:pStyle w:val="2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  合同主要条款及格式</w:t>
      </w:r>
    </w:p>
    <w:p w14:paraId="7065E33C">
      <w:pPr>
        <w:pStyle w:val="17"/>
        <w:spacing w:line="360" w:lineRule="auto"/>
        <w:ind w:firstLine="480"/>
        <w:rPr>
          <w:color w:val="000000" w:themeColor="text1"/>
          <w:highlight w:val="none"/>
          <w14:textFill>
            <w14:solidFill>
              <w14:schemeClr w14:val="tx1"/>
            </w14:solidFill>
          </w14:textFill>
        </w:rPr>
      </w:pPr>
      <w:bookmarkStart w:id="9" w:name="_Toc513029243"/>
      <w:bookmarkStart w:id="10" w:name="_Toc20823315"/>
      <w:bookmarkStart w:id="11" w:name="_Toc16938559"/>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9"/>
    <w:bookmarkEnd w:id="10"/>
    <w:bookmarkEnd w:id="11"/>
    <w:p w14:paraId="0FCB6B09">
      <w:pPr>
        <w:widowControl/>
        <w:snapToGrid w:val="0"/>
        <w:spacing w:before="19" w:line="360" w:lineRule="auto"/>
        <w:ind w:left="-358" w:leftChars="-255" w:right="-334" w:rightChars="-159" w:hanging="177" w:hangingChars="49"/>
        <w:jc w:val="center"/>
        <w:rPr>
          <w:rFonts w:ascii="仿宋_GB2312" w:eastAsia="仿宋_GB2312"/>
          <w:b/>
          <w:sz w:val="36"/>
          <w:highlight w:val="none"/>
        </w:rPr>
      </w:pPr>
      <w:bookmarkStart w:id="12" w:name="_Hlt16619369"/>
      <w:bookmarkEnd w:id="12"/>
      <w:r>
        <w:rPr>
          <w:rFonts w:hint="eastAsia" w:ascii="仿宋_GB2312" w:eastAsia="仿宋_GB2312"/>
          <w:b/>
          <w:sz w:val="36"/>
          <w:highlight w:val="none"/>
        </w:rPr>
        <w:t>南京邮电大学采购合同</w:t>
      </w:r>
    </w:p>
    <w:p w14:paraId="09D60407">
      <w:pPr>
        <w:spacing w:line="360" w:lineRule="auto"/>
        <w:rPr>
          <w:rFonts w:hint="eastAsia" w:ascii="宋体" w:hAnsi="宋体"/>
          <w:szCs w:val="21"/>
          <w:highlight w:val="none"/>
        </w:rPr>
      </w:pPr>
      <w:r>
        <w:rPr>
          <w:rFonts w:hint="eastAsia" w:ascii="宋体" w:hAnsi="宋体"/>
          <w:szCs w:val="21"/>
          <w:highlight w:val="none"/>
        </w:rPr>
        <w:t>甲方：南京邮电大学                             签订地点：南京邮电大学</w:t>
      </w:r>
    </w:p>
    <w:p w14:paraId="72652627">
      <w:pPr>
        <w:widowControl/>
        <w:snapToGrid w:val="0"/>
        <w:spacing w:before="19" w:line="360" w:lineRule="auto"/>
        <w:rPr>
          <w:rFonts w:hint="eastAsia" w:ascii="宋体" w:hAnsi="宋体"/>
          <w:szCs w:val="21"/>
          <w:highlight w:val="none"/>
        </w:rPr>
      </w:pPr>
      <w:r>
        <w:rPr>
          <w:rFonts w:hint="eastAsia" w:ascii="宋体" w:hAnsi="宋体"/>
          <w:szCs w:val="21"/>
          <w:highlight w:val="none"/>
        </w:rPr>
        <w:t xml:space="preserve">乙方：                                          </w:t>
      </w:r>
    </w:p>
    <w:p w14:paraId="2D75AD6A">
      <w:pPr>
        <w:widowControl/>
        <w:snapToGrid w:val="0"/>
        <w:spacing w:before="19" w:line="360" w:lineRule="auto"/>
        <w:rPr>
          <w:rFonts w:hint="eastAsia" w:ascii="宋体" w:hAnsi="宋体"/>
          <w:szCs w:val="21"/>
          <w:highlight w:val="none"/>
        </w:rPr>
      </w:pPr>
      <w:r>
        <w:rPr>
          <w:rFonts w:hint="eastAsia" w:ascii="宋体" w:hAnsi="宋体"/>
          <w:szCs w:val="21"/>
          <w:highlight w:val="none"/>
        </w:rPr>
        <w:t xml:space="preserve">    甲乙双方根据</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项目采购结果，依据《中华人民共和国民法典》合同编及相关法律规定，达成如下货物购销合同</w:t>
      </w:r>
      <w:r>
        <w:rPr>
          <w:rFonts w:hint="eastAsia" w:ascii="宋体" w:hAnsi="宋体"/>
          <w:szCs w:val="21"/>
          <w:highlight w:val="none"/>
          <w:lang w:eastAsia="zh-CN"/>
        </w:rPr>
        <w:t>：</w:t>
      </w:r>
    </w:p>
    <w:p w14:paraId="168A901B">
      <w:pPr>
        <w:widowControl/>
        <w:snapToGrid w:val="0"/>
        <w:spacing w:before="19" w:line="360" w:lineRule="auto"/>
        <w:rPr>
          <w:rFonts w:hint="eastAsia" w:ascii="宋体" w:hAnsi="宋体"/>
          <w:szCs w:val="21"/>
          <w:highlight w:val="none"/>
        </w:rPr>
      </w:pPr>
      <w:r>
        <w:rPr>
          <w:rFonts w:hint="eastAsia" w:ascii="宋体" w:hAnsi="宋体"/>
          <w:szCs w:val="21"/>
          <w:highlight w:val="none"/>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5E9B9C1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5CC7120E">
            <w:pPr>
              <w:snapToGrid w:val="0"/>
              <w:spacing w:line="360" w:lineRule="auto"/>
              <w:jc w:val="center"/>
              <w:rPr>
                <w:rFonts w:hint="eastAsia" w:ascii="宋体" w:hAnsi="宋体"/>
                <w:b/>
                <w:szCs w:val="21"/>
                <w:highlight w:val="none"/>
              </w:rPr>
            </w:pPr>
            <w:r>
              <w:rPr>
                <w:rFonts w:hint="eastAsia" w:ascii="宋体" w:hAnsi="宋体"/>
                <w:b/>
                <w:szCs w:val="21"/>
                <w:highlight w:val="none"/>
              </w:rPr>
              <w:t>编号</w:t>
            </w:r>
          </w:p>
        </w:tc>
        <w:tc>
          <w:tcPr>
            <w:tcW w:w="1260" w:type="dxa"/>
            <w:tcBorders>
              <w:top w:val="single" w:color="auto" w:sz="18" w:space="0"/>
              <w:bottom w:val="single" w:color="auto" w:sz="18" w:space="0"/>
            </w:tcBorders>
            <w:shd w:val="pct10" w:color="auto" w:fill="FFFFFF"/>
            <w:vAlign w:val="center"/>
          </w:tcPr>
          <w:p w14:paraId="5C0C9068">
            <w:pPr>
              <w:snapToGrid w:val="0"/>
              <w:spacing w:line="360" w:lineRule="auto"/>
              <w:jc w:val="center"/>
              <w:rPr>
                <w:rFonts w:hint="eastAsia" w:ascii="宋体" w:hAnsi="宋体"/>
                <w:b/>
                <w:szCs w:val="21"/>
                <w:highlight w:val="none"/>
              </w:rPr>
            </w:pPr>
            <w:r>
              <w:rPr>
                <w:rFonts w:hint="eastAsia" w:ascii="宋体" w:hAnsi="宋体"/>
                <w:b/>
                <w:szCs w:val="21"/>
                <w:highlight w:val="none"/>
              </w:rPr>
              <w:t>货物名称</w:t>
            </w:r>
          </w:p>
        </w:tc>
        <w:tc>
          <w:tcPr>
            <w:tcW w:w="4320" w:type="dxa"/>
            <w:tcBorders>
              <w:top w:val="single" w:color="auto" w:sz="18" w:space="0"/>
              <w:bottom w:val="single" w:color="auto" w:sz="18" w:space="0"/>
            </w:tcBorders>
            <w:shd w:val="pct10" w:color="auto" w:fill="FFFFFF"/>
            <w:vAlign w:val="center"/>
          </w:tcPr>
          <w:p w14:paraId="690CC025">
            <w:pPr>
              <w:snapToGrid w:val="0"/>
              <w:spacing w:line="360" w:lineRule="auto"/>
              <w:jc w:val="center"/>
              <w:rPr>
                <w:rFonts w:hint="eastAsia" w:ascii="宋体" w:hAnsi="宋体"/>
                <w:b/>
                <w:szCs w:val="21"/>
                <w:highlight w:val="none"/>
              </w:rPr>
            </w:pPr>
            <w:r>
              <w:rPr>
                <w:rFonts w:hint="eastAsia" w:ascii="宋体" w:hAnsi="宋体"/>
                <w:b/>
                <w:szCs w:val="21"/>
                <w:highlight w:val="none"/>
              </w:rPr>
              <w:t>规</w:t>
            </w:r>
            <w:r>
              <w:rPr>
                <w:rFonts w:ascii="宋体" w:hAnsi="宋体"/>
                <w:b/>
                <w:szCs w:val="21"/>
                <w:highlight w:val="none"/>
              </w:rPr>
              <w:t xml:space="preserve"> </w:t>
            </w:r>
            <w:r>
              <w:rPr>
                <w:rFonts w:hint="eastAsia" w:ascii="宋体" w:hAnsi="宋体"/>
                <w:b/>
                <w:szCs w:val="21"/>
                <w:highlight w:val="none"/>
              </w:rPr>
              <w:t>格</w:t>
            </w:r>
            <w:r>
              <w:rPr>
                <w:rFonts w:ascii="宋体" w:hAnsi="宋体"/>
                <w:b/>
                <w:szCs w:val="21"/>
                <w:highlight w:val="none"/>
              </w:rPr>
              <w:t xml:space="preserve"> </w:t>
            </w:r>
            <w:r>
              <w:rPr>
                <w:rFonts w:hint="eastAsia" w:ascii="宋体" w:hAnsi="宋体"/>
                <w:b/>
                <w:szCs w:val="21"/>
                <w:highlight w:val="none"/>
              </w:rPr>
              <w:t>型</w:t>
            </w:r>
            <w:r>
              <w:rPr>
                <w:rFonts w:ascii="宋体" w:hAnsi="宋体"/>
                <w:b/>
                <w:szCs w:val="21"/>
                <w:highlight w:val="none"/>
              </w:rPr>
              <w:t xml:space="preserve"> </w:t>
            </w:r>
            <w:r>
              <w:rPr>
                <w:rFonts w:hint="eastAsia" w:ascii="宋体" w:hAnsi="宋体"/>
                <w:b/>
                <w:szCs w:val="21"/>
                <w:highlight w:val="none"/>
              </w:rPr>
              <w:t>号（品牌）</w:t>
            </w:r>
          </w:p>
        </w:tc>
        <w:tc>
          <w:tcPr>
            <w:tcW w:w="1080" w:type="dxa"/>
            <w:tcBorders>
              <w:top w:val="single" w:color="auto" w:sz="18" w:space="0"/>
              <w:bottom w:val="single" w:color="auto" w:sz="18" w:space="0"/>
            </w:tcBorders>
            <w:shd w:val="pct10" w:color="auto" w:fill="FFFFFF"/>
            <w:vAlign w:val="center"/>
          </w:tcPr>
          <w:p w14:paraId="29342788">
            <w:pPr>
              <w:snapToGrid w:val="0"/>
              <w:spacing w:line="360" w:lineRule="auto"/>
              <w:jc w:val="center"/>
              <w:rPr>
                <w:rFonts w:hint="eastAsia" w:ascii="宋体" w:hAnsi="宋体"/>
                <w:b/>
                <w:szCs w:val="21"/>
                <w:highlight w:val="none"/>
              </w:rPr>
            </w:pPr>
            <w:r>
              <w:rPr>
                <w:rFonts w:hint="eastAsia" w:ascii="宋体" w:hAnsi="宋体"/>
                <w:b/>
                <w:szCs w:val="21"/>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50DD48F3">
            <w:pPr>
              <w:snapToGrid w:val="0"/>
              <w:spacing w:line="360" w:lineRule="auto"/>
              <w:jc w:val="center"/>
              <w:rPr>
                <w:rFonts w:hint="eastAsia" w:ascii="宋体" w:hAnsi="宋体"/>
                <w:b/>
                <w:szCs w:val="21"/>
                <w:highlight w:val="none"/>
              </w:rPr>
            </w:pPr>
            <w:r>
              <w:rPr>
                <w:rFonts w:hint="eastAsia" w:ascii="宋体" w:hAnsi="宋体"/>
                <w:b/>
                <w:szCs w:val="21"/>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54446320">
            <w:pPr>
              <w:widowControl/>
              <w:spacing w:line="360" w:lineRule="auto"/>
              <w:jc w:val="left"/>
              <w:rPr>
                <w:rFonts w:hint="eastAsia" w:ascii="宋体" w:hAnsi="宋体"/>
                <w:b/>
                <w:szCs w:val="21"/>
                <w:highlight w:val="none"/>
              </w:rPr>
            </w:pPr>
            <w:r>
              <w:rPr>
                <w:rFonts w:hint="eastAsia" w:ascii="宋体" w:hAnsi="宋体"/>
                <w:b/>
                <w:szCs w:val="21"/>
                <w:highlight w:val="none"/>
              </w:rPr>
              <w:t>总价（元）</w:t>
            </w:r>
          </w:p>
        </w:tc>
      </w:tr>
      <w:tr w14:paraId="752E5B8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12BFF38D">
            <w:pPr>
              <w:snapToGrid w:val="0"/>
              <w:spacing w:line="360" w:lineRule="auto"/>
              <w:rPr>
                <w:rFonts w:hint="eastAsia" w:ascii="宋体" w:hAnsi="宋体"/>
                <w:b/>
                <w:szCs w:val="21"/>
                <w:highlight w:val="none"/>
              </w:rPr>
            </w:pPr>
            <w:r>
              <w:rPr>
                <w:rFonts w:hint="eastAsia" w:ascii="宋体" w:hAnsi="宋体"/>
                <w:b/>
                <w:szCs w:val="21"/>
                <w:highlight w:val="none"/>
              </w:rPr>
              <w:t>1</w:t>
            </w:r>
          </w:p>
        </w:tc>
        <w:tc>
          <w:tcPr>
            <w:tcW w:w="1260" w:type="dxa"/>
            <w:tcBorders>
              <w:top w:val="nil"/>
              <w:bottom w:val="single" w:color="auto" w:sz="4" w:space="0"/>
            </w:tcBorders>
            <w:vAlign w:val="center"/>
          </w:tcPr>
          <w:p w14:paraId="68EF2FDA">
            <w:pPr>
              <w:snapToGrid w:val="0"/>
              <w:spacing w:line="360" w:lineRule="auto"/>
              <w:jc w:val="center"/>
              <w:rPr>
                <w:rFonts w:hint="eastAsia" w:ascii="宋体" w:hAnsi="宋体"/>
                <w:szCs w:val="21"/>
                <w:highlight w:val="none"/>
              </w:rPr>
            </w:pPr>
          </w:p>
        </w:tc>
        <w:tc>
          <w:tcPr>
            <w:tcW w:w="4320" w:type="dxa"/>
            <w:tcBorders>
              <w:top w:val="nil"/>
              <w:bottom w:val="single" w:color="auto" w:sz="4" w:space="0"/>
            </w:tcBorders>
            <w:vAlign w:val="center"/>
          </w:tcPr>
          <w:p w14:paraId="3B0BB0E9">
            <w:pPr>
              <w:spacing w:line="360" w:lineRule="auto"/>
              <w:rPr>
                <w:rFonts w:hint="eastAsia" w:ascii="宋体" w:hAnsi="宋体" w:cs="宋体"/>
                <w:color w:val="000000"/>
                <w:szCs w:val="21"/>
                <w:highlight w:val="none"/>
              </w:rPr>
            </w:pPr>
          </w:p>
        </w:tc>
        <w:tc>
          <w:tcPr>
            <w:tcW w:w="1080" w:type="dxa"/>
            <w:tcBorders>
              <w:top w:val="nil"/>
              <w:bottom w:val="single" w:color="auto" w:sz="4" w:space="0"/>
            </w:tcBorders>
            <w:vAlign w:val="center"/>
          </w:tcPr>
          <w:p w14:paraId="4A8EB801">
            <w:pPr>
              <w:snapToGrid w:val="0"/>
              <w:spacing w:line="360" w:lineRule="auto"/>
              <w:ind w:firstLine="103" w:firstLineChars="49"/>
              <w:rPr>
                <w:rFonts w:hint="eastAsia" w:ascii="宋体" w:hAnsi="宋体"/>
                <w:b/>
                <w:szCs w:val="21"/>
                <w:highlight w:val="none"/>
              </w:rPr>
            </w:pPr>
          </w:p>
        </w:tc>
        <w:tc>
          <w:tcPr>
            <w:tcW w:w="1080" w:type="dxa"/>
            <w:tcBorders>
              <w:top w:val="nil"/>
              <w:bottom w:val="single" w:color="auto" w:sz="4" w:space="0"/>
              <w:right w:val="single" w:color="auto" w:sz="4" w:space="0"/>
            </w:tcBorders>
            <w:vAlign w:val="center"/>
          </w:tcPr>
          <w:p w14:paraId="6035E4A4">
            <w:pPr>
              <w:spacing w:line="360" w:lineRule="auto"/>
              <w:jc w:val="center"/>
              <w:rPr>
                <w:rFonts w:hint="eastAsia" w:ascii="宋体" w:hAnsi="宋体"/>
                <w:b/>
                <w:szCs w:val="21"/>
                <w:highlight w:val="none"/>
              </w:rPr>
            </w:pPr>
          </w:p>
        </w:tc>
        <w:tc>
          <w:tcPr>
            <w:tcW w:w="1260" w:type="dxa"/>
            <w:tcBorders>
              <w:top w:val="nil"/>
              <w:bottom w:val="single" w:color="auto" w:sz="4" w:space="0"/>
              <w:right w:val="single" w:color="auto" w:sz="4" w:space="0"/>
            </w:tcBorders>
            <w:vAlign w:val="center"/>
          </w:tcPr>
          <w:p w14:paraId="0E913F19">
            <w:pPr>
              <w:spacing w:line="360" w:lineRule="auto"/>
              <w:rPr>
                <w:rFonts w:hint="eastAsia" w:ascii="宋体" w:hAnsi="宋体"/>
                <w:szCs w:val="21"/>
                <w:highlight w:val="none"/>
              </w:rPr>
            </w:pPr>
          </w:p>
        </w:tc>
      </w:tr>
      <w:tr w14:paraId="7756E2D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0E7B1647">
            <w:pPr>
              <w:snapToGrid w:val="0"/>
              <w:spacing w:line="360" w:lineRule="auto"/>
              <w:rPr>
                <w:rFonts w:hint="eastAsia" w:ascii="宋体" w:hAnsi="宋体"/>
                <w:b/>
                <w:szCs w:val="21"/>
                <w:highlight w:val="none"/>
              </w:rPr>
            </w:pPr>
            <w:r>
              <w:rPr>
                <w:rFonts w:hint="eastAsia" w:ascii="宋体" w:hAnsi="宋体"/>
                <w:b/>
                <w:szCs w:val="21"/>
                <w:highlight w:val="none"/>
              </w:rPr>
              <w:t>2</w:t>
            </w:r>
          </w:p>
        </w:tc>
        <w:tc>
          <w:tcPr>
            <w:tcW w:w="1260" w:type="dxa"/>
            <w:tcBorders>
              <w:top w:val="single" w:color="auto" w:sz="4" w:space="0"/>
              <w:bottom w:val="single" w:color="auto" w:sz="4" w:space="0"/>
            </w:tcBorders>
            <w:vAlign w:val="center"/>
          </w:tcPr>
          <w:p w14:paraId="2312648E">
            <w:pPr>
              <w:snapToGrid w:val="0"/>
              <w:spacing w:line="360" w:lineRule="auto"/>
              <w:jc w:val="center"/>
              <w:rPr>
                <w:rFonts w:hint="eastAsia" w:ascii="宋体" w:hAnsi="宋体"/>
                <w:szCs w:val="21"/>
                <w:highlight w:val="none"/>
              </w:rPr>
            </w:pPr>
          </w:p>
        </w:tc>
        <w:tc>
          <w:tcPr>
            <w:tcW w:w="4320" w:type="dxa"/>
            <w:tcBorders>
              <w:top w:val="single" w:color="auto" w:sz="4" w:space="0"/>
              <w:bottom w:val="single" w:color="auto" w:sz="4" w:space="0"/>
            </w:tcBorders>
            <w:vAlign w:val="center"/>
          </w:tcPr>
          <w:p w14:paraId="13A86F5C">
            <w:pPr>
              <w:spacing w:line="360" w:lineRule="auto"/>
              <w:rPr>
                <w:rFonts w:hint="eastAsia" w:ascii="宋体" w:hAnsi="宋体"/>
                <w:b/>
                <w:szCs w:val="21"/>
                <w:highlight w:val="none"/>
              </w:rPr>
            </w:pPr>
          </w:p>
        </w:tc>
        <w:tc>
          <w:tcPr>
            <w:tcW w:w="1080" w:type="dxa"/>
            <w:tcBorders>
              <w:top w:val="single" w:color="auto" w:sz="4" w:space="0"/>
              <w:bottom w:val="single" w:color="auto" w:sz="4" w:space="0"/>
            </w:tcBorders>
            <w:vAlign w:val="center"/>
          </w:tcPr>
          <w:p w14:paraId="3FC4D2BF">
            <w:pPr>
              <w:snapToGrid w:val="0"/>
              <w:spacing w:line="360" w:lineRule="auto"/>
              <w:ind w:firstLine="103" w:firstLineChars="49"/>
              <w:rPr>
                <w:rFonts w:hint="eastAsia" w:ascii="宋体" w:hAnsi="宋体"/>
                <w:b/>
                <w:szCs w:val="21"/>
                <w:highlight w:val="none"/>
              </w:rPr>
            </w:pPr>
          </w:p>
        </w:tc>
        <w:tc>
          <w:tcPr>
            <w:tcW w:w="1080" w:type="dxa"/>
            <w:tcBorders>
              <w:top w:val="single" w:color="auto" w:sz="4" w:space="0"/>
              <w:bottom w:val="single" w:color="auto" w:sz="4" w:space="0"/>
              <w:right w:val="single" w:color="auto" w:sz="4" w:space="0"/>
            </w:tcBorders>
            <w:vAlign w:val="center"/>
          </w:tcPr>
          <w:p w14:paraId="7CD5B74F">
            <w:pPr>
              <w:snapToGrid w:val="0"/>
              <w:spacing w:line="360" w:lineRule="auto"/>
              <w:ind w:firstLine="103" w:firstLineChars="49"/>
              <w:rPr>
                <w:rFonts w:hint="eastAsia" w:ascii="宋体" w:hAnsi="宋体"/>
                <w:b/>
                <w:szCs w:val="21"/>
                <w:highlight w:val="none"/>
              </w:rPr>
            </w:pPr>
          </w:p>
        </w:tc>
        <w:tc>
          <w:tcPr>
            <w:tcW w:w="1260" w:type="dxa"/>
            <w:tcBorders>
              <w:top w:val="single" w:color="auto" w:sz="4" w:space="0"/>
              <w:bottom w:val="single" w:color="auto" w:sz="4" w:space="0"/>
              <w:right w:val="single" w:color="auto" w:sz="4" w:space="0"/>
            </w:tcBorders>
            <w:vAlign w:val="center"/>
          </w:tcPr>
          <w:p w14:paraId="2DE64E4E">
            <w:pPr>
              <w:spacing w:line="360" w:lineRule="auto"/>
              <w:rPr>
                <w:rFonts w:hint="eastAsia" w:ascii="宋体" w:hAnsi="宋体"/>
                <w:szCs w:val="21"/>
                <w:highlight w:val="none"/>
              </w:rPr>
            </w:pPr>
          </w:p>
        </w:tc>
      </w:tr>
      <w:tr w14:paraId="5DBF4B2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5B4A6B5D">
            <w:pPr>
              <w:snapToGrid w:val="0"/>
              <w:spacing w:line="360" w:lineRule="auto"/>
              <w:rPr>
                <w:rFonts w:hint="eastAsia" w:ascii="宋体" w:hAnsi="宋体"/>
                <w:b/>
                <w:szCs w:val="21"/>
                <w:highlight w:val="none"/>
              </w:rPr>
            </w:pPr>
            <w:r>
              <w:rPr>
                <w:rFonts w:hint="eastAsia" w:ascii="宋体" w:hAnsi="宋体"/>
                <w:b/>
                <w:szCs w:val="21"/>
                <w:highlight w:val="none"/>
              </w:rPr>
              <w:t>3</w:t>
            </w:r>
          </w:p>
        </w:tc>
        <w:tc>
          <w:tcPr>
            <w:tcW w:w="1260" w:type="dxa"/>
            <w:tcBorders>
              <w:top w:val="single" w:color="auto" w:sz="4" w:space="0"/>
              <w:bottom w:val="single" w:color="auto" w:sz="4" w:space="0"/>
            </w:tcBorders>
            <w:vAlign w:val="center"/>
          </w:tcPr>
          <w:p w14:paraId="5105AD6B">
            <w:pPr>
              <w:snapToGrid w:val="0"/>
              <w:spacing w:line="360" w:lineRule="auto"/>
              <w:jc w:val="center"/>
              <w:rPr>
                <w:rFonts w:hint="eastAsia" w:ascii="宋体" w:hAnsi="宋体"/>
                <w:szCs w:val="21"/>
                <w:highlight w:val="none"/>
              </w:rPr>
            </w:pPr>
          </w:p>
        </w:tc>
        <w:tc>
          <w:tcPr>
            <w:tcW w:w="4320" w:type="dxa"/>
            <w:tcBorders>
              <w:top w:val="single" w:color="auto" w:sz="4" w:space="0"/>
              <w:bottom w:val="single" w:color="auto" w:sz="4" w:space="0"/>
            </w:tcBorders>
            <w:vAlign w:val="center"/>
          </w:tcPr>
          <w:p w14:paraId="61DACB85">
            <w:pPr>
              <w:spacing w:line="360" w:lineRule="auto"/>
              <w:rPr>
                <w:rFonts w:hint="eastAsia" w:ascii="宋体" w:hAnsi="宋体"/>
                <w:b/>
                <w:szCs w:val="21"/>
                <w:highlight w:val="none"/>
              </w:rPr>
            </w:pPr>
          </w:p>
        </w:tc>
        <w:tc>
          <w:tcPr>
            <w:tcW w:w="1080" w:type="dxa"/>
            <w:tcBorders>
              <w:top w:val="single" w:color="auto" w:sz="4" w:space="0"/>
              <w:bottom w:val="single" w:color="auto" w:sz="4" w:space="0"/>
            </w:tcBorders>
            <w:vAlign w:val="center"/>
          </w:tcPr>
          <w:p w14:paraId="21BE8B81">
            <w:pPr>
              <w:snapToGrid w:val="0"/>
              <w:spacing w:line="360" w:lineRule="auto"/>
              <w:ind w:firstLine="103" w:firstLineChars="49"/>
              <w:rPr>
                <w:rFonts w:hint="eastAsia" w:ascii="宋体" w:hAnsi="宋体"/>
                <w:b/>
                <w:szCs w:val="21"/>
                <w:highlight w:val="none"/>
              </w:rPr>
            </w:pPr>
          </w:p>
        </w:tc>
        <w:tc>
          <w:tcPr>
            <w:tcW w:w="1080" w:type="dxa"/>
            <w:tcBorders>
              <w:top w:val="single" w:color="auto" w:sz="4" w:space="0"/>
              <w:bottom w:val="single" w:color="auto" w:sz="4" w:space="0"/>
              <w:right w:val="single" w:color="auto" w:sz="4" w:space="0"/>
            </w:tcBorders>
            <w:vAlign w:val="center"/>
          </w:tcPr>
          <w:p w14:paraId="25FA93B4">
            <w:pPr>
              <w:snapToGrid w:val="0"/>
              <w:spacing w:line="360" w:lineRule="auto"/>
              <w:ind w:firstLine="103" w:firstLineChars="49"/>
              <w:rPr>
                <w:rFonts w:hint="eastAsia" w:ascii="宋体" w:hAnsi="宋体"/>
                <w:b/>
                <w:szCs w:val="21"/>
                <w:highlight w:val="none"/>
              </w:rPr>
            </w:pPr>
          </w:p>
        </w:tc>
        <w:tc>
          <w:tcPr>
            <w:tcW w:w="1260" w:type="dxa"/>
            <w:tcBorders>
              <w:top w:val="single" w:color="auto" w:sz="4" w:space="0"/>
              <w:bottom w:val="single" w:color="auto" w:sz="4" w:space="0"/>
              <w:right w:val="single" w:color="auto" w:sz="4" w:space="0"/>
            </w:tcBorders>
            <w:vAlign w:val="center"/>
          </w:tcPr>
          <w:p w14:paraId="190130F1">
            <w:pPr>
              <w:spacing w:line="360" w:lineRule="auto"/>
              <w:rPr>
                <w:rFonts w:hint="eastAsia" w:ascii="宋体" w:hAnsi="宋体"/>
                <w:szCs w:val="21"/>
                <w:highlight w:val="none"/>
              </w:rPr>
            </w:pPr>
          </w:p>
        </w:tc>
      </w:tr>
      <w:tr w14:paraId="3FBA441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0EB289C2">
            <w:pPr>
              <w:spacing w:line="360" w:lineRule="auto"/>
              <w:rPr>
                <w:rFonts w:hint="eastAsia" w:ascii="宋体" w:hAnsi="宋体"/>
                <w:szCs w:val="21"/>
                <w:highlight w:val="none"/>
              </w:rPr>
            </w:pPr>
            <w:r>
              <w:rPr>
                <w:rFonts w:hint="eastAsia" w:ascii="宋体" w:hAnsi="宋体"/>
                <w:b/>
                <w:szCs w:val="21"/>
                <w:highlight w:val="none"/>
              </w:rPr>
              <w:t xml:space="preserve">总价（人民币大写）：                                     </w:t>
            </w:r>
            <w:r>
              <w:rPr>
                <w:rFonts w:hint="eastAsia" w:ascii="宋体" w:hAnsi="宋体"/>
                <w:szCs w:val="21"/>
                <w:highlight w:val="none"/>
              </w:rPr>
              <w:t>合计（小写）：        元</w:t>
            </w:r>
          </w:p>
          <w:p w14:paraId="725B9D9B">
            <w:pPr>
              <w:spacing w:line="360" w:lineRule="auto"/>
              <w:rPr>
                <w:rFonts w:hint="eastAsia" w:ascii="宋体" w:hAnsi="宋体"/>
                <w:szCs w:val="21"/>
                <w:highlight w:val="none"/>
              </w:rPr>
            </w:pPr>
            <w:r>
              <w:rPr>
                <w:rFonts w:hint="eastAsia" w:ascii="宋体" w:hAnsi="宋体"/>
                <w:szCs w:val="21"/>
                <w:highlight w:val="none"/>
              </w:rPr>
              <w:t>本合同总价款是货物设计、制造、包装、仓储、运输、安装及验收合格之前以及</w:t>
            </w:r>
            <w:r>
              <w:rPr>
                <w:rFonts w:hint="eastAsia" w:ascii="宋体" w:hAnsi="宋体"/>
                <w:szCs w:val="21"/>
                <w:highlight w:val="none"/>
                <w:lang w:val="en-US" w:eastAsia="zh-CN"/>
              </w:rPr>
              <w:t>质保</w:t>
            </w:r>
            <w:r>
              <w:rPr>
                <w:rFonts w:hint="eastAsia" w:ascii="宋体" w:hAnsi="宋体"/>
                <w:szCs w:val="21"/>
                <w:highlight w:val="none"/>
              </w:rPr>
              <w:t>期内备品备件发生的所有含税费用。本合同总价款还包含乙方应当提供的伴随服务/售后服务费用。</w:t>
            </w:r>
          </w:p>
        </w:tc>
      </w:tr>
    </w:tbl>
    <w:p w14:paraId="67D3C94D">
      <w:pPr>
        <w:widowControl/>
        <w:snapToGrid w:val="0"/>
        <w:spacing w:before="19" w:line="360" w:lineRule="auto"/>
        <w:rPr>
          <w:rFonts w:hint="eastAsia" w:ascii="宋体" w:hAnsi="宋体"/>
          <w:szCs w:val="21"/>
          <w:highlight w:val="none"/>
        </w:rPr>
      </w:pPr>
      <w:r>
        <w:rPr>
          <w:rFonts w:hint="eastAsia" w:ascii="宋体" w:hAnsi="宋体"/>
          <w:szCs w:val="21"/>
          <w:highlight w:val="none"/>
        </w:rPr>
        <w:t>二、交货时间：</w:t>
      </w:r>
      <w:r>
        <w:rPr>
          <w:rFonts w:hint="eastAsia" w:ascii="宋体" w:hAnsi="宋体"/>
          <w:szCs w:val="21"/>
          <w:highlight w:val="none"/>
          <w:u w:val="single"/>
        </w:rPr>
        <w:t xml:space="preserve"> 合同签订之日起 30天内全部免费安装调试完毕。</w:t>
      </w:r>
    </w:p>
    <w:p w14:paraId="42DE74BA">
      <w:pPr>
        <w:widowControl/>
        <w:snapToGrid w:val="0"/>
        <w:spacing w:before="19" w:line="360" w:lineRule="auto"/>
        <w:rPr>
          <w:rFonts w:hint="eastAsia" w:ascii="宋体" w:hAnsi="宋体"/>
          <w:szCs w:val="21"/>
          <w:highlight w:val="none"/>
        </w:rPr>
      </w:pPr>
      <w:r>
        <w:rPr>
          <w:rFonts w:hint="eastAsia" w:ascii="宋体" w:hAnsi="宋体"/>
          <w:szCs w:val="21"/>
          <w:highlight w:val="none"/>
        </w:rPr>
        <w:t>三、交货地点：由乙方负责运输至</w:t>
      </w:r>
      <w:r>
        <w:rPr>
          <w:rFonts w:hint="eastAsia" w:ascii="宋体" w:hAnsi="宋体"/>
          <w:szCs w:val="21"/>
          <w:highlight w:val="none"/>
          <w:u w:val="single"/>
        </w:rPr>
        <w:t>甲方指定地点。</w:t>
      </w:r>
    </w:p>
    <w:p w14:paraId="6B30D0AB">
      <w:pPr>
        <w:widowControl/>
        <w:snapToGrid w:val="0"/>
        <w:spacing w:before="19" w:line="360" w:lineRule="auto"/>
        <w:rPr>
          <w:rFonts w:hint="eastAsia" w:ascii="宋体" w:hAnsi="宋体"/>
          <w:szCs w:val="21"/>
          <w:highlight w:val="none"/>
          <w:u w:val="single"/>
        </w:rPr>
      </w:pPr>
      <w:r>
        <w:rPr>
          <w:rFonts w:hint="eastAsia" w:ascii="宋体" w:hAnsi="宋体"/>
          <w:szCs w:val="21"/>
          <w:highlight w:val="none"/>
        </w:rPr>
        <w:t>四、付款方式：</w:t>
      </w:r>
      <w:r>
        <w:rPr>
          <w:rFonts w:hint="eastAsia" w:ascii="宋体" w:hAnsi="宋体"/>
          <w:szCs w:val="21"/>
          <w:highlight w:val="none"/>
          <w:u w:val="single"/>
        </w:rPr>
        <w:t>验收合格并签署验收报告后</w:t>
      </w:r>
      <w:r>
        <w:rPr>
          <w:rFonts w:hint="eastAsia"/>
          <w:highlight w:val="none"/>
          <w:u w:val="single"/>
          <w:lang w:val="en-US" w:eastAsia="zh-CN"/>
        </w:rPr>
        <w:t>30日内</w:t>
      </w:r>
      <w:r>
        <w:rPr>
          <w:rFonts w:hint="eastAsia" w:ascii="宋体" w:hAnsi="宋体"/>
          <w:szCs w:val="21"/>
          <w:highlight w:val="none"/>
          <w:u w:val="single"/>
        </w:rPr>
        <w:t>支付合同金额的100%。</w:t>
      </w:r>
    </w:p>
    <w:p w14:paraId="4AC22CCD">
      <w:pPr>
        <w:widowControl/>
        <w:snapToGrid w:val="0"/>
        <w:spacing w:before="19" w:line="360" w:lineRule="auto"/>
        <w:rPr>
          <w:rFonts w:hint="eastAsia" w:ascii="宋体" w:hAnsi="宋体"/>
          <w:szCs w:val="21"/>
          <w:highlight w:val="none"/>
        </w:rPr>
      </w:pPr>
      <w:r>
        <w:rPr>
          <w:rFonts w:hint="eastAsia" w:ascii="宋体" w:hAnsi="宋体"/>
          <w:szCs w:val="21"/>
          <w:highlight w:val="none"/>
        </w:rPr>
        <w:t>五、质保期：</w:t>
      </w:r>
      <w:r>
        <w:rPr>
          <w:rFonts w:hint="eastAsia" w:ascii="宋体" w:hAnsi="宋体"/>
          <w:szCs w:val="21"/>
          <w:highlight w:val="none"/>
          <w:u w:val="single"/>
        </w:rPr>
        <w:t xml:space="preserve">   个月（</w:t>
      </w:r>
      <w:r>
        <w:rPr>
          <w:rFonts w:hint="eastAsia" w:ascii="宋体" w:hAnsi="宋体"/>
          <w:szCs w:val="21"/>
          <w:highlight w:val="none"/>
        </w:rPr>
        <w:t>自验收合格之日起计。所有货物保修服务方式均为乙方派员到货物使用现场维修，由此产生的一切费用均由乙方承担。）</w:t>
      </w:r>
    </w:p>
    <w:p w14:paraId="163D97E8">
      <w:pPr>
        <w:widowControl/>
        <w:snapToGrid w:val="0"/>
        <w:spacing w:before="19" w:line="360" w:lineRule="auto"/>
        <w:rPr>
          <w:rFonts w:hint="eastAsia" w:ascii="宋体" w:hAnsi="宋体"/>
          <w:szCs w:val="21"/>
          <w:highlight w:val="none"/>
        </w:rPr>
      </w:pPr>
      <w:r>
        <w:rPr>
          <w:rFonts w:hint="eastAsia" w:ascii="宋体" w:hAnsi="宋体"/>
          <w:szCs w:val="21"/>
          <w:highlight w:val="none"/>
        </w:rPr>
        <w:t>六、质量要求、技术标准、乙方对质量负责的条件和期限：</w:t>
      </w:r>
    </w:p>
    <w:p w14:paraId="53F9542E">
      <w:pPr>
        <w:widowControl/>
        <w:snapToGrid w:val="0"/>
        <w:spacing w:before="19" w:line="360" w:lineRule="auto"/>
        <w:ind w:left="555"/>
        <w:rPr>
          <w:rFonts w:hint="eastAsia" w:ascii="宋体" w:hAnsi="宋体"/>
          <w:szCs w:val="21"/>
          <w:highlight w:val="none"/>
        </w:rPr>
      </w:pPr>
      <w:r>
        <w:rPr>
          <w:rFonts w:hint="eastAsia" w:ascii="宋体" w:hAnsi="宋体"/>
          <w:szCs w:val="21"/>
          <w:highlight w:val="none"/>
        </w:rPr>
        <w:t>1.乙方所提供的货物，若技术性能无特殊说明，则按生产企业或国家有关部门最新颁布的标准及规范为准。</w:t>
      </w:r>
    </w:p>
    <w:p w14:paraId="1F1F4BB2">
      <w:pPr>
        <w:widowControl/>
        <w:snapToGrid w:val="0"/>
        <w:spacing w:before="19" w:line="360" w:lineRule="auto"/>
        <w:ind w:firstLine="525" w:firstLineChars="250"/>
        <w:rPr>
          <w:rFonts w:hint="eastAsia" w:ascii="宋体" w:hAnsi="宋体"/>
          <w:szCs w:val="21"/>
          <w:highlight w:val="none"/>
        </w:rPr>
      </w:pPr>
      <w:r>
        <w:rPr>
          <w:rFonts w:hint="eastAsia" w:ascii="宋体" w:hAnsi="宋体"/>
          <w:szCs w:val="21"/>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EA79D1F">
      <w:pPr>
        <w:widowControl/>
        <w:snapToGrid w:val="0"/>
        <w:spacing w:before="19" w:line="360" w:lineRule="auto"/>
        <w:rPr>
          <w:rFonts w:hint="eastAsia" w:ascii="宋体" w:hAnsi="宋体"/>
          <w:szCs w:val="21"/>
          <w:highlight w:val="none"/>
        </w:rPr>
      </w:pPr>
      <w:r>
        <w:rPr>
          <w:rFonts w:hint="eastAsia" w:ascii="宋体" w:hAnsi="宋体"/>
          <w:szCs w:val="21"/>
          <w:highlight w:val="none"/>
        </w:rPr>
        <w:t>七、验收标准：甲方应当在到货且安装调试完成后__</w:t>
      </w:r>
      <w:r>
        <w:rPr>
          <w:rFonts w:hint="eastAsia" w:ascii="宋体" w:hAnsi="宋体"/>
          <w:szCs w:val="21"/>
          <w:highlight w:val="none"/>
          <w:u w:val="single"/>
        </w:rPr>
        <w:t>_15__</w:t>
      </w:r>
      <w:r>
        <w:rPr>
          <w:rFonts w:hint="eastAsia" w:ascii="宋体" w:hAnsi="宋体"/>
          <w:szCs w:val="21"/>
          <w:highlight w:val="none"/>
        </w:rPr>
        <w:t>_日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4F435D3E">
      <w:pPr>
        <w:widowControl/>
        <w:snapToGrid w:val="0"/>
        <w:spacing w:before="19" w:line="360" w:lineRule="auto"/>
        <w:rPr>
          <w:rFonts w:hint="eastAsia" w:ascii="宋体" w:hAnsi="宋体"/>
          <w:szCs w:val="21"/>
          <w:highlight w:val="none"/>
        </w:rPr>
      </w:pPr>
      <w:r>
        <w:rPr>
          <w:rFonts w:hint="eastAsia" w:ascii="宋体" w:hAnsi="宋体"/>
          <w:szCs w:val="21"/>
          <w:highlight w:val="none"/>
        </w:rPr>
        <w:t>八、 工程部分（两万元以上）需按南京邮电大学审计相关规定执行。</w:t>
      </w:r>
    </w:p>
    <w:p w14:paraId="665CE917">
      <w:pPr>
        <w:widowControl/>
        <w:snapToGrid w:val="0"/>
        <w:spacing w:before="19" w:line="360" w:lineRule="auto"/>
        <w:rPr>
          <w:rFonts w:hint="eastAsia" w:ascii="宋体" w:hAnsi="宋体"/>
          <w:szCs w:val="21"/>
          <w:highlight w:val="none"/>
        </w:rPr>
      </w:pPr>
      <w:r>
        <w:rPr>
          <w:rFonts w:hint="eastAsia" w:ascii="宋体" w:hAnsi="宋体"/>
          <w:szCs w:val="21"/>
          <w:highlight w:val="none"/>
        </w:rPr>
        <w:t>九、采购文件及响应为本合同的附件，与本合同具有同等法律效力。甲乙双方商定的其他必要文件，附件与本合同不相符合之处，以本合同内容为准。上述文件内容互为补充。</w:t>
      </w:r>
    </w:p>
    <w:p w14:paraId="156701D5">
      <w:pPr>
        <w:widowControl/>
        <w:snapToGrid w:val="0"/>
        <w:spacing w:before="19" w:line="360" w:lineRule="auto"/>
        <w:rPr>
          <w:rFonts w:hint="eastAsia" w:ascii="宋体" w:hAnsi="宋体"/>
          <w:szCs w:val="21"/>
          <w:highlight w:val="none"/>
        </w:rPr>
      </w:pPr>
      <w:r>
        <w:rPr>
          <w:rFonts w:hint="eastAsia" w:ascii="宋体" w:hAnsi="宋体"/>
          <w:szCs w:val="21"/>
          <w:highlight w:val="none"/>
        </w:rPr>
        <w:t>十、违约责任</w:t>
      </w:r>
    </w:p>
    <w:p w14:paraId="2BBE0021">
      <w:pPr>
        <w:widowControl/>
        <w:snapToGrid w:val="0"/>
        <w:spacing w:before="19" w:line="360" w:lineRule="auto"/>
        <w:rPr>
          <w:rFonts w:hint="eastAsia" w:ascii="宋体" w:hAnsi="宋体"/>
          <w:szCs w:val="21"/>
          <w:highlight w:val="none"/>
        </w:rPr>
      </w:pPr>
      <w:r>
        <w:rPr>
          <w:rFonts w:hint="eastAsia" w:ascii="宋体" w:hAnsi="宋体"/>
          <w:szCs w:val="21"/>
          <w:highlight w:val="none"/>
        </w:rPr>
        <w:t>1.甲方无正当理由拒收货物、拒付货物款的，由甲方向乙方偿付合同总价的5%违约金。如乙方不能交付货物，乙方应向甲方支付合同总价5％的违约金。</w:t>
      </w:r>
    </w:p>
    <w:p w14:paraId="3317AADC">
      <w:pPr>
        <w:spacing w:before="19" w:line="360" w:lineRule="auto"/>
        <w:rPr>
          <w:rFonts w:hint="eastAsia" w:ascii="宋体" w:hAnsi="宋体"/>
          <w:szCs w:val="21"/>
          <w:highlight w:val="none"/>
        </w:rPr>
      </w:pPr>
      <w:r>
        <w:rPr>
          <w:rFonts w:hint="eastAsia" w:ascii="宋体" w:hAnsi="宋体"/>
          <w:szCs w:val="21"/>
          <w:highlight w:val="none"/>
        </w:rPr>
        <w: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w:t>
      </w:r>
      <w:r>
        <w:rPr>
          <w:rFonts w:ascii="宋体" w:hAnsi="宋体"/>
          <w:szCs w:val="21"/>
          <w:highlight w:val="none"/>
        </w:rPr>
        <w:t>5%</w:t>
      </w:r>
      <w:r>
        <w:rPr>
          <w:rFonts w:hint="eastAsia" w:ascii="宋体" w:hAnsi="宋体"/>
          <w:szCs w:val="21"/>
          <w:highlight w:val="none"/>
        </w:rPr>
        <w:t>的违约金，如造成甲方损失超过违约金的，超出部分由乙方继续承担赔偿责任。</w:t>
      </w:r>
      <w:r>
        <w:rPr>
          <w:rFonts w:ascii="宋体" w:hAnsi="宋体"/>
          <w:szCs w:val="21"/>
          <w:highlight w:val="none"/>
        </w:rPr>
        <w:t xml:space="preserve"> </w:t>
      </w:r>
    </w:p>
    <w:p w14:paraId="2E028E98">
      <w:pPr>
        <w:spacing w:before="19" w:line="360" w:lineRule="auto"/>
        <w:rPr>
          <w:rFonts w:hint="eastAsia" w:ascii="宋体" w:hAnsi="宋体"/>
          <w:szCs w:val="21"/>
          <w:highlight w:val="none"/>
        </w:rPr>
      </w:pPr>
      <w:r>
        <w:rPr>
          <w:rFonts w:hint="eastAsia" w:ascii="宋体" w:hAnsi="宋体"/>
          <w:szCs w:val="21"/>
          <w:highlight w:val="none"/>
        </w:rPr>
        <w:t>3.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33251A70">
      <w:pPr>
        <w:widowControl/>
        <w:snapToGrid w:val="0"/>
        <w:spacing w:before="19" w:line="360" w:lineRule="auto"/>
        <w:rPr>
          <w:rFonts w:hint="eastAsia" w:ascii="宋体" w:hAnsi="宋体"/>
          <w:szCs w:val="21"/>
          <w:highlight w:val="none"/>
        </w:rPr>
      </w:pPr>
      <w:r>
        <w:rPr>
          <w:rFonts w:hint="eastAsia" w:ascii="宋体" w:hAnsi="宋体"/>
          <w:szCs w:val="21"/>
          <w:highlight w:val="none"/>
        </w:rPr>
        <w:t>4.在乙方承诺的或国家规定的质量保证期内（取两者中最长的期限），</w:t>
      </w:r>
      <w:r>
        <w:rPr>
          <w:rFonts w:ascii="宋体" w:hAnsi="宋体"/>
          <w:szCs w:val="21"/>
          <w:highlight w:val="none"/>
        </w:rPr>
        <w:t>如经乙方两次维修</w:t>
      </w:r>
      <w:r>
        <w:rPr>
          <w:rFonts w:hint="eastAsia" w:ascii="宋体" w:hAnsi="宋体"/>
          <w:szCs w:val="21"/>
          <w:highlight w:val="none"/>
        </w:rPr>
        <w:t>或更换</w:t>
      </w:r>
      <w:r>
        <w:rPr>
          <w:rFonts w:ascii="宋体" w:hAnsi="宋体"/>
          <w:szCs w:val="21"/>
          <w:highlight w:val="none"/>
        </w:rPr>
        <w:t>，货物仍不能达到合同约定</w:t>
      </w:r>
      <w:r>
        <w:rPr>
          <w:rFonts w:hint="eastAsia" w:ascii="宋体" w:hAnsi="宋体"/>
          <w:szCs w:val="21"/>
          <w:highlight w:val="none"/>
        </w:rPr>
        <w:t>的</w:t>
      </w:r>
      <w:r>
        <w:rPr>
          <w:rFonts w:ascii="宋体" w:hAnsi="宋体"/>
          <w:szCs w:val="21"/>
          <w:highlight w:val="none"/>
        </w:rPr>
        <w:t>质量标准，甲方有权退货，乙方</w:t>
      </w:r>
      <w:r>
        <w:rPr>
          <w:rFonts w:hint="eastAsia" w:ascii="宋体" w:hAnsi="宋体"/>
          <w:szCs w:val="21"/>
          <w:highlight w:val="none"/>
        </w:rPr>
        <w:t>应</w:t>
      </w:r>
      <w:r>
        <w:rPr>
          <w:rFonts w:ascii="宋体" w:hAnsi="宋体"/>
          <w:szCs w:val="21"/>
          <w:highlight w:val="none"/>
        </w:rPr>
        <w:t>退回全部货款</w:t>
      </w:r>
      <w:r>
        <w:rPr>
          <w:rFonts w:hint="eastAsia" w:ascii="宋体" w:hAnsi="宋体"/>
          <w:szCs w:val="21"/>
          <w:highlight w:val="none"/>
        </w:rPr>
        <w:t>。</w:t>
      </w:r>
      <w:r>
        <w:rPr>
          <w:rFonts w:ascii="宋体" w:hAnsi="宋体"/>
          <w:szCs w:val="21"/>
          <w:highlight w:val="none"/>
        </w:rPr>
        <w:t>同时，乙方还须赔偿甲方因此遭受的损失。</w:t>
      </w:r>
    </w:p>
    <w:p w14:paraId="3173FD86">
      <w:pPr>
        <w:widowControl/>
        <w:snapToGrid w:val="0"/>
        <w:spacing w:before="19" w:line="360" w:lineRule="auto"/>
        <w:rPr>
          <w:rFonts w:hint="eastAsia" w:ascii="宋体" w:hAnsi="宋体"/>
          <w:szCs w:val="21"/>
          <w:highlight w:val="none"/>
        </w:rPr>
      </w:pPr>
      <w:r>
        <w:rPr>
          <w:rFonts w:hint="eastAsia" w:ascii="宋体" w:hAnsi="宋体"/>
          <w:szCs w:val="21"/>
          <w:highlight w:val="none"/>
        </w:rPr>
        <w:t>十一、 合同的变更和终止</w:t>
      </w:r>
    </w:p>
    <w:p w14:paraId="49D1D86B">
      <w:pPr>
        <w:widowControl/>
        <w:snapToGrid w:val="0"/>
        <w:spacing w:before="19" w:line="360" w:lineRule="auto"/>
        <w:rPr>
          <w:rFonts w:hint="eastAsia" w:ascii="宋体" w:hAnsi="宋体"/>
          <w:szCs w:val="21"/>
          <w:highlight w:val="none"/>
        </w:rPr>
      </w:pPr>
      <w:r>
        <w:rPr>
          <w:rFonts w:hint="eastAsia" w:ascii="宋体" w:hAnsi="宋体"/>
          <w:szCs w:val="21"/>
          <w:highlight w:val="none"/>
        </w:rPr>
        <w:t>依据《政府采购法》第五十条，本合同一经签订，甲乙双方不得擅自变更、中止或终止合同。</w:t>
      </w:r>
    </w:p>
    <w:p w14:paraId="12685970">
      <w:pPr>
        <w:widowControl/>
        <w:snapToGrid w:val="0"/>
        <w:spacing w:before="19" w:line="360" w:lineRule="auto"/>
        <w:rPr>
          <w:rFonts w:hint="eastAsia" w:ascii="宋体" w:hAnsi="宋体"/>
          <w:szCs w:val="21"/>
          <w:highlight w:val="none"/>
        </w:rPr>
      </w:pPr>
      <w:r>
        <w:rPr>
          <w:rFonts w:hint="eastAsia" w:ascii="宋体" w:hAnsi="宋体"/>
          <w:szCs w:val="21"/>
          <w:highlight w:val="none"/>
        </w:rPr>
        <w:t>十二、合同的转让</w:t>
      </w:r>
    </w:p>
    <w:p w14:paraId="483BEBFD">
      <w:pPr>
        <w:widowControl/>
        <w:snapToGrid w:val="0"/>
        <w:spacing w:before="19" w:line="360" w:lineRule="auto"/>
        <w:rPr>
          <w:rFonts w:hint="eastAsia" w:ascii="宋体" w:hAnsi="宋体"/>
          <w:szCs w:val="21"/>
          <w:highlight w:val="none"/>
        </w:rPr>
      </w:pPr>
      <w:r>
        <w:rPr>
          <w:rFonts w:hint="eastAsia" w:ascii="宋体" w:hAnsi="宋体"/>
          <w:szCs w:val="21"/>
          <w:highlight w:val="none"/>
        </w:rPr>
        <w:t>乙方不得擅自部分或全部转让其应履行的合同义务。</w:t>
      </w:r>
    </w:p>
    <w:p w14:paraId="3DD91BA2">
      <w:pPr>
        <w:widowControl/>
        <w:snapToGrid w:val="0"/>
        <w:spacing w:before="19" w:line="360" w:lineRule="auto"/>
        <w:rPr>
          <w:rFonts w:hint="eastAsia" w:ascii="宋体" w:hAnsi="宋体"/>
          <w:szCs w:val="21"/>
          <w:highlight w:val="none"/>
        </w:rPr>
      </w:pPr>
      <w:r>
        <w:rPr>
          <w:rFonts w:hint="eastAsia" w:ascii="宋体" w:hAnsi="宋体"/>
          <w:szCs w:val="21"/>
          <w:highlight w:val="none"/>
        </w:rPr>
        <w:t>十三、 争议的解决</w:t>
      </w:r>
    </w:p>
    <w:p w14:paraId="4D05DDB5">
      <w:pPr>
        <w:widowControl/>
        <w:snapToGrid w:val="0"/>
        <w:spacing w:before="19" w:line="360" w:lineRule="auto"/>
        <w:rPr>
          <w:rFonts w:hint="eastAsia" w:ascii="宋体" w:hAnsi="宋体"/>
          <w:szCs w:val="21"/>
          <w:highlight w:val="none"/>
        </w:rPr>
      </w:pPr>
      <w:r>
        <w:rPr>
          <w:rFonts w:hint="eastAsia" w:ascii="宋体" w:hAnsi="宋体"/>
          <w:szCs w:val="21"/>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75174A02">
      <w:pPr>
        <w:widowControl/>
        <w:snapToGrid w:val="0"/>
        <w:spacing w:before="19" w:line="360" w:lineRule="auto"/>
        <w:rPr>
          <w:rFonts w:hint="eastAsia" w:ascii="宋体" w:hAnsi="宋体"/>
          <w:szCs w:val="21"/>
          <w:highlight w:val="none"/>
        </w:rPr>
      </w:pPr>
      <w:r>
        <w:rPr>
          <w:rFonts w:hint="eastAsia" w:ascii="宋体" w:hAnsi="宋体"/>
          <w:szCs w:val="21"/>
          <w:highlight w:val="none"/>
        </w:rPr>
        <w:t>2.因履行本合同引起的或与本合同有关的争议，甲、乙双方应首先通过友好协商解决，如果协商不能解决争议，任何一方均可向甲方所在地人民法院起诉解决。</w:t>
      </w:r>
    </w:p>
    <w:p w14:paraId="197F2617">
      <w:pPr>
        <w:widowControl/>
        <w:snapToGrid w:val="0"/>
        <w:spacing w:before="19" w:line="360" w:lineRule="auto"/>
        <w:rPr>
          <w:rFonts w:hint="eastAsia" w:ascii="宋体" w:hAnsi="宋体"/>
          <w:szCs w:val="21"/>
          <w:highlight w:val="none"/>
        </w:rPr>
      </w:pPr>
      <w:r>
        <w:rPr>
          <w:rFonts w:hint="eastAsia" w:ascii="宋体" w:hAnsi="宋体"/>
          <w:szCs w:val="21"/>
          <w:highlight w:val="none"/>
        </w:rPr>
        <w:t>十四、付款前</w:t>
      </w:r>
      <w:r>
        <w:rPr>
          <w:rFonts w:ascii="宋体" w:hAnsi="宋体"/>
          <w:szCs w:val="21"/>
          <w:highlight w:val="none"/>
        </w:rPr>
        <w:t>乙方</w:t>
      </w:r>
      <w:r>
        <w:rPr>
          <w:rFonts w:hint="eastAsia" w:ascii="宋体" w:hAnsi="宋体"/>
          <w:szCs w:val="21"/>
          <w:highlight w:val="none"/>
        </w:rPr>
        <w:t>须提供</w:t>
      </w:r>
      <w:r>
        <w:rPr>
          <w:rFonts w:hint="eastAsia" w:ascii="宋体" w:hAnsi="宋体"/>
          <w:szCs w:val="21"/>
          <w:highlight w:val="none"/>
          <w:u w:val="single"/>
        </w:rPr>
        <w:t>增值税专用发票</w:t>
      </w:r>
      <w:r>
        <w:rPr>
          <w:rFonts w:hint="eastAsia" w:ascii="宋体" w:hAnsi="宋体"/>
          <w:szCs w:val="21"/>
          <w:highlight w:val="none"/>
        </w:rPr>
        <w:t>，总价不变。</w:t>
      </w:r>
    </w:p>
    <w:p w14:paraId="3DE50178">
      <w:pPr>
        <w:widowControl/>
        <w:snapToGrid w:val="0"/>
        <w:spacing w:before="19" w:line="360" w:lineRule="auto"/>
        <w:rPr>
          <w:rFonts w:hint="eastAsia" w:ascii="宋体" w:hAnsi="宋体"/>
          <w:szCs w:val="21"/>
          <w:highlight w:val="none"/>
        </w:rPr>
      </w:pPr>
      <w:r>
        <w:rPr>
          <w:rFonts w:hint="eastAsia" w:ascii="宋体" w:hAnsi="宋体"/>
          <w:szCs w:val="21"/>
          <w:highlight w:val="none"/>
        </w:rPr>
        <w:t>十五、</w:t>
      </w:r>
      <w:r>
        <w:rPr>
          <w:rFonts w:ascii="宋体" w:hAnsi="宋体"/>
          <w:szCs w:val="21"/>
          <w:highlight w:val="none"/>
        </w:rPr>
        <w:t>本合同由甲、乙双方</w:t>
      </w:r>
      <w:r>
        <w:rPr>
          <w:rFonts w:hint="eastAsia" w:ascii="宋体" w:hAnsi="宋体"/>
          <w:szCs w:val="21"/>
          <w:highlight w:val="none"/>
        </w:rPr>
        <w:t>共同</w:t>
      </w:r>
      <w:r>
        <w:rPr>
          <w:rFonts w:ascii="宋体" w:hAnsi="宋体"/>
          <w:szCs w:val="21"/>
          <w:highlight w:val="none"/>
        </w:rPr>
        <w:t>签订，合同一式</w:t>
      </w:r>
      <w:r>
        <w:rPr>
          <w:rFonts w:hint="eastAsia" w:ascii="宋体" w:hAnsi="宋体"/>
          <w:szCs w:val="21"/>
          <w:highlight w:val="none"/>
        </w:rPr>
        <w:t>四</w:t>
      </w:r>
      <w:r>
        <w:rPr>
          <w:rFonts w:ascii="宋体" w:hAnsi="宋体"/>
          <w:szCs w:val="21"/>
          <w:highlight w:val="none"/>
        </w:rPr>
        <w:t>份，甲</w:t>
      </w:r>
      <w:r>
        <w:rPr>
          <w:rFonts w:hint="eastAsia" w:ascii="宋体" w:hAnsi="宋体"/>
          <w:szCs w:val="21"/>
          <w:highlight w:val="none"/>
        </w:rPr>
        <w:t>方叁</w:t>
      </w:r>
      <w:r>
        <w:rPr>
          <w:rFonts w:ascii="宋体" w:hAnsi="宋体"/>
          <w:szCs w:val="21"/>
          <w:highlight w:val="none"/>
        </w:rPr>
        <w:t>份、乙</w:t>
      </w:r>
      <w:r>
        <w:rPr>
          <w:rFonts w:hint="eastAsia" w:ascii="宋体" w:hAnsi="宋体"/>
          <w:szCs w:val="21"/>
          <w:highlight w:val="none"/>
        </w:rPr>
        <w:t>方壹</w:t>
      </w:r>
      <w:r>
        <w:rPr>
          <w:rFonts w:ascii="宋体" w:hAnsi="宋体"/>
          <w:szCs w:val="21"/>
          <w:highlight w:val="none"/>
        </w:rPr>
        <w:t>份。</w:t>
      </w:r>
      <w:r>
        <w:rPr>
          <w:rFonts w:hint="eastAsia" w:ascii="宋体" w:hAnsi="宋体"/>
          <w:szCs w:val="21"/>
          <w:highlight w:val="none"/>
        </w:rPr>
        <w:t>自双方签字、盖章之日起生效。</w:t>
      </w:r>
    </w:p>
    <w:p w14:paraId="15762C84">
      <w:pPr>
        <w:widowControl/>
        <w:snapToGrid w:val="0"/>
        <w:spacing w:before="19" w:line="360" w:lineRule="auto"/>
        <w:ind w:firstLine="420" w:firstLineChars="200"/>
        <w:rPr>
          <w:rFonts w:hint="eastAsia" w:ascii="宋体" w:hAnsi="宋体"/>
          <w:szCs w:val="21"/>
          <w:highlight w:val="none"/>
        </w:rPr>
      </w:pPr>
      <w:r>
        <w:rPr>
          <w:rFonts w:hint="eastAsia" w:ascii="宋体" w:hAnsi="宋体"/>
          <w:szCs w:val="21"/>
          <w:highlight w:val="none"/>
        </w:rPr>
        <w:t>甲方                                               乙方</w:t>
      </w:r>
    </w:p>
    <w:p w14:paraId="71968836">
      <w:pPr>
        <w:widowControl/>
        <w:snapToGrid w:val="0"/>
        <w:spacing w:before="19" w:line="360" w:lineRule="auto"/>
        <w:ind w:firstLine="420" w:firstLineChars="200"/>
        <w:rPr>
          <w:rFonts w:hint="eastAsia" w:ascii="宋体" w:hAnsi="宋体"/>
          <w:szCs w:val="21"/>
          <w:highlight w:val="none"/>
        </w:rPr>
      </w:pPr>
      <w:r>
        <w:rPr>
          <w:rFonts w:hint="eastAsia" w:ascii="宋体" w:hAnsi="宋体"/>
          <w:szCs w:val="21"/>
          <w:highlight w:val="none"/>
        </w:rPr>
        <w:t>单位名称：南京邮电大学                             单位名称：</w:t>
      </w:r>
    </w:p>
    <w:p w14:paraId="36F46BAA">
      <w:pPr>
        <w:widowControl/>
        <w:snapToGrid w:val="0"/>
        <w:spacing w:before="19" w:line="360" w:lineRule="auto"/>
        <w:ind w:firstLine="420" w:firstLineChars="200"/>
        <w:rPr>
          <w:rFonts w:hint="eastAsia" w:ascii="宋体" w:hAnsi="宋体"/>
          <w:szCs w:val="21"/>
          <w:highlight w:val="none"/>
        </w:rPr>
      </w:pPr>
      <w:r>
        <w:rPr>
          <w:rFonts w:hint="eastAsia" w:ascii="宋体" w:hAnsi="宋体"/>
          <w:szCs w:val="21"/>
          <w:highlight w:val="none"/>
        </w:rPr>
        <w:t>单位地址：                                         单位地址：</w:t>
      </w:r>
    </w:p>
    <w:p w14:paraId="59D32FE6">
      <w:pPr>
        <w:widowControl/>
        <w:snapToGrid w:val="0"/>
        <w:spacing w:before="19" w:line="360" w:lineRule="auto"/>
        <w:ind w:firstLine="140" w:firstLineChars="67"/>
        <w:rPr>
          <w:rFonts w:hint="eastAsia" w:ascii="宋体" w:hAnsi="宋体"/>
          <w:szCs w:val="21"/>
          <w:highlight w:val="none"/>
        </w:rPr>
      </w:pPr>
      <w:r>
        <w:rPr>
          <w:rFonts w:hint="eastAsia" w:ascii="宋体" w:hAnsi="宋体"/>
          <w:szCs w:val="21"/>
          <w:highlight w:val="none"/>
        </w:rPr>
        <w:t>法定代表人：                                           法定代表人：</w:t>
      </w:r>
    </w:p>
    <w:p w14:paraId="15E16DEA">
      <w:pPr>
        <w:widowControl/>
        <w:snapToGrid w:val="0"/>
        <w:spacing w:before="19" w:line="360" w:lineRule="auto"/>
        <w:ind w:firstLine="140" w:firstLineChars="67"/>
        <w:rPr>
          <w:rFonts w:hint="eastAsia" w:ascii="宋体" w:hAnsi="宋体"/>
          <w:szCs w:val="21"/>
          <w:highlight w:val="none"/>
        </w:rPr>
      </w:pPr>
      <w:r>
        <w:rPr>
          <w:rFonts w:hint="eastAsia" w:ascii="宋体" w:hAnsi="宋体"/>
          <w:szCs w:val="21"/>
          <w:highlight w:val="none"/>
        </w:rPr>
        <w:t>委托代理人（签字）：                                   委托代理人（签字）：</w:t>
      </w:r>
    </w:p>
    <w:p w14:paraId="044257F1">
      <w:pPr>
        <w:widowControl/>
        <w:snapToGrid w:val="0"/>
        <w:spacing w:before="19" w:line="360" w:lineRule="auto"/>
        <w:ind w:firstLine="140" w:firstLineChars="67"/>
        <w:rPr>
          <w:rFonts w:hint="eastAsia" w:ascii="宋体" w:hAnsi="宋体"/>
          <w:szCs w:val="21"/>
          <w:highlight w:val="none"/>
        </w:rPr>
      </w:pPr>
      <w:r>
        <w:rPr>
          <w:rFonts w:hint="eastAsia" w:ascii="宋体" w:hAnsi="宋体"/>
          <w:szCs w:val="21"/>
          <w:highlight w:val="none"/>
        </w:rPr>
        <w:t xml:space="preserve">联系电话：                                             联系电话：                                            </w:t>
      </w:r>
    </w:p>
    <w:p w14:paraId="0034794B">
      <w:pPr>
        <w:widowControl/>
        <w:snapToGrid w:val="0"/>
        <w:spacing w:before="19" w:line="360" w:lineRule="auto"/>
        <w:ind w:firstLine="140" w:firstLineChars="67"/>
        <w:rPr>
          <w:rFonts w:hint="eastAsia" w:ascii="宋体" w:hAnsi="宋体"/>
          <w:szCs w:val="21"/>
          <w:highlight w:val="none"/>
        </w:rPr>
      </w:pPr>
      <w:r>
        <w:rPr>
          <w:rFonts w:hint="eastAsia" w:ascii="宋体" w:hAnsi="宋体"/>
          <w:szCs w:val="21"/>
          <w:highlight w:val="none"/>
        </w:rPr>
        <w:t xml:space="preserve">开户银行：                                             开户银行： </w:t>
      </w:r>
    </w:p>
    <w:p w14:paraId="781DE352">
      <w:pPr>
        <w:widowControl/>
        <w:snapToGrid w:val="0"/>
        <w:spacing w:before="19" w:line="360" w:lineRule="auto"/>
        <w:ind w:firstLine="140" w:firstLineChars="67"/>
        <w:rPr>
          <w:rFonts w:hint="eastAsia" w:ascii="宋体" w:hAnsi="宋体"/>
          <w:szCs w:val="21"/>
          <w:highlight w:val="none"/>
        </w:rPr>
      </w:pPr>
      <w:r>
        <w:rPr>
          <w:rFonts w:hint="eastAsia" w:ascii="宋体" w:hAnsi="宋体"/>
          <w:szCs w:val="21"/>
          <w:highlight w:val="none"/>
        </w:rPr>
        <w:t xml:space="preserve">户名： 南京邮电大学                                    户名： </w:t>
      </w:r>
    </w:p>
    <w:p w14:paraId="2DA6C005">
      <w:pPr>
        <w:widowControl/>
        <w:snapToGrid w:val="0"/>
        <w:spacing w:before="19" w:line="360" w:lineRule="auto"/>
        <w:ind w:firstLine="420" w:firstLineChars="200"/>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账号： </w:t>
      </w:r>
    </w:p>
    <w:p w14:paraId="71215203">
      <w:pPr>
        <w:widowControl/>
        <w:snapToGrid w:val="0"/>
        <w:spacing w:before="19" w:line="360" w:lineRule="auto"/>
        <w:ind w:firstLine="420" w:firstLineChars="200"/>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行号：  </w:t>
      </w:r>
    </w:p>
    <w:p w14:paraId="265420E5">
      <w:pPr>
        <w:widowControl/>
        <w:snapToGrid w:val="0"/>
        <w:spacing w:before="19" w:line="360" w:lineRule="auto"/>
        <w:ind w:firstLine="140" w:firstLineChars="67"/>
        <w:rPr>
          <w:rFonts w:hint="eastAsia" w:ascii="宋体" w:hAnsi="宋体"/>
          <w:szCs w:val="21"/>
          <w:highlight w:val="none"/>
        </w:rPr>
      </w:pPr>
      <w:r>
        <w:rPr>
          <w:rFonts w:hint="eastAsia" w:ascii="宋体" w:hAnsi="宋体"/>
          <w:szCs w:val="21"/>
          <w:highlight w:val="none"/>
        </w:rPr>
        <w:t>地址、电话：南京市栖霞区文苑路9 号　025-</w:t>
      </w:r>
      <w:r>
        <w:rPr>
          <w:rFonts w:ascii="宋体" w:hAnsi="宋体"/>
          <w:szCs w:val="21"/>
          <w:highlight w:val="none"/>
        </w:rPr>
        <w:t>85866388</w:t>
      </w:r>
      <w:r>
        <w:rPr>
          <w:rFonts w:hint="eastAsia" w:ascii="宋体" w:hAnsi="宋体"/>
          <w:szCs w:val="21"/>
          <w:highlight w:val="none"/>
        </w:rPr>
        <w:t xml:space="preserve">      项目联系人：</w:t>
      </w:r>
    </w:p>
    <w:p w14:paraId="047EC8F0">
      <w:pPr>
        <w:widowControl/>
        <w:snapToGrid w:val="0"/>
        <w:spacing w:before="19" w:line="360" w:lineRule="auto"/>
        <w:ind w:firstLine="140" w:firstLineChars="67"/>
        <w:rPr>
          <w:rFonts w:hint="eastAsia" w:ascii="宋体" w:hAnsi="宋体"/>
          <w:szCs w:val="21"/>
          <w:highlight w:val="none"/>
        </w:rPr>
      </w:pPr>
      <w:r>
        <w:rPr>
          <w:rFonts w:hint="eastAsia" w:ascii="宋体" w:hAnsi="宋体"/>
          <w:szCs w:val="21"/>
          <w:highlight w:val="none"/>
        </w:rPr>
        <w:t>签约日期（即合同生效日期）：    年     月     日       联系电话：</w:t>
      </w:r>
    </w:p>
    <w:p w14:paraId="0EEF4734">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0C8B4938">
      <w:pPr>
        <w:pStyle w:val="265"/>
        <w:rPr>
          <w:rFonts w:hint="eastAsia" w:ascii="宋体" w:hAnsi="宋体"/>
          <w:b/>
          <w:color w:val="000000" w:themeColor="text1"/>
          <w:sz w:val="72"/>
          <w:highlight w:val="none"/>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  响应文件格式及附件</w:t>
      </w:r>
    </w:p>
    <w:p w14:paraId="5684AD14">
      <w:pPr>
        <w:spacing w:line="360" w:lineRule="auto"/>
        <w:jc w:val="center"/>
        <w:rPr>
          <w:rFonts w:hint="eastAsia"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14:paraId="3AF0B9E6">
      <w:pPr>
        <w:spacing w:line="360" w:lineRule="auto"/>
        <w:ind w:firstLine="2472" w:firstLineChars="1026"/>
        <w:rPr>
          <w:rFonts w:hint="eastAsia" w:ascii="宋体" w:hAnsi="宋体"/>
          <w:b/>
          <w:color w:val="000000" w:themeColor="text1"/>
          <w:sz w:val="24"/>
          <w:highlight w:val="none"/>
          <w14:textFill>
            <w14:solidFill>
              <w14:schemeClr w14:val="tx1"/>
            </w14:solidFill>
          </w14:textFill>
        </w:rPr>
      </w:pPr>
    </w:p>
    <w:p w14:paraId="40187A08">
      <w:pPr>
        <w:spacing w:line="360" w:lineRule="auto"/>
        <w:jc w:val="center"/>
        <w:rPr>
          <w:rFonts w:hint="eastAsia" w:ascii="宋体" w:hAnsi="宋体"/>
          <w:b/>
          <w:color w:val="000000" w:themeColor="text1"/>
          <w:sz w:val="24"/>
          <w:highlight w:val="none"/>
          <w14:textFill>
            <w14:solidFill>
              <w14:schemeClr w14:val="tx1"/>
            </w14:solidFill>
          </w14:textFill>
        </w:rPr>
      </w:pPr>
    </w:p>
    <w:p w14:paraId="060E57B5">
      <w:pPr>
        <w:spacing w:line="360" w:lineRule="auto"/>
        <w:jc w:val="center"/>
        <w:rPr>
          <w:rFonts w:hint="eastAsia" w:ascii="宋体" w:hAnsi="宋体"/>
          <w:b/>
          <w:color w:val="000000" w:themeColor="text1"/>
          <w:sz w:val="24"/>
          <w:highlight w:val="none"/>
          <w14:textFill>
            <w14:solidFill>
              <w14:schemeClr w14:val="tx1"/>
            </w14:solidFill>
          </w14:textFill>
        </w:rPr>
      </w:pPr>
    </w:p>
    <w:p w14:paraId="6F476336">
      <w:pPr>
        <w:spacing w:before="480" w:beforeLines="200" w:line="360" w:lineRule="auto"/>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14:paraId="20B6121E">
      <w:pPr>
        <w:spacing w:line="360" w:lineRule="auto"/>
        <w:jc w:val="center"/>
        <w:rPr>
          <w:rFonts w:hint="eastAsia" w:ascii="宋体" w:hAnsi="宋体"/>
          <w:b/>
          <w:color w:val="000000" w:themeColor="text1"/>
          <w:sz w:val="24"/>
          <w:highlight w:val="none"/>
          <w14:textFill>
            <w14:solidFill>
              <w14:schemeClr w14:val="tx1"/>
            </w14:solidFill>
          </w14:textFill>
        </w:rPr>
      </w:pPr>
    </w:p>
    <w:p w14:paraId="03E1DA59">
      <w:pPr>
        <w:spacing w:line="360" w:lineRule="auto"/>
        <w:rPr>
          <w:rFonts w:hint="eastAsia" w:ascii="宋体" w:hAnsi="宋体"/>
          <w:b/>
          <w:color w:val="000000" w:themeColor="text1"/>
          <w:sz w:val="24"/>
          <w:highlight w:val="none"/>
          <w14:textFill>
            <w14:solidFill>
              <w14:schemeClr w14:val="tx1"/>
            </w14:solidFill>
          </w14:textFill>
        </w:rPr>
      </w:pPr>
    </w:p>
    <w:p w14:paraId="0A824CD2">
      <w:pPr>
        <w:spacing w:line="360" w:lineRule="auto"/>
        <w:jc w:val="center"/>
        <w:rPr>
          <w:rFonts w:hint="eastAsia" w:ascii="宋体" w:hAnsi="宋体"/>
          <w:b/>
          <w:color w:val="000000" w:themeColor="text1"/>
          <w:sz w:val="24"/>
          <w:highlight w:val="none"/>
          <w14:textFill>
            <w14:solidFill>
              <w14:schemeClr w14:val="tx1"/>
            </w14:solidFill>
          </w14:textFill>
        </w:rPr>
      </w:pPr>
    </w:p>
    <w:p w14:paraId="43C9C884">
      <w:pPr>
        <w:spacing w:line="360" w:lineRule="auto"/>
        <w:rPr>
          <w:rFonts w:hint="eastAsia" w:ascii="宋体" w:hAnsi="宋体"/>
          <w:b/>
          <w:color w:val="000000" w:themeColor="text1"/>
          <w:sz w:val="24"/>
          <w:highlight w:val="none"/>
          <w14:textFill>
            <w14:solidFill>
              <w14:schemeClr w14:val="tx1"/>
            </w14:solidFill>
          </w14:textFill>
        </w:rPr>
      </w:pPr>
    </w:p>
    <w:p w14:paraId="2F1E3A95">
      <w:pPr>
        <w:spacing w:line="360" w:lineRule="auto"/>
        <w:jc w:val="center"/>
        <w:rPr>
          <w:rFonts w:hint="eastAsia" w:ascii="宋体" w:hAnsi="宋体"/>
          <w:b/>
          <w:color w:val="000000" w:themeColor="text1"/>
          <w:sz w:val="24"/>
          <w:highlight w:val="none"/>
          <w14:textFill>
            <w14:solidFill>
              <w14:schemeClr w14:val="tx1"/>
            </w14:solidFill>
          </w14:textFill>
        </w:rPr>
      </w:pPr>
    </w:p>
    <w:p w14:paraId="35BA3CAC">
      <w:pPr>
        <w:pStyle w:val="257"/>
        <w:ind w:firstLine="0"/>
        <w:jc w:val="center"/>
        <w:rPr>
          <w:rFonts w:hint="eastAsia"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项目编号：</w:t>
      </w:r>
      <w:r>
        <w:rPr>
          <w:rFonts w:asciiTheme="majorEastAsia" w:hAnsiTheme="majorEastAsia" w:eastAsiaTheme="majorEastAsia"/>
          <w:b/>
          <w:sz w:val="36"/>
          <w:szCs w:val="36"/>
          <w:highlight w:val="none"/>
        </w:rPr>
        <w:t>XXXXX</w:t>
      </w:r>
    </w:p>
    <w:p w14:paraId="44B66475">
      <w:pPr>
        <w:spacing w:line="360" w:lineRule="auto"/>
        <w:ind w:firstLine="843" w:firstLineChars="300"/>
        <w:rPr>
          <w:rFonts w:hint="eastAsia" w:ascii="宋体" w:hAnsi="宋体"/>
          <w:b/>
          <w:color w:val="000000" w:themeColor="text1"/>
          <w:sz w:val="28"/>
          <w:szCs w:val="28"/>
          <w:highlight w:val="none"/>
          <w14:textFill>
            <w14:solidFill>
              <w14:schemeClr w14:val="tx1"/>
            </w14:solidFill>
          </w14:textFill>
        </w:rPr>
      </w:pPr>
    </w:p>
    <w:p w14:paraId="2438AB68">
      <w:pPr>
        <w:pStyle w:val="257"/>
        <w:ind w:firstLine="0"/>
        <w:jc w:val="center"/>
        <w:rPr>
          <w:rFonts w:hint="eastAsia"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项目名称：</w:t>
      </w:r>
      <w:r>
        <w:rPr>
          <w:rFonts w:asciiTheme="majorEastAsia" w:hAnsiTheme="majorEastAsia" w:eastAsiaTheme="majorEastAsia"/>
          <w:b/>
          <w:sz w:val="36"/>
          <w:szCs w:val="36"/>
          <w:highlight w:val="none"/>
        </w:rPr>
        <w:t>XXXXX</w:t>
      </w:r>
    </w:p>
    <w:p w14:paraId="2D147286">
      <w:pPr>
        <w:spacing w:line="360" w:lineRule="auto"/>
        <w:ind w:firstLine="843" w:firstLineChars="300"/>
        <w:rPr>
          <w:rFonts w:hint="eastAsia" w:ascii="宋体" w:hAnsi="宋体"/>
          <w:b/>
          <w:color w:val="000000" w:themeColor="text1"/>
          <w:sz w:val="28"/>
          <w:szCs w:val="28"/>
          <w:highlight w:val="none"/>
          <w:u w:val="single"/>
          <w14:textFill>
            <w14:solidFill>
              <w14:schemeClr w14:val="tx1"/>
            </w14:solidFill>
          </w14:textFill>
        </w:rPr>
      </w:pPr>
    </w:p>
    <w:p w14:paraId="047A4BEF">
      <w:pPr>
        <w:spacing w:line="360" w:lineRule="auto"/>
        <w:rPr>
          <w:rFonts w:hint="eastAsia" w:ascii="宋体" w:hAnsi="宋体"/>
          <w:b/>
          <w:color w:val="000000" w:themeColor="text1"/>
          <w:sz w:val="28"/>
          <w:szCs w:val="28"/>
          <w:highlight w:val="none"/>
          <w14:textFill>
            <w14:solidFill>
              <w14:schemeClr w14:val="tx1"/>
            </w14:solidFill>
          </w14:textFill>
        </w:rPr>
      </w:pPr>
    </w:p>
    <w:p w14:paraId="62BFCDB7">
      <w:pPr>
        <w:spacing w:line="360" w:lineRule="auto"/>
        <w:rPr>
          <w:rFonts w:hint="eastAsia" w:ascii="宋体" w:hAnsi="宋体"/>
          <w:b/>
          <w:color w:val="000000" w:themeColor="text1"/>
          <w:sz w:val="28"/>
          <w:szCs w:val="28"/>
          <w:highlight w:val="none"/>
          <w14:textFill>
            <w14:solidFill>
              <w14:schemeClr w14:val="tx1"/>
            </w14:solidFill>
          </w14:textFill>
        </w:rPr>
      </w:pPr>
    </w:p>
    <w:p w14:paraId="7343C0AA">
      <w:pPr>
        <w:spacing w:line="360" w:lineRule="auto"/>
        <w:rPr>
          <w:rFonts w:hint="eastAsia" w:ascii="宋体" w:hAnsi="宋体"/>
          <w:b/>
          <w:color w:val="000000" w:themeColor="text1"/>
          <w:sz w:val="28"/>
          <w:szCs w:val="28"/>
          <w:highlight w:val="none"/>
          <w14:textFill>
            <w14:solidFill>
              <w14:schemeClr w14:val="tx1"/>
            </w14:solidFill>
          </w14:textFill>
        </w:rPr>
      </w:pPr>
    </w:p>
    <w:p w14:paraId="09433C23">
      <w:pPr>
        <w:spacing w:line="360" w:lineRule="auto"/>
        <w:rPr>
          <w:rFonts w:hint="eastAsia" w:ascii="宋体" w:hAnsi="宋体"/>
          <w:b/>
          <w:color w:val="000000" w:themeColor="text1"/>
          <w:sz w:val="28"/>
          <w:szCs w:val="28"/>
          <w:highlight w:val="none"/>
          <w14:textFill>
            <w14:solidFill>
              <w14:schemeClr w14:val="tx1"/>
            </w14:solidFill>
          </w14:textFill>
        </w:rPr>
      </w:pPr>
    </w:p>
    <w:p w14:paraId="7366C049">
      <w:pPr>
        <w:spacing w:line="360" w:lineRule="auto"/>
        <w:rPr>
          <w:rFonts w:hint="eastAsia" w:ascii="宋体" w:hAnsi="宋体"/>
          <w:b/>
          <w:color w:val="000000" w:themeColor="text1"/>
          <w:sz w:val="28"/>
          <w:szCs w:val="28"/>
          <w:highlight w:val="none"/>
          <w14:textFill>
            <w14:solidFill>
              <w14:schemeClr w14:val="tx1"/>
            </w14:solidFill>
          </w14:textFill>
        </w:rPr>
      </w:pPr>
    </w:p>
    <w:p w14:paraId="47EBABDA">
      <w:pPr>
        <w:spacing w:line="360" w:lineRule="auto"/>
        <w:rPr>
          <w:rFonts w:hint="eastAsia" w:ascii="宋体" w:hAnsi="宋体"/>
          <w:b/>
          <w:color w:val="000000" w:themeColor="text1"/>
          <w:sz w:val="28"/>
          <w:szCs w:val="28"/>
          <w:highlight w:val="none"/>
          <w14:textFill>
            <w14:solidFill>
              <w14:schemeClr w14:val="tx1"/>
            </w14:solidFill>
          </w14:textFill>
        </w:rPr>
      </w:pPr>
    </w:p>
    <w:p w14:paraId="372CA370">
      <w:pP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r>
        <w:rPr>
          <w:rFonts w:asciiTheme="majorEastAsia" w:hAnsiTheme="majorEastAsia" w:eastAsiaTheme="majorEastAsia"/>
          <w:b/>
          <w:sz w:val="30"/>
          <w:szCs w:val="30"/>
          <w:highlight w:val="none"/>
        </w:rPr>
        <w:t>XXXXXXXX</w:t>
      </w:r>
    </w:p>
    <w:p w14:paraId="4686BFFA">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r>
        <w:rPr>
          <w:rFonts w:asciiTheme="majorEastAsia" w:hAnsiTheme="majorEastAsia" w:eastAsiaTheme="majorEastAsia"/>
          <w:b/>
          <w:sz w:val="30"/>
          <w:szCs w:val="30"/>
          <w:highlight w:val="none"/>
        </w:rPr>
        <w:t>XXXXXXXX</w:t>
      </w:r>
    </w:p>
    <w:p w14:paraId="3A7FADD1">
      <w:pPr>
        <w:spacing w:line="360" w:lineRule="auto"/>
        <w:rPr>
          <w:rFonts w:hint="eastAsia"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3" w:name="_Toc405408732"/>
      <w:r>
        <w:rPr>
          <w:rFonts w:hint="eastAsia" w:ascii="宋体" w:hAnsi="宋体"/>
          <w:b/>
          <w:color w:val="000000" w:themeColor="text1"/>
          <w:sz w:val="30"/>
          <w:szCs w:val="30"/>
          <w:highlight w:val="none"/>
          <w14:textFill>
            <w14:solidFill>
              <w14:schemeClr w14:val="tx1"/>
            </w14:solidFill>
          </w14:textFill>
        </w:rPr>
        <w:t>评分索引表</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3E125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F3BF627">
            <w:pPr>
              <w:spacing w:line="360" w:lineRule="auto"/>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评分项目</w:t>
            </w:r>
          </w:p>
        </w:tc>
        <w:tc>
          <w:tcPr>
            <w:tcW w:w="1783" w:type="pct"/>
          </w:tcPr>
          <w:p w14:paraId="4A5F1E18">
            <w:pPr>
              <w:spacing w:line="360" w:lineRule="auto"/>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在响应文件中的页码位置</w:t>
            </w:r>
          </w:p>
        </w:tc>
      </w:tr>
      <w:tr w14:paraId="26BF5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607D5BE3">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443B01C2">
            <w:pPr>
              <w:spacing w:line="360" w:lineRule="auto"/>
              <w:rPr>
                <w:rFonts w:hint="eastAsia" w:ascii="宋体" w:hAnsi="宋体"/>
                <w:b/>
                <w:color w:val="000000" w:themeColor="text1"/>
                <w:highlight w:val="none"/>
                <w14:textFill>
                  <w14:solidFill>
                    <w14:schemeClr w14:val="tx1"/>
                  </w14:solidFill>
                </w14:textFill>
              </w:rPr>
            </w:pPr>
          </w:p>
        </w:tc>
      </w:tr>
      <w:tr w14:paraId="78645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15946145">
            <w:pPr>
              <w:spacing w:line="360" w:lineRule="auto"/>
              <w:rPr>
                <w:rFonts w:hint="eastAsia" w:ascii="宋体" w:hAnsi="宋体"/>
                <w:b/>
                <w:color w:val="000000" w:themeColor="text1"/>
                <w:highlight w:val="none"/>
                <w14:textFill>
                  <w14:solidFill>
                    <w14:schemeClr w14:val="tx1"/>
                  </w14:solidFill>
                </w14:textFill>
              </w:rPr>
            </w:pPr>
          </w:p>
        </w:tc>
      </w:tr>
      <w:tr w14:paraId="690A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3C30191D">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1C4047AD">
            <w:pPr>
              <w:spacing w:line="360" w:lineRule="auto"/>
              <w:rPr>
                <w:rFonts w:hint="eastAsia" w:ascii="宋体" w:hAnsi="宋体"/>
                <w:b/>
                <w:color w:val="000000" w:themeColor="text1"/>
                <w:highlight w:val="none"/>
                <w14:textFill>
                  <w14:solidFill>
                    <w14:schemeClr w14:val="tx1"/>
                  </w14:solidFill>
                </w14:textFill>
              </w:rPr>
            </w:pPr>
          </w:p>
        </w:tc>
      </w:tr>
      <w:tr w14:paraId="4409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52B81ED0">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7C82E148">
            <w:pPr>
              <w:spacing w:line="360" w:lineRule="auto"/>
              <w:rPr>
                <w:rFonts w:hint="eastAsia" w:ascii="宋体" w:hAnsi="宋体"/>
                <w:b/>
                <w:color w:val="000000" w:themeColor="text1"/>
                <w:highlight w:val="none"/>
                <w14:textFill>
                  <w14:solidFill>
                    <w14:schemeClr w14:val="tx1"/>
                  </w14:solidFill>
                </w14:textFill>
              </w:rPr>
            </w:pPr>
          </w:p>
        </w:tc>
      </w:tr>
      <w:tr w14:paraId="2BC1C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E219495">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294DE11C">
            <w:pPr>
              <w:spacing w:line="360" w:lineRule="auto"/>
              <w:rPr>
                <w:rFonts w:hint="eastAsia" w:ascii="宋体" w:hAnsi="宋体"/>
                <w:b/>
                <w:color w:val="000000" w:themeColor="text1"/>
                <w:highlight w:val="none"/>
                <w14:textFill>
                  <w14:solidFill>
                    <w14:schemeClr w14:val="tx1"/>
                  </w14:solidFill>
                </w14:textFill>
              </w:rPr>
            </w:pPr>
          </w:p>
        </w:tc>
      </w:tr>
      <w:tr w14:paraId="5CF4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3D08F32">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331237D3">
            <w:pPr>
              <w:spacing w:line="360" w:lineRule="auto"/>
              <w:rPr>
                <w:rFonts w:hint="eastAsia" w:ascii="宋体" w:hAnsi="宋体"/>
                <w:b/>
                <w:color w:val="000000" w:themeColor="text1"/>
                <w:highlight w:val="none"/>
                <w14:textFill>
                  <w14:solidFill>
                    <w14:schemeClr w14:val="tx1"/>
                  </w14:solidFill>
                </w14:textFill>
              </w:rPr>
            </w:pPr>
          </w:p>
        </w:tc>
      </w:tr>
      <w:tr w14:paraId="06399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24E649A7">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31A446B6">
            <w:pPr>
              <w:spacing w:line="360" w:lineRule="auto"/>
              <w:rPr>
                <w:rFonts w:hint="eastAsia" w:ascii="宋体" w:hAnsi="宋体"/>
                <w:b/>
                <w:color w:val="000000" w:themeColor="text1"/>
                <w:highlight w:val="none"/>
                <w14:textFill>
                  <w14:solidFill>
                    <w14:schemeClr w14:val="tx1"/>
                  </w14:solidFill>
                </w14:textFill>
              </w:rPr>
            </w:pPr>
          </w:p>
        </w:tc>
      </w:tr>
      <w:tr w14:paraId="3452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69CB38E1">
            <w:pPr>
              <w:spacing w:line="360" w:lineRule="auto"/>
              <w:rPr>
                <w:rFonts w:hint="eastAsia" w:ascii="宋体" w:hAnsi="宋体"/>
                <w:b/>
                <w:color w:val="000000" w:themeColor="text1"/>
                <w:highlight w:val="none"/>
                <w14:textFill>
                  <w14:solidFill>
                    <w14:schemeClr w14:val="tx1"/>
                  </w14:solidFill>
                </w14:textFill>
              </w:rPr>
            </w:pPr>
          </w:p>
        </w:tc>
      </w:tr>
      <w:tr w14:paraId="51941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4968B72C">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5147FBCF">
            <w:pPr>
              <w:spacing w:line="360" w:lineRule="auto"/>
              <w:rPr>
                <w:rFonts w:hint="eastAsia" w:ascii="宋体" w:hAnsi="宋体"/>
                <w:b/>
                <w:color w:val="000000" w:themeColor="text1"/>
                <w:highlight w:val="none"/>
                <w14:textFill>
                  <w14:solidFill>
                    <w14:schemeClr w14:val="tx1"/>
                  </w14:solidFill>
                </w14:textFill>
              </w:rPr>
            </w:pPr>
          </w:p>
        </w:tc>
      </w:tr>
      <w:tr w14:paraId="65DD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3894FFAD">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47215C46">
            <w:pPr>
              <w:spacing w:line="360" w:lineRule="auto"/>
              <w:rPr>
                <w:rFonts w:hint="eastAsia" w:ascii="宋体" w:hAnsi="宋体"/>
                <w:b/>
                <w:color w:val="000000" w:themeColor="text1"/>
                <w:highlight w:val="none"/>
                <w14:textFill>
                  <w14:solidFill>
                    <w14:schemeClr w14:val="tx1"/>
                  </w14:solidFill>
                </w14:textFill>
              </w:rPr>
            </w:pPr>
          </w:p>
        </w:tc>
      </w:tr>
      <w:tr w14:paraId="0FAAD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092B6DA3">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6219B7BE">
            <w:pPr>
              <w:spacing w:line="360" w:lineRule="auto"/>
              <w:rPr>
                <w:rFonts w:hint="eastAsia" w:ascii="宋体" w:hAnsi="宋体"/>
                <w:b/>
                <w:color w:val="000000" w:themeColor="text1"/>
                <w:highlight w:val="none"/>
                <w14:textFill>
                  <w14:solidFill>
                    <w14:schemeClr w14:val="tx1"/>
                  </w14:solidFill>
                </w14:textFill>
              </w:rPr>
            </w:pPr>
          </w:p>
        </w:tc>
      </w:tr>
      <w:tr w14:paraId="0B553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270744B1">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5CE2FEC9">
            <w:pPr>
              <w:spacing w:line="360" w:lineRule="auto"/>
              <w:rPr>
                <w:rFonts w:hint="eastAsia" w:ascii="宋体" w:hAnsi="宋体"/>
                <w:b/>
                <w:color w:val="000000" w:themeColor="text1"/>
                <w:highlight w:val="none"/>
                <w14:textFill>
                  <w14:solidFill>
                    <w14:schemeClr w14:val="tx1"/>
                  </w14:solidFill>
                </w14:textFill>
              </w:rPr>
            </w:pPr>
          </w:p>
        </w:tc>
      </w:tr>
      <w:tr w14:paraId="6842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60760E4C">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2C0F7684">
            <w:pPr>
              <w:spacing w:line="360" w:lineRule="auto"/>
              <w:rPr>
                <w:rFonts w:hint="eastAsia" w:ascii="宋体" w:hAnsi="宋体"/>
                <w:b/>
                <w:color w:val="000000" w:themeColor="text1"/>
                <w:highlight w:val="none"/>
                <w14:textFill>
                  <w14:solidFill>
                    <w14:schemeClr w14:val="tx1"/>
                  </w14:solidFill>
                </w14:textFill>
              </w:rPr>
            </w:pPr>
          </w:p>
        </w:tc>
      </w:tr>
      <w:tr w14:paraId="5EF7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58FF8DFF">
            <w:pPr>
              <w:spacing w:line="360" w:lineRule="auto"/>
              <w:rPr>
                <w:rFonts w:hint="eastAsia" w:ascii="宋体" w:hAnsi="宋体"/>
                <w:b/>
                <w:color w:val="000000" w:themeColor="text1"/>
                <w:highlight w:val="none"/>
                <w14:textFill>
                  <w14:solidFill>
                    <w14:schemeClr w14:val="tx1"/>
                  </w14:solidFill>
                </w14:textFill>
              </w:rPr>
            </w:pPr>
          </w:p>
        </w:tc>
      </w:tr>
      <w:tr w14:paraId="6DCDE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51546D46">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2EF0FAAF">
            <w:pPr>
              <w:spacing w:line="360" w:lineRule="auto"/>
              <w:rPr>
                <w:rFonts w:hint="eastAsia" w:ascii="宋体" w:hAnsi="宋体"/>
                <w:b/>
                <w:color w:val="000000" w:themeColor="text1"/>
                <w:highlight w:val="none"/>
                <w14:textFill>
                  <w14:solidFill>
                    <w14:schemeClr w14:val="tx1"/>
                  </w14:solidFill>
                </w14:textFill>
              </w:rPr>
            </w:pPr>
          </w:p>
        </w:tc>
      </w:tr>
      <w:tr w14:paraId="2029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0F1AA2DB">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0BE66123">
            <w:pPr>
              <w:spacing w:line="360" w:lineRule="auto"/>
              <w:rPr>
                <w:rFonts w:hint="eastAsia" w:ascii="宋体" w:hAnsi="宋体"/>
                <w:b/>
                <w:color w:val="000000" w:themeColor="text1"/>
                <w:highlight w:val="none"/>
                <w14:textFill>
                  <w14:solidFill>
                    <w14:schemeClr w14:val="tx1"/>
                  </w14:solidFill>
                </w14:textFill>
              </w:rPr>
            </w:pPr>
          </w:p>
        </w:tc>
      </w:tr>
      <w:tr w14:paraId="7EDC1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664964E0">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28AFE475">
            <w:pPr>
              <w:spacing w:line="360" w:lineRule="auto"/>
              <w:rPr>
                <w:rFonts w:hint="eastAsia" w:ascii="宋体" w:hAnsi="宋体"/>
                <w:b/>
                <w:color w:val="000000" w:themeColor="text1"/>
                <w:highlight w:val="none"/>
                <w14:textFill>
                  <w14:solidFill>
                    <w14:schemeClr w14:val="tx1"/>
                  </w14:solidFill>
                </w14:textFill>
              </w:rPr>
            </w:pPr>
          </w:p>
        </w:tc>
      </w:tr>
      <w:tr w14:paraId="047B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5BB9DDB7">
            <w:pPr>
              <w:spacing w:line="360" w:lineRule="auto"/>
              <w:rPr>
                <w:rFonts w:hint="eastAsia" w:ascii="宋体" w:hAnsi="宋体"/>
                <w:b/>
                <w:color w:val="000000" w:themeColor="text1"/>
                <w:highlight w:val="none"/>
                <w14:textFill>
                  <w14:solidFill>
                    <w14:schemeClr w14:val="tx1"/>
                  </w14:solidFill>
                </w14:textFill>
              </w:rPr>
            </w:pPr>
          </w:p>
        </w:tc>
      </w:tr>
      <w:tr w14:paraId="15CE1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166669BC">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71F31734">
            <w:pPr>
              <w:spacing w:line="360" w:lineRule="auto"/>
              <w:rPr>
                <w:rFonts w:hint="eastAsia" w:ascii="宋体" w:hAnsi="宋体"/>
                <w:b/>
                <w:color w:val="000000" w:themeColor="text1"/>
                <w:highlight w:val="none"/>
                <w14:textFill>
                  <w14:solidFill>
                    <w14:schemeClr w14:val="tx1"/>
                  </w14:solidFill>
                </w14:textFill>
              </w:rPr>
            </w:pPr>
          </w:p>
        </w:tc>
      </w:tr>
      <w:tr w14:paraId="58F5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1D8D3B71">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4E2E1559">
            <w:pPr>
              <w:spacing w:line="360" w:lineRule="auto"/>
              <w:rPr>
                <w:rFonts w:hint="eastAsia" w:ascii="宋体" w:hAnsi="宋体"/>
                <w:b/>
                <w:color w:val="000000" w:themeColor="text1"/>
                <w:highlight w:val="none"/>
                <w14:textFill>
                  <w14:solidFill>
                    <w14:schemeClr w14:val="tx1"/>
                  </w14:solidFill>
                </w14:textFill>
              </w:rPr>
            </w:pPr>
          </w:p>
        </w:tc>
      </w:tr>
    </w:tbl>
    <w:p w14:paraId="69B1134B">
      <w:pPr>
        <w:spacing w:line="360" w:lineRule="auto"/>
        <w:rPr>
          <w:rFonts w:hint="eastAsia" w:ascii="宋体" w:hAnsi="宋体"/>
          <w:color w:val="000000" w:themeColor="text1"/>
          <w:highlight w:val="none"/>
          <w14:textFill>
            <w14:solidFill>
              <w14:schemeClr w14:val="tx1"/>
            </w14:solidFill>
          </w14:textFill>
        </w:rPr>
      </w:pPr>
    </w:p>
    <w:p w14:paraId="493E0594">
      <w:pPr>
        <w:spacing w:line="360" w:lineRule="auto"/>
        <w:jc w:val="center"/>
        <w:rPr>
          <w:rFonts w:hint="eastAsia"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4" w:name="_Toc489655320"/>
    </w:p>
    <w:p w14:paraId="6B68D6BB">
      <w:pPr>
        <w:pStyle w:val="26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13"/>
      <w:bookmarkEnd w:id="14"/>
      <w:r>
        <w:rPr>
          <w:color w:val="000000" w:themeColor="text1"/>
          <w:highlight w:val="none"/>
          <w14:textFill>
            <w14:solidFill>
              <w14:schemeClr w14:val="tx1"/>
            </w14:solidFill>
          </w14:textFill>
        </w:rPr>
        <w:t>及相关证明材料格式、附件</w:t>
      </w:r>
    </w:p>
    <w:p w14:paraId="3002A737">
      <w:pPr>
        <w:spacing w:line="360" w:lineRule="auto"/>
        <w:rPr>
          <w:rFonts w:hint="eastAsia" w:ascii="宋体" w:hAnsi="宋体"/>
          <w:color w:val="000000" w:themeColor="text1"/>
          <w:sz w:val="28"/>
          <w:szCs w:val="28"/>
          <w:highlight w:val="none"/>
          <w14:textFill>
            <w14:solidFill>
              <w14:schemeClr w14:val="tx1"/>
            </w14:solidFill>
          </w14:textFill>
        </w:rPr>
      </w:pPr>
    </w:p>
    <w:p w14:paraId="70D5B661">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一、响应申请及声明格式</w:t>
      </w:r>
    </w:p>
    <w:p w14:paraId="51C2996E">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二、法定代表人授权书格式</w:t>
      </w:r>
    </w:p>
    <w:p w14:paraId="3184E3E8">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14:paraId="5228180B">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14:paraId="672F32E3">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五、技术条款偏离表</w:t>
      </w:r>
    </w:p>
    <w:p w14:paraId="18C026F4">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六、商务条款偏离表</w:t>
      </w:r>
    </w:p>
    <w:p w14:paraId="1EA3151E">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七、评分项审查材料</w:t>
      </w:r>
    </w:p>
    <w:p w14:paraId="716DD565">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八、响应需要的其他证明文件及材料（若有）</w:t>
      </w:r>
    </w:p>
    <w:p w14:paraId="1DA0780F">
      <w:pPr>
        <w:spacing w:line="360" w:lineRule="auto"/>
        <w:rPr>
          <w:rFonts w:hint="eastAsia" w:ascii="宋体" w:hAnsi="宋体"/>
          <w:color w:val="000000" w:themeColor="text1"/>
          <w:sz w:val="28"/>
          <w:szCs w:val="28"/>
          <w:highlight w:val="none"/>
          <w14:textFill>
            <w14:solidFill>
              <w14:schemeClr w14:val="tx1"/>
            </w14:solidFill>
          </w14:textFill>
        </w:rPr>
      </w:pPr>
    </w:p>
    <w:p w14:paraId="302A8E5F">
      <w:pPr>
        <w:spacing w:line="360" w:lineRule="auto"/>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附件一、无重大违法记录声明格式；</w:t>
      </w:r>
    </w:p>
    <w:p w14:paraId="6BA4B1D1">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附件二、具备履行合同所必需的设备和专业技术能力的声明格式及证明材料。</w:t>
      </w:r>
    </w:p>
    <w:p w14:paraId="2846A0EE">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附件三、承诺书</w:t>
      </w:r>
    </w:p>
    <w:p w14:paraId="389883A2">
      <w:pPr>
        <w:spacing w:line="360" w:lineRule="auto"/>
        <w:rPr>
          <w:rFonts w:hint="eastAsia"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14:paraId="4DFEA808">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一、响应申请及声明格式</w:t>
      </w:r>
    </w:p>
    <w:p w14:paraId="3D810E01">
      <w:pPr>
        <w:pStyle w:val="266"/>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14:paraId="1B0300B3">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5D3E9FA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（项目编号：</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）响应邀请，正式授权下述签字人（姓名和职务）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代表供应商（供应商名称）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，提交响应文件。</w:t>
      </w:r>
    </w:p>
    <w:p w14:paraId="4680A915">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14:paraId="50E3606C">
      <w:pPr>
        <w:pStyle w:val="17"/>
        <w:numPr>
          <w:ilvl w:val="0"/>
          <w:numId w:val="59"/>
        </w:numPr>
        <w:spacing w:line="360" w:lineRule="auto"/>
        <w:ind w:firstLineChars="0"/>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14:paraId="3DF6E840">
      <w:pPr>
        <w:pStyle w:val="17"/>
        <w:numPr>
          <w:ilvl w:val="0"/>
          <w:numId w:val="59"/>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b/>
          <w:color w:val="000000" w:themeColor="text1"/>
          <w:highlight w:val="none"/>
          <w:u w:val="single"/>
          <w14:textFill>
            <w14:solidFill>
              <w14:schemeClr w14:val="tx1"/>
            </w14:solidFill>
          </w14:textFill>
        </w:rPr>
        <w:t>（大写）人民币          （小写：       元人民币）</w:t>
      </w:r>
      <w:r>
        <w:rPr>
          <w:b/>
          <w:color w:val="000000" w:themeColor="text1"/>
          <w:highlight w:val="none"/>
          <w14:textFill>
            <w14:solidFill>
              <w14:schemeClr w14:val="tx1"/>
            </w14:solidFill>
          </w14:textFill>
        </w:rPr>
        <w:t>。</w:t>
      </w:r>
    </w:p>
    <w:p w14:paraId="4438B0FF">
      <w:pPr>
        <w:pStyle w:val="17"/>
        <w:numPr>
          <w:ilvl w:val="0"/>
          <w:numId w:val="5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14:paraId="4DEB06FE">
      <w:pPr>
        <w:pStyle w:val="17"/>
        <w:numPr>
          <w:ilvl w:val="0"/>
          <w:numId w:val="5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w:t>
      </w:r>
      <w:r>
        <w:rPr>
          <w:rFonts w:hint="eastAsia"/>
          <w:color w:val="000000" w:themeColor="text1"/>
          <w:highlight w:val="none"/>
          <w14:textFill>
            <w14:solidFill>
              <w14:schemeClr w14:val="tx1"/>
            </w14:solidFill>
          </w14:textFill>
        </w:rPr>
        <w:t>（90天）</w:t>
      </w:r>
      <w:r>
        <w:rPr>
          <w:color w:val="000000" w:themeColor="text1"/>
          <w:highlight w:val="none"/>
          <w14:textFill>
            <w14:solidFill>
              <w14:schemeClr w14:val="tx1"/>
            </w14:solidFill>
          </w14:textFill>
        </w:rPr>
        <w:t>之前均具有约束力。</w:t>
      </w:r>
    </w:p>
    <w:p w14:paraId="4C782EBE">
      <w:pPr>
        <w:pStyle w:val="17"/>
        <w:numPr>
          <w:ilvl w:val="0"/>
          <w:numId w:val="5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14:paraId="39A5FB27">
      <w:pPr>
        <w:pStyle w:val="17"/>
        <w:numPr>
          <w:ilvl w:val="0"/>
          <w:numId w:val="5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FA0CFA0">
      <w:pPr>
        <w:pStyle w:val="17"/>
        <w:numPr>
          <w:ilvl w:val="0"/>
          <w:numId w:val="5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14:paraId="4749F967">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14:paraId="7BF1BACF">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14:paraId="0398819A">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14:paraId="0CB0A1BA">
      <w:pPr>
        <w:pStyle w:val="17"/>
        <w:spacing w:after="0"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14:paraId="6F39198F">
      <w:pPr>
        <w:pStyle w:val="17"/>
        <w:spacing w:after="0"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14:paraId="7C967D9A">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w:t>
      </w:r>
      <w:r>
        <w:rPr>
          <w:rFonts w:hint="eastAsia"/>
          <w:color w:val="000000" w:themeColor="text1"/>
          <w:highlight w:val="none"/>
          <w:lang w:val="en-US" w:eastAsia="zh-CN"/>
          <w14:textFill>
            <w14:solidFill>
              <w14:schemeClr w14:val="tx1"/>
            </w14:solidFill>
          </w14:textFill>
        </w:rPr>
        <w:t>被授权人</w:t>
      </w:r>
      <w:r>
        <w:rPr>
          <w:rFonts w:hint="eastAsia"/>
          <w:color w:val="000000" w:themeColor="text1"/>
          <w:highlight w:val="none"/>
          <w14:textFill>
            <w14:solidFill>
              <w14:schemeClr w14:val="tx1"/>
            </w14:solidFill>
          </w14:textFill>
        </w:rPr>
        <w:t>姓名（签字）：</w:t>
      </w:r>
    </w:p>
    <w:p w14:paraId="345D8A7C">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供应商名称（盖章）：</w:t>
      </w:r>
    </w:p>
    <w:p w14:paraId="03969589">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0D6E8B54">
      <w:pPr>
        <w:pStyle w:val="17"/>
        <w:spacing w:before="240" w:beforeLines="100"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二、法定代表人授权书格式</w:t>
      </w:r>
    </w:p>
    <w:p w14:paraId="64E3D49A">
      <w:pPr>
        <w:pStyle w:val="266"/>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14:paraId="136015E7">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6834FF5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本授权书声明：注册于（供应商住址）</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的（供应商名称）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法定代表人（法定代表人姓名、职务）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代表本公司授权在下面签字的（供应商代表姓名、职务）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为本公司的合法代理人，就贵方组织的</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（项目编号）进行响应，以本公司名义处理一切与之有关的事务。</w:t>
      </w:r>
    </w:p>
    <w:p w14:paraId="543527F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 xml:space="preserve">      年    月    日</w:t>
      </w:r>
      <w:r>
        <w:rPr>
          <w:color w:val="000000" w:themeColor="text1"/>
          <w:highlight w:val="none"/>
          <w14:textFill>
            <w14:solidFill>
              <w14:schemeClr w14:val="tx1"/>
            </w14:solidFill>
          </w14:textFill>
        </w:rPr>
        <w:t>签字生效，特此声明。</w:t>
      </w:r>
    </w:p>
    <w:p w14:paraId="164BFE43">
      <w:pPr>
        <w:adjustRightInd w:val="0"/>
        <w:spacing w:line="360" w:lineRule="auto"/>
        <w:ind w:firstLine="408"/>
        <w:jc w:val="left"/>
        <w:rPr>
          <w:rFonts w:hint="eastAsia" w:ascii="宋体" w:hAnsi="宋体" w:cs="宋体"/>
          <w:color w:val="000000" w:themeColor="text1"/>
          <w:szCs w:val="21"/>
          <w:highlight w:val="none"/>
          <w:lang w:val="zh-CN"/>
          <w14:textFill>
            <w14:solidFill>
              <w14:schemeClr w14:val="tx1"/>
            </w14:solidFill>
          </w14:textFill>
        </w:rPr>
      </w:pPr>
    </w:p>
    <w:p w14:paraId="7C6612A6">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14:paraId="72E660FD">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en-US" w:eastAsia="zh-CN"/>
          <w14:textFill>
            <w14:solidFill>
              <w14:schemeClr w14:val="tx1"/>
            </w14:solidFill>
          </w14:textFill>
        </w:rPr>
        <w:t>被授权</w:t>
      </w:r>
      <w:r>
        <w:rPr>
          <w:rFonts w:hint="eastAsia" w:ascii="Times New Roman" w:hAnsi="Times New Roman"/>
          <w:color w:val="000000" w:themeColor="text1"/>
          <w:sz w:val="24"/>
          <w:szCs w:val="21"/>
          <w:highlight w:val="none"/>
          <w:lang w:val="zh-CN"/>
          <w14:textFill>
            <w14:solidFill>
              <w14:schemeClr w14:val="tx1"/>
            </w14:solidFill>
          </w14:textFill>
        </w:rPr>
        <w:t>人（签字）：</w:t>
      </w:r>
    </w:p>
    <w:p w14:paraId="0B23BF54">
      <w:pPr>
        <w:tabs>
          <w:tab w:val="left" w:pos="1440"/>
        </w:tabs>
        <w:adjustRightInd w:val="0"/>
        <w:spacing w:line="360" w:lineRule="auto"/>
        <w:ind w:firstLine="420"/>
        <w:jc w:val="left"/>
        <w:rPr>
          <w:rFonts w:hint="eastAsia"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 月 日</w:t>
      </w:r>
    </w:p>
    <w:p w14:paraId="7574264D">
      <w:pPr>
        <w:tabs>
          <w:tab w:val="left" w:pos="1440"/>
        </w:tabs>
        <w:adjustRightInd w:val="0"/>
        <w:spacing w:line="360" w:lineRule="auto"/>
        <w:ind w:firstLine="420"/>
        <w:jc w:val="left"/>
        <w:rPr>
          <w:rFonts w:hint="eastAsia" w:ascii="Times New Roman" w:hAnsi="Times New Roman"/>
          <w:color w:val="000000" w:themeColor="text1"/>
          <w:sz w:val="24"/>
          <w:szCs w:val="21"/>
          <w:highlight w:val="none"/>
          <w:lang w:val="zh-CN"/>
          <w14:textFill>
            <w14:solidFill>
              <w14:schemeClr w14:val="tx1"/>
            </w14:solidFill>
          </w14:textFill>
        </w:rPr>
      </w:pPr>
    </w:p>
    <w:p w14:paraId="756F9EE7">
      <w:pPr>
        <w:tabs>
          <w:tab w:val="left" w:pos="1440"/>
        </w:tabs>
        <w:adjustRightInd w:val="0"/>
        <w:spacing w:line="360" w:lineRule="auto"/>
        <w:ind w:firstLine="420"/>
        <w:jc w:val="left"/>
        <w:rPr>
          <w:rFonts w:hint="eastAsia"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112A9C57">
      <w:pPr>
        <w:tabs>
          <w:tab w:val="left" w:pos="1440"/>
        </w:tabs>
        <w:adjustRightInd w:val="0"/>
        <w:spacing w:line="360" w:lineRule="auto"/>
        <w:ind w:firstLine="420"/>
        <w:jc w:val="left"/>
        <w:rPr>
          <w:rFonts w:hint="eastAsia" w:ascii="Times New Roman" w:hAnsi="Times New Roman"/>
          <w:color w:val="000000" w:themeColor="text1"/>
          <w:sz w:val="24"/>
          <w:szCs w:val="21"/>
          <w:highlight w:val="none"/>
          <w:lang w:val="zh-CN"/>
          <w14:textFill>
            <w14:solidFill>
              <w14:schemeClr w14:val="tx1"/>
            </w14:solidFill>
          </w14:textFill>
        </w:rPr>
      </w:pPr>
    </w:p>
    <w:p w14:paraId="562FF642">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lang w:val="en-US" w:eastAsia="zh-CN"/>
          <w14:textFill>
            <w14:solidFill>
              <w14:schemeClr w14:val="tx1"/>
            </w14:solidFill>
          </w14:textFill>
        </w:rPr>
        <w:t>被授权</w:t>
      </w:r>
      <w:r>
        <w:rPr>
          <w:rFonts w:hint="eastAsia" w:ascii="Times New Roman" w:hAnsi="Times New Roman"/>
          <w:color w:val="000000" w:themeColor="text1"/>
          <w:sz w:val="24"/>
          <w:szCs w:val="21"/>
          <w:highlight w:val="none"/>
          <w:lang w:val="zh-CN"/>
          <w14:textFill>
            <w14:solidFill>
              <w14:schemeClr w14:val="tx1"/>
            </w14:solidFill>
          </w14:textFill>
        </w:rPr>
        <w:t>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09072303">
      <w:pPr>
        <w:tabs>
          <w:tab w:val="left" w:pos="1440"/>
        </w:tabs>
        <w:adjustRightInd w:val="0"/>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p>
    <w:p w14:paraId="71D6E62E">
      <w:pPr>
        <w:tabs>
          <w:tab w:val="left" w:pos="1440"/>
        </w:tabs>
        <w:adjustRightInd w:val="0"/>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p>
    <w:p w14:paraId="5C496679">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w:t>
      </w:r>
      <w:r>
        <w:rPr>
          <w:rFonts w:hint="eastAsia" w:ascii="Times New Roman" w:hAnsi="Times New Roman"/>
          <w:color w:val="000000" w:themeColor="text1"/>
          <w:sz w:val="24"/>
          <w:szCs w:val="21"/>
          <w:highlight w:val="none"/>
          <w:lang w:val="en-US" w:eastAsia="zh-CN"/>
          <w14:textFill>
            <w14:solidFill>
              <w14:schemeClr w14:val="tx1"/>
            </w14:solidFill>
          </w14:textFill>
        </w:rPr>
        <w:t>被授权人</w:t>
      </w:r>
      <w:r>
        <w:rPr>
          <w:rFonts w:hint="eastAsia" w:ascii="Times New Roman" w:hAnsi="Times New Roman"/>
          <w:color w:val="000000" w:themeColor="text1"/>
          <w:sz w:val="24"/>
          <w:szCs w:val="21"/>
          <w:highlight w:val="none"/>
          <w14:textFill>
            <w14:solidFill>
              <w14:schemeClr w14:val="tx1"/>
            </w14:solidFill>
          </w14:textFill>
        </w:rPr>
        <w:t>缴纳社保的证明：</w:t>
      </w:r>
    </w:p>
    <w:p w14:paraId="06ED223A">
      <w:pPr>
        <w:tabs>
          <w:tab w:val="left" w:pos="1440"/>
        </w:tabs>
        <w:adjustRightInd w:val="0"/>
        <w:spacing w:line="360" w:lineRule="auto"/>
        <w:ind w:firstLine="420"/>
        <w:jc w:val="left"/>
        <w:rPr>
          <w:rFonts w:hint="eastAsia" w:ascii="宋体" w:hAnsi="宋体" w:cs="宋体"/>
          <w:color w:val="000000" w:themeColor="text1"/>
          <w:szCs w:val="21"/>
          <w:highlight w:val="none"/>
          <w:lang w:val="zh-CN"/>
          <w14:textFill>
            <w14:solidFill>
              <w14:schemeClr w14:val="tx1"/>
            </w14:solidFill>
          </w14:textFill>
        </w:rPr>
      </w:pPr>
    </w:p>
    <w:p w14:paraId="5246BE9F">
      <w:pPr>
        <w:tabs>
          <w:tab w:val="left" w:pos="1440"/>
        </w:tabs>
        <w:adjustRightInd w:val="0"/>
        <w:spacing w:line="360" w:lineRule="auto"/>
        <w:ind w:firstLine="420"/>
        <w:jc w:val="left"/>
        <w:rPr>
          <w:rFonts w:hint="eastAsia" w:ascii="宋体" w:hAnsi="宋体" w:cs="宋体"/>
          <w:color w:val="000000" w:themeColor="text1"/>
          <w:szCs w:val="21"/>
          <w:highlight w:val="none"/>
          <w:lang w:val="zh-CN"/>
          <w14:textFill>
            <w14:solidFill>
              <w14:schemeClr w14:val="tx1"/>
            </w14:solidFill>
          </w14:textFill>
        </w:rPr>
      </w:pPr>
    </w:p>
    <w:p w14:paraId="7F0BB266">
      <w:pPr>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7EC7EEAF">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三、</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一览表</w:t>
      </w:r>
    </w:p>
    <w:p w14:paraId="571CA4B0">
      <w:pPr>
        <w:spacing w:line="360" w:lineRule="auto"/>
        <w:jc w:val="center"/>
        <w:rPr>
          <w:rFonts w:hint="eastAsia" w:asciiTheme="majorEastAsia" w:hAnsiTheme="majorEastAsia" w:eastAsiaTheme="majorEastAsia"/>
          <w:b/>
          <w:sz w:val="24"/>
          <w:highlight w:val="none"/>
        </w:rPr>
      </w:pPr>
      <w:r>
        <w:rPr>
          <w:rFonts w:hint="eastAsia" w:asciiTheme="majorEastAsia" w:hAnsiTheme="majorEastAsia" w:eastAsiaTheme="majorEastAsia"/>
          <w:b/>
          <w:sz w:val="24"/>
          <w:highlight w:val="none"/>
        </w:rPr>
        <w:t>响应</w:t>
      </w:r>
      <w:r>
        <w:rPr>
          <w:rFonts w:asciiTheme="majorEastAsia" w:hAnsiTheme="majorEastAsia" w:eastAsiaTheme="majorEastAsia"/>
          <w:b/>
          <w:sz w:val="24"/>
          <w:highlight w:val="none"/>
        </w:rPr>
        <w:t>一览表</w:t>
      </w:r>
    </w:p>
    <w:p w14:paraId="00E6CA2F">
      <w:pPr>
        <w:pStyle w:val="13"/>
        <w:spacing w:line="360" w:lineRule="auto"/>
        <w:rPr>
          <w:sz w:val="22"/>
          <w:szCs w:val="22"/>
          <w:highlight w:val="none"/>
        </w:rPr>
      </w:pPr>
      <w:bookmarkStart w:id="15" w:name="_Hlk179882269"/>
      <w:r>
        <w:rPr>
          <w:rFonts w:hint="eastAsia" w:ascii="宋体" w:hAnsi="宋体" w:cs="宋体"/>
          <w:sz w:val="22"/>
          <w:szCs w:val="22"/>
          <w:highlight w:val="none"/>
        </w:rPr>
        <w:t>项目编号：</w:t>
      </w:r>
    </w:p>
    <w:p w14:paraId="30E7232C">
      <w:pPr>
        <w:pStyle w:val="13"/>
        <w:spacing w:line="360" w:lineRule="auto"/>
        <w:ind w:left="840" w:hanging="420"/>
        <w:rPr>
          <w:rFonts w:hint="eastAsia" w:ascii="宋体" w:hAnsi="宋体" w:cs="宋体"/>
          <w:sz w:val="22"/>
          <w:szCs w:val="22"/>
          <w:highlight w:val="none"/>
        </w:rPr>
      </w:pPr>
      <w:r>
        <w:rPr>
          <w:rFonts w:hint="eastAsia" w:ascii="宋体" w:hAnsi="宋体" w:cs="宋体"/>
          <w:sz w:val="22"/>
          <w:szCs w:val="22"/>
          <w:highlight w:val="none"/>
        </w:rPr>
        <w:t>项目名称：</w:t>
      </w:r>
    </w:p>
    <w:bookmarkEnd w:id="15"/>
    <w:tbl>
      <w:tblPr>
        <w:tblStyle w:val="45"/>
        <w:tblW w:w="473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2243"/>
        <w:gridCol w:w="870"/>
        <w:gridCol w:w="1885"/>
        <w:gridCol w:w="3200"/>
        <w:gridCol w:w="977"/>
      </w:tblGrid>
      <w:tr w14:paraId="5690A5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22" w:type="pct"/>
            <w:vAlign w:val="center"/>
          </w:tcPr>
          <w:p w14:paraId="38EE3372">
            <w:pPr>
              <w:widowControl/>
              <w:jc w:val="center"/>
              <w:rPr>
                <w:rFonts w:hint="eastAsia" w:ascii="宋体" w:hAnsi="宋体"/>
                <w:b/>
                <w:bCs/>
                <w:szCs w:val="21"/>
                <w:highlight w:val="none"/>
              </w:rPr>
            </w:pPr>
            <w:r>
              <w:rPr>
                <w:rFonts w:hint="eastAsia" w:ascii="宋体" w:hAnsi="宋体"/>
                <w:b/>
                <w:bCs/>
                <w:szCs w:val="21"/>
                <w:highlight w:val="none"/>
              </w:rPr>
              <w:t>产品</w:t>
            </w:r>
          </w:p>
        </w:tc>
        <w:tc>
          <w:tcPr>
            <w:tcW w:w="474" w:type="pct"/>
            <w:vAlign w:val="center"/>
          </w:tcPr>
          <w:p w14:paraId="015FB5D3">
            <w:pPr>
              <w:widowControl/>
              <w:jc w:val="center"/>
              <w:rPr>
                <w:rFonts w:hint="eastAsia" w:ascii="宋体" w:hAnsi="宋体"/>
                <w:b/>
                <w:bCs/>
                <w:szCs w:val="21"/>
                <w:highlight w:val="none"/>
              </w:rPr>
            </w:pPr>
            <w:r>
              <w:rPr>
                <w:rFonts w:ascii="宋体" w:hAnsi="宋体"/>
                <w:b/>
                <w:bCs/>
                <w:szCs w:val="21"/>
                <w:highlight w:val="none"/>
              </w:rPr>
              <w:t>数量</w:t>
            </w:r>
          </w:p>
        </w:tc>
        <w:tc>
          <w:tcPr>
            <w:tcW w:w="1027" w:type="pct"/>
            <w:vAlign w:val="center"/>
          </w:tcPr>
          <w:p w14:paraId="508F909C">
            <w:pPr>
              <w:widowControl/>
              <w:jc w:val="center"/>
              <w:rPr>
                <w:rFonts w:hint="eastAsia" w:ascii="宋体" w:hAnsi="宋体" w:cs="宋体"/>
                <w:b/>
                <w:bCs/>
                <w:sz w:val="24"/>
                <w:highlight w:val="none"/>
              </w:rPr>
            </w:pPr>
            <w:r>
              <w:rPr>
                <w:rFonts w:hint="eastAsia" w:ascii="宋体" w:hAnsi="宋体" w:cs="宋体"/>
                <w:b/>
                <w:bCs/>
                <w:sz w:val="24"/>
                <w:highlight w:val="none"/>
              </w:rPr>
              <w:t>产品品牌/型号</w:t>
            </w:r>
          </w:p>
        </w:tc>
        <w:tc>
          <w:tcPr>
            <w:tcW w:w="1743" w:type="pct"/>
            <w:vAlign w:val="center"/>
          </w:tcPr>
          <w:p w14:paraId="565B6F7C">
            <w:pPr>
              <w:widowControl/>
              <w:jc w:val="center"/>
              <w:rPr>
                <w:rFonts w:hint="eastAsia" w:ascii="宋体" w:hAnsi="宋体"/>
                <w:b/>
                <w:bCs/>
                <w:szCs w:val="21"/>
                <w:highlight w:val="none"/>
              </w:rPr>
            </w:pPr>
            <w:r>
              <w:rPr>
                <w:rFonts w:hint="eastAsia" w:ascii="宋体" w:hAnsi="宋体" w:cs="宋体"/>
                <w:b/>
                <w:bCs/>
                <w:sz w:val="24"/>
                <w:highlight w:val="none"/>
              </w:rPr>
              <w:t>报价金额（人民币）</w:t>
            </w:r>
          </w:p>
        </w:tc>
        <w:tc>
          <w:tcPr>
            <w:tcW w:w="532" w:type="pct"/>
            <w:vAlign w:val="center"/>
          </w:tcPr>
          <w:p w14:paraId="4FCF1620">
            <w:pPr>
              <w:widowControl/>
              <w:jc w:val="center"/>
              <w:rPr>
                <w:rFonts w:hint="eastAsia" w:ascii="宋体" w:hAnsi="宋体"/>
                <w:b/>
                <w:bCs/>
                <w:szCs w:val="21"/>
                <w:highlight w:val="none"/>
              </w:rPr>
            </w:pPr>
            <w:r>
              <w:rPr>
                <w:rFonts w:hint="eastAsia" w:ascii="宋体" w:hAnsi="宋体" w:cs="宋体"/>
                <w:b/>
                <w:bCs/>
                <w:sz w:val="24"/>
                <w:highlight w:val="none"/>
              </w:rPr>
              <w:t>限价</w:t>
            </w:r>
          </w:p>
        </w:tc>
      </w:tr>
      <w:tr w14:paraId="295768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22" w:type="pct"/>
            <w:vAlign w:val="center"/>
          </w:tcPr>
          <w:p w14:paraId="0201B793">
            <w:pPr>
              <w:widowControl/>
              <w:jc w:val="center"/>
              <w:rPr>
                <w:rFonts w:hint="eastAsia" w:ascii="宋体" w:hAnsi="宋体" w:cs="宋体"/>
                <w:szCs w:val="21"/>
                <w:highlight w:val="none"/>
              </w:rPr>
            </w:pPr>
            <w:r>
              <w:rPr>
                <w:rFonts w:hint="eastAsia" w:ascii="宋体" w:hAnsi="宋体" w:cs="宋体"/>
                <w:szCs w:val="21"/>
                <w:highlight w:val="none"/>
                <w:lang w:val="en-US" w:eastAsia="zh-CN"/>
              </w:rPr>
              <w:t>5G</w:t>
            </w:r>
            <w:r>
              <w:rPr>
                <w:rFonts w:hint="eastAsia" w:ascii="宋体" w:hAnsi="宋体" w:cs="宋体"/>
                <w:szCs w:val="21"/>
                <w:highlight w:val="none"/>
              </w:rPr>
              <w:t>核心网接入测试系统</w:t>
            </w:r>
            <w:r>
              <w:rPr>
                <w:rFonts w:hint="eastAsia" w:ascii="宋体" w:hAnsi="宋体" w:cs="宋体"/>
                <w:szCs w:val="21"/>
                <w:highlight w:val="none"/>
                <w:lang w:eastAsia="zh-CN"/>
              </w:rPr>
              <w:t>（</w:t>
            </w:r>
            <w:r>
              <w:rPr>
                <w:rFonts w:hint="eastAsia" w:ascii="宋体" w:hAnsi="宋体" w:cs="宋体"/>
                <w:szCs w:val="21"/>
                <w:highlight w:val="none"/>
                <w:lang w:val="en-US" w:eastAsia="zh-CN"/>
              </w:rPr>
              <w:t>包含</w:t>
            </w:r>
            <w:r>
              <w:rPr>
                <w:rFonts w:hint="eastAsia" w:ascii="宋体" w:hAnsi="宋体" w:cs="宋体"/>
                <w:szCs w:val="21"/>
                <w:highlight w:val="none"/>
              </w:rPr>
              <w:t>信令面+媒体面</w:t>
            </w:r>
            <w:r>
              <w:rPr>
                <w:rFonts w:hint="eastAsia" w:ascii="宋体" w:hAnsi="宋体" w:cs="宋体"/>
                <w:szCs w:val="21"/>
                <w:highlight w:val="none"/>
                <w:lang w:eastAsia="zh-CN"/>
              </w:rPr>
              <w:t>、</w:t>
            </w:r>
            <w:r>
              <w:rPr>
                <w:rFonts w:hint="eastAsia" w:ascii="宋体" w:hAnsi="宋体" w:cs="宋体"/>
                <w:szCs w:val="21"/>
                <w:highlight w:val="none"/>
                <w:lang w:val="en-US" w:eastAsia="zh-CN"/>
              </w:rPr>
              <w:t>服务器、仿真基站、仿真终端）</w:t>
            </w:r>
          </w:p>
        </w:tc>
        <w:tc>
          <w:tcPr>
            <w:tcW w:w="474" w:type="pct"/>
            <w:vAlign w:val="center"/>
          </w:tcPr>
          <w:p w14:paraId="7C2149D6">
            <w:pPr>
              <w:widowControl/>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套</w:t>
            </w:r>
          </w:p>
        </w:tc>
        <w:tc>
          <w:tcPr>
            <w:tcW w:w="1027" w:type="pct"/>
            <w:vAlign w:val="center"/>
          </w:tcPr>
          <w:p w14:paraId="07354686">
            <w:pPr>
              <w:spacing w:line="360" w:lineRule="auto"/>
              <w:jc w:val="center"/>
              <w:rPr>
                <w:rFonts w:hint="eastAsia" w:ascii="宋体" w:hAnsi="宋体" w:cs="宋体"/>
                <w:sz w:val="24"/>
                <w:szCs w:val="24"/>
                <w:highlight w:val="none"/>
              </w:rPr>
            </w:pPr>
          </w:p>
        </w:tc>
        <w:tc>
          <w:tcPr>
            <w:tcW w:w="1743" w:type="pct"/>
            <w:vAlign w:val="center"/>
          </w:tcPr>
          <w:p w14:paraId="742B5092">
            <w:pPr>
              <w:spacing w:line="360" w:lineRule="auto"/>
              <w:rPr>
                <w:sz w:val="24"/>
                <w:szCs w:val="24"/>
                <w:highlight w:val="none"/>
              </w:rPr>
            </w:pP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p>
          <w:p w14:paraId="4131E18C">
            <w:pPr>
              <w:widowControl/>
              <w:rPr>
                <w:rFonts w:hint="eastAsia" w:ascii="宋体" w:hAnsi="宋体" w:cs="宋体"/>
                <w:szCs w:val="21"/>
                <w:highlight w:val="none"/>
              </w:rPr>
            </w:pPr>
            <w:r>
              <w:rPr>
                <w:rFonts w:hint="eastAsia" w:ascii="宋体" w:hAnsi="宋体" w:cs="宋体"/>
                <w:sz w:val="24"/>
                <w:szCs w:val="24"/>
                <w:highlight w:val="none"/>
              </w:rPr>
              <w:t>大写：</w:t>
            </w:r>
            <w:r>
              <w:rPr>
                <w:rFonts w:hint="eastAsia" w:ascii="宋体" w:hAnsi="宋体" w:cs="宋体"/>
                <w:sz w:val="24"/>
                <w:szCs w:val="24"/>
                <w:highlight w:val="none"/>
                <w:u w:val="single"/>
              </w:rPr>
              <w:t xml:space="preserve">                  </w:t>
            </w:r>
            <w:r>
              <w:rPr>
                <w:rFonts w:hint="eastAsia" w:ascii="宋体" w:hAnsi="宋体" w:cs="宋体"/>
                <w:sz w:val="24"/>
                <w:highlight w:val="none"/>
                <w:u w:val="single"/>
              </w:rPr>
              <w:t xml:space="preserve">              </w:t>
            </w:r>
          </w:p>
        </w:tc>
        <w:tc>
          <w:tcPr>
            <w:tcW w:w="532" w:type="pct"/>
            <w:vAlign w:val="center"/>
          </w:tcPr>
          <w:p w14:paraId="241A8B1C">
            <w:pPr>
              <w:widowControl/>
              <w:jc w:val="center"/>
              <w:rPr>
                <w:rFonts w:hint="eastAsia" w:ascii="宋体" w:hAnsi="宋体" w:cs="宋体"/>
                <w:b/>
                <w:bCs/>
                <w:szCs w:val="21"/>
                <w:highlight w:val="none"/>
              </w:rPr>
            </w:pPr>
            <w:r>
              <w:rPr>
                <w:rFonts w:hint="eastAsia" w:ascii="宋体" w:hAnsi="宋体" w:cs="宋体"/>
                <w:b/>
                <w:bCs/>
                <w:szCs w:val="21"/>
                <w:highlight w:val="none"/>
              </w:rPr>
              <w:t>80</w:t>
            </w:r>
            <w:r>
              <w:rPr>
                <w:rFonts w:hint="eastAsia" w:ascii="宋体" w:hAnsi="宋体"/>
                <w:b/>
                <w:bCs/>
                <w:szCs w:val="21"/>
                <w:highlight w:val="none"/>
              </w:rPr>
              <w:t>万元</w:t>
            </w:r>
          </w:p>
        </w:tc>
      </w:tr>
    </w:tbl>
    <w:p w14:paraId="7027B2E9">
      <w:pPr>
        <w:spacing w:before="480" w:beforeLines="200" w:after="240" w:afterLines="100" w:line="360" w:lineRule="auto"/>
        <w:jc w:val="right"/>
        <w:rPr>
          <w:rFonts w:hint="eastAsia" w:asciiTheme="majorEastAsia" w:hAnsiTheme="majorEastAsia" w:eastAsiaTheme="majorEastAsia"/>
          <w:highlight w:val="none"/>
        </w:rPr>
      </w:pPr>
      <w:r>
        <w:rPr>
          <w:rFonts w:hint="eastAsia" w:asciiTheme="majorEastAsia" w:hAnsiTheme="majorEastAsia" w:eastAsiaTheme="majorEastAsia"/>
          <w:highlight w:val="none"/>
        </w:rPr>
        <w:t>供应商</w:t>
      </w:r>
      <w:r>
        <w:rPr>
          <w:rFonts w:asciiTheme="majorEastAsia" w:hAnsiTheme="majorEastAsia" w:eastAsiaTheme="majorEastAsia"/>
          <w:highlight w:val="none"/>
        </w:rPr>
        <w:t>名称：</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（盖单位公章）</w:t>
      </w:r>
    </w:p>
    <w:p w14:paraId="3E079885">
      <w:pPr>
        <w:spacing w:before="240" w:beforeLines="100" w:after="240" w:afterLines="100" w:line="360" w:lineRule="auto"/>
        <w:jc w:val="right"/>
        <w:rPr>
          <w:rFonts w:hint="eastAsia" w:asciiTheme="majorEastAsia" w:hAnsiTheme="majorEastAsia" w:eastAsiaTheme="majorEastAsia"/>
          <w:highlight w:val="none"/>
        </w:rPr>
      </w:pPr>
      <w:r>
        <w:rPr>
          <w:rFonts w:asciiTheme="majorEastAsia" w:hAnsiTheme="majorEastAsia" w:eastAsiaTheme="majorEastAsia"/>
          <w:highlight w:val="none"/>
        </w:rPr>
        <w:t>法定代表人或者其委托代理人：</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（签字）</w:t>
      </w:r>
    </w:p>
    <w:p w14:paraId="4472F42B">
      <w:pPr>
        <w:spacing w:before="240" w:beforeLines="100" w:after="240" w:afterLines="100" w:line="360" w:lineRule="auto"/>
        <w:jc w:val="right"/>
        <w:rPr>
          <w:rFonts w:hint="eastAsia" w:asciiTheme="majorEastAsia" w:hAnsiTheme="majorEastAsia" w:eastAsiaTheme="majorEastAsia"/>
          <w:highlight w:val="none"/>
        </w:rPr>
      </w:pPr>
      <w:r>
        <w:rPr>
          <w:rFonts w:hint="eastAsia" w:asciiTheme="majorEastAsia" w:hAnsiTheme="majorEastAsia" w:eastAsiaTheme="majorEastAsia"/>
          <w:highlight w:val="none"/>
        </w:rPr>
        <w:t>日期：</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年</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月</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日</w:t>
      </w:r>
    </w:p>
    <w:p w14:paraId="090DE4E6">
      <w:pPr>
        <w:spacing w:line="360" w:lineRule="auto"/>
        <w:rPr>
          <w:rFonts w:hint="eastAsia" w:asciiTheme="majorEastAsia" w:hAnsiTheme="majorEastAsia" w:eastAsiaTheme="majorEastAsia"/>
          <w:b/>
          <w:bCs/>
          <w:highlight w:val="none"/>
        </w:rPr>
      </w:pPr>
      <w:r>
        <w:rPr>
          <w:rFonts w:asciiTheme="majorEastAsia" w:hAnsiTheme="majorEastAsia" w:eastAsiaTheme="majorEastAsia"/>
          <w:b/>
          <w:bCs/>
          <w:highlight w:val="none"/>
        </w:rPr>
        <w:t>注：</w:t>
      </w:r>
    </w:p>
    <w:p w14:paraId="751305C5">
      <w:pPr>
        <w:pStyle w:val="19"/>
        <w:spacing w:line="360" w:lineRule="auto"/>
        <w:ind w:left="0" w:leftChars="0"/>
        <w:rPr>
          <w:rFonts w:eastAsiaTheme="majorEastAsia"/>
          <w:highlight w:val="none"/>
        </w:rPr>
      </w:pPr>
      <w:r>
        <w:rPr>
          <w:rFonts w:hint="eastAsia" w:asciiTheme="majorEastAsia" w:hAnsiTheme="majorEastAsia" w:eastAsiaTheme="majorEastAsia"/>
          <w:szCs w:val="21"/>
          <w:highlight w:val="none"/>
        </w:rPr>
        <w:t>1.供应商不得实质性改动响应一览表格式及内容。</w:t>
      </w:r>
    </w:p>
    <w:p w14:paraId="75D15BF0">
      <w:pPr>
        <w:spacing w:line="360" w:lineRule="auto"/>
        <w:rPr>
          <w:highlight w:val="none"/>
        </w:rPr>
      </w:pPr>
      <w:r>
        <w:rPr>
          <w:rFonts w:hint="eastAsia" w:asciiTheme="majorEastAsia" w:hAnsiTheme="majorEastAsia" w:eastAsiaTheme="majorEastAsia"/>
          <w:highlight w:val="none"/>
        </w:rPr>
        <w:t>2.响应一览表除了装订在</w:t>
      </w:r>
      <w:r>
        <w:rPr>
          <w:rFonts w:hint="eastAsia"/>
          <w:highlight w:val="none"/>
        </w:rPr>
        <w:t>响应文件中以外，还需要</w:t>
      </w:r>
      <w:r>
        <w:rPr>
          <w:rFonts w:hint="eastAsia"/>
          <w:b/>
          <w:bCs/>
          <w:highlight w:val="none"/>
        </w:rPr>
        <w:t>提供一份单独密封的响应一览表及响应报价清单（如有），单独密封的响应一览表及响应报价清单（如有）仅是为方便唱标所用</w:t>
      </w:r>
      <w:r>
        <w:rPr>
          <w:rFonts w:hint="eastAsia"/>
          <w:highlight w:val="none"/>
        </w:rPr>
        <w:t>，如未提供，不构成响应文件的完整性偏离。</w:t>
      </w:r>
    </w:p>
    <w:p w14:paraId="7BC0EC50">
      <w:pPr>
        <w:spacing w:line="360" w:lineRule="auto"/>
        <w:rPr>
          <w:rFonts w:hint="eastAsia" w:asciiTheme="majorEastAsia" w:hAnsiTheme="majorEastAsia" w:eastAsiaTheme="majorEastAsia"/>
          <w:highlight w:val="none"/>
        </w:rPr>
      </w:pPr>
      <w:r>
        <w:rPr>
          <w:rFonts w:hint="eastAsia"/>
          <w:highlight w:val="none"/>
        </w:rPr>
        <w:t>3</w:t>
      </w:r>
      <w:r>
        <w:rPr>
          <w:highlight w:val="none"/>
        </w:rPr>
        <w:t>.</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rPr>
        <w:t>响应</w:t>
      </w:r>
      <w:r>
        <w:rPr>
          <w:rFonts w:asciiTheme="majorEastAsia" w:hAnsiTheme="majorEastAsia" w:eastAsiaTheme="majorEastAsia"/>
          <w:highlight w:val="none"/>
        </w:rPr>
        <w:t>报价不得超过最高限价，否则作无效</w:t>
      </w:r>
      <w:r>
        <w:rPr>
          <w:rFonts w:hint="eastAsia" w:asciiTheme="majorEastAsia" w:hAnsiTheme="majorEastAsia" w:eastAsiaTheme="majorEastAsia"/>
          <w:highlight w:val="none"/>
        </w:rPr>
        <w:t>响应</w:t>
      </w:r>
      <w:r>
        <w:rPr>
          <w:rFonts w:asciiTheme="majorEastAsia" w:hAnsiTheme="majorEastAsia" w:eastAsiaTheme="majorEastAsia"/>
          <w:highlight w:val="none"/>
        </w:rPr>
        <w:t>处理</w:t>
      </w:r>
      <w:r>
        <w:rPr>
          <w:rFonts w:hint="eastAsia" w:asciiTheme="majorEastAsia" w:hAnsiTheme="majorEastAsia" w:eastAsiaTheme="majorEastAsia"/>
          <w:highlight w:val="none"/>
        </w:rPr>
        <w:t>。</w:t>
      </w:r>
    </w:p>
    <w:p w14:paraId="3336A915">
      <w:pPr>
        <w:spacing w:line="360" w:lineRule="auto"/>
        <w:rPr>
          <w:rFonts w:hint="eastAsia" w:asciiTheme="majorEastAsia" w:hAnsiTheme="majorEastAsia" w:eastAsiaTheme="majorEastAsia"/>
          <w:highlight w:val="none"/>
        </w:rPr>
      </w:pPr>
    </w:p>
    <w:p w14:paraId="53015362">
      <w:pPr>
        <w:spacing w:line="360" w:lineRule="auto"/>
        <w:jc w:val="lef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74E8BEC0">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四、资格证明文件</w:t>
      </w:r>
    </w:p>
    <w:p w14:paraId="1FEAB806">
      <w:pPr>
        <w:pStyle w:val="268"/>
        <w:shd w:val="clear" w:color="auto" w:fill="auto"/>
        <w:spacing w:line="360" w:lineRule="auto"/>
        <w:outlineLvl w:val="9"/>
        <w:rPr>
          <w:rFonts w:hint="eastAsia"/>
          <w:color w:val="000000" w:themeColor="text1"/>
          <w:highlight w:val="none"/>
          <w14:textFill>
            <w14:solidFill>
              <w14:schemeClr w14:val="tx1"/>
            </w14:solidFill>
          </w14:textFill>
        </w:rPr>
      </w:pPr>
      <w:bookmarkStart w:id="16" w:name="_Toc489655335"/>
      <w:r>
        <w:rPr>
          <w:color w:val="000000" w:themeColor="text1"/>
          <w:highlight w:val="none"/>
          <w14:textFill>
            <w14:solidFill>
              <w14:schemeClr w14:val="tx1"/>
            </w14:solidFill>
          </w14:textFill>
        </w:rPr>
        <w:t>资格证明文件</w:t>
      </w:r>
      <w:bookmarkEnd w:id="16"/>
    </w:p>
    <w:p w14:paraId="0AA283CB">
      <w:pPr>
        <w:pStyle w:val="17"/>
        <w:numPr>
          <w:ilvl w:val="0"/>
          <w:numId w:val="60"/>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17A6AC69">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7030EB51">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w:t>
      </w:r>
      <w:r>
        <w:rPr>
          <w:rFonts w:hint="eastAsia"/>
          <w:color w:val="000000" w:themeColor="text1"/>
          <w:highlight w:val="none"/>
          <w14:textFill>
            <w14:solidFill>
              <w14:schemeClr w14:val="tx1"/>
            </w14:solidFill>
          </w14:textFill>
        </w:rPr>
        <w:t>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（2025年5月至2025年10月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1FC084F4">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37B9484D">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（2025年5月至2025年10月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5A178CA2">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547B1AD0">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11C06FFD">
      <w:pPr>
        <w:pStyle w:val="17"/>
        <w:numPr>
          <w:ilvl w:val="0"/>
          <w:numId w:val="60"/>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本项目的特定资格要求：</w:t>
      </w:r>
    </w:p>
    <w:p w14:paraId="1E94E8E5">
      <w:pPr>
        <w:pStyle w:val="17"/>
        <w:spacing w:line="360" w:lineRule="auto"/>
        <w:ind w:left="482"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拒绝下述供应商参加本次响应：</w:t>
      </w:r>
    </w:p>
    <w:p w14:paraId="51B76492">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039A048B">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46ACF142">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信用中国”网站（www.creditchina.gov.cn）列入失信被执行人、重大税收违法失信主体、严重违法失信行为记录名单。</w:t>
      </w:r>
    </w:p>
    <w:p w14:paraId="73B0439F">
      <w:pPr>
        <w:spacing w:line="360" w:lineRule="auto"/>
        <w:rPr>
          <w:rFonts w:hint="eastAsia" w:ascii="宋体" w:hAnsi="宋体" w:cs="宋体"/>
          <w:b/>
          <w:color w:val="000000" w:themeColor="text1"/>
          <w:szCs w:val="21"/>
          <w:highlight w:val="none"/>
          <w14:textFill>
            <w14:solidFill>
              <w14:schemeClr w14:val="tx1"/>
            </w14:solidFill>
          </w14:textFill>
        </w:rPr>
      </w:pPr>
    </w:p>
    <w:p w14:paraId="4C1F1203">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五</w:t>
      </w:r>
      <w:r>
        <w:rPr>
          <w:b/>
          <w:color w:val="000000" w:themeColor="text1"/>
          <w:highlight w:val="none"/>
          <w14:textFill>
            <w14:solidFill>
              <w14:schemeClr w14:val="tx1"/>
            </w14:solidFill>
          </w14:textFill>
        </w:rPr>
        <w:t>、技术</w:t>
      </w:r>
      <w:r>
        <w:rPr>
          <w:rFonts w:hint="eastAsia"/>
          <w:b/>
          <w:color w:val="000000" w:themeColor="text1"/>
          <w:highlight w:val="none"/>
          <w:lang w:val="en-US" w:eastAsia="zh-CN"/>
          <w14:textFill>
            <w14:solidFill>
              <w14:schemeClr w14:val="tx1"/>
            </w14:solidFill>
          </w14:textFill>
        </w:rPr>
        <w:t>规格</w:t>
      </w:r>
      <w:r>
        <w:rPr>
          <w:b/>
          <w:color w:val="000000" w:themeColor="text1"/>
          <w:highlight w:val="none"/>
          <w14:textFill>
            <w14:solidFill>
              <w14:schemeClr w14:val="tx1"/>
            </w14:solidFill>
          </w14:textFill>
        </w:rPr>
        <w:t>偏离表</w:t>
      </w:r>
    </w:p>
    <w:p w14:paraId="5F02E29E">
      <w:pPr>
        <w:pStyle w:val="266"/>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w:t>
      </w:r>
      <w:r>
        <w:rPr>
          <w:rFonts w:hint="eastAsia"/>
          <w:color w:val="000000" w:themeColor="text1"/>
          <w:highlight w:val="none"/>
          <w:lang w:val="en-US" w:eastAsia="zh-CN"/>
          <w14:textFill>
            <w14:solidFill>
              <w14:schemeClr w14:val="tx1"/>
            </w14:solidFill>
          </w14:textFill>
        </w:rPr>
        <w:t>规格</w:t>
      </w:r>
      <w:r>
        <w:rPr>
          <w:color w:val="000000" w:themeColor="text1"/>
          <w:highlight w:val="none"/>
          <w14:textFill>
            <w14:solidFill>
              <w14:schemeClr w14:val="tx1"/>
            </w14:solidFill>
          </w14:textFill>
        </w:rPr>
        <w:t>偏离表</w:t>
      </w:r>
    </w:p>
    <w:tbl>
      <w:tblPr>
        <w:tblStyle w:val="45"/>
        <w:tblW w:w="4997" w:type="pct"/>
        <w:jc w:val="center"/>
        <w:tblLayout w:type="autofit"/>
        <w:tblCellMar>
          <w:top w:w="0" w:type="dxa"/>
          <w:left w:w="0" w:type="dxa"/>
          <w:bottom w:w="0" w:type="dxa"/>
          <w:right w:w="0" w:type="dxa"/>
        </w:tblCellMar>
      </w:tblPr>
      <w:tblGrid>
        <w:gridCol w:w="521"/>
        <w:gridCol w:w="1439"/>
        <w:gridCol w:w="2025"/>
        <w:gridCol w:w="1066"/>
        <w:gridCol w:w="1365"/>
        <w:gridCol w:w="1554"/>
        <w:gridCol w:w="1492"/>
      </w:tblGrid>
      <w:tr w14:paraId="001393BF">
        <w:tblPrEx>
          <w:tblCellMar>
            <w:top w:w="0" w:type="dxa"/>
            <w:left w:w="0" w:type="dxa"/>
            <w:bottom w:w="0" w:type="dxa"/>
            <w:right w:w="0" w:type="dxa"/>
          </w:tblCellMar>
        </w:tblPrEx>
        <w:trPr>
          <w:trHeight w:val="510" w:hRule="atLeast"/>
          <w:jc w:val="center"/>
        </w:trPr>
        <w:tc>
          <w:tcPr>
            <w:tcW w:w="2669" w:type="pct"/>
            <w:gridSpan w:val="4"/>
            <w:tcBorders>
              <w:top w:val="nil"/>
              <w:left w:val="nil"/>
              <w:bottom w:val="single" w:color="auto" w:sz="6" w:space="0"/>
              <w:right w:val="nil"/>
            </w:tcBorders>
            <w:vAlign w:val="center"/>
          </w:tcPr>
          <w:p w14:paraId="0CBCA5F6">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542" w:type="pct"/>
            <w:gridSpan w:val="2"/>
            <w:tcBorders>
              <w:top w:val="nil"/>
              <w:left w:val="nil"/>
              <w:bottom w:val="single" w:color="auto" w:sz="6" w:space="0"/>
              <w:right w:val="nil"/>
            </w:tcBorders>
            <w:vAlign w:val="center"/>
          </w:tcPr>
          <w:p w14:paraId="3C378AAF">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c>
          <w:tcPr>
            <w:tcW w:w="788" w:type="pct"/>
            <w:tcBorders>
              <w:top w:val="nil"/>
              <w:left w:val="nil"/>
              <w:bottom w:val="single" w:color="auto" w:sz="6" w:space="0"/>
              <w:right w:val="nil"/>
            </w:tcBorders>
            <w:vAlign w:val="center"/>
          </w:tcPr>
          <w:p w14:paraId="270CE8CB">
            <w:pPr>
              <w:adjustRightInd w:val="0"/>
              <w:jc w:val="left"/>
              <w:rPr>
                <w:rFonts w:hint="eastAsia" w:ascii="宋体" w:hAnsi="宋体" w:cs="宋体"/>
                <w:color w:val="000000" w:themeColor="text1"/>
                <w:szCs w:val="21"/>
                <w:highlight w:val="none"/>
                <w:lang w:val="zh-CN"/>
                <w14:textFill>
                  <w14:solidFill>
                    <w14:schemeClr w14:val="tx1"/>
                  </w14:solidFill>
                </w14:textFill>
              </w:rPr>
            </w:pPr>
          </w:p>
        </w:tc>
      </w:tr>
      <w:tr w14:paraId="352966E8">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04E2C692">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760" w:type="pct"/>
            <w:tcBorders>
              <w:top w:val="single" w:color="auto" w:sz="6" w:space="0"/>
              <w:left w:val="single" w:color="auto" w:sz="6" w:space="0"/>
              <w:bottom w:val="single" w:color="auto" w:sz="6" w:space="0"/>
              <w:right w:val="single" w:color="auto" w:sz="6" w:space="0"/>
            </w:tcBorders>
            <w:vAlign w:val="center"/>
          </w:tcPr>
          <w:p w14:paraId="0AE87CC0">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070" w:type="pct"/>
            <w:tcBorders>
              <w:top w:val="single" w:color="auto" w:sz="6" w:space="0"/>
              <w:left w:val="single" w:color="auto" w:sz="6" w:space="0"/>
              <w:bottom w:val="single" w:color="auto" w:sz="6" w:space="0"/>
              <w:right w:val="single" w:color="auto" w:sz="6" w:space="0"/>
            </w:tcBorders>
            <w:vAlign w:val="center"/>
          </w:tcPr>
          <w:p w14:paraId="14067D96">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80CA0EF">
            <w:pPr>
              <w:adjustRightInd w:val="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820" w:type="pct"/>
            <w:tcBorders>
              <w:top w:val="single" w:color="auto" w:sz="6" w:space="0"/>
              <w:left w:val="single" w:color="auto" w:sz="6" w:space="0"/>
              <w:bottom w:val="single" w:color="auto" w:sz="6" w:space="0"/>
              <w:right w:val="single" w:color="auto" w:sz="6" w:space="0"/>
            </w:tcBorders>
            <w:vAlign w:val="center"/>
          </w:tcPr>
          <w:p w14:paraId="7786C890">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c>
          <w:tcPr>
            <w:tcW w:w="788" w:type="pct"/>
            <w:tcBorders>
              <w:top w:val="single" w:color="auto" w:sz="6" w:space="0"/>
              <w:left w:val="single" w:color="auto" w:sz="6" w:space="0"/>
              <w:bottom w:val="single" w:color="auto" w:sz="6" w:space="0"/>
              <w:right w:val="single" w:color="auto" w:sz="6" w:space="0"/>
            </w:tcBorders>
            <w:vAlign w:val="center"/>
          </w:tcPr>
          <w:p w14:paraId="3763C90E">
            <w:pPr>
              <w:adjustRightInd w:val="0"/>
              <w:jc w:val="center"/>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对应页码</w:t>
            </w:r>
          </w:p>
        </w:tc>
      </w:tr>
      <w:tr w14:paraId="528EB8DA">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296B999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1FEEFAF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2E1F6EF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6EFBB6B">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820" w:type="pct"/>
            <w:tcBorders>
              <w:top w:val="single" w:color="auto" w:sz="6" w:space="0"/>
              <w:left w:val="single" w:color="auto" w:sz="6" w:space="0"/>
              <w:bottom w:val="single" w:color="auto" w:sz="6" w:space="0"/>
              <w:right w:val="single" w:color="auto" w:sz="6" w:space="0"/>
            </w:tcBorders>
            <w:vAlign w:val="center"/>
          </w:tcPr>
          <w:p w14:paraId="35F59D43">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88" w:type="pct"/>
            <w:tcBorders>
              <w:top w:val="single" w:color="auto" w:sz="6" w:space="0"/>
              <w:left w:val="single" w:color="auto" w:sz="6" w:space="0"/>
              <w:bottom w:val="single" w:color="auto" w:sz="6" w:space="0"/>
              <w:right w:val="single" w:color="auto" w:sz="6" w:space="0"/>
            </w:tcBorders>
            <w:vAlign w:val="center"/>
          </w:tcPr>
          <w:p w14:paraId="58D93DA2">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52AC7C8D">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2BEA074F">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C273638">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757D7F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005CFFE">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820" w:type="pct"/>
            <w:tcBorders>
              <w:top w:val="single" w:color="auto" w:sz="6" w:space="0"/>
              <w:left w:val="single" w:color="auto" w:sz="6" w:space="0"/>
              <w:bottom w:val="single" w:color="auto" w:sz="6" w:space="0"/>
              <w:right w:val="single" w:color="auto" w:sz="6" w:space="0"/>
            </w:tcBorders>
            <w:vAlign w:val="center"/>
          </w:tcPr>
          <w:p w14:paraId="1A08F6E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88" w:type="pct"/>
            <w:tcBorders>
              <w:top w:val="single" w:color="auto" w:sz="6" w:space="0"/>
              <w:left w:val="single" w:color="auto" w:sz="6" w:space="0"/>
              <w:bottom w:val="single" w:color="auto" w:sz="6" w:space="0"/>
              <w:right w:val="single" w:color="auto" w:sz="6" w:space="0"/>
            </w:tcBorders>
            <w:vAlign w:val="center"/>
          </w:tcPr>
          <w:p w14:paraId="12AA5E93">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5DE7C3CA">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1AD6DD68">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FF8ADC2">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22EB03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429EA92">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820" w:type="pct"/>
            <w:tcBorders>
              <w:top w:val="single" w:color="auto" w:sz="6" w:space="0"/>
              <w:left w:val="single" w:color="auto" w:sz="6" w:space="0"/>
              <w:bottom w:val="single" w:color="auto" w:sz="6" w:space="0"/>
              <w:right w:val="single" w:color="auto" w:sz="6" w:space="0"/>
            </w:tcBorders>
            <w:vAlign w:val="center"/>
          </w:tcPr>
          <w:p w14:paraId="2718A14E">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88" w:type="pct"/>
            <w:tcBorders>
              <w:top w:val="single" w:color="auto" w:sz="6" w:space="0"/>
              <w:left w:val="single" w:color="auto" w:sz="6" w:space="0"/>
              <w:bottom w:val="single" w:color="auto" w:sz="6" w:space="0"/>
              <w:right w:val="single" w:color="auto" w:sz="6" w:space="0"/>
            </w:tcBorders>
            <w:vAlign w:val="center"/>
          </w:tcPr>
          <w:p w14:paraId="362B098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4253B125">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1759BEC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68F86973">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CF2517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72C49A1">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820" w:type="pct"/>
            <w:tcBorders>
              <w:top w:val="single" w:color="auto" w:sz="6" w:space="0"/>
              <w:left w:val="single" w:color="auto" w:sz="6" w:space="0"/>
              <w:bottom w:val="single" w:color="auto" w:sz="6" w:space="0"/>
              <w:right w:val="single" w:color="auto" w:sz="6" w:space="0"/>
            </w:tcBorders>
            <w:vAlign w:val="center"/>
          </w:tcPr>
          <w:p w14:paraId="19116195">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88" w:type="pct"/>
            <w:tcBorders>
              <w:top w:val="single" w:color="auto" w:sz="6" w:space="0"/>
              <w:left w:val="single" w:color="auto" w:sz="6" w:space="0"/>
              <w:bottom w:val="single" w:color="auto" w:sz="6" w:space="0"/>
              <w:right w:val="single" w:color="auto" w:sz="6" w:space="0"/>
            </w:tcBorders>
            <w:vAlign w:val="center"/>
          </w:tcPr>
          <w:p w14:paraId="5B49F8BB">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603D2ADD">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100C533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3E1F7BE">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EEA10C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492C3EB">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820" w:type="pct"/>
            <w:tcBorders>
              <w:top w:val="single" w:color="auto" w:sz="6" w:space="0"/>
              <w:left w:val="single" w:color="auto" w:sz="6" w:space="0"/>
              <w:bottom w:val="single" w:color="auto" w:sz="6" w:space="0"/>
              <w:right w:val="single" w:color="auto" w:sz="6" w:space="0"/>
            </w:tcBorders>
            <w:vAlign w:val="center"/>
          </w:tcPr>
          <w:p w14:paraId="0D72BA22">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88" w:type="pct"/>
            <w:tcBorders>
              <w:top w:val="single" w:color="auto" w:sz="6" w:space="0"/>
              <w:left w:val="single" w:color="auto" w:sz="6" w:space="0"/>
              <w:bottom w:val="single" w:color="auto" w:sz="6" w:space="0"/>
              <w:right w:val="single" w:color="auto" w:sz="6" w:space="0"/>
            </w:tcBorders>
            <w:vAlign w:val="center"/>
          </w:tcPr>
          <w:p w14:paraId="08AC276A">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7E309620">
        <w:tblPrEx>
          <w:tblCellMar>
            <w:top w:w="0" w:type="dxa"/>
            <w:left w:w="0" w:type="dxa"/>
            <w:bottom w:w="0" w:type="dxa"/>
            <w:right w:w="0" w:type="dxa"/>
          </w:tblCellMar>
        </w:tblPrEx>
        <w:trPr>
          <w:trHeight w:val="510" w:hRule="atLeast"/>
          <w:jc w:val="center"/>
        </w:trPr>
        <w:tc>
          <w:tcPr>
            <w:tcW w:w="276" w:type="pct"/>
            <w:tcBorders>
              <w:top w:val="single" w:color="auto" w:sz="6" w:space="0"/>
              <w:left w:val="single" w:color="auto" w:sz="6" w:space="0"/>
              <w:bottom w:val="single" w:color="auto" w:sz="6" w:space="0"/>
              <w:right w:val="single" w:color="auto" w:sz="6" w:space="0"/>
            </w:tcBorders>
            <w:vAlign w:val="center"/>
          </w:tcPr>
          <w:p w14:paraId="1D9E5A84">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5F0347F4">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BEC38DB">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04DDB8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820" w:type="pct"/>
            <w:tcBorders>
              <w:top w:val="single" w:color="auto" w:sz="6" w:space="0"/>
              <w:left w:val="single" w:color="auto" w:sz="6" w:space="0"/>
              <w:bottom w:val="single" w:color="auto" w:sz="6" w:space="0"/>
              <w:right w:val="single" w:color="auto" w:sz="6" w:space="0"/>
            </w:tcBorders>
            <w:vAlign w:val="center"/>
          </w:tcPr>
          <w:p w14:paraId="55EBF68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88" w:type="pct"/>
            <w:tcBorders>
              <w:top w:val="single" w:color="auto" w:sz="6" w:space="0"/>
              <w:left w:val="single" w:color="auto" w:sz="6" w:space="0"/>
              <w:bottom w:val="single" w:color="auto" w:sz="6" w:space="0"/>
              <w:right w:val="single" w:color="auto" w:sz="6" w:space="0"/>
            </w:tcBorders>
            <w:vAlign w:val="center"/>
          </w:tcPr>
          <w:p w14:paraId="468C1595">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bl>
    <w:p w14:paraId="14D650B9">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7CE38EAA">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40E4F835">
      <w:pPr>
        <w:widowControl/>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2B12EB30">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0FD5536D">
      <w:pPr>
        <w:pStyle w:val="17"/>
        <w:widowControl/>
        <w:numPr>
          <w:ilvl w:val="0"/>
          <w:numId w:val="62"/>
        </w:numPr>
        <w:spacing w:line="360" w:lineRule="auto"/>
        <w:ind w:firstLineChars="0"/>
        <w:rPr>
          <w:color w:val="000000" w:themeColor="text1"/>
          <w:highlight w:val="none"/>
          <w14:textFill>
            <w14:solidFill>
              <w14:schemeClr w14:val="tx1"/>
            </w14:solidFill>
          </w14:textFill>
        </w:rPr>
      </w:pPr>
      <w:r>
        <w:rPr>
          <w:rFonts w:asciiTheme="majorEastAsia" w:hAnsiTheme="majorEastAsia" w:eastAsiaTheme="majorEastAsia"/>
          <w:b/>
          <w:highlight w:val="none"/>
        </w:rPr>
        <w:t>按照</w:t>
      </w:r>
      <w:r>
        <w:rPr>
          <w:rFonts w:hint="eastAsia" w:asciiTheme="majorEastAsia" w:hAnsiTheme="majorEastAsia" w:eastAsiaTheme="majorEastAsia"/>
          <w:b/>
          <w:highlight w:val="none"/>
        </w:rPr>
        <w:t>“第四章 项目需求”中的“主要技术参数要求”</w:t>
      </w:r>
      <w:r>
        <w:rPr>
          <w:rFonts w:asciiTheme="majorEastAsia" w:hAnsiTheme="majorEastAsia" w:eastAsiaTheme="majorEastAsia"/>
          <w:b/>
          <w:highlight w:val="none"/>
        </w:rPr>
        <w:t>详细填列</w:t>
      </w:r>
      <w:r>
        <w:rPr>
          <w:rFonts w:hint="eastAsia" w:asciiTheme="majorEastAsia" w:hAnsiTheme="majorEastAsia" w:eastAsiaTheme="majorEastAsia"/>
          <w:b/>
          <w:highlight w:val="none"/>
        </w:rPr>
        <w:t>，</w:t>
      </w:r>
      <w:r>
        <w:rPr>
          <w:color w:val="000000" w:themeColor="text1"/>
          <w:highlight w:val="none"/>
          <w14:textFill>
            <w14:solidFill>
              <w14:schemeClr w14:val="tx1"/>
            </w14:solidFill>
          </w14:textFill>
        </w:rPr>
        <w:t>如果行数不够，请自行增加；</w:t>
      </w:r>
    </w:p>
    <w:p w14:paraId="05EE3EEA">
      <w:pPr>
        <w:pStyle w:val="17"/>
        <w:widowControl/>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1FF040F8">
      <w:pPr>
        <w:pStyle w:val="17"/>
        <w:widowControl/>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w:t>
      </w:r>
      <w:r>
        <w:rPr>
          <w:rFonts w:hint="eastAsia"/>
          <w:color w:val="000000" w:themeColor="text1"/>
          <w:highlight w:val="none"/>
          <w14:textFill>
            <w14:solidFill>
              <w14:schemeClr w14:val="tx1"/>
            </w14:solidFill>
          </w14:textFill>
        </w:rPr>
        <w:t>情况</w:t>
      </w:r>
      <w:r>
        <w:rPr>
          <w:color w:val="000000" w:themeColor="text1"/>
          <w:highlight w:val="none"/>
          <w14:textFill>
            <w14:solidFill>
              <w14:schemeClr w14:val="tx1"/>
            </w14:solidFill>
          </w14:textFill>
        </w:rPr>
        <w:t>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5EF93924">
      <w:pPr>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1A120C1F">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六</w:t>
      </w:r>
      <w:r>
        <w:rPr>
          <w:b/>
          <w:color w:val="000000" w:themeColor="text1"/>
          <w:highlight w:val="none"/>
          <w14:textFill>
            <w14:solidFill>
              <w14:schemeClr w14:val="tx1"/>
            </w14:solidFill>
          </w14:textFill>
        </w:rPr>
        <w:t>、商务条款偏离表</w:t>
      </w:r>
    </w:p>
    <w:p w14:paraId="4167C645">
      <w:pPr>
        <w:pStyle w:val="266"/>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79EFB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52E2A12">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14:paraId="1710C8B0">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68C6D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CDBC457">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14:paraId="16083C2A">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14:paraId="54F8C2CA">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14:paraId="6655ADAD">
            <w:pPr>
              <w:adjustRightInd w:val="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709" w:type="pct"/>
            <w:vAlign w:val="center"/>
          </w:tcPr>
          <w:p w14:paraId="7FF4AE12">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3AD6C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FEA4938">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4A07C0B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2678D804">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503D963">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7FB76CD3">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182E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DA58BC1">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32EF427B">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1FD63A95">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78922E0F">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1AFDDDA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2990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82E3ADB">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6094A8DE">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421F272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02E39EB">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4870C70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13078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6069812">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6604BCE2">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5ECF1BD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A6BFCF8">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2BD48538">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5B89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2F8DC2A">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4022F64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184EAC0E">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1D2B59A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231AF08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28499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75D94A5">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1C1C4C65">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04AB78F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14D418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4BD793AF">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1BD94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9485F62">
            <w:pPr>
              <w:jc w:val="center"/>
              <w:rPr>
                <w:rFonts w:hint="eastAsia" w:ascii="宋体" w:hAnsi="宋体" w:cs="Arial"/>
                <w:color w:val="000000" w:themeColor="text1"/>
                <w:szCs w:val="21"/>
                <w:highlight w:val="none"/>
                <w14:textFill>
                  <w14:solidFill>
                    <w14:schemeClr w14:val="tx1"/>
                  </w14:solidFill>
                </w14:textFill>
              </w:rPr>
            </w:pPr>
          </w:p>
        </w:tc>
        <w:tc>
          <w:tcPr>
            <w:tcW w:w="974" w:type="pct"/>
            <w:vAlign w:val="center"/>
          </w:tcPr>
          <w:p w14:paraId="5880034C">
            <w:pPr>
              <w:jc w:val="center"/>
              <w:rPr>
                <w:rFonts w:hint="eastAsia" w:ascii="宋体" w:hAnsi="宋体" w:cs="Arial"/>
                <w:color w:val="000000" w:themeColor="text1"/>
                <w:szCs w:val="21"/>
                <w:highlight w:val="none"/>
                <w14:textFill>
                  <w14:solidFill>
                    <w14:schemeClr w14:val="tx1"/>
                  </w14:solidFill>
                </w14:textFill>
              </w:rPr>
            </w:pPr>
          </w:p>
        </w:tc>
        <w:tc>
          <w:tcPr>
            <w:tcW w:w="1515" w:type="pct"/>
            <w:vAlign w:val="center"/>
          </w:tcPr>
          <w:p w14:paraId="420B6C80">
            <w:pPr>
              <w:jc w:val="center"/>
              <w:rPr>
                <w:rFonts w:hint="eastAsia" w:ascii="宋体" w:hAnsi="宋体" w:cs="Arial"/>
                <w:color w:val="000000" w:themeColor="text1"/>
                <w:szCs w:val="21"/>
                <w:highlight w:val="none"/>
                <w14:textFill>
                  <w14:solidFill>
                    <w14:schemeClr w14:val="tx1"/>
                  </w14:solidFill>
                </w14:textFill>
              </w:rPr>
            </w:pPr>
          </w:p>
        </w:tc>
        <w:tc>
          <w:tcPr>
            <w:tcW w:w="1364" w:type="pct"/>
            <w:gridSpan w:val="2"/>
            <w:vAlign w:val="center"/>
          </w:tcPr>
          <w:p w14:paraId="4B4E47EF">
            <w:pPr>
              <w:jc w:val="center"/>
              <w:rPr>
                <w:rFonts w:hint="eastAsia" w:ascii="宋体" w:hAnsi="宋体" w:cs="Arial"/>
                <w:color w:val="000000" w:themeColor="text1"/>
                <w:szCs w:val="21"/>
                <w:highlight w:val="none"/>
                <w14:textFill>
                  <w14:solidFill>
                    <w14:schemeClr w14:val="tx1"/>
                  </w14:solidFill>
                </w14:textFill>
              </w:rPr>
            </w:pPr>
          </w:p>
        </w:tc>
        <w:tc>
          <w:tcPr>
            <w:tcW w:w="709" w:type="pct"/>
            <w:vAlign w:val="center"/>
          </w:tcPr>
          <w:p w14:paraId="152A8913">
            <w:pPr>
              <w:jc w:val="center"/>
              <w:rPr>
                <w:rFonts w:hint="eastAsia" w:ascii="宋体" w:hAnsi="宋体" w:cs="Arial"/>
                <w:color w:val="000000" w:themeColor="text1"/>
                <w:szCs w:val="21"/>
                <w:highlight w:val="none"/>
                <w14:textFill>
                  <w14:solidFill>
                    <w14:schemeClr w14:val="tx1"/>
                  </w14:solidFill>
                </w14:textFill>
              </w:rPr>
            </w:pPr>
          </w:p>
        </w:tc>
      </w:tr>
    </w:tbl>
    <w:p w14:paraId="7A1C9307">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35417C70">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2C4FA922">
      <w:pPr>
        <w:widowControl/>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07184C08">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4A2977BE">
      <w:pPr>
        <w:pStyle w:val="17"/>
        <w:widowControl/>
        <w:numPr>
          <w:ilvl w:val="0"/>
          <w:numId w:val="6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33E38DA4">
      <w:pPr>
        <w:pStyle w:val="17"/>
        <w:widowControl/>
        <w:numPr>
          <w:ilvl w:val="0"/>
          <w:numId w:val="6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3BBD8958">
      <w:pPr>
        <w:pStyle w:val="17"/>
        <w:widowControl/>
        <w:numPr>
          <w:ilvl w:val="0"/>
          <w:numId w:val="63"/>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供应商必须仔细阅读比选文件第四章“项目需求”以及第五章“合同主要条款及格式”中所有商务条款和相关服务要求，并对所有商务条款和服务要求偏离的条目列入上表。</w:t>
      </w:r>
      <w:r>
        <w:rPr>
          <w:color w:val="000000" w:themeColor="text1"/>
          <w:highlight w:val="none"/>
          <w14:textFill>
            <w14:solidFill>
              <w14:schemeClr w14:val="tx1"/>
            </w14:solidFill>
          </w14:textFill>
        </w:rPr>
        <w:t>响应</w:t>
      </w:r>
      <w:r>
        <w:rPr>
          <w:rFonts w:hint="eastAsia"/>
          <w:color w:val="000000" w:themeColor="text1"/>
          <w:highlight w:val="none"/>
          <w14:textFill>
            <w14:solidFill>
              <w14:schemeClr w14:val="tx1"/>
            </w14:solidFill>
          </w14:textFill>
        </w:rPr>
        <w:t>情况</w:t>
      </w:r>
      <w:r>
        <w:rPr>
          <w:color w:val="000000" w:themeColor="text1"/>
          <w:highlight w:val="none"/>
          <w14:textFill>
            <w14:solidFill>
              <w14:schemeClr w14:val="tx1"/>
            </w14:solidFill>
          </w14:textFill>
        </w:rPr>
        <w:t>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714ADAB8">
      <w:pPr>
        <w:spacing w:line="360" w:lineRule="auto"/>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5FB5B84F">
      <w:pPr>
        <w:pStyle w:val="17"/>
        <w:numPr>
          <w:ilvl w:val="255"/>
          <w:numId w:val="0"/>
        </w:numPr>
        <w:spacing w:line="360" w:lineRule="auto"/>
        <w:ind w:left="420"/>
        <w:outlineLvl w:val="1"/>
        <w:rPr>
          <w:b/>
          <w:color w:val="000000" w:themeColor="text1"/>
          <w:highlight w:val="none"/>
          <w14:textFill>
            <w14:solidFill>
              <w14:schemeClr w14:val="tx1"/>
            </w14:solidFill>
          </w14:textFill>
        </w:rPr>
      </w:pPr>
      <w:bookmarkStart w:id="17" w:name="_Toc202786551"/>
      <w:bookmarkStart w:id="18" w:name="_Toc87364929"/>
      <w:r>
        <w:rPr>
          <w:rFonts w:hint="eastAsia"/>
          <w:b/>
          <w:color w:val="000000" w:themeColor="text1"/>
          <w:highlight w:val="none"/>
          <w14:textFill>
            <w14:solidFill>
              <w14:schemeClr w14:val="tx1"/>
            </w14:solidFill>
          </w14:textFill>
        </w:rPr>
        <w:t>七、</w:t>
      </w:r>
      <w:bookmarkEnd w:id="17"/>
      <w:bookmarkEnd w:id="18"/>
      <w:r>
        <w:rPr>
          <w:b/>
          <w:color w:val="000000" w:themeColor="text1"/>
          <w:highlight w:val="none"/>
          <w14:textFill>
            <w14:solidFill>
              <w14:schemeClr w14:val="tx1"/>
            </w14:solidFill>
          </w14:textFill>
        </w:rPr>
        <w:t>评分项审查材料</w:t>
      </w:r>
    </w:p>
    <w:p w14:paraId="4959CA79">
      <w:pPr>
        <w:spacing w:line="360" w:lineRule="auto"/>
        <w:jc w:val="left"/>
        <w:rPr>
          <w:rFonts w:hint="default" w:asciiTheme="majorEastAsia" w:hAnsiTheme="majorEastAsia" w:eastAsiaTheme="majorEastAsia"/>
          <w:b/>
          <w:sz w:val="24"/>
          <w:szCs w:val="24"/>
          <w:highlight w:val="none"/>
          <w:lang w:val="en-US" w:eastAsia="zh-CN"/>
        </w:rPr>
      </w:pPr>
      <w:r>
        <w:rPr>
          <w:rFonts w:hint="eastAsia" w:asciiTheme="majorEastAsia" w:hAnsiTheme="majorEastAsia" w:eastAsiaTheme="majorEastAsia"/>
          <w:b/>
          <w:sz w:val="24"/>
          <w:szCs w:val="24"/>
          <w:highlight w:val="none"/>
        </w:rPr>
        <w:t>7</w:t>
      </w:r>
      <w:r>
        <w:rPr>
          <w:rFonts w:asciiTheme="majorEastAsia" w:hAnsiTheme="majorEastAsia" w:eastAsiaTheme="majorEastAsia"/>
          <w:b/>
          <w:sz w:val="24"/>
          <w:szCs w:val="24"/>
          <w:highlight w:val="none"/>
        </w:rPr>
        <w:t>.</w:t>
      </w:r>
      <w:r>
        <w:rPr>
          <w:rFonts w:hint="eastAsia" w:asciiTheme="majorEastAsia" w:hAnsiTheme="majorEastAsia" w:eastAsiaTheme="majorEastAsia"/>
          <w:b/>
          <w:sz w:val="24"/>
          <w:szCs w:val="24"/>
          <w:highlight w:val="none"/>
        </w:rPr>
        <w:t>1</w:t>
      </w:r>
      <w:r>
        <w:rPr>
          <w:rFonts w:hint="eastAsia" w:asciiTheme="majorEastAsia" w:hAnsiTheme="majorEastAsia" w:eastAsiaTheme="majorEastAsia"/>
          <w:b/>
          <w:sz w:val="24"/>
          <w:szCs w:val="24"/>
          <w:highlight w:val="none"/>
          <w:lang w:val="en-US" w:eastAsia="zh-CN"/>
        </w:rPr>
        <w:t xml:space="preserve"> 产品综合评价</w:t>
      </w:r>
    </w:p>
    <w:p w14:paraId="73CF12B6">
      <w:pPr>
        <w:spacing w:before="240" w:beforeLines="100" w:line="360" w:lineRule="auto"/>
        <w:ind w:firstLine="480" w:firstLineChars="200"/>
        <w:jc w:val="left"/>
        <w:rPr>
          <w:rFonts w:hint="eastAsia" w:asciiTheme="majorEastAsia" w:hAnsiTheme="majorEastAsia" w:eastAsiaTheme="majorEastAsia"/>
          <w:b w:val="0"/>
          <w:bCs/>
          <w:sz w:val="24"/>
          <w:szCs w:val="24"/>
          <w:highlight w:val="none"/>
          <w:lang w:val="en-US" w:eastAsia="zh-CN"/>
        </w:rPr>
      </w:pPr>
      <w:r>
        <w:rPr>
          <w:rFonts w:hint="eastAsia" w:asciiTheme="majorEastAsia" w:hAnsiTheme="majorEastAsia" w:eastAsiaTheme="majorEastAsia"/>
          <w:b w:val="0"/>
          <w:bCs/>
          <w:sz w:val="24"/>
          <w:szCs w:val="24"/>
          <w:highlight w:val="none"/>
          <w:lang w:val="en-US" w:eastAsia="zh-CN"/>
        </w:rPr>
        <w:t>根据要求提供。</w:t>
      </w:r>
    </w:p>
    <w:p w14:paraId="71A3A852">
      <w:pPr>
        <w:spacing w:before="240" w:beforeLines="100" w:line="360" w:lineRule="auto"/>
        <w:jc w:val="left"/>
        <w:rPr>
          <w:rFonts w:hint="default" w:asciiTheme="majorEastAsia" w:hAnsiTheme="majorEastAsia" w:eastAsiaTheme="majorEastAsia"/>
          <w:b/>
          <w:sz w:val="24"/>
          <w:szCs w:val="24"/>
          <w:highlight w:val="none"/>
          <w:lang w:val="en-US" w:eastAsia="zh-CN"/>
        </w:rPr>
      </w:pPr>
      <w:r>
        <w:rPr>
          <w:rFonts w:hint="eastAsia" w:asciiTheme="majorEastAsia" w:hAnsiTheme="majorEastAsia" w:eastAsiaTheme="majorEastAsia"/>
          <w:b/>
          <w:sz w:val="24"/>
          <w:szCs w:val="24"/>
          <w:highlight w:val="none"/>
        </w:rPr>
        <w:t>7.2</w:t>
      </w:r>
      <w:r>
        <w:rPr>
          <w:rFonts w:hint="eastAsia" w:asciiTheme="majorEastAsia" w:hAnsiTheme="majorEastAsia" w:eastAsiaTheme="majorEastAsia"/>
          <w:b/>
          <w:sz w:val="24"/>
          <w:szCs w:val="24"/>
          <w:highlight w:val="none"/>
          <w:lang w:val="en-US" w:eastAsia="zh-CN"/>
        </w:rPr>
        <w:t>项目实施方案</w:t>
      </w:r>
    </w:p>
    <w:p w14:paraId="5810F05C">
      <w:pPr>
        <w:spacing w:before="240" w:beforeLines="100" w:line="360" w:lineRule="auto"/>
        <w:ind w:firstLine="480" w:firstLineChars="200"/>
        <w:jc w:val="left"/>
        <w:rPr>
          <w:rFonts w:hint="eastAsia" w:ascii="宋体" w:hAnsi="宋体"/>
          <w:bCs/>
          <w:szCs w:val="21"/>
          <w:highlight w:val="none"/>
        </w:rPr>
      </w:pPr>
      <w:r>
        <w:rPr>
          <w:rFonts w:hint="eastAsia" w:asciiTheme="majorEastAsia" w:hAnsiTheme="majorEastAsia" w:eastAsiaTheme="majorEastAsia"/>
          <w:b w:val="0"/>
          <w:bCs/>
          <w:sz w:val="24"/>
          <w:szCs w:val="24"/>
          <w:highlight w:val="none"/>
          <w:lang w:val="en-US" w:eastAsia="zh-CN"/>
        </w:rPr>
        <w:t>根据要求提供</w:t>
      </w:r>
      <w:r>
        <w:rPr>
          <w:rFonts w:hint="eastAsia" w:ascii="宋体" w:hAnsi="宋体"/>
          <w:bCs/>
          <w:szCs w:val="21"/>
          <w:highlight w:val="none"/>
        </w:rPr>
        <w:t>。</w:t>
      </w:r>
    </w:p>
    <w:p w14:paraId="17B5EE38">
      <w:pPr>
        <w:spacing w:before="240" w:beforeLines="100" w:line="360" w:lineRule="auto"/>
        <w:ind w:firstLine="420" w:firstLineChars="200"/>
        <w:jc w:val="left"/>
        <w:rPr>
          <w:rFonts w:hint="eastAsia" w:ascii="宋体" w:hAnsi="宋体"/>
          <w:bCs/>
          <w:szCs w:val="21"/>
          <w:highlight w:val="none"/>
        </w:rPr>
      </w:pPr>
    </w:p>
    <w:p w14:paraId="49FF4CF8">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7.3售后服务方案</w:t>
      </w:r>
    </w:p>
    <w:p w14:paraId="62389A89">
      <w:pPr>
        <w:spacing w:line="360" w:lineRule="auto"/>
        <w:ind w:firstLine="480" w:firstLineChars="200"/>
        <w:jc w:val="left"/>
        <w:rPr>
          <w:rFonts w:hint="eastAsia" w:ascii="宋体" w:hAnsi="宋体"/>
          <w:bCs/>
          <w:szCs w:val="21"/>
          <w:highlight w:val="none"/>
        </w:rPr>
      </w:pPr>
      <w:r>
        <w:rPr>
          <w:rFonts w:hint="eastAsia" w:asciiTheme="majorEastAsia" w:hAnsiTheme="majorEastAsia" w:eastAsiaTheme="majorEastAsia"/>
          <w:b w:val="0"/>
          <w:bCs/>
          <w:sz w:val="24"/>
          <w:szCs w:val="24"/>
          <w:highlight w:val="none"/>
          <w:lang w:val="en-US" w:eastAsia="zh-CN"/>
        </w:rPr>
        <w:t>根据要求提供</w:t>
      </w:r>
      <w:r>
        <w:rPr>
          <w:rFonts w:hint="eastAsia" w:ascii="宋体" w:hAnsi="宋体"/>
          <w:bCs/>
          <w:szCs w:val="21"/>
          <w:highlight w:val="none"/>
        </w:rPr>
        <w:t>。</w:t>
      </w:r>
    </w:p>
    <w:p w14:paraId="308D6ECF">
      <w:pPr>
        <w:pStyle w:val="60"/>
        <w:rPr>
          <w:highlight w:val="none"/>
        </w:rPr>
      </w:pPr>
    </w:p>
    <w:p w14:paraId="3CE0CA66">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7.4培训方案</w:t>
      </w:r>
    </w:p>
    <w:p w14:paraId="16C184AC">
      <w:pPr>
        <w:spacing w:line="360" w:lineRule="auto"/>
        <w:ind w:firstLine="480" w:firstLineChars="200"/>
        <w:jc w:val="left"/>
        <w:rPr>
          <w:rFonts w:hint="eastAsia" w:ascii="宋体" w:hAnsi="宋体"/>
          <w:bCs/>
          <w:szCs w:val="21"/>
          <w:highlight w:val="none"/>
        </w:rPr>
      </w:pPr>
      <w:r>
        <w:rPr>
          <w:rFonts w:hint="eastAsia" w:asciiTheme="majorEastAsia" w:hAnsiTheme="majorEastAsia" w:eastAsiaTheme="majorEastAsia"/>
          <w:b w:val="0"/>
          <w:bCs/>
          <w:sz w:val="24"/>
          <w:szCs w:val="24"/>
          <w:highlight w:val="none"/>
          <w:lang w:val="en-US" w:eastAsia="zh-CN"/>
        </w:rPr>
        <w:t>根据要求提供</w:t>
      </w:r>
      <w:r>
        <w:rPr>
          <w:rFonts w:hint="eastAsia" w:ascii="宋体" w:hAnsi="宋体"/>
          <w:bCs/>
          <w:szCs w:val="21"/>
          <w:highlight w:val="none"/>
        </w:rPr>
        <w:t>。</w:t>
      </w:r>
    </w:p>
    <w:p w14:paraId="190B7741">
      <w:pPr>
        <w:pStyle w:val="60"/>
        <w:rPr>
          <w:highlight w:val="none"/>
        </w:rPr>
      </w:pPr>
    </w:p>
    <w:p w14:paraId="67EAB800">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7.5质保期（格式自拟）</w:t>
      </w:r>
    </w:p>
    <w:p w14:paraId="32A1CB77">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提供《质保期承诺书》（格式自拟）</w:t>
      </w:r>
    </w:p>
    <w:p w14:paraId="04076A8D">
      <w:pPr>
        <w:pStyle w:val="60"/>
        <w:rPr>
          <w:highlight w:val="none"/>
        </w:rPr>
      </w:pPr>
    </w:p>
    <w:p w14:paraId="2B8F604A">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7.6业绩</w:t>
      </w:r>
    </w:p>
    <w:p w14:paraId="366DD225">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根据要求提供</w:t>
      </w:r>
      <w:r>
        <w:rPr>
          <w:rFonts w:hint="eastAsia" w:ascii="宋体" w:hAnsi="宋体" w:cs="宋体"/>
          <w:sz w:val="24"/>
          <w:szCs w:val="24"/>
          <w:highlight w:val="none"/>
        </w:rPr>
        <w:t>。</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4"/>
        <w:gridCol w:w="2696"/>
        <w:gridCol w:w="2696"/>
        <w:gridCol w:w="2696"/>
      </w:tblGrid>
      <w:tr w14:paraId="1CA30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2E23B86C">
            <w:pPr>
              <w:jc w:val="center"/>
              <w:rPr>
                <w:rFonts w:hint="eastAsia" w:ascii="宋体" w:hAnsi="宋体"/>
                <w:sz w:val="24"/>
                <w:szCs w:val="24"/>
                <w:highlight w:val="none"/>
              </w:rPr>
            </w:pPr>
            <w:r>
              <w:rPr>
                <w:rFonts w:hint="eastAsia" w:ascii="宋体" w:hAnsi="宋体"/>
                <w:sz w:val="24"/>
                <w:szCs w:val="24"/>
                <w:highlight w:val="none"/>
              </w:rPr>
              <w:t>序号</w:t>
            </w:r>
          </w:p>
        </w:tc>
        <w:tc>
          <w:tcPr>
            <w:tcW w:w="1392" w:type="pct"/>
            <w:vAlign w:val="center"/>
          </w:tcPr>
          <w:p w14:paraId="2B66DF0D">
            <w:pPr>
              <w:jc w:val="center"/>
              <w:rPr>
                <w:rFonts w:hint="eastAsia" w:ascii="宋体" w:hAnsi="宋体"/>
                <w:sz w:val="24"/>
                <w:szCs w:val="24"/>
                <w:highlight w:val="none"/>
              </w:rPr>
            </w:pPr>
            <w:r>
              <w:rPr>
                <w:rFonts w:hint="eastAsia" w:ascii="宋体" w:hAnsi="宋体"/>
                <w:sz w:val="24"/>
                <w:szCs w:val="24"/>
                <w:highlight w:val="none"/>
              </w:rPr>
              <w:t>合同名称</w:t>
            </w:r>
          </w:p>
        </w:tc>
        <w:tc>
          <w:tcPr>
            <w:tcW w:w="1392" w:type="pct"/>
            <w:vAlign w:val="center"/>
          </w:tcPr>
          <w:p w14:paraId="2487CB11">
            <w:pPr>
              <w:jc w:val="center"/>
              <w:rPr>
                <w:rFonts w:hint="eastAsia" w:ascii="宋体" w:hAnsi="宋体"/>
                <w:sz w:val="24"/>
                <w:szCs w:val="24"/>
                <w:highlight w:val="none"/>
              </w:rPr>
            </w:pPr>
            <w:r>
              <w:rPr>
                <w:rFonts w:hint="eastAsia" w:ascii="宋体" w:hAnsi="宋体"/>
                <w:sz w:val="24"/>
                <w:szCs w:val="24"/>
                <w:highlight w:val="none"/>
              </w:rPr>
              <w:t>签订日期</w:t>
            </w:r>
          </w:p>
        </w:tc>
        <w:tc>
          <w:tcPr>
            <w:tcW w:w="1392" w:type="pct"/>
            <w:vAlign w:val="center"/>
          </w:tcPr>
          <w:p w14:paraId="088620BF">
            <w:pPr>
              <w:jc w:val="center"/>
              <w:rPr>
                <w:rFonts w:hint="eastAsia" w:ascii="宋体" w:hAnsi="宋体"/>
                <w:sz w:val="24"/>
                <w:szCs w:val="24"/>
                <w:highlight w:val="none"/>
              </w:rPr>
            </w:pPr>
            <w:r>
              <w:rPr>
                <w:rFonts w:hint="eastAsia" w:ascii="宋体" w:hAnsi="宋体"/>
                <w:sz w:val="24"/>
                <w:szCs w:val="24"/>
                <w:highlight w:val="none"/>
              </w:rPr>
              <w:t>涉及产品</w:t>
            </w:r>
          </w:p>
        </w:tc>
      </w:tr>
      <w:tr w14:paraId="02751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34C9FD3F">
            <w:pPr>
              <w:jc w:val="left"/>
              <w:rPr>
                <w:rFonts w:hint="eastAsia" w:ascii="宋体" w:hAnsi="宋体"/>
                <w:sz w:val="24"/>
                <w:szCs w:val="24"/>
                <w:highlight w:val="none"/>
              </w:rPr>
            </w:pPr>
          </w:p>
        </w:tc>
        <w:tc>
          <w:tcPr>
            <w:tcW w:w="1392" w:type="pct"/>
            <w:vAlign w:val="center"/>
          </w:tcPr>
          <w:p w14:paraId="4405391F">
            <w:pPr>
              <w:jc w:val="left"/>
              <w:rPr>
                <w:rFonts w:hint="eastAsia" w:ascii="宋体" w:hAnsi="宋体"/>
                <w:sz w:val="24"/>
                <w:szCs w:val="24"/>
                <w:highlight w:val="none"/>
              </w:rPr>
            </w:pPr>
          </w:p>
        </w:tc>
        <w:tc>
          <w:tcPr>
            <w:tcW w:w="1392" w:type="pct"/>
            <w:vAlign w:val="center"/>
          </w:tcPr>
          <w:p w14:paraId="176D2EEF">
            <w:pPr>
              <w:jc w:val="left"/>
              <w:rPr>
                <w:rFonts w:hint="eastAsia" w:ascii="宋体" w:hAnsi="宋体"/>
                <w:sz w:val="24"/>
                <w:szCs w:val="24"/>
                <w:highlight w:val="none"/>
              </w:rPr>
            </w:pPr>
          </w:p>
        </w:tc>
        <w:tc>
          <w:tcPr>
            <w:tcW w:w="1392" w:type="pct"/>
            <w:vAlign w:val="center"/>
          </w:tcPr>
          <w:p w14:paraId="52AE440A">
            <w:pPr>
              <w:jc w:val="left"/>
              <w:rPr>
                <w:rFonts w:hint="eastAsia" w:ascii="宋体" w:hAnsi="宋体"/>
                <w:sz w:val="24"/>
                <w:szCs w:val="24"/>
                <w:highlight w:val="none"/>
              </w:rPr>
            </w:pPr>
          </w:p>
        </w:tc>
      </w:tr>
      <w:tr w14:paraId="3330D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61DFF21E">
            <w:pPr>
              <w:jc w:val="left"/>
              <w:rPr>
                <w:rFonts w:hint="eastAsia" w:ascii="宋体" w:hAnsi="宋体"/>
                <w:sz w:val="24"/>
                <w:szCs w:val="24"/>
                <w:highlight w:val="none"/>
              </w:rPr>
            </w:pPr>
          </w:p>
        </w:tc>
        <w:tc>
          <w:tcPr>
            <w:tcW w:w="1392" w:type="pct"/>
            <w:vAlign w:val="center"/>
          </w:tcPr>
          <w:p w14:paraId="67584177">
            <w:pPr>
              <w:jc w:val="left"/>
              <w:rPr>
                <w:rFonts w:hint="eastAsia" w:ascii="宋体" w:hAnsi="宋体"/>
                <w:sz w:val="24"/>
                <w:szCs w:val="24"/>
                <w:highlight w:val="none"/>
              </w:rPr>
            </w:pPr>
          </w:p>
        </w:tc>
        <w:tc>
          <w:tcPr>
            <w:tcW w:w="1392" w:type="pct"/>
            <w:vAlign w:val="center"/>
          </w:tcPr>
          <w:p w14:paraId="3FD45789">
            <w:pPr>
              <w:jc w:val="left"/>
              <w:rPr>
                <w:rFonts w:hint="eastAsia" w:ascii="宋体" w:hAnsi="宋体"/>
                <w:sz w:val="24"/>
                <w:szCs w:val="24"/>
                <w:highlight w:val="none"/>
              </w:rPr>
            </w:pPr>
          </w:p>
        </w:tc>
        <w:tc>
          <w:tcPr>
            <w:tcW w:w="1392" w:type="pct"/>
            <w:vAlign w:val="center"/>
          </w:tcPr>
          <w:p w14:paraId="502EEC6C">
            <w:pPr>
              <w:jc w:val="left"/>
              <w:rPr>
                <w:rFonts w:hint="eastAsia" w:ascii="宋体" w:hAnsi="宋体"/>
                <w:sz w:val="24"/>
                <w:szCs w:val="24"/>
                <w:highlight w:val="none"/>
              </w:rPr>
            </w:pPr>
          </w:p>
        </w:tc>
      </w:tr>
    </w:tbl>
    <w:p w14:paraId="7432B6F9">
      <w:pPr>
        <w:spacing w:line="360" w:lineRule="auto"/>
        <w:ind w:firstLine="480" w:firstLineChars="200"/>
        <w:jc w:val="left"/>
        <w:rPr>
          <w:rFonts w:hint="eastAsia" w:ascii="宋体" w:hAnsi="宋体"/>
          <w:sz w:val="24"/>
          <w:szCs w:val="24"/>
          <w:highlight w:val="none"/>
        </w:rPr>
      </w:pPr>
    </w:p>
    <w:p w14:paraId="58A25ED9">
      <w:pPr>
        <w:pStyle w:val="60"/>
        <w:rPr>
          <w:highlight w:val="none"/>
        </w:rPr>
      </w:pPr>
    </w:p>
    <w:p w14:paraId="681D965A">
      <w:pPr>
        <w:spacing w:line="360" w:lineRule="auto"/>
        <w:rPr>
          <w:rFonts w:hint="eastAsia" w:ascii="宋体" w:hAnsi="宋体"/>
          <w:b/>
          <w:color w:val="000000" w:themeColor="text1"/>
          <w:highlight w:val="none"/>
          <w14:textFill>
            <w14:solidFill>
              <w14:schemeClr w14:val="tx1"/>
            </w14:solidFill>
          </w14:textFill>
        </w:rPr>
      </w:pPr>
    </w:p>
    <w:p w14:paraId="521DEDA2">
      <w:pPr>
        <w:spacing w:line="360" w:lineRule="auto"/>
        <w:rPr>
          <w:rFonts w:hint="eastAsia" w:ascii="宋体" w:hAnsi="宋体"/>
          <w:b/>
          <w:color w:val="000000" w:themeColor="text1"/>
          <w:highlight w:val="none"/>
          <w14:textFill>
            <w14:solidFill>
              <w14:schemeClr w14:val="tx1"/>
            </w14:solidFill>
          </w14:textFill>
        </w:rPr>
      </w:pPr>
    </w:p>
    <w:p w14:paraId="6132521E">
      <w:pPr>
        <w:widowControl/>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r>
    </w:p>
    <w:p w14:paraId="628522D0">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八</w:t>
      </w:r>
      <w:r>
        <w:rPr>
          <w:b/>
          <w:color w:val="000000" w:themeColor="text1"/>
          <w:highlight w:val="none"/>
          <w14:textFill>
            <w14:solidFill>
              <w14:schemeClr w14:val="tx1"/>
            </w14:solidFill>
          </w14:textFill>
        </w:rPr>
        <w:t>、响应需要的其他证明文件及材料</w:t>
      </w:r>
    </w:p>
    <w:p w14:paraId="28955E34">
      <w:pPr>
        <w:spacing w:line="360" w:lineRule="auto"/>
        <w:rPr>
          <w:rFonts w:hint="eastAsia" w:ascii="宋体" w:hAnsi="宋体"/>
          <w:b/>
          <w:color w:val="000000" w:themeColor="text1"/>
          <w:highlight w:val="none"/>
          <w14:textFill>
            <w14:solidFill>
              <w14:schemeClr w14:val="tx1"/>
            </w14:solidFill>
          </w14:textFill>
        </w:rPr>
      </w:pPr>
    </w:p>
    <w:p w14:paraId="054BC62A">
      <w:pPr>
        <w:spacing w:line="360" w:lineRule="auto"/>
        <w:ind w:firstLine="480" w:firstLineChars="200"/>
        <w:jc w:val="left"/>
        <w:rPr>
          <w:rFonts w:hint="eastAsia" w:ascii="宋体" w:hAnsi="宋体"/>
          <w:sz w:val="24"/>
          <w:szCs w:val="24"/>
          <w:highlight w:val="none"/>
        </w:rPr>
      </w:pPr>
    </w:p>
    <w:p w14:paraId="46FDE17F">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响应需要的其他证明文件及材料（若有）</w:t>
      </w:r>
    </w:p>
    <w:p w14:paraId="14C08D5F">
      <w:pPr>
        <w:pStyle w:val="263"/>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r>
      <w:r>
        <w:rPr>
          <w:color w:val="000000" w:themeColor="text1"/>
          <w:highlight w:val="none"/>
          <w14:textFill>
            <w14:solidFill>
              <w14:schemeClr w14:val="tx1"/>
            </w14:solidFill>
          </w14:textFill>
        </w:rPr>
        <w:t>附件一、无重大违法记录声明格式</w:t>
      </w:r>
    </w:p>
    <w:p w14:paraId="39FC2CE2">
      <w:pPr>
        <w:adjustRightInd w:val="0"/>
        <w:spacing w:line="360" w:lineRule="auto"/>
        <w:outlineLvl w:val="9"/>
        <w:rPr>
          <w:rFonts w:hint="eastAsia" w:ascii="宋体" w:hAnsi="宋体"/>
          <w:b/>
          <w:color w:val="000000" w:themeColor="text1"/>
          <w:highlight w:val="none"/>
          <w14:textFill>
            <w14:solidFill>
              <w14:schemeClr w14:val="tx1"/>
            </w14:solidFill>
          </w14:textFill>
        </w:rPr>
      </w:pPr>
    </w:p>
    <w:p w14:paraId="1A52BCDC">
      <w:pPr>
        <w:pStyle w:val="268"/>
        <w:shd w:val="clear" w:color="auto" w:fill="auto"/>
        <w:spacing w:line="360" w:lineRule="auto"/>
        <w:outlineLvl w:val="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无重大违法记录声明</w:t>
      </w:r>
    </w:p>
    <w:p w14:paraId="732406D4">
      <w:pPr>
        <w:spacing w:line="360" w:lineRule="auto"/>
        <w:rPr>
          <w:rFonts w:hint="eastAsia" w:ascii="宋体" w:hAnsi="宋体"/>
          <w:color w:val="000000" w:themeColor="text1"/>
          <w:highlight w:val="none"/>
          <w14:textFill>
            <w14:solidFill>
              <w14:schemeClr w14:val="tx1"/>
            </w14:solidFill>
          </w14:textFill>
        </w:rPr>
      </w:pPr>
    </w:p>
    <w:p w14:paraId="4826FB16">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1A7B4F7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w:t>
      </w:r>
    </w:p>
    <w:p w14:paraId="07A34A5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参加采购活动前3年内在经营活动中</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没有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（在下划线上如实填写：有或没有）重大违法记录。</w:t>
      </w:r>
    </w:p>
    <w:p w14:paraId="1E68A0F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（说明：所称重大违法记录，是指供应商因违法经营受到刑事处罚或者责令停产停业、吊销许可证或者执照、较大数额罚款等行政处罚。）</w:t>
      </w:r>
    </w:p>
    <w:p w14:paraId="2EF4BD2A">
      <w:pPr>
        <w:spacing w:line="360" w:lineRule="auto"/>
        <w:rPr>
          <w:rFonts w:hint="eastAsia" w:ascii="宋体" w:hAnsi="宋体" w:cs="宋体"/>
          <w:color w:val="000000" w:themeColor="text1"/>
          <w:sz w:val="24"/>
          <w:szCs w:val="24"/>
          <w:highlight w:val="none"/>
          <w14:textFill>
            <w14:solidFill>
              <w14:schemeClr w14:val="tx1"/>
            </w14:solidFill>
          </w14:textFill>
        </w:rPr>
      </w:pPr>
    </w:p>
    <w:p w14:paraId="7E09B105">
      <w:pPr>
        <w:spacing w:line="360" w:lineRule="auto"/>
        <w:rPr>
          <w:rFonts w:hint="eastAsia" w:ascii="宋体" w:hAnsi="宋体" w:cs="宋体"/>
          <w:color w:val="000000" w:themeColor="text1"/>
          <w:sz w:val="24"/>
          <w:szCs w:val="24"/>
          <w:highlight w:val="none"/>
          <w14:textFill>
            <w14:solidFill>
              <w14:schemeClr w14:val="tx1"/>
            </w14:solidFill>
          </w14:textFill>
        </w:rPr>
      </w:pPr>
    </w:p>
    <w:p w14:paraId="54D918EE">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声明人（公章）：</w:t>
      </w:r>
    </w:p>
    <w:p w14:paraId="279E5614">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日期：年月日</w:t>
      </w:r>
    </w:p>
    <w:p w14:paraId="70A808B7">
      <w:pPr>
        <w:spacing w:line="360" w:lineRule="auto"/>
        <w:rPr>
          <w:color w:val="000000" w:themeColor="text1"/>
          <w:highlight w:val="none"/>
          <w14:textFill>
            <w14:solidFill>
              <w14:schemeClr w14:val="tx1"/>
            </w14:solidFill>
          </w14:textFill>
        </w:rPr>
      </w:pPr>
    </w:p>
    <w:p w14:paraId="796356DB">
      <w:pPr>
        <w:spacing w:line="360" w:lineRule="auto"/>
        <w:rPr>
          <w:rFonts w:hint="eastAsia" w:ascii="宋体" w:hAnsi="宋体"/>
          <w:b/>
          <w:color w:val="000000" w:themeColor="text1"/>
          <w:highlight w:val="none"/>
          <w14:textFill>
            <w14:solidFill>
              <w14:schemeClr w14:val="tx1"/>
            </w14:solidFill>
          </w14:textFill>
        </w:rPr>
      </w:pPr>
    </w:p>
    <w:p w14:paraId="7307F9E1">
      <w:pPr>
        <w:pStyle w:val="2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附件二、具备履行合同所必需的设备和专业技术能力的声明格式或证明材料</w:t>
      </w:r>
    </w:p>
    <w:p w14:paraId="140A235A">
      <w:pPr>
        <w:pStyle w:val="268"/>
        <w:shd w:val="clear" w:color="auto" w:fill="auto"/>
        <w:spacing w:line="360" w:lineRule="auto"/>
        <w:outlineLvl w:val="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具备履行合同所必需的设备和专业技术能力的声明</w:t>
      </w:r>
    </w:p>
    <w:p w14:paraId="63FAFBD9">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2E9CB0F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4C3DB43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7638976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主要专业技术能力有：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7415EF76">
      <w:pPr>
        <w:spacing w:line="360" w:lineRule="auto"/>
        <w:rPr>
          <w:rFonts w:hint="eastAsia" w:ascii="宋体" w:hAnsi="宋体" w:cs="宋体"/>
          <w:color w:val="000000" w:themeColor="text1"/>
          <w:sz w:val="24"/>
          <w:highlight w:val="none"/>
          <w14:textFill>
            <w14:solidFill>
              <w14:schemeClr w14:val="tx1"/>
            </w14:solidFill>
          </w14:textFill>
        </w:rPr>
      </w:pPr>
    </w:p>
    <w:p w14:paraId="08906AFF">
      <w:pPr>
        <w:spacing w:line="360" w:lineRule="auto"/>
        <w:rPr>
          <w:rFonts w:hint="eastAsia" w:ascii="宋体" w:hAnsi="宋体" w:cs="宋体"/>
          <w:color w:val="000000" w:themeColor="text1"/>
          <w:sz w:val="24"/>
          <w:highlight w:val="none"/>
          <w14:textFill>
            <w14:solidFill>
              <w14:schemeClr w14:val="tx1"/>
            </w14:solidFill>
          </w14:textFill>
        </w:rPr>
      </w:pPr>
    </w:p>
    <w:p w14:paraId="2765661F">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声明人（公章）：</w:t>
      </w:r>
    </w:p>
    <w:p w14:paraId="780B708D">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日期：     年    月    日</w:t>
      </w:r>
    </w:p>
    <w:p w14:paraId="5080CFB9">
      <w:pPr>
        <w:pStyle w:val="26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附件三、承诺书</w:t>
      </w:r>
    </w:p>
    <w:p w14:paraId="78ADD939">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14:paraId="40736AED">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承诺：</w:t>
      </w:r>
    </w:p>
    <w:p w14:paraId="26D9CC75">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14:paraId="0C856D7D">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14:paraId="75C604BC">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     年    月    日</w:t>
      </w:r>
    </w:p>
    <w:p w14:paraId="6E696858">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p>
    <w:p w14:paraId="26F506C8">
      <w:pPr>
        <w:pStyle w:val="263"/>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附件四</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承诺声明</w:t>
      </w:r>
    </w:p>
    <w:p w14:paraId="1E30BC2D">
      <w:pPr>
        <w:wordWrap w:val="0"/>
        <w:outlineLvl w:val="9"/>
        <w:rPr>
          <w:rFonts w:ascii="宋体" w:hAnsi="宋体"/>
          <w:color w:val="000000"/>
          <w:highlight w:val="none"/>
        </w:rPr>
      </w:pPr>
    </w:p>
    <w:p w14:paraId="7474F5E2">
      <w:pPr>
        <w:wordWrap w:val="0"/>
        <w:spacing w:line="240" w:lineRule="atLeast"/>
        <w:jc w:val="center"/>
        <w:rPr>
          <w:rFonts w:ascii="黑体" w:eastAsia="黑体"/>
          <w:sz w:val="28"/>
          <w:szCs w:val="36"/>
          <w:highlight w:val="none"/>
        </w:rPr>
      </w:pPr>
      <w:r>
        <w:rPr>
          <w:rFonts w:hint="eastAsia" w:ascii="黑体" w:eastAsia="黑体"/>
          <w:sz w:val="28"/>
          <w:szCs w:val="36"/>
          <w:highlight w:val="none"/>
          <w:lang w:val="en-US" w:eastAsia="zh-CN"/>
        </w:rPr>
        <w:t>承诺</w:t>
      </w:r>
      <w:r>
        <w:rPr>
          <w:rFonts w:hint="eastAsia" w:ascii="黑体" w:eastAsia="黑体"/>
          <w:sz w:val="28"/>
          <w:szCs w:val="36"/>
          <w:highlight w:val="none"/>
        </w:rPr>
        <w:t>声明</w:t>
      </w:r>
    </w:p>
    <w:p w14:paraId="1442A99D">
      <w:pPr>
        <w:wordWrap w:val="0"/>
        <w:spacing w:line="360" w:lineRule="auto"/>
        <w:ind w:firstLine="420" w:firstLineChars="200"/>
        <w:rPr>
          <w:rFonts w:hint="eastAsia" w:ascii="宋体" w:hAnsi="宋体"/>
          <w:highlight w:val="none"/>
        </w:rPr>
      </w:pPr>
      <w:r>
        <w:rPr>
          <w:rFonts w:hint="eastAsia" w:ascii="宋体" w:hAnsi="宋体" w:cs="微软雅黑"/>
          <w:highlight w:val="none"/>
        </w:rPr>
        <w:t>致：</w:t>
      </w:r>
      <w:r>
        <w:rPr>
          <w:rFonts w:ascii="宋体" w:hAnsi="宋体"/>
          <w:kern w:val="0"/>
          <w:highlight w:val="none"/>
        </w:rPr>
        <w:t>南京邮电大学</w:t>
      </w:r>
    </w:p>
    <w:p w14:paraId="226D67C2">
      <w:pPr>
        <w:wordWrap w:val="0"/>
        <w:spacing w:line="360" w:lineRule="auto"/>
        <w:ind w:firstLine="420" w:firstLineChars="200"/>
        <w:rPr>
          <w:rFonts w:hint="eastAsia" w:ascii="宋体" w:hAnsi="宋体"/>
          <w:highlight w:val="none"/>
        </w:rPr>
      </w:pPr>
      <w:r>
        <w:rPr>
          <w:rFonts w:hint="eastAsia" w:ascii="宋体" w:hAnsi="宋体"/>
          <w:highlight w:val="none"/>
        </w:rPr>
        <w:t>我单位</w:t>
      </w:r>
      <w:r>
        <w:rPr>
          <w:rFonts w:hint="eastAsia" w:ascii="宋体" w:hAnsi="宋体"/>
          <w:highlight w:val="none"/>
          <w:u w:val="single"/>
        </w:rPr>
        <w:t xml:space="preserve">     （供应商名称）</w:t>
      </w:r>
      <w:r>
        <w:rPr>
          <w:rFonts w:hint="eastAsia" w:ascii="宋体" w:hAnsi="宋体"/>
          <w:highlight w:val="none"/>
        </w:rPr>
        <w:t>郑重声明：</w:t>
      </w:r>
    </w:p>
    <w:p w14:paraId="4D0F7932">
      <w:pPr>
        <w:keepNext w:val="0"/>
        <w:keepLines w:val="0"/>
        <w:pageBreakBefore w:val="0"/>
        <w:widowControl w:val="0"/>
        <w:numPr>
          <w:ilvl w:val="0"/>
          <w:numId w:val="64"/>
        </w:numPr>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60" w:lineRule="auto"/>
        <w:ind w:left="0" w:leftChars="0" w:firstLine="425" w:firstLineChars="0"/>
        <w:textAlignment w:val="auto"/>
        <w:rPr>
          <w:rFonts w:hint="eastAsia" w:ascii="宋体" w:hAnsi="宋体" w:cs="宋体"/>
          <w:szCs w:val="21"/>
          <w:highlight w:val="none"/>
        </w:rPr>
      </w:pPr>
      <w:r>
        <w:rPr>
          <w:rFonts w:hint="eastAsia" w:ascii="宋体" w:hAnsi="宋体" w:cs="宋体"/>
          <w:szCs w:val="21"/>
          <w:highlight w:val="none"/>
          <w:lang w:val="en-US" w:eastAsia="zh-CN"/>
        </w:rPr>
        <w:t xml:space="preserve">我单位 </w:t>
      </w:r>
      <w:r>
        <w:rPr>
          <w:rFonts w:hint="eastAsia" w:ascii="宋体" w:hAnsi="宋体" w:cs="宋体"/>
          <w:szCs w:val="21"/>
          <w:highlight w:val="none"/>
          <w:u w:val="single"/>
          <w:lang w:val="en-US" w:eastAsia="zh-CN"/>
        </w:rPr>
        <w:t xml:space="preserve">     （有/没有</w:t>
      </w:r>
      <w:r>
        <w:rPr>
          <w:rFonts w:hint="eastAsia" w:ascii="宋体" w:hAnsi="宋体" w:cs="宋体"/>
          <w:szCs w:val="21"/>
          <w:highlight w:val="none"/>
          <w:u w:val="single"/>
          <w:lang w:eastAsia="zh-CN"/>
        </w:rPr>
        <w:t>）</w:t>
      </w:r>
      <w:r>
        <w:rPr>
          <w:rFonts w:hint="eastAsia" w:ascii="宋体" w:hAnsi="宋体" w:cs="宋体"/>
          <w:szCs w:val="21"/>
          <w:highlight w:val="none"/>
          <w:u w:val="none"/>
          <w:lang w:val="en-US" w:eastAsia="zh-CN"/>
        </w:rPr>
        <w:t>与</w:t>
      </w:r>
      <w:r>
        <w:rPr>
          <w:rFonts w:hint="eastAsia" w:ascii="宋体" w:hAnsi="宋体" w:cs="宋体"/>
          <w:szCs w:val="21"/>
          <w:highlight w:val="none"/>
        </w:rPr>
        <w:t>供应商单位负责人为同一人或者存在直接控股、管理关系的不同供应</w:t>
      </w:r>
      <w:r>
        <w:rPr>
          <w:rFonts w:hint="eastAsia" w:ascii="宋体" w:hAnsi="宋体" w:cs="宋体"/>
          <w:szCs w:val="21"/>
          <w:highlight w:val="none"/>
          <w:lang w:val="en-US" w:eastAsia="zh-CN"/>
        </w:rPr>
        <w:t>商</w:t>
      </w:r>
      <w:r>
        <w:rPr>
          <w:rFonts w:hint="eastAsia" w:ascii="宋体" w:hAnsi="宋体" w:cs="宋体"/>
          <w:szCs w:val="21"/>
          <w:highlight w:val="none"/>
        </w:rPr>
        <w:t>参加同一合同项下的政府采购活动。</w:t>
      </w:r>
    </w:p>
    <w:p w14:paraId="5E76C158">
      <w:pPr>
        <w:keepNext w:val="0"/>
        <w:keepLines w:val="0"/>
        <w:pageBreakBefore w:val="0"/>
        <w:widowControl w:val="0"/>
        <w:numPr>
          <w:ilvl w:val="0"/>
          <w:numId w:val="64"/>
        </w:numPr>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60" w:lineRule="auto"/>
        <w:ind w:left="0" w:leftChars="0" w:firstLine="425" w:firstLineChars="0"/>
        <w:textAlignment w:val="auto"/>
        <w:rPr>
          <w:rFonts w:hint="eastAsia" w:ascii="宋体" w:hAnsi="宋体" w:cs="宋体"/>
          <w:szCs w:val="21"/>
          <w:highlight w:val="none"/>
        </w:rPr>
      </w:pPr>
      <w:r>
        <w:rPr>
          <w:rFonts w:hint="eastAsia" w:ascii="宋体" w:hAnsi="宋体" w:cs="宋体"/>
          <w:szCs w:val="21"/>
          <w:highlight w:val="none"/>
          <w:lang w:val="en-US" w:eastAsia="zh-CN"/>
        </w:rPr>
        <w:t>我单位</w:t>
      </w:r>
      <w:r>
        <w:rPr>
          <w:rFonts w:hint="eastAsia" w:ascii="宋体" w:hAnsi="宋体" w:cs="宋体"/>
          <w:szCs w:val="21"/>
          <w:highlight w:val="none"/>
          <w:u w:val="single"/>
          <w:lang w:val="en-US" w:eastAsia="zh-CN"/>
        </w:rPr>
        <w:t xml:space="preserve">     （有/没有</w:t>
      </w:r>
      <w:r>
        <w:rPr>
          <w:rFonts w:hint="eastAsia" w:ascii="宋体" w:hAnsi="宋体" w:cs="宋体"/>
          <w:szCs w:val="21"/>
          <w:highlight w:val="none"/>
          <w:u w:val="single"/>
          <w:lang w:eastAsia="zh-CN"/>
        </w:rPr>
        <w:t>）</w:t>
      </w:r>
      <w:r>
        <w:rPr>
          <w:rFonts w:hint="eastAsia" w:ascii="宋体" w:hAnsi="宋体" w:cs="宋体"/>
          <w:szCs w:val="21"/>
          <w:highlight w:val="none"/>
          <w:u w:val="none"/>
          <w:lang w:val="en-US" w:eastAsia="zh-CN"/>
        </w:rPr>
        <w:t>为</w:t>
      </w:r>
      <w:r>
        <w:rPr>
          <w:rFonts w:hint="eastAsia" w:ascii="宋体" w:hAnsi="宋体" w:cs="宋体"/>
          <w:szCs w:val="21"/>
          <w:highlight w:val="none"/>
        </w:rPr>
        <w:t>采购项目提供整体设计、规范编制或者项目管理、监理、检测。</w:t>
      </w:r>
    </w:p>
    <w:p w14:paraId="0E2D4879">
      <w:pPr>
        <w:wordWrap w:val="0"/>
        <w:spacing w:line="360" w:lineRule="auto"/>
        <w:ind w:firstLine="420"/>
        <w:rPr>
          <w:rFonts w:hint="eastAsia" w:ascii="宋体" w:hAnsi="宋体"/>
          <w:highlight w:val="none"/>
        </w:rPr>
      </w:pPr>
    </w:p>
    <w:p w14:paraId="3FE67531">
      <w:pPr>
        <w:wordWrap w:val="0"/>
        <w:spacing w:line="360" w:lineRule="auto"/>
        <w:rPr>
          <w:rFonts w:hint="eastAsia" w:ascii="宋体" w:hAnsi="宋体"/>
          <w:highlight w:val="none"/>
        </w:rPr>
      </w:pPr>
    </w:p>
    <w:p w14:paraId="1F91FEED">
      <w:pPr>
        <w:wordWrap w:val="0"/>
        <w:spacing w:line="360" w:lineRule="auto"/>
        <w:ind w:firstLine="5040" w:firstLineChars="2400"/>
        <w:rPr>
          <w:rFonts w:hint="eastAsia" w:ascii="宋体" w:hAnsi="宋体"/>
          <w:highlight w:val="none"/>
        </w:rPr>
      </w:pPr>
      <w:r>
        <w:rPr>
          <w:rFonts w:hint="eastAsia" w:ascii="宋体" w:hAnsi="宋体"/>
          <w:highlight w:val="none"/>
        </w:rPr>
        <w:t xml:space="preserve"> 声明人：      （公章）</w:t>
      </w:r>
    </w:p>
    <w:p w14:paraId="506328FA">
      <w:pPr>
        <w:wordWrap w:val="0"/>
        <w:spacing w:line="240" w:lineRule="atLeast"/>
        <w:ind w:firstLine="5145" w:firstLineChars="2450"/>
        <w:rPr>
          <w:b/>
          <w:highlight w:val="none"/>
        </w:rPr>
      </w:pPr>
      <w:r>
        <w:rPr>
          <w:rFonts w:hint="eastAsia"/>
          <w:highlight w:val="none"/>
        </w:rPr>
        <w:t>日期：   年   月    日</w:t>
      </w:r>
    </w:p>
    <w:p w14:paraId="6FA6485D">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p>
    <w:p w14:paraId="48B0A691">
      <w:pPr>
        <w:spacing w:line="360" w:lineRule="auto"/>
        <w:rPr>
          <w:highlight w:val="none"/>
        </w:rPr>
      </w:pP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B93FF">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3117FA21">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3117FA21">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E2D8C">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551E3F"/>
    <w:multiLevelType w:val="singleLevel"/>
    <w:tmpl w:val="A9551E3F"/>
    <w:lvl w:ilvl="0" w:tentative="0">
      <w:start w:val="1"/>
      <w:numFmt w:val="chineseCounting"/>
      <w:suff w:val="nothing"/>
      <w:lvlText w:val="%1、"/>
      <w:lvlJc w:val="left"/>
      <w:pPr>
        <w:ind w:left="0" w:firstLine="420"/>
      </w:pPr>
      <w:rPr>
        <w:rFonts w:hint="eastAsia"/>
      </w:rPr>
    </w:lvl>
  </w:abstractNum>
  <w:abstractNum w:abstractNumId="14">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5">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6">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7">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8">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9">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0">
    <w:nsid w:val="BE6D7356"/>
    <w:multiLevelType w:val="singleLevel"/>
    <w:tmpl w:val="BE6D7356"/>
    <w:lvl w:ilvl="0" w:tentative="0">
      <w:start w:val="4"/>
      <w:numFmt w:val="chineseCounting"/>
      <w:suff w:val="nothing"/>
      <w:lvlText w:val="（%1）"/>
      <w:lvlJc w:val="left"/>
      <w:rPr>
        <w:rFonts w:hint="eastAsia"/>
      </w:rPr>
    </w:lvl>
  </w:abstractNum>
  <w:abstractNum w:abstractNumId="21">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2">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3">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4">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5">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6">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7">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8">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9">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0">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1">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2">
    <w:nsid w:val="FAE2115F"/>
    <w:multiLevelType w:val="singleLevel"/>
    <w:tmpl w:val="FAE2115F"/>
    <w:lvl w:ilvl="0" w:tentative="0">
      <w:start w:val="1"/>
      <w:numFmt w:val="decimal"/>
      <w:lvlText w:val="(%1)"/>
      <w:lvlJc w:val="left"/>
      <w:pPr>
        <w:ind w:left="425" w:hanging="425"/>
      </w:pPr>
      <w:rPr>
        <w:rFonts w:hint="default"/>
      </w:rPr>
    </w:lvl>
  </w:abstractNum>
  <w:abstractNum w:abstractNumId="33">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4">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5">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6">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7">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8">
    <w:nsid w:val="137A98A4"/>
    <w:multiLevelType w:val="singleLevel"/>
    <w:tmpl w:val="137A98A4"/>
    <w:lvl w:ilvl="0" w:tentative="0">
      <w:start w:val="1"/>
      <w:numFmt w:val="decimal"/>
      <w:suff w:val="nothing"/>
      <w:lvlText w:val="（%1）"/>
      <w:lvlJc w:val="left"/>
    </w:lvl>
  </w:abstractNum>
  <w:abstractNum w:abstractNumId="39">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40">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1">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2">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3">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4">
    <w:nsid w:val="318533B0"/>
    <w:multiLevelType w:val="singleLevel"/>
    <w:tmpl w:val="318533B0"/>
    <w:lvl w:ilvl="0" w:tentative="0">
      <w:start w:val="4"/>
      <w:numFmt w:val="chineseCounting"/>
      <w:suff w:val="space"/>
      <w:lvlText w:val="第%1章"/>
      <w:lvlJc w:val="left"/>
      <w:rPr>
        <w:rFonts w:hint="eastAsia"/>
      </w:rPr>
    </w:lvl>
  </w:abstractNum>
  <w:abstractNum w:abstractNumId="45">
    <w:nsid w:val="31D15459"/>
    <w:multiLevelType w:val="multilevel"/>
    <w:tmpl w:val="31D15459"/>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7">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8">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9">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50">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1">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2">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4"/>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4">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5">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6">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7">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8">
    <w:nsid w:val="6D354E44"/>
    <w:multiLevelType w:val="multilevel"/>
    <w:tmpl w:val="6D354E44"/>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decimal"/>
      <w:lvlText w:val="%3."/>
      <w:lvlJc w:val="right"/>
      <w:pPr>
        <w:ind w:left="1320" w:hanging="440"/>
      </w:pPr>
      <w:rPr>
        <w:rFonts w:hint="eastAsia"/>
      </w:r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9">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0">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1">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2">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3">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2"/>
  </w:num>
  <w:num w:numId="2">
    <w:abstractNumId w:val="14"/>
  </w:num>
  <w:num w:numId="3">
    <w:abstractNumId w:val="40"/>
  </w:num>
  <w:num w:numId="4">
    <w:abstractNumId w:val="62"/>
  </w:num>
  <w:num w:numId="5">
    <w:abstractNumId w:val="59"/>
  </w:num>
  <w:num w:numId="6">
    <w:abstractNumId w:val="35"/>
  </w:num>
  <w:num w:numId="7">
    <w:abstractNumId w:val="22"/>
  </w:num>
  <w:num w:numId="8">
    <w:abstractNumId w:val="48"/>
  </w:num>
  <w:num w:numId="9">
    <w:abstractNumId w:val="43"/>
  </w:num>
  <w:num w:numId="10">
    <w:abstractNumId w:val="8"/>
  </w:num>
  <w:num w:numId="11">
    <w:abstractNumId w:val="17"/>
  </w:num>
  <w:num w:numId="12">
    <w:abstractNumId w:val="51"/>
  </w:num>
  <w:num w:numId="13">
    <w:abstractNumId w:val="63"/>
  </w:num>
  <w:num w:numId="14">
    <w:abstractNumId w:val="12"/>
  </w:num>
  <w:num w:numId="15">
    <w:abstractNumId w:val="60"/>
  </w:num>
  <w:num w:numId="16">
    <w:abstractNumId w:val="42"/>
  </w:num>
  <w:num w:numId="17">
    <w:abstractNumId w:val="57"/>
  </w:num>
  <w:num w:numId="18">
    <w:abstractNumId w:val="46"/>
  </w:num>
  <w:num w:numId="19">
    <w:abstractNumId w:val="34"/>
  </w:num>
  <w:num w:numId="20">
    <w:abstractNumId w:val="39"/>
  </w:num>
  <w:num w:numId="21">
    <w:abstractNumId w:val="15"/>
  </w:num>
  <w:num w:numId="22">
    <w:abstractNumId w:val="26"/>
  </w:num>
  <w:num w:numId="23">
    <w:abstractNumId w:val="33"/>
  </w:num>
  <w:num w:numId="24">
    <w:abstractNumId w:val="49"/>
  </w:num>
  <w:num w:numId="25">
    <w:abstractNumId w:val="28"/>
  </w:num>
  <w:num w:numId="26">
    <w:abstractNumId w:val="6"/>
  </w:num>
  <w:num w:numId="27">
    <w:abstractNumId w:val="50"/>
  </w:num>
  <w:num w:numId="28">
    <w:abstractNumId w:val="16"/>
  </w:num>
  <w:num w:numId="29">
    <w:abstractNumId w:val="2"/>
  </w:num>
  <w:num w:numId="30">
    <w:abstractNumId w:val="53"/>
  </w:num>
  <w:num w:numId="31">
    <w:abstractNumId w:val="47"/>
  </w:num>
  <w:num w:numId="32">
    <w:abstractNumId w:val="36"/>
  </w:num>
  <w:num w:numId="33">
    <w:abstractNumId w:val="7"/>
  </w:num>
  <w:num w:numId="34">
    <w:abstractNumId w:val="37"/>
  </w:num>
  <w:num w:numId="35">
    <w:abstractNumId w:val="55"/>
  </w:num>
  <w:num w:numId="36">
    <w:abstractNumId w:val="54"/>
  </w:num>
  <w:num w:numId="37">
    <w:abstractNumId w:val="3"/>
  </w:num>
  <w:num w:numId="38">
    <w:abstractNumId w:val="29"/>
  </w:num>
  <w:num w:numId="39">
    <w:abstractNumId w:val="56"/>
  </w:num>
  <w:num w:numId="40">
    <w:abstractNumId w:val="25"/>
  </w:num>
  <w:num w:numId="41">
    <w:abstractNumId w:val="9"/>
  </w:num>
  <w:num w:numId="42">
    <w:abstractNumId w:val="4"/>
  </w:num>
  <w:num w:numId="43">
    <w:abstractNumId w:val="10"/>
  </w:num>
  <w:num w:numId="44">
    <w:abstractNumId w:val="30"/>
  </w:num>
  <w:num w:numId="45">
    <w:abstractNumId w:val="18"/>
  </w:num>
  <w:num w:numId="46">
    <w:abstractNumId w:val="27"/>
  </w:num>
  <w:num w:numId="47">
    <w:abstractNumId w:val="19"/>
  </w:num>
  <w:num w:numId="48">
    <w:abstractNumId w:val="61"/>
  </w:num>
  <w:num w:numId="49">
    <w:abstractNumId w:val="21"/>
  </w:num>
  <w:num w:numId="50">
    <w:abstractNumId w:val="24"/>
  </w:num>
  <w:num w:numId="51">
    <w:abstractNumId w:val="1"/>
  </w:num>
  <w:num w:numId="52">
    <w:abstractNumId w:val="5"/>
  </w:num>
  <w:num w:numId="53">
    <w:abstractNumId w:val="38"/>
  </w:num>
  <w:num w:numId="54">
    <w:abstractNumId w:val="44"/>
  </w:num>
  <w:num w:numId="55">
    <w:abstractNumId w:val="13"/>
  </w:num>
  <w:num w:numId="56">
    <w:abstractNumId w:val="58"/>
  </w:num>
  <w:num w:numId="57">
    <w:abstractNumId w:val="45"/>
  </w:num>
  <w:num w:numId="58">
    <w:abstractNumId w:val="20"/>
  </w:num>
  <w:num w:numId="59">
    <w:abstractNumId w:val="0"/>
  </w:num>
  <w:num w:numId="60">
    <w:abstractNumId w:val="41"/>
  </w:num>
  <w:num w:numId="61">
    <w:abstractNumId w:val="11"/>
  </w:num>
  <w:num w:numId="62">
    <w:abstractNumId w:val="31"/>
  </w:num>
  <w:num w:numId="63">
    <w:abstractNumId w:val="23"/>
  </w:num>
  <w:num w:numId="6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wZWYxZmExZDk2Y2ZjNTc0YzI3ZjU3MzQ3MmUzOTIifQ=="/>
    <w:docVar w:name="KSO_WPS_MARK_KEY" w:val="ef9fe400-f47f-4ebd-bf0f-4af4f24c4f78"/>
  </w:docVars>
  <w:rsids>
    <w:rsidRoot w:val="001607E5"/>
    <w:rsid w:val="0000641F"/>
    <w:rsid w:val="00010550"/>
    <w:rsid w:val="000114EC"/>
    <w:rsid w:val="00032AFC"/>
    <w:rsid w:val="000400B5"/>
    <w:rsid w:val="00055B15"/>
    <w:rsid w:val="000603A8"/>
    <w:rsid w:val="00072371"/>
    <w:rsid w:val="00077B10"/>
    <w:rsid w:val="0008213F"/>
    <w:rsid w:val="000A3089"/>
    <w:rsid w:val="000A5DE6"/>
    <w:rsid w:val="000A61ED"/>
    <w:rsid w:val="000A6973"/>
    <w:rsid w:val="000C2BA5"/>
    <w:rsid w:val="000C4F86"/>
    <w:rsid w:val="000E0C2D"/>
    <w:rsid w:val="000F5611"/>
    <w:rsid w:val="00120A4B"/>
    <w:rsid w:val="00140B1D"/>
    <w:rsid w:val="00141BEC"/>
    <w:rsid w:val="001607E5"/>
    <w:rsid w:val="001646F3"/>
    <w:rsid w:val="00165164"/>
    <w:rsid w:val="00193608"/>
    <w:rsid w:val="00195606"/>
    <w:rsid w:val="001A6483"/>
    <w:rsid w:val="001B4835"/>
    <w:rsid w:val="001D0594"/>
    <w:rsid w:val="001D7CE8"/>
    <w:rsid w:val="001E1C4B"/>
    <w:rsid w:val="001E28D6"/>
    <w:rsid w:val="001E28E2"/>
    <w:rsid w:val="001F355D"/>
    <w:rsid w:val="00203B11"/>
    <w:rsid w:val="0021068C"/>
    <w:rsid w:val="00210AEA"/>
    <w:rsid w:val="002213ED"/>
    <w:rsid w:val="00221EF9"/>
    <w:rsid w:val="00222A23"/>
    <w:rsid w:val="002302C2"/>
    <w:rsid w:val="00234822"/>
    <w:rsid w:val="002469C2"/>
    <w:rsid w:val="00252218"/>
    <w:rsid w:val="00253E4C"/>
    <w:rsid w:val="00266824"/>
    <w:rsid w:val="0026714F"/>
    <w:rsid w:val="00270DD7"/>
    <w:rsid w:val="00271038"/>
    <w:rsid w:val="00273426"/>
    <w:rsid w:val="00284A70"/>
    <w:rsid w:val="002A1655"/>
    <w:rsid w:val="002A2707"/>
    <w:rsid w:val="002A3A54"/>
    <w:rsid w:val="002D20E2"/>
    <w:rsid w:val="002D223F"/>
    <w:rsid w:val="002D6BFF"/>
    <w:rsid w:val="002D7D8E"/>
    <w:rsid w:val="002E05B3"/>
    <w:rsid w:val="002F2FEE"/>
    <w:rsid w:val="00300310"/>
    <w:rsid w:val="0030132B"/>
    <w:rsid w:val="00301983"/>
    <w:rsid w:val="0030478B"/>
    <w:rsid w:val="00304B99"/>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21CCE"/>
    <w:rsid w:val="00423B77"/>
    <w:rsid w:val="00425CED"/>
    <w:rsid w:val="004526E8"/>
    <w:rsid w:val="00464986"/>
    <w:rsid w:val="00465C30"/>
    <w:rsid w:val="00473E69"/>
    <w:rsid w:val="00477FD9"/>
    <w:rsid w:val="00484E24"/>
    <w:rsid w:val="004A2C5E"/>
    <w:rsid w:val="004A5AF1"/>
    <w:rsid w:val="004A68BE"/>
    <w:rsid w:val="004B035C"/>
    <w:rsid w:val="004B4FB8"/>
    <w:rsid w:val="004B6B53"/>
    <w:rsid w:val="004D3619"/>
    <w:rsid w:val="004E4EF1"/>
    <w:rsid w:val="004E7292"/>
    <w:rsid w:val="004F11AB"/>
    <w:rsid w:val="004F692A"/>
    <w:rsid w:val="00503F76"/>
    <w:rsid w:val="005114F3"/>
    <w:rsid w:val="00520001"/>
    <w:rsid w:val="005277EE"/>
    <w:rsid w:val="0053715F"/>
    <w:rsid w:val="00553C9B"/>
    <w:rsid w:val="00555045"/>
    <w:rsid w:val="00573039"/>
    <w:rsid w:val="00581E47"/>
    <w:rsid w:val="00585734"/>
    <w:rsid w:val="005A03B6"/>
    <w:rsid w:val="005A379C"/>
    <w:rsid w:val="005A7CDA"/>
    <w:rsid w:val="005A7EF9"/>
    <w:rsid w:val="005B2948"/>
    <w:rsid w:val="005B3758"/>
    <w:rsid w:val="005B5295"/>
    <w:rsid w:val="005B6EF6"/>
    <w:rsid w:val="005C5753"/>
    <w:rsid w:val="005C62CC"/>
    <w:rsid w:val="005C6410"/>
    <w:rsid w:val="005D3AD4"/>
    <w:rsid w:val="005D6EF2"/>
    <w:rsid w:val="005D7B60"/>
    <w:rsid w:val="005F107E"/>
    <w:rsid w:val="00636A37"/>
    <w:rsid w:val="0064295D"/>
    <w:rsid w:val="00662F68"/>
    <w:rsid w:val="00667126"/>
    <w:rsid w:val="00680EDD"/>
    <w:rsid w:val="006A146B"/>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745E1"/>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D2521"/>
    <w:rsid w:val="008E14D6"/>
    <w:rsid w:val="008E7262"/>
    <w:rsid w:val="008F157A"/>
    <w:rsid w:val="008F15B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4E0C"/>
    <w:rsid w:val="009D6207"/>
    <w:rsid w:val="009D7CCA"/>
    <w:rsid w:val="009F4E50"/>
    <w:rsid w:val="00A07524"/>
    <w:rsid w:val="00A14355"/>
    <w:rsid w:val="00A26B87"/>
    <w:rsid w:val="00A3056A"/>
    <w:rsid w:val="00A40800"/>
    <w:rsid w:val="00A422CB"/>
    <w:rsid w:val="00A45515"/>
    <w:rsid w:val="00A5032B"/>
    <w:rsid w:val="00A53229"/>
    <w:rsid w:val="00A628B2"/>
    <w:rsid w:val="00A62B46"/>
    <w:rsid w:val="00A67E2D"/>
    <w:rsid w:val="00A80CEF"/>
    <w:rsid w:val="00A84602"/>
    <w:rsid w:val="00A9334D"/>
    <w:rsid w:val="00AA3CA0"/>
    <w:rsid w:val="00AC74E8"/>
    <w:rsid w:val="00AC7581"/>
    <w:rsid w:val="00AD2769"/>
    <w:rsid w:val="00AE00DC"/>
    <w:rsid w:val="00B04449"/>
    <w:rsid w:val="00B1285D"/>
    <w:rsid w:val="00B13547"/>
    <w:rsid w:val="00B2311B"/>
    <w:rsid w:val="00B235A5"/>
    <w:rsid w:val="00B256C9"/>
    <w:rsid w:val="00B274DD"/>
    <w:rsid w:val="00B308BD"/>
    <w:rsid w:val="00B32CF6"/>
    <w:rsid w:val="00B33E55"/>
    <w:rsid w:val="00B346F0"/>
    <w:rsid w:val="00B37DED"/>
    <w:rsid w:val="00B47858"/>
    <w:rsid w:val="00B500BE"/>
    <w:rsid w:val="00B57769"/>
    <w:rsid w:val="00B57FFC"/>
    <w:rsid w:val="00B61499"/>
    <w:rsid w:val="00B630AF"/>
    <w:rsid w:val="00B73193"/>
    <w:rsid w:val="00B733C1"/>
    <w:rsid w:val="00B817F0"/>
    <w:rsid w:val="00B96B3B"/>
    <w:rsid w:val="00B97D58"/>
    <w:rsid w:val="00BA1051"/>
    <w:rsid w:val="00BA6126"/>
    <w:rsid w:val="00BA76DF"/>
    <w:rsid w:val="00BE2A0F"/>
    <w:rsid w:val="00C055FA"/>
    <w:rsid w:val="00C113FA"/>
    <w:rsid w:val="00C30720"/>
    <w:rsid w:val="00C34208"/>
    <w:rsid w:val="00C377BA"/>
    <w:rsid w:val="00C63349"/>
    <w:rsid w:val="00C674FF"/>
    <w:rsid w:val="00C71F96"/>
    <w:rsid w:val="00C752D4"/>
    <w:rsid w:val="00C9393E"/>
    <w:rsid w:val="00C954C2"/>
    <w:rsid w:val="00CB199D"/>
    <w:rsid w:val="00CC1675"/>
    <w:rsid w:val="00CC25B4"/>
    <w:rsid w:val="00CC3BA0"/>
    <w:rsid w:val="00CD635D"/>
    <w:rsid w:val="00CE3089"/>
    <w:rsid w:val="00CF13FB"/>
    <w:rsid w:val="00CF4A40"/>
    <w:rsid w:val="00D076F3"/>
    <w:rsid w:val="00D223FB"/>
    <w:rsid w:val="00D225D7"/>
    <w:rsid w:val="00D22F68"/>
    <w:rsid w:val="00D242FD"/>
    <w:rsid w:val="00D40340"/>
    <w:rsid w:val="00D42DE8"/>
    <w:rsid w:val="00D47A7B"/>
    <w:rsid w:val="00D51672"/>
    <w:rsid w:val="00D55695"/>
    <w:rsid w:val="00D56795"/>
    <w:rsid w:val="00D62C19"/>
    <w:rsid w:val="00D7063B"/>
    <w:rsid w:val="00D73674"/>
    <w:rsid w:val="00D82857"/>
    <w:rsid w:val="00D8640E"/>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0842"/>
    <w:rsid w:val="00E516F5"/>
    <w:rsid w:val="00E62155"/>
    <w:rsid w:val="00E65A28"/>
    <w:rsid w:val="00E677D7"/>
    <w:rsid w:val="00E678A2"/>
    <w:rsid w:val="00E75B0C"/>
    <w:rsid w:val="00E807AE"/>
    <w:rsid w:val="00E839D7"/>
    <w:rsid w:val="00E85EB0"/>
    <w:rsid w:val="00E919E1"/>
    <w:rsid w:val="00E91B32"/>
    <w:rsid w:val="00E9364A"/>
    <w:rsid w:val="00EB2111"/>
    <w:rsid w:val="00ED420B"/>
    <w:rsid w:val="00ED4B05"/>
    <w:rsid w:val="00ED5683"/>
    <w:rsid w:val="00EE1746"/>
    <w:rsid w:val="00EF2007"/>
    <w:rsid w:val="00F05CD2"/>
    <w:rsid w:val="00F1154C"/>
    <w:rsid w:val="00F14CAE"/>
    <w:rsid w:val="00F17DC1"/>
    <w:rsid w:val="00F22C8D"/>
    <w:rsid w:val="00F24E2C"/>
    <w:rsid w:val="00F31F12"/>
    <w:rsid w:val="00F352C0"/>
    <w:rsid w:val="00F364E1"/>
    <w:rsid w:val="00F37D84"/>
    <w:rsid w:val="00F410CF"/>
    <w:rsid w:val="00F6031B"/>
    <w:rsid w:val="00F675BD"/>
    <w:rsid w:val="00F94E49"/>
    <w:rsid w:val="00FA066C"/>
    <w:rsid w:val="00FA08FD"/>
    <w:rsid w:val="00FD12B6"/>
    <w:rsid w:val="00FD3539"/>
    <w:rsid w:val="00FE456B"/>
    <w:rsid w:val="00FF3C15"/>
    <w:rsid w:val="00FF70FB"/>
    <w:rsid w:val="00FF7ADF"/>
    <w:rsid w:val="012B64AF"/>
    <w:rsid w:val="01933CA1"/>
    <w:rsid w:val="01933E55"/>
    <w:rsid w:val="01BF6469"/>
    <w:rsid w:val="025F09F0"/>
    <w:rsid w:val="027C6AB9"/>
    <w:rsid w:val="02DF21EF"/>
    <w:rsid w:val="04201EC7"/>
    <w:rsid w:val="045046FF"/>
    <w:rsid w:val="047E36A9"/>
    <w:rsid w:val="047F24B6"/>
    <w:rsid w:val="057069E3"/>
    <w:rsid w:val="05CB3586"/>
    <w:rsid w:val="060D10D2"/>
    <w:rsid w:val="066C72D7"/>
    <w:rsid w:val="070D3E84"/>
    <w:rsid w:val="0727545E"/>
    <w:rsid w:val="07EF7321"/>
    <w:rsid w:val="080539AF"/>
    <w:rsid w:val="085A6539"/>
    <w:rsid w:val="086A2D1A"/>
    <w:rsid w:val="08823813"/>
    <w:rsid w:val="08A40BE4"/>
    <w:rsid w:val="08B07D72"/>
    <w:rsid w:val="090E36BE"/>
    <w:rsid w:val="091D123B"/>
    <w:rsid w:val="09684681"/>
    <w:rsid w:val="096B4234"/>
    <w:rsid w:val="098053F7"/>
    <w:rsid w:val="09865C52"/>
    <w:rsid w:val="0A1318AA"/>
    <w:rsid w:val="0A1554BB"/>
    <w:rsid w:val="0A170B9C"/>
    <w:rsid w:val="0A1D4625"/>
    <w:rsid w:val="0A702F25"/>
    <w:rsid w:val="0AA5207D"/>
    <w:rsid w:val="0B0D419A"/>
    <w:rsid w:val="0BAA1044"/>
    <w:rsid w:val="0C06116B"/>
    <w:rsid w:val="0C2C0959"/>
    <w:rsid w:val="0C9534E4"/>
    <w:rsid w:val="0CAD1F59"/>
    <w:rsid w:val="0CB1622C"/>
    <w:rsid w:val="0CF31220"/>
    <w:rsid w:val="0D4B59D5"/>
    <w:rsid w:val="0DC64FDA"/>
    <w:rsid w:val="0E5626EA"/>
    <w:rsid w:val="0E5A28FE"/>
    <w:rsid w:val="0EE92F84"/>
    <w:rsid w:val="0EF9321E"/>
    <w:rsid w:val="0EFA6269"/>
    <w:rsid w:val="0FE50224"/>
    <w:rsid w:val="1015640E"/>
    <w:rsid w:val="10E904CB"/>
    <w:rsid w:val="1101240C"/>
    <w:rsid w:val="1124098B"/>
    <w:rsid w:val="119D6FA6"/>
    <w:rsid w:val="11ED31A7"/>
    <w:rsid w:val="1222375D"/>
    <w:rsid w:val="124A36D5"/>
    <w:rsid w:val="12721277"/>
    <w:rsid w:val="12A83E03"/>
    <w:rsid w:val="12B979DD"/>
    <w:rsid w:val="130726B9"/>
    <w:rsid w:val="134358DA"/>
    <w:rsid w:val="1345230E"/>
    <w:rsid w:val="13544F51"/>
    <w:rsid w:val="13B8520A"/>
    <w:rsid w:val="15365ECB"/>
    <w:rsid w:val="15B33C35"/>
    <w:rsid w:val="160A26DF"/>
    <w:rsid w:val="17163A31"/>
    <w:rsid w:val="1720639D"/>
    <w:rsid w:val="177B5642"/>
    <w:rsid w:val="18056F1E"/>
    <w:rsid w:val="18824714"/>
    <w:rsid w:val="18AE6841"/>
    <w:rsid w:val="18E611E1"/>
    <w:rsid w:val="19063631"/>
    <w:rsid w:val="19230A2E"/>
    <w:rsid w:val="1951749F"/>
    <w:rsid w:val="1959610D"/>
    <w:rsid w:val="19933EEE"/>
    <w:rsid w:val="19CB13F6"/>
    <w:rsid w:val="19E55985"/>
    <w:rsid w:val="19F85670"/>
    <w:rsid w:val="1A0836F9"/>
    <w:rsid w:val="1A4426FE"/>
    <w:rsid w:val="1A5852A5"/>
    <w:rsid w:val="1A6C60CD"/>
    <w:rsid w:val="1A875FC6"/>
    <w:rsid w:val="1AD624AC"/>
    <w:rsid w:val="1B1875CE"/>
    <w:rsid w:val="1B835B95"/>
    <w:rsid w:val="1BA842D2"/>
    <w:rsid w:val="1BCD48DA"/>
    <w:rsid w:val="1C8E057A"/>
    <w:rsid w:val="1CA11867"/>
    <w:rsid w:val="1CBA19FF"/>
    <w:rsid w:val="1D2422D8"/>
    <w:rsid w:val="1D495289"/>
    <w:rsid w:val="1D7F5DED"/>
    <w:rsid w:val="1D88230D"/>
    <w:rsid w:val="1E036392"/>
    <w:rsid w:val="1EF63F47"/>
    <w:rsid w:val="1F484BC1"/>
    <w:rsid w:val="1F951903"/>
    <w:rsid w:val="200636BC"/>
    <w:rsid w:val="207E43F5"/>
    <w:rsid w:val="2091084C"/>
    <w:rsid w:val="209D7852"/>
    <w:rsid w:val="20C067BC"/>
    <w:rsid w:val="21A63602"/>
    <w:rsid w:val="21AF7EF2"/>
    <w:rsid w:val="21C30CB0"/>
    <w:rsid w:val="21D104C4"/>
    <w:rsid w:val="21E6112F"/>
    <w:rsid w:val="22017635"/>
    <w:rsid w:val="222334A6"/>
    <w:rsid w:val="229D231D"/>
    <w:rsid w:val="23325476"/>
    <w:rsid w:val="2338636B"/>
    <w:rsid w:val="234014DA"/>
    <w:rsid w:val="235E3DED"/>
    <w:rsid w:val="23A41AA9"/>
    <w:rsid w:val="241E2177"/>
    <w:rsid w:val="2445396E"/>
    <w:rsid w:val="247D6DFF"/>
    <w:rsid w:val="2557368E"/>
    <w:rsid w:val="25643BBA"/>
    <w:rsid w:val="25A466AC"/>
    <w:rsid w:val="25FE6C33"/>
    <w:rsid w:val="26203303"/>
    <w:rsid w:val="26B03760"/>
    <w:rsid w:val="27DE4458"/>
    <w:rsid w:val="27E9484A"/>
    <w:rsid w:val="28043921"/>
    <w:rsid w:val="283F5126"/>
    <w:rsid w:val="288844C9"/>
    <w:rsid w:val="28920A3E"/>
    <w:rsid w:val="28CC0E2E"/>
    <w:rsid w:val="291B6C85"/>
    <w:rsid w:val="293B10D5"/>
    <w:rsid w:val="293E6CA2"/>
    <w:rsid w:val="29945580"/>
    <w:rsid w:val="29FD7462"/>
    <w:rsid w:val="2A337FFE"/>
    <w:rsid w:val="2A81520E"/>
    <w:rsid w:val="2B0D02BD"/>
    <w:rsid w:val="2B1E2A5D"/>
    <w:rsid w:val="2B2140BD"/>
    <w:rsid w:val="2B867186"/>
    <w:rsid w:val="2B92485A"/>
    <w:rsid w:val="2B9C1C62"/>
    <w:rsid w:val="2BDB3C20"/>
    <w:rsid w:val="2BFF27DA"/>
    <w:rsid w:val="2C4C35F9"/>
    <w:rsid w:val="2CA040B5"/>
    <w:rsid w:val="2D003340"/>
    <w:rsid w:val="2D232094"/>
    <w:rsid w:val="2D900EBE"/>
    <w:rsid w:val="2DB27BB8"/>
    <w:rsid w:val="2DBE0EDA"/>
    <w:rsid w:val="2DE31D62"/>
    <w:rsid w:val="2E0979F4"/>
    <w:rsid w:val="2E165C6D"/>
    <w:rsid w:val="2ECA3E2D"/>
    <w:rsid w:val="2EDD678B"/>
    <w:rsid w:val="2EEC39D8"/>
    <w:rsid w:val="2EED10C4"/>
    <w:rsid w:val="2F057E2F"/>
    <w:rsid w:val="2F3321FA"/>
    <w:rsid w:val="2F544C9F"/>
    <w:rsid w:val="2F751905"/>
    <w:rsid w:val="2FFB046F"/>
    <w:rsid w:val="304B06CD"/>
    <w:rsid w:val="3052124B"/>
    <w:rsid w:val="305A25CD"/>
    <w:rsid w:val="309E0B21"/>
    <w:rsid w:val="30AD0B0B"/>
    <w:rsid w:val="30B8216E"/>
    <w:rsid w:val="30D56E57"/>
    <w:rsid w:val="30ED36CA"/>
    <w:rsid w:val="31B00187"/>
    <w:rsid w:val="31FC517A"/>
    <w:rsid w:val="326A4276"/>
    <w:rsid w:val="32D36F23"/>
    <w:rsid w:val="33637328"/>
    <w:rsid w:val="338F44F8"/>
    <w:rsid w:val="339C4E66"/>
    <w:rsid w:val="33B201E6"/>
    <w:rsid w:val="33B43DDA"/>
    <w:rsid w:val="33DC1003"/>
    <w:rsid w:val="34017A8A"/>
    <w:rsid w:val="350B7DFE"/>
    <w:rsid w:val="35CD57AB"/>
    <w:rsid w:val="35ED3757"/>
    <w:rsid w:val="35F24446"/>
    <w:rsid w:val="367A15B2"/>
    <w:rsid w:val="36B24E78"/>
    <w:rsid w:val="36EA513D"/>
    <w:rsid w:val="36F01751"/>
    <w:rsid w:val="37315AF4"/>
    <w:rsid w:val="373A0C1E"/>
    <w:rsid w:val="37C64260"/>
    <w:rsid w:val="37FA7A6D"/>
    <w:rsid w:val="38496D6C"/>
    <w:rsid w:val="38806B33"/>
    <w:rsid w:val="388D1222"/>
    <w:rsid w:val="3892621E"/>
    <w:rsid w:val="38B663C8"/>
    <w:rsid w:val="38C157B9"/>
    <w:rsid w:val="38C904AC"/>
    <w:rsid w:val="38CA2129"/>
    <w:rsid w:val="38E05B90"/>
    <w:rsid w:val="39035521"/>
    <w:rsid w:val="39B7584C"/>
    <w:rsid w:val="3A1D123D"/>
    <w:rsid w:val="3A744447"/>
    <w:rsid w:val="3AA30888"/>
    <w:rsid w:val="3ADD5E57"/>
    <w:rsid w:val="3AFB3576"/>
    <w:rsid w:val="3BC44F5A"/>
    <w:rsid w:val="3BD74CEB"/>
    <w:rsid w:val="3BED091B"/>
    <w:rsid w:val="3C60699C"/>
    <w:rsid w:val="3C806563"/>
    <w:rsid w:val="3CF60458"/>
    <w:rsid w:val="3D042809"/>
    <w:rsid w:val="3E860F15"/>
    <w:rsid w:val="3E8743FE"/>
    <w:rsid w:val="3EA17748"/>
    <w:rsid w:val="3F992808"/>
    <w:rsid w:val="3FB83028"/>
    <w:rsid w:val="3FBE048B"/>
    <w:rsid w:val="3FEB6F5A"/>
    <w:rsid w:val="4067627C"/>
    <w:rsid w:val="409265EE"/>
    <w:rsid w:val="415218E2"/>
    <w:rsid w:val="41983619"/>
    <w:rsid w:val="41B67E09"/>
    <w:rsid w:val="41C9151C"/>
    <w:rsid w:val="41F221ED"/>
    <w:rsid w:val="42741635"/>
    <w:rsid w:val="431C742A"/>
    <w:rsid w:val="43CA5267"/>
    <w:rsid w:val="444F53BD"/>
    <w:rsid w:val="44737C99"/>
    <w:rsid w:val="44ED5664"/>
    <w:rsid w:val="44F22CFD"/>
    <w:rsid w:val="44F364BA"/>
    <w:rsid w:val="44F550BD"/>
    <w:rsid w:val="45437BF3"/>
    <w:rsid w:val="456A6701"/>
    <w:rsid w:val="45A1630C"/>
    <w:rsid w:val="45D756FD"/>
    <w:rsid w:val="45F24ED8"/>
    <w:rsid w:val="46E4575A"/>
    <w:rsid w:val="473A796F"/>
    <w:rsid w:val="47726C6E"/>
    <w:rsid w:val="4789176B"/>
    <w:rsid w:val="48616533"/>
    <w:rsid w:val="486C49B0"/>
    <w:rsid w:val="48910743"/>
    <w:rsid w:val="489610DE"/>
    <w:rsid w:val="48E73DE4"/>
    <w:rsid w:val="492A56DA"/>
    <w:rsid w:val="494476DB"/>
    <w:rsid w:val="496F29A9"/>
    <w:rsid w:val="49A454A8"/>
    <w:rsid w:val="49B22A94"/>
    <w:rsid w:val="49BC0661"/>
    <w:rsid w:val="49BF63F4"/>
    <w:rsid w:val="49C66341"/>
    <w:rsid w:val="4A383DFB"/>
    <w:rsid w:val="4A8E3303"/>
    <w:rsid w:val="4AA743C5"/>
    <w:rsid w:val="4B1E03E7"/>
    <w:rsid w:val="4B30329B"/>
    <w:rsid w:val="4BA95F1B"/>
    <w:rsid w:val="4BD9754E"/>
    <w:rsid w:val="4BE920DE"/>
    <w:rsid w:val="4C054A64"/>
    <w:rsid w:val="4C472813"/>
    <w:rsid w:val="4C4C4730"/>
    <w:rsid w:val="4C537145"/>
    <w:rsid w:val="4C6D6F48"/>
    <w:rsid w:val="4CD644AB"/>
    <w:rsid w:val="4D1A109E"/>
    <w:rsid w:val="4D371A30"/>
    <w:rsid w:val="4D3B5C7F"/>
    <w:rsid w:val="4D8602C2"/>
    <w:rsid w:val="4DA30E74"/>
    <w:rsid w:val="4DD74EB3"/>
    <w:rsid w:val="4E0C23A2"/>
    <w:rsid w:val="4E922C96"/>
    <w:rsid w:val="4E934692"/>
    <w:rsid w:val="4EA053B3"/>
    <w:rsid w:val="4EC77780"/>
    <w:rsid w:val="4EF3271A"/>
    <w:rsid w:val="4F8A257E"/>
    <w:rsid w:val="4FA94B75"/>
    <w:rsid w:val="4FD55530"/>
    <w:rsid w:val="50000343"/>
    <w:rsid w:val="50282188"/>
    <w:rsid w:val="504656BE"/>
    <w:rsid w:val="50AF3052"/>
    <w:rsid w:val="50B27620"/>
    <w:rsid w:val="50B667D3"/>
    <w:rsid w:val="511B709E"/>
    <w:rsid w:val="512E27E4"/>
    <w:rsid w:val="51922560"/>
    <w:rsid w:val="51D04201"/>
    <w:rsid w:val="51E11D57"/>
    <w:rsid w:val="52562E9B"/>
    <w:rsid w:val="5314255F"/>
    <w:rsid w:val="53402E60"/>
    <w:rsid w:val="535029F5"/>
    <w:rsid w:val="536F0303"/>
    <w:rsid w:val="53C15FC4"/>
    <w:rsid w:val="53D42DC6"/>
    <w:rsid w:val="53EE716F"/>
    <w:rsid w:val="5402266C"/>
    <w:rsid w:val="542C77C3"/>
    <w:rsid w:val="543842E0"/>
    <w:rsid w:val="54803E83"/>
    <w:rsid w:val="54A67309"/>
    <w:rsid w:val="54CF6057"/>
    <w:rsid w:val="55EA433F"/>
    <w:rsid w:val="563228AA"/>
    <w:rsid w:val="563B3C13"/>
    <w:rsid w:val="567C046F"/>
    <w:rsid w:val="56C43C09"/>
    <w:rsid w:val="56EA18C1"/>
    <w:rsid w:val="57106FCA"/>
    <w:rsid w:val="57A23F4A"/>
    <w:rsid w:val="57A46D66"/>
    <w:rsid w:val="57B42F13"/>
    <w:rsid w:val="58070251"/>
    <w:rsid w:val="584C2108"/>
    <w:rsid w:val="58827087"/>
    <w:rsid w:val="58BD5526"/>
    <w:rsid w:val="58F5454D"/>
    <w:rsid w:val="592D018B"/>
    <w:rsid w:val="599A2988"/>
    <w:rsid w:val="5A253D2B"/>
    <w:rsid w:val="5A7B154E"/>
    <w:rsid w:val="5B7F1DF1"/>
    <w:rsid w:val="5BCF7320"/>
    <w:rsid w:val="5BDE1EE0"/>
    <w:rsid w:val="5BEA2363"/>
    <w:rsid w:val="5C292E8C"/>
    <w:rsid w:val="5C6F779B"/>
    <w:rsid w:val="5CA761D1"/>
    <w:rsid w:val="5CD2438D"/>
    <w:rsid w:val="5CFF31EA"/>
    <w:rsid w:val="5D1834C1"/>
    <w:rsid w:val="5D24191A"/>
    <w:rsid w:val="5D39024A"/>
    <w:rsid w:val="5D627860"/>
    <w:rsid w:val="5D7A728A"/>
    <w:rsid w:val="5DB91881"/>
    <w:rsid w:val="5DC559D7"/>
    <w:rsid w:val="5E007347"/>
    <w:rsid w:val="5E394EDC"/>
    <w:rsid w:val="5E4F64AE"/>
    <w:rsid w:val="5E6466ED"/>
    <w:rsid w:val="5E954808"/>
    <w:rsid w:val="5EB84053"/>
    <w:rsid w:val="5EC92704"/>
    <w:rsid w:val="5F4C3A48"/>
    <w:rsid w:val="60373891"/>
    <w:rsid w:val="605303A5"/>
    <w:rsid w:val="60687CFB"/>
    <w:rsid w:val="61614E76"/>
    <w:rsid w:val="620608D6"/>
    <w:rsid w:val="62451DF4"/>
    <w:rsid w:val="62A019CE"/>
    <w:rsid w:val="63DD1BC6"/>
    <w:rsid w:val="63F024E1"/>
    <w:rsid w:val="64276A3B"/>
    <w:rsid w:val="6497136C"/>
    <w:rsid w:val="64C45DE1"/>
    <w:rsid w:val="64D03589"/>
    <w:rsid w:val="65420B1A"/>
    <w:rsid w:val="65817895"/>
    <w:rsid w:val="66123504"/>
    <w:rsid w:val="669F133D"/>
    <w:rsid w:val="66B2560C"/>
    <w:rsid w:val="66BD398E"/>
    <w:rsid w:val="66F17377"/>
    <w:rsid w:val="671F556E"/>
    <w:rsid w:val="67E27EFB"/>
    <w:rsid w:val="67E934CF"/>
    <w:rsid w:val="686F7E78"/>
    <w:rsid w:val="69154ABB"/>
    <w:rsid w:val="6A040A94"/>
    <w:rsid w:val="6A31115D"/>
    <w:rsid w:val="6A927A03"/>
    <w:rsid w:val="6AF503DD"/>
    <w:rsid w:val="6B325C78"/>
    <w:rsid w:val="6B603B25"/>
    <w:rsid w:val="6B7457A6"/>
    <w:rsid w:val="6C863145"/>
    <w:rsid w:val="6D0244F4"/>
    <w:rsid w:val="6D3437FC"/>
    <w:rsid w:val="6E2D0DB9"/>
    <w:rsid w:val="6E477DFD"/>
    <w:rsid w:val="6E7F2DDF"/>
    <w:rsid w:val="6EB74327"/>
    <w:rsid w:val="6F0A08FB"/>
    <w:rsid w:val="6F7A7103"/>
    <w:rsid w:val="6FB70357"/>
    <w:rsid w:val="6FDC61FC"/>
    <w:rsid w:val="7009478C"/>
    <w:rsid w:val="701A5F3C"/>
    <w:rsid w:val="70813A4D"/>
    <w:rsid w:val="70A703CB"/>
    <w:rsid w:val="70E33C39"/>
    <w:rsid w:val="710A57AD"/>
    <w:rsid w:val="713E2810"/>
    <w:rsid w:val="71CB3CB6"/>
    <w:rsid w:val="725718DB"/>
    <w:rsid w:val="72624905"/>
    <w:rsid w:val="728C28C5"/>
    <w:rsid w:val="72AC4C7F"/>
    <w:rsid w:val="7371347D"/>
    <w:rsid w:val="742B7ECE"/>
    <w:rsid w:val="742C30C1"/>
    <w:rsid w:val="74547A54"/>
    <w:rsid w:val="74591FEB"/>
    <w:rsid w:val="748B4BCA"/>
    <w:rsid w:val="74AB717B"/>
    <w:rsid w:val="74CF1C9F"/>
    <w:rsid w:val="74E00EDF"/>
    <w:rsid w:val="757C1E26"/>
    <w:rsid w:val="75CF430F"/>
    <w:rsid w:val="75EF25F8"/>
    <w:rsid w:val="75F2239C"/>
    <w:rsid w:val="76373B19"/>
    <w:rsid w:val="76597BBA"/>
    <w:rsid w:val="76BD44A5"/>
    <w:rsid w:val="770152F0"/>
    <w:rsid w:val="77456248"/>
    <w:rsid w:val="77FA652A"/>
    <w:rsid w:val="78283BA0"/>
    <w:rsid w:val="788E6CCB"/>
    <w:rsid w:val="78CF754F"/>
    <w:rsid w:val="78EC4EA5"/>
    <w:rsid w:val="78F9553C"/>
    <w:rsid w:val="7904730A"/>
    <w:rsid w:val="790D55A6"/>
    <w:rsid w:val="79312F28"/>
    <w:rsid w:val="7987746E"/>
    <w:rsid w:val="79BF22E2"/>
    <w:rsid w:val="7A094544"/>
    <w:rsid w:val="7AF81F4F"/>
    <w:rsid w:val="7B0004F2"/>
    <w:rsid w:val="7B1C3E77"/>
    <w:rsid w:val="7B8C08E9"/>
    <w:rsid w:val="7BA51879"/>
    <w:rsid w:val="7D1961AD"/>
    <w:rsid w:val="7D285296"/>
    <w:rsid w:val="7D3812BF"/>
    <w:rsid w:val="7D3927A9"/>
    <w:rsid w:val="7D553A71"/>
    <w:rsid w:val="7DA67B57"/>
    <w:rsid w:val="7E0D1B42"/>
    <w:rsid w:val="7E912651"/>
    <w:rsid w:val="7EB51837"/>
    <w:rsid w:val="7EDE320A"/>
    <w:rsid w:val="7F13473F"/>
    <w:rsid w:val="7F264BB1"/>
    <w:rsid w:val="7F5D1721"/>
    <w:rsid w:val="7F9917BA"/>
    <w:rsid w:val="7FA507A0"/>
    <w:rsid w:val="7FD45D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7"/>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8"/>
    <w:qFormat/>
    <w:uiPriority w:val="0"/>
    <w:pPr>
      <w:spacing w:before="120" w:after="120" w:line="360" w:lineRule="auto"/>
      <w:outlineLvl w:val="1"/>
    </w:pPr>
    <w:rPr>
      <w:rFonts w:ascii="Times New Roman" w:hAnsi="Times New Roman"/>
      <w:b/>
      <w:sz w:val="24"/>
    </w:rPr>
  </w:style>
  <w:style w:type="paragraph" w:styleId="5">
    <w:name w:val="heading 3"/>
    <w:basedOn w:val="1"/>
    <w:next w:val="1"/>
    <w:link w:val="69"/>
    <w:qFormat/>
    <w:uiPriority w:val="0"/>
    <w:pPr>
      <w:spacing w:before="120" w:after="120" w:line="360" w:lineRule="auto"/>
      <w:outlineLvl w:val="2"/>
    </w:pPr>
    <w:rPr>
      <w:rFonts w:ascii="Times New Roman" w:hAnsi="Times New Roman"/>
      <w:b/>
      <w:sz w:val="24"/>
    </w:rPr>
  </w:style>
  <w:style w:type="paragraph" w:styleId="6">
    <w:name w:val="heading 4"/>
    <w:next w:val="1"/>
    <w:link w:val="70"/>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71"/>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2"/>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3"/>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4"/>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5"/>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277"/>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6"/>
    <w:unhideWhenUsed/>
    <w:qFormat/>
    <w:uiPriority w:val="99"/>
    <w:pPr>
      <w:jc w:val="left"/>
    </w:pPr>
  </w:style>
  <w:style w:type="paragraph" w:styleId="17">
    <w:name w:val="Body Text"/>
    <w:basedOn w:val="1"/>
    <w:link w:val="77"/>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8"/>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9"/>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80"/>
    <w:unhideWhenUsed/>
    <w:qFormat/>
    <w:uiPriority w:val="99"/>
    <w:rPr>
      <w:sz w:val="20"/>
    </w:rPr>
  </w:style>
  <w:style w:type="paragraph" w:styleId="27">
    <w:name w:val="Balloon Text"/>
    <w:basedOn w:val="1"/>
    <w:link w:val="81"/>
    <w:unhideWhenUsed/>
    <w:qFormat/>
    <w:uiPriority w:val="99"/>
    <w:rPr>
      <w:sz w:val="18"/>
      <w:szCs w:val="18"/>
    </w:rPr>
  </w:style>
  <w:style w:type="paragraph" w:styleId="28">
    <w:name w:val="footer"/>
    <w:basedOn w:val="1"/>
    <w:link w:val="82"/>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3"/>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4"/>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5"/>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7"/>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8"/>
    <w:unhideWhenUsed/>
    <w:qFormat/>
    <w:uiPriority w:val="99"/>
    <w:rPr>
      <w:b/>
      <w:bCs/>
    </w:rPr>
  </w:style>
  <w:style w:type="paragraph" w:styleId="43">
    <w:name w:val="Body Text First Indent"/>
    <w:basedOn w:val="17"/>
    <w:link w:val="276"/>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BodyText1I2"/>
    <w:basedOn w:val="61"/>
    <w:next w:val="1"/>
    <w:autoRedefine/>
    <w:qFormat/>
    <w:uiPriority w:val="0"/>
    <w:pPr>
      <w:spacing w:line="360" w:lineRule="auto"/>
      <w:ind w:firstLine="0" w:firstLineChars="0"/>
      <w:jc w:val="center"/>
    </w:pPr>
    <w:rPr>
      <w:rFonts w:ascii="Calibri" w:hAnsi="Calibri"/>
      <w:b/>
      <w:bCs/>
    </w:rPr>
  </w:style>
  <w:style w:type="paragraph" w:customStyle="1" w:styleId="61">
    <w:name w:val="BodyTextIndent"/>
    <w:basedOn w:val="1"/>
    <w:next w:val="62"/>
    <w:autoRedefine/>
    <w:qFormat/>
    <w:uiPriority w:val="0"/>
    <w:pPr>
      <w:snapToGrid w:val="0"/>
      <w:spacing w:line="440" w:lineRule="exact"/>
      <w:ind w:firstLine="403" w:firstLineChars="192"/>
      <w:textAlignment w:val="baseline"/>
    </w:pPr>
    <w:rPr>
      <w:rFonts w:ascii="宋体" w:hAnsi="宋体"/>
    </w:rPr>
  </w:style>
  <w:style w:type="paragraph" w:customStyle="1" w:styleId="62">
    <w:name w:val="EnvelopeReturn"/>
    <w:basedOn w:val="1"/>
    <w:autoRedefine/>
    <w:qFormat/>
    <w:uiPriority w:val="0"/>
    <w:pPr>
      <w:snapToGrid w:val="0"/>
      <w:textAlignment w:val="baseline"/>
    </w:pPr>
    <w:rPr>
      <w:rFonts w:ascii="Arial" w:hAnsi="Arial"/>
    </w:rPr>
  </w:style>
  <w:style w:type="paragraph" w:customStyle="1" w:styleId="63">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6">
    <w:name w:val="段"/>
    <w:basedOn w:val="1"/>
    <w:next w:val="1"/>
    <w:qFormat/>
    <w:uiPriority w:val="0"/>
    <w:pPr>
      <w:widowControl/>
      <w:ind w:firstLine="200"/>
    </w:pPr>
    <w:rPr>
      <w:rFonts w:hint="eastAsia" w:ascii="宋体"/>
      <w:szCs w:val="20"/>
    </w:rPr>
  </w:style>
  <w:style w:type="character" w:customStyle="1" w:styleId="67">
    <w:name w:val="标题 1 字符"/>
    <w:link w:val="2"/>
    <w:qFormat/>
    <w:uiPriority w:val="99"/>
    <w:rPr>
      <w:rFonts w:ascii="宋体" w:hAnsi="宋体" w:eastAsia="宋体" w:cs="Times New Roman"/>
      <w:b/>
      <w:bCs/>
      <w:sz w:val="14"/>
      <w:szCs w:val="14"/>
    </w:rPr>
  </w:style>
  <w:style w:type="character" w:customStyle="1" w:styleId="68">
    <w:name w:val="标题 2 字符"/>
    <w:link w:val="4"/>
    <w:qFormat/>
    <w:uiPriority w:val="0"/>
    <w:rPr>
      <w:rFonts w:ascii="Arial" w:hAnsi="Arial" w:eastAsia="黑体" w:cs="Arial"/>
      <w:b/>
      <w:bCs/>
      <w:sz w:val="32"/>
      <w:szCs w:val="32"/>
    </w:rPr>
  </w:style>
  <w:style w:type="character" w:customStyle="1" w:styleId="69">
    <w:name w:val="标题 3 字符"/>
    <w:link w:val="5"/>
    <w:qFormat/>
    <w:uiPriority w:val="0"/>
    <w:rPr>
      <w:rFonts w:ascii="Times New Roman" w:hAnsi="Times New Roman" w:eastAsia="宋体" w:cs="Times New Roman"/>
      <w:b/>
      <w:bCs/>
      <w:sz w:val="32"/>
      <w:szCs w:val="32"/>
    </w:rPr>
  </w:style>
  <w:style w:type="character" w:customStyle="1" w:styleId="70">
    <w:name w:val="标题 4 字符"/>
    <w:link w:val="6"/>
    <w:qFormat/>
    <w:uiPriority w:val="9"/>
    <w:rPr>
      <w:rFonts w:ascii="Calibri Light" w:hAnsi="Calibri Light" w:eastAsia="黑体" w:cs="Times New Roman"/>
      <w:b/>
      <w:bCs/>
      <w:sz w:val="28"/>
      <w:szCs w:val="28"/>
    </w:rPr>
  </w:style>
  <w:style w:type="character" w:customStyle="1" w:styleId="71">
    <w:name w:val="标题 5 字符"/>
    <w:link w:val="7"/>
    <w:qFormat/>
    <w:uiPriority w:val="9"/>
    <w:rPr>
      <w:rFonts w:ascii="Arial" w:hAnsi="Arial" w:eastAsia="Arial" w:cs="Arial"/>
      <w:b/>
      <w:bCs/>
      <w:sz w:val="24"/>
      <w:szCs w:val="24"/>
    </w:rPr>
  </w:style>
  <w:style w:type="character" w:customStyle="1" w:styleId="72">
    <w:name w:val="标题 6 字符"/>
    <w:link w:val="8"/>
    <w:qFormat/>
    <w:uiPriority w:val="9"/>
    <w:rPr>
      <w:rFonts w:ascii="Arial" w:hAnsi="Arial" w:eastAsia="Arial" w:cs="Arial"/>
      <w:b/>
      <w:bCs/>
      <w:sz w:val="22"/>
      <w:szCs w:val="22"/>
    </w:rPr>
  </w:style>
  <w:style w:type="character" w:customStyle="1" w:styleId="73">
    <w:name w:val="标题 7 字符"/>
    <w:link w:val="9"/>
    <w:qFormat/>
    <w:uiPriority w:val="9"/>
    <w:rPr>
      <w:rFonts w:ascii="Arial" w:hAnsi="Arial" w:eastAsia="Arial" w:cs="Arial"/>
      <w:b/>
      <w:bCs/>
      <w:i/>
      <w:iCs/>
      <w:sz w:val="22"/>
      <w:szCs w:val="22"/>
    </w:rPr>
  </w:style>
  <w:style w:type="character" w:customStyle="1" w:styleId="74">
    <w:name w:val="标题 8 字符"/>
    <w:link w:val="10"/>
    <w:qFormat/>
    <w:uiPriority w:val="9"/>
    <w:rPr>
      <w:rFonts w:ascii="Arial" w:hAnsi="Arial" w:eastAsia="Arial" w:cs="Arial"/>
      <w:i/>
      <w:iCs/>
      <w:sz w:val="22"/>
      <w:szCs w:val="22"/>
    </w:rPr>
  </w:style>
  <w:style w:type="character" w:customStyle="1" w:styleId="75">
    <w:name w:val="标题 9 字符"/>
    <w:link w:val="11"/>
    <w:qFormat/>
    <w:uiPriority w:val="9"/>
    <w:rPr>
      <w:rFonts w:ascii="Arial" w:hAnsi="Arial" w:eastAsia="Arial" w:cs="Arial"/>
      <w:i/>
      <w:iCs/>
      <w:sz w:val="21"/>
      <w:szCs w:val="21"/>
    </w:rPr>
  </w:style>
  <w:style w:type="character" w:customStyle="1" w:styleId="76">
    <w:name w:val="批注文字 字符"/>
    <w:link w:val="16"/>
    <w:qFormat/>
    <w:uiPriority w:val="99"/>
    <w:rPr>
      <w:rFonts w:ascii="Calibri" w:hAnsi="Calibri" w:eastAsia="宋体" w:cs="Times New Roman"/>
      <w:sz w:val="21"/>
      <w:szCs w:val="22"/>
    </w:rPr>
  </w:style>
  <w:style w:type="character" w:customStyle="1" w:styleId="77">
    <w:name w:val="正文文本 字符"/>
    <w:link w:val="17"/>
    <w:qFormat/>
    <w:uiPriority w:val="99"/>
    <w:rPr>
      <w:rFonts w:ascii="Times New Roman" w:hAnsi="Times New Roman" w:eastAsia="宋体" w:cs="Times New Roman"/>
      <w:sz w:val="24"/>
      <w:szCs w:val="24"/>
    </w:rPr>
  </w:style>
  <w:style w:type="character" w:customStyle="1" w:styleId="78">
    <w:name w:val="纯文本 字符"/>
    <w:link w:val="22"/>
    <w:qFormat/>
    <w:uiPriority w:val="0"/>
    <w:rPr>
      <w:rFonts w:ascii="宋体" w:hAnsi="Courier New"/>
      <w:sz w:val="21"/>
      <w:szCs w:val="22"/>
    </w:rPr>
  </w:style>
  <w:style w:type="character" w:customStyle="1" w:styleId="79">
    <w:name w:val="日期 字符"/>
    <w:link w:val="24"/>
    <w:qFormat/>
    <w:uiPriority w:val="0"/>
    <w:rPr>
      <w:rFonts w:ascii="Times New Roman" w:hAnsi="Times New Roman" w:eastAsia="宋体" w:cs="Times New Roman"/>
      <w:sz w:val="21"/>
      <w:szCs w:val="24"/>
    </w:rPr>
  </w:style>
  <w:style w:type="character" w:customStyle="1" w:styleId="80">
    <w:name w:val="尾注文本 字符"/>
    <w:link w:val="26"/>
    <w:qFormat/>
    <w:uiPriority w:val="99"/>
    <w:rPr>
      <w:sz w:val="20"/>
    </w:rPr>
  </w:style>
  <w:style w:type="character" w:customStyle="1" w:styleId="81">
    <w:name w:val="批注框文本 字符"/>
    <w:link w:val="27"/>
    <w:semiHidden/>
    <w:qFormat/>
    <w:uiPriority w:val="99"/>
    <w:rPr>
      <w:sz w:val="18"/>
      <w:szCs w:val="18"/>
    </w:rPr>
  </w:style>
  <w:style w:type="character" w:customStyle="1" w:styleId="82">
    <w:name w:val="页脚 字符"/>
    <w:link w:val="28"/>
    <w:qFormat/>
    <w:uiPriority w:val="99"/>
    <w:rPr>
      <w:sz w:val="18"/>
      <w:szCs w:val="18"/>
    </w:rPr>
  </w:style>
  <w:style w:type="character" w:customStyle="1" w:styleId="83">
    <w:name w:val="页眉 字符"/>
    <w:link w:val="30"/>
    <w:qFormat/>
    <w:uiPriority w:val="99"/>
    <w:rPr>
      <w:sz w:val="18"/>
      <w:szCs w:val="18"/>
    </w:rPr>
  </w:style>
  <w:style w:type="character" w:customStyle="1" w:styleId="84">
    <w:name w:val="副标题 字符"/>
    <w:link w:val="33"/>
    <w:qFormat/>
    <w:uiPriority w:val="11"/>
    <w:rPr>
      <w:sz w:val="24"/>
      <w:szCs w:val="24"/>
    </w:rPr>
  </w:style>
  <w:style w:type="character" w:customStyle="1" w:styleId="85">
    <w:name w:val="脚注文本 字符"/>
    <w:link w:val="34"/>
    <w:qFormat/>
    <w:uiPriority w:val="99"/>
    <w:rPr>
      <w:sz w:val="18"/>
    </w:rPr>
  </w:style>
  <w:style w:type="character" w:customStyle="1" w:styleId="86">
    <w:name w:val="HTML 预设格式 字符"/>
    <w:link w:val="39"/>
    <w:qFormat/>
    <w:uiPriority w:val="99"/>
    <w:rPr>
      <w:rFonts w:ascii="Arial" w:hAnsi="Arial" w:eastAsia="宋体" w:cs="Times New Roman"/>
      <w:sz w:val="11"/>
      <w:szCs w:val="11"/>
    </w:rPr>
  </w:style>
  <w:style w:type="character" w:customStyle="1" w:styleId="87">
    <w:name w:val="标题 字符"/>
    <w:link w:val="41"/>
    <w:qFormat/>
    <w:uiPriority w:val="0"/>
    <w:rPr>
      <w:rFonts w:ascii="Cambria" w:hAnsi="Cambria" w:eastAsia="黑体" w:cs="Times New Roman"/>
      <w:b/>
      <w:bCs/>
      <w:sz w:val="52"/>
      <w:szCs w:val="32"/>
    </w:rPr>
  </w:style>
  <w:style w:type="character" w:customStyle="1" w:styleId="88">
    <w:name w:val="批注主题 字符"/>
    <w:link w:val="42"/>
    <w:semiHidden/>
    <w:qFormat/>
    <w:uiPriority w:val="99"/>
    <w:rPr>
      <w:rFonts w:ascii="Calibri" w:hAnsi="Calibri" w:eastAsia="宋体" w:cs="Times New Roman"/>
      <w:b/>
      <w:bCs/>
      <w:sz w:val="21"/>
      <w:szCs w:val="22"/>
    </w:rPr>
  </w:style>
  <w:style w:type="paragraph" w:customStyle="1" w:styleId="89">
    <w:name w:val="正文（缩进）"/>
    <w:basedOn w:val="1"/>
    <w:next w:val="90"/>
    <w:qFormat/>
    <w:uiPriority w:val="0"/>
    <w:pPr>
      <w:spacing w:beforeLines="50" w:afterLines="50" w:line="360" w:lineRule="auto"/>
      <w:ind w:firstLine="480" w:firstLineChars="200"/>
    </w:pPr>
    <w:rPr>
      <w:sz w:val="24"/>
      <w:szCs w:val="24"/>
    </w:rPr>
  </w:style>
  <w:style w:type="paragraph" w:customStyle="1" w:styleId="90">
    <w:name w:val="Char Char Char Char Char Char Char Char Char"/>
    <w:basedOn w:val="1"/>
    <w:next w:val="91"/>
    <w:qFormat/>
    <w:uiPriority w:val="99"/>
    <w:pPr>
      <w:ind w:left="360" w:firstLine="5784"/>
    </w:pPr>
  </w:style>
  <w:style w:type="paragraph" w:customStyle="1" w:styleId="91">
    <w:name w:val="正文文本 21"/>
    <w:basedOn w:val="1"/>
    <w:next w:val="92"/>
    <w:qFormat/>
    <w:uiPriority w:val="99"/>
    <w:pPr>
      <w:widowControl/>
      <w:ind w:left="720" w:firstLine="5680"/>
    </w:pPr>
  </w:style>
  <w:style w:type="paragraph" w:customStyle="1" w:styleId="92">
    <w:name w:val="默认段落字体 Para Char Char Char Char Char Char Char"/>
    <w:basedOn w:val="1"/>
    <w:next w:val="93"/>
    <w:qFormat/>
    <w:uiPriority w:val="99"/>
    <w:pPr>
      <w:ind w:firstLine="200" w:firstLineChars="200"/>
    </w:pPr>
    <w:rPr>
      <w:rFonts w:cs="Arial"/>
    </w:rPr>
  </w:style>
  <w:style w:type="paragraph" w:customStyle="1" w:styleId="93">
    <w:name w:val="样式 首行缩进:  2 字符"/>
    <w:basedOn w:val="1"/>
    <w:next w:val="94"/>
    <w:qFormat/>
    <w:uiPriority w:val="99"/>
    <w:pPr>
      <w:spacing w:line="360" w:lineRule="auto"/>
      <w:ind w:left="480" w:firstLine="5856"/>
    </w:pPr>
  </w:style>
  <w:style w:type="paragraph" w:customStyle="1" w:styleId="94">
    <w:name w:val="样式 段后: 0.25 行"/>
    <w:basedOn w:val="1"/>
    <w:next w:val="95"/>
    <w:qFormat/>
    <w:uiPriority w:val="99"/>
    <w:pPr>
      <w:widowControl/>
      <w:spacing w:line="300" w:lineRule="auto"/>
      <w:ind w:left="420" w:firstLine="5796"/>
    </w:pPr>
  </w:style>
  <w:style w:type="paragraph" w:customStyle="1" w:styleId="95">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6">
    <w:name w:val="Heading 1 Char"/>
    <w:qFormat/>
    <w:uiPriority w:val="9"/>
    <w:rPr>
      <w:rFonts w:ascii="Arial" w:hAnsi="Arial" w:eastAsia="Arial" w:cs="Arial"/>
      <w:sz w:val="40"/>
      <w:szCs w:val="40"/>
    </w:rPr>
  </w:style>
  <w:style w:type="character" w:customStyle="1" w:styleId="97">
    <w:name w:val="Heading 2 Char"/>
    <w:qFormat/>
    <w:uiPriority w:val="9"/>
    <w:rPr>
      <w:rFonts w:ascii="Arial" w:hAnsi="Arial" w:eastAsia="Arial" w:cs="Arial"/>
      <w:sz w:val="34"/>
    </w:rPr>
  </w:style>
  <w:style w:type="character" w:customStyle="1" w:styleId="98">
    <w:name w:val="Heading 3 Char"/>
    <w:qFormat/>
    <w:uiPriority w:val="9"/>
    <w:rPr>
      <w:rFonts w:ascii="Arial" w:hAnsi="Arial" w:eastAsia="Arial" w:cs="Arial"/>
      <w:sz w:val="30"/>
      <w:szCs w:val="30"/>
    </w:rPr>
  </w:style>
  <w:style w:type="character" w:customStyle="1" w:styleId="99">
    <w:name w:val="Heading 4 Char"/>
    <w:qFormat/>
    <w:uiPriority w:val="9"/>
    <w:rPr>
      <w:rFonts w:ascii="Arial" w:hAnsi="Arial" w:eastAsia="Arial" w:cs="Arial"/>
      <w:b/>
      <w:bCs/>
      <w:sz w:val="26"/>
      <w:szCs w:val="26"/>
    </w:rPr>
  </w:style>
  <w:style w:type="character" w:customStyle="1" w:styleId="100">
    <w:name w:val="Title Char"/>
    <w:qFormat/>
    <w:uiPriority w:val="10"/>
    <w:rPr>
      <w:sz w:val="48"/>
      <w:szCs w:val="48"/>
    </w:rPr>
  </w:style>
  <w:style w:type="paragraph" w:customStyle="1" w:styleId="101">
    <w:name w:val="引用1"/>
    <w:basedOn w:val="1"/>
    <w:next w:val="1"/>
    <w:link w:val="102"/>
    <w:qFormat/>
    <w:uiPriority w:val="29"/>
    <w:pPr>
      <w:ind w:left="720" w:right="720"/>
    </w:pPr>
    <w:rPr>
      <w:i/>
    </w:rPr>
  </w:style>
  <w:style w:type="character" w:customStyle="1" w:styleId="102">
    <w:name w:val="引用 Char"/>
    <w:link w:val="101"/>
    <w:qFormat/>
    <w:uiPriority w:val="29"/>
    <w:rPr>
      <w:i/>
    </w:rPr>
  </w:style>
  <w:style w:type="paragraph" w:customStyle="1" w:styleId="103">
    <w:name w:val="明显引用1"/>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Char"/>
    <w:link w:val="103"/>
    <w:qFormat/>
    <w:uiPriority w:val="30"/>
    <w:rPr>
      <w:i/>
    </w:rPr>
  </w:style>
  <w:style w:type="character" w:customStyle="1" w:styleId="105">
    <w:name w:val="Header Char"/>
    <w:qFormat/>
    <w:uiPriority w:val="99"/>
  </w:style>
  <w:style w:type="character" w:customStyle="1" w:styleId="106">
    <w:name w:val="Footer Char"/>
    <w:qFormat/>
    <w:uiPriority w:val="99"/>
  </w:style>
  <w:style w:type="character" w:customStyle="1" w:styleId="107">
    <w:name w:val="Caption Char"/>
    <w:qFormat/>
    <w:uiPriority w:val="99"/>
  </w:style>
  <w:style w:type="table" w:customStyle="1" w:styleId="108">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9">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0">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1">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5">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6">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7">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8">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9">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0">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1">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2">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3">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4">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5">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6">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7">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8">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9">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0">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1">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2">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3">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4">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5">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6">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7">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8">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9">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0">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1">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2">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3">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4">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5">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6">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7">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8">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9">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0">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1">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2">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3">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4">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5">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6">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7">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8">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9">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0">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1">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2">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3">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4">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5">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6">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7">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8">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9">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0">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1">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2">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3">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4">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5">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6">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7">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8">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9">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0">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1">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2">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3">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4">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5">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6">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7">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8">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9">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0">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1">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2">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3">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4">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5">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6">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7">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8">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9">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0">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1">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2">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3">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4">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5">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6">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7">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8">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9">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0">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1">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2">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3">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4">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5">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6">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7">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8">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9">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0">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1">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2">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3">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4">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5">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6">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7">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8">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9">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0">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1">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2">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3">
    <w:name w:val="TOC 标题1"/>
    <w:unhideWhenUsed/>
    <w:qFormat/>
    <w:uiPriority w:val="39"/>
    <w:rPr>
      <w:rFonts w:ascii="Times New Roman" w:hAnsi="Times New Roman" w:eastAsia="宋体" w:cs="Times New Roman"/>
      <w:lang w:val="en-US" w:eastAsia="zh-CN" w:bidi="ar-SA"/>
    </w:rPr>
  </w:style>
  <w:style w:type="paragraph" w:customStyle="1" w:styleId="234">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5">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6">
    <w:name w:val="正文2"/>
    <w:basedOn w:val="1"/>
    <w:link w:val="237"/>
    <w:qFormat/>
    <w:uiPriority w:val="99"/>
    <w:pPr>
      <w:spacing w:line="360" w:lineRule="auto"/>
      <w:ind w:firstLine="420"/>
    </w:pPr>
    <w:rPr>
      <w:rFonts w:ascii="宋体" w:hAnsi="宋体" w:cs="宋体"/>
      <w:color w:val="000000"/>
      <w:szCs w:val="21"/>
    </w:rPr>
  </w:style>
  <w:style w:type="character" w:customStyle="1" w:styleId="237">
    <w:name w:val="正文2 Char Char"/>
    <w:link w:val="236"/>
    <w:qFormat/>
    <w:uiPriority w:val="99"/>
    <w:rPr>
      <w:rFonts w:ascii="宋体" w:hAnsi="宋体" w:eastAsia="宋体" w:cs="宋体"/>
      <w:color w:val="000000"/>
      <w:sz w:val="21"/>
      <w:szCs w:val="21"/>
    </w:rPr>
  </w:style>
  <w:style w:type="paragraph" w:customStyle="1" w:styleId="238">
    <w:name w:val="Table Paragraph"/>
    <w:basedOn w:val="1"/>
    <w:qFormat/>
    <w:uiPriority w:val="1"/>
    <w:pPr>
      <w:jc w:val="left"/>
    </w:pPr>
    <w:rPr>
      <w:rFonts w:ascii="宋体" w:hAnsi="宋体" w:cs="宋体"/>
      <w:sz w:val="22"/>
      <w:lang w:val="zh-CN" w:bidi="zh-CN"/>
    </w:rPr>
  </w:style>
  <w:style w:type="paragraph" w:customStyle="1" w:styleId="239">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0">
    <w:name w:val="p21"/>
    <w:qFormat/>
    <w:uiPriority w:val="0"/>
    <w:rPr>
      <w:sz w:val="9"/>
      <w:szCs w:val="9"/>
    </w:rPr>
  </w:style>
  <w:style w:type="paragraph" w:customStyle="1" w:styleId="241">
    <w:name w:val="t_black_12_b"/>
    <w:basedOn w:val="1"/>
    <w:qFormat/>
    <w:uiPriority w:val="0"/>
    <w:pPr>
      <w:widowControl/>
      <w:jc w:val="left"/>
    </w:pPr>
    <w:rPr>
      <w:rFonts w:ascii="宋体" w:hAnsi="宋体" w:cs="宋体"/>
      <w:b/>
      <w:bCs/>
      <w:color w:val="212121"/>
      <w:sz w:val="9"/>
      <w:szCs w:val="9"/>
    </w:rPr>
  </w:style>
  <w:style w:type="paragraph" w:customStyle="1" w:styleId="242">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3">
    <w:name w:val="标题3"/>
    <w:basedOn w:val="1"/>
    <w:link w:val="244"/>
    <w:qFormat/>
    <w:uiPriority w:val="0"/>
    <w:pPr>
      <w:pageBreakBefore/>
      <w:jc w:val="center"/>
      <w:outlineLvl w:val="2"/>
    </w:pPr>
    <w:rPr>
      <w:rFonts w:ascii="黑体" w:hAnsi="黑体" w:eastAsia="黑体"/>
      <w:b/>
      <w:sz w:val="32"/>
      <w:szCs w:val="32"/>
    </w:rPr>
  </w:style>
  <w:style w:type="character" w:customStyle="1" w:styleId="244">
    <w:name w:val="标题3 Char"/>
    <w:link w:val="243"/>
    <w:qFormat/>
    <w:uiPriority w:val="0"/>
    <w:rPr>
      <w:rFonts w:ascii="黑体" w:hAnsi="黑体" w:eastAsia="黑体" w:cs="Times New Roman"/>
      <w:b/>
      <w:sz w:val="32"/>
      <w:szCs w:val="32"/>
    </w:rPr>
  </w:style>
  <w:style w:type="paragraph" w:customStyle="1" w:styleId="245">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6">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7">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1">
    <w:name w:val="修订1"/>
    <w:unhideWhenUsed/>
    <w:qFormat/>
    <w:uiPriority w:val="99"/>
    <w:rPr>
      <w:rFonts w:ascii="Calibri" w:hAnsi="Calibri" w:eastAsia="宋体" w:cs="Times New Roman"/>
      <w:sz w:val="21"/>
      <w:szCs w:val="22"/>
      <w:lang w:val="en-US" w:eastAsia="zh-CN" w:bidi="ar-SA"/>
    </w:rPr>
  </w:style>
  <w:style w:type="paragraph" w:customStyle="1" w:styleId="252">
    <w:name w:val="BodyText"/>
    <w:basedOn w:val="1"/>
    <w:qFormat/>
    <w:uiPriority w:val="0"/>
    <w:pPr>
      <w:spacing w:after="120"/>
    </w:pPr>
    <w:rPr>
      <w:rFonts w:hAnsi="Times New Roman"/>
      <w:sz w:val="20"/>
      <w:szCs w:val="20"/>
    </w:rPr>
  </w:style>
  <w:style w:type="table" w:customStyle="1" w:styleId="253">
    <w:name w:val="Table Normal"/>
    <w:basedOn w:val="45"/>
    <w:semiHidden/>
    <w:qFormat/>
    <w:uiPriority w:val="2"/>
    <w:tblPr>
      <w:tblCellMar>
        <w:left w:w="0" w:type="dxa"/>
        <w:right w:w="0" w:type="dxa"/>
      </w:tblCellMar>
    </w:tblPr>
  </w:style>
  <w:style w:type="paragraph" w:customStyle="1" w:styleId="254">
    <w:name w:val="列出段落11"/>
    <w:basedOn w:val="1"/>
    <w:qFormat/>
    <w:uiPriority w:val="99"/>
    <w:pPr>
      <w:ind w:firstLine="420"/>
    </w:pPr>
    <w:rPr>
      <w:rFonts w:ascii="Times New Roman" w:hAnsi="Times New Roman"/>
      <w:szCs w:val="24"/>
    </w:rPr>
  </w:style>
  <w:style w:type="paragraph" w:customStyle="1" w:styleId="255">
    <w:name w:val="hk正文"/>
    <w:basedOn w:val="1"/>
    <w:qFormat/>
    <w:uiPriority w:val="0"/>
    <w:pPr>
      <w:spacing w:line="440" w:lineRule="exact"/>
      <w:ind w:firstLine="560"/>
    </w:pPr>
    <w:rPr>
      <w:rFonts w:ascii="Arial" w:hAnsi="Arial" w:cs="宋体"/>
      <w:szCs w:val="28"/>
    </w:rPr>
  </w:style>
  <w:style w:type="paragraph" w:customStyle="1" w:styleId="256">
    <w:name w:val="首行缩进"/>
    <w:basedOn w:val="1"/>
    <w:qFormat/>
    <w:uiPriority w:val="0"/>
    <w:pPr>
      <w:ind w:firstLine="480"/>
    </w:pPr>
    <w:rPr>
      <w:rFonts w:eastAsia="楷体_GB2312"/>
      <w:sz w:val="26"/>
      <w:lang w:val="zh-CN"/>
    </w:rPr>
  </w:style>
  <w:style w:type="paragraph" w:customStyle="1" w:styleId="257">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8">
    <w:name w:val="Table Text"/>
    <w:basedOn w:val="1"/>
    <w:semiHidden/>
    <w:qFormat/>
    <w:uiPriority w:val="0"/>
    <w:rPr>
      <w:rFonts w:ascii="Arial" w:hAnsi="Arial" w:eastAsia="Arial" w:cs="Arial"/>
      <w:szCs w:val="21"/>
      <w:lang w:eastAsia="en-US"/>
    </w:rPr>
  </w:style>
  <w:style w:type="paragraph" w:customStyle="1" w:styleId="259">
    <w:name w:val="列表段落1"/>
    <w:basedOn w:val="1"/>
    <w:qFormat/>
    <w:uiPriority w:val="34"/>
    <w:pPr>
      <w:ind w:left="223" w:firstLine="420"/>
    </w:pPr>
  </w:style>
  <w:style w:type="paragraph" w:customStyle="1" w:styleId="260">
    <w:name w:val="修订2"/>
    <w:hidden/>
    <w:unhideWhenUsed/>
    <w:qFormat/>
    <w:uiPriority w:val="99"/>
    <w:rPr>
      <w:rFonts w:ascii="Calibri" w:hAnsi="Calibri" w:eastAsia="宋体" w:cs="Times New Roman"/>
      <w:sz w:val="21"/>
      <w:szCs w:val="22"/>
      <w:lang w:val="en-US" w:eastAsia="zh-CN" w:bidi="ar-SA"/>
    </w:rPr>
  </w:style>
  <w:style w:type="paragraph" w:customStyle="1" w:styleId="261">
    <w:name w:val="修订3"/>
    <w:hidden/>
    <w:unhideWhenUsed/>
    <w:qFormat/>
    <w:uiPriority w:val="99"/>
    <w:rPr>
      <w:rFonts w:ascii="Calibri" w:hAnsi="Calibri" w:eastAsia="宋体" w:cs="Times New Roman"/>
      <w:sz w:val="21"/>
      <w:szCs w:val="22"/>
      <w:lang w:val="en-US" w:eastAsia="zh-CN" w:bidi="ar-SA"/>
    </w:rPr>
  </w:style>
  <w:style w:type="paragraph" w:customStyle="1" w:styleId="262">
    <w:name w:val="修订4"/>
    <w:hidden/>
    <w:unhideWhenUsed/>
    <w:qFormat/>
    <w:uiPriority w:val="99"/>
    <w:rPr>
      <w:rFonts w:ascii="Calibri" w:hAnsi="Calibri" w:eastAsia="宋体" w:cs="Times New Roman"/>
      <w:sz w:val="21"/>
      <w:szCs w:val="22"/>
      <w:lang w:val="en-US" w:eastAsia="zh-CN" w:bidi="ar-SA"/>
    </w:rPr>
  </w:style>
  <w:style w:type="paragraph" w:customStyle="1" w:styleId="263">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4">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5">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6">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7">
    <w:name w:val="着重标题"/>
    <w:qFormat/>
    <w:uiPriority w:val="0"/>
    <w:rPr>
      <w:rFonts w:ascii="Calibri" w:hAnsi="Calibri"/>
      <w:b/>
      <w:sz w:val="24"/>
    </w:rPr>
  </w:style>
  <w:style w:type="paragraph" w:customStyle="1" w:styleId="268">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9">
    <w:name w:val="标题 61"/>
    <w:basedOn w:val="1"/>
    <w:qFormat/>
    <w:uiPriority w:val="1"/>
    <w:pPr>
      <w:ind w:left="680"/>
      <w:outlineLvl w:val="6"/>
    </w:pPr>
    <w:rPr>
      <w:sz w:val="24"/>
      <w:szCs w:val="24"/>
    </w:rPr>
  </w:style>
  <w:style w:type="paragraph" w:customStyle="1" w:styleId="270">
    <w:name w:val="标题 51"/>
    <w:basedOn w:val="1"/>
    <w:qFormat/>
    <w:uiPriority w:val="1"/>
    <w:pPr>
      <w:spacing w:before="3"/>
      <w:ind w:left="680"/>
      <w:outlineLvl w:val="5"/>
    </w:pPr>
    <w:rPr>
      <w:b/>
      <w:bCs/>
      <w:sz w:val="24"/>
      <w:szCs w:val="24"/>
    </w:rPr>
  </w:style>
  <w:style w:type="paragraph" w:customStyle="1" w:styleId="271">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2">
    <w:name w:val="NormalCharacter1"/>
    <w:semiHidden/>
    <w:qFormat/>
    <w:uiPriority w:val="0"/>
    <w:rPr>
      <w:rFonts w:ascii="Calibri" w:hAnsi="Calibri" w:eastAsia="宋体" w:cs="Times New Roman"/>
      <w:sz w:val="21"/>
      <w:szCs w:val="22"/>
      <w:lang w:val="en-US" w:eastAsia="zh-CN" w:bidi="ar-SA"/>
    </w:rPr>
  </w:style>
  <w:style w:type="character" w:customStyle="1" w:styleId="273">
    <w:name w:val="批注文字 字符1"/>
    <w:qFormat/>
    <w:uiPriority w:val="99"/>
    <w:rPr>
      <w:kern w:val="2"/>
      <w:sz w:val="21"/>
      <w:szCs w:val="24"/>
    </w:rPr>
  </w:style>
  <w:style w:type="paragraph" w:customStyle="1" w:styleId="274">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275">
    <w:name w:val="No Spacing"/>
    <w:qFormat/>
    <w:uiPriority w:val="99"/>
    <w:pPr>
      <w:widowControl w:val="0"/>
      <w:jc w:val="both"/>
    </w:pPr>
    <w:rPr>
      <w:rFonts w:ascii="Calibri" w:hAnsi="Calibri" w:eastAsia="宋体" w:cs="Times New Roman"/>
      <w:kern w:val="2"/>
      <w:sz w:val="24"/>
      <w:szCs w:val="22"/>
      <w:lang w:val="en-US" w:eastAsia="zh-CN" w:bidi="ar-SA"/>
    </w:rPr>
  </w:style>
  <w:style w:type="character" w:customStyle="1" w:styleId="276">
    <w:name w:val="正文文本首行缩进 字符"/>
    <w:basedOn w:val="77"/>
    <w:link w:val="43"/>
    <w:qFormat/>
    <w:uiPriority w:val="0"/>
    <w:rPr>
      <w:rFonts w:asciiTheme="minorHAnsi" w:hAnsiTheme="minorHAnsi" w:eastAsiaTheme="minorEastAsia" w:cstheme="minorBidi"/>
      <w:kern w:val="2"/>
      <w:sz w:val="21"/>
      <w:szCs w:val="24"/>
    </w:rPr>
  </w:style>
  <w:style w:type="character" w:customStyle="1" w:styleId="277">
    <w:name w:val="列表段落 字符"/>
    <w:link w:val="3"/>
    <w:qFormat/>
    <w:uiPriority w:val="99"/>
    <w:rPr>
      <w:rFonts w:ascii="Calibri" w:hAnsi="Calibri"/>
      <w:sz w:val="21"/>
      <w:szCs w:val="22"/>
    </w:rPr>
  </w:style>
  <w:style w:type="character" w:customStyle="1" w:styleId="278">
    <w:name w:val="Michael-正文 字符"/>
    <w:basedOn w:val="47"/>
    <w:link w:val="279"/>
    <w:qFormat/>
    <w:uiPriority w:val="0"/>
    <w:rPr>
      <w:rFonts w:ascii="Calibri" w:hAnsi="Calibri" w:eastAsia="微软雅黑" w:cs="Calibri"/>
    </w:rPr>
  </w:style>
  <w:style w:type="paragraph" w:customStyle="1" w:styleId="279">
    <w:name w:val="Michael-正文"/>
    <w:basedOn w:val="1"/>
    <w:link w:val="278"/>
    <w:qFormat/>
    <w:uiPriority w:val="0"/>
    <w:pPr>
      <w:adjustRightInd w:val="0"/>
    </w:pPr>
    <w:rPr>
      <w:rFonts w:eastAsia="微软雅黑" w:cs="Calibri"/>
      <w:sz w:val="20"/>
      <w:szCs w:val="20"/>
    </w:rPr>
  </w:style>
  <w:style w:type="paragraph" w:customStyle="1" w:styleId="280">
    <w:name w:val="修订5"/>
    <w:hidden/>
    <w:unhideWhenUsed/>
    <w:qFormat/>
    <w:uiPriority w:val="99"/>
    <w:rPr>
      <w:rFonts w:ascii="Calibri" w:hAnsi="Calibri" w:eastAsia="宋体" w:cs="Times New Roman"/>
      <w:sz w:val="21"/>
      <w:szCs w:val="22"/>
      <w:lang w:val="en-US" w:eastAsia="zh-CN" w:bidi="ar-SA"/>
    </w:rPr>
  </w:style>
  <w:style w:type="paragraph" w:customStyle="1" w:styleId="281">
    <w:name w:val="Revision"/>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41</Pages>
  <Words>12820</Words>
  <Characters>13438</Characters>
  <Lines>175</Lines>
  <Paragraphs>49</Paragraphs>
  <TotalTime>27</TotalTime>
  <ScaleCrop>false</ScaleCrop>
  <LinksUpToDate>false</LinksUpToDate>
  <CharactersWithSpaces>13470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2025-11-06T23:38:00Z</dcterms:created>
  <dc:creator>Administrator</dc:creator>
  <cp:lastModifiedBy>“拂晓龙”</cp:lastModifiedBy>
  <dcterms:modified xsi:type="dcterms:W3CDTF">2025-12-03T09:29:18Z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B62376F19D9545E9ABDD353468D7A742_13</vt:lpwstr>
  </property>
  <property fmtid="{D5CDD505-2E9C-101B-9397-08002B2CF9AE}" pid="4" name="KSOTemplateDocerSaveRecord">
    <vt:lpwstr>eyJoZGlkIjoiMzEwNTM5NzYwMDRjMzkwZTVkZjY2ODkwMGIxNGU0OTUiLCJ1c2VySWQiOiIzMDE4MzYwNzcifQ==</vt:lpwstr>
  </property>
</Properties>
</file>