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ACA0C">
      <w:pPr>
        <w:spacing w:line="360" w:lineRule="auto"/>
        <w:jc w:val="center"/>
        <w:rPr>
          <w:rFonts w:ascii="宋体" w:hAnsi="宋体"/>
          <w:b/>
          <w:sz w:val="44"/>
          <w:highlight w:val="none"/>
          <w:shd w:val="clear" w:color="auto" w:fill="FFFFFF"/>
        </w:rPr>
      </w:pPr>
      <w:bookmarkStart w:id="21" w:name="_GoBack"/>
    </w:p>
    <w:p w14:paraId="3025ED27">
      <w:pPr>
        <w:jc w:val="center"/>
        <w:rPr>
          <w:rFonts w:ascii="宋体" w:hAnsi="宋体" w:cs="宋体"/>
          <w:b/>
          <w:sz w:val="32"/>
          <w:highlight w:val="none"/>
          <w:shd w:val="clear" w:color="auto" w:fill="FFFFFF"/>
        </w:rPr>
      </w:pPr>
      <w:r>
        <w:rPr>
          <w:rFonts w:hint="eastAsia" w:ascii="宋体" w:hAnsi="宋体" w:cs="宋体"/>
          <w:b/>
          <w:sz w:val="44"/>
          <w:highlight w:val="none"/>
          <w:shd w:val="clear" w:color="auto" w:fill="FFFFFF"/>
        </w:rPr>
        <w:t>南京邮电大学保卫处智能外卖柜运营服务项目</w:t>
      </w:r>
    </w:p>
    <w:p w14:paraId="3A07ACE3">
      <w:pPr>
        <w:pStyle w:val="5"/>
        <w:ind w:firstLine="480"/>
        <w:jc w:val="center"/>
        <w:rPr>
          <w:rFonts w:ascii="宋体" w:hAnsi="宋体"/>
          <w:highlight w:val="none"/>
        </w:rPr>
      </w:pPr>
    </w:p>
    <w:p w14:paraId="53805CE3">
      <w:pPr>
        <w:pStyle w:val="5"/>
        <w:ind w:firstLine="480"/>
        <w:jc w:val="center"/>
        <w:rPr>
          <w:rFonts w:ascii="宋体" w:hAnsi="宋体"/>
          <w:highlight w:val="none"/>
        </w:rPr>
      </w:pPr>
    </w:p>
    <w:p w14:paraId="7E785F81">
      <w:pPr>
        <w:pStyle w:val="5"/>
        <w:ind w:firstLine="480"/>
        <w:jc w:val="center"/>
        <w:rPr>
          <w:rFonts w:ascii="宋体" w:hAnsi="宋体"/>
          <w:highlight w:val="none"/>
        </w:rPr>
      </w:pPr>
    </w:p>
    <w:p w14:paraId="6AF4DF68">
      <w:pPr>
        <w:spacing w:line="360" w:lineRule="auto"/>
        <w:jc w:val="center"/>
        <w:rPr>
          <w:rFonts w:ascii="宋体" w:hAnsi="宋体" w:cs="宋体"/>
          <w:b/>
          <w:sz w:val="32"/>
          <w:highlight w:val="none"/>
          <w:shd w:val="clear" w:color="auto" w:fill="FFFFFF"/>
        </w:rPr>
      </w:pPr>
    </w:p>
    <w:p w14:paraId="4F2B893F">
      <w:pPr>
        <w:spacing w:line="360" w:lineRule="auto"/>
        <w:jc w:val="center"/>
        <w:rPr>
          <w:rFonts w:ascii="宋体" w:hAnsi="宋体" w:cs="宋体"/>
          <w:b/>
          <w:sz w:val="32"/>
          <w:highlight w:val="none"/>
          <w:shd w:val="clear" w:color="auto" w:fill="FFFFFF"/>
        </w:rPr>
      </w:pPr>
    </w:p>
    <w:p w14:paraId="543D2873">
      <w:pPr>
        <w:spacing w:line="360" w:lineRule="auto"/>
        <w:jc w:val="center"/>
        <w:rPr>
          <w:rFonts w:ascii="宋体" w:hAnsi="宋体" w:cs="宋体"/>
          <w:b/>
          <w:sz w:val="72"/>
          <w:highlight w:val="none"/>
        </w:rPr>
      </w:pPr>
      <w:r>
        <w:rPr>
          <w:rFonts w:hint="eastAsia" w:ascii="宋体" w:hAnsi="宋体" w:cs="宋体"/>
          <w:b/>
          <w:sz w:val="72"/>
          <w:highlight w:val="none"/>
        </w:rPr>
        <w:t>公开比选</w:t>
      </w:r>
      <w:r>
        <w:rPr>
          <w:rFonts w:ascii="宋体" w:hAnsi="宋体" w:cs="宋体"/>
          <w:b/>
          <w:sz w:val="72"/>
          <w:highlight w:val="none"/>
        </w:rPr>
        <w:t>文件</w:t>
      </w:r>
    </w:p>
    <w:p w14:paraId="4945B990">
      <w:pPr>
        <w:spacing w:line="360" w:lineRule="auto"/>
        <w:jc w:val="center"/>
        <w:rPr>
          <w:rFonts w:ascii="宋体" w:hAnsi="宋体" w:cs="宋体"/>
          <w:b/>
          <w:sz w:val="28"/>
          <w:highlight w:val="none"/>
        </w:rPr>
      </w:pPr>
      <w:r>
        <w:rPr>
          <w:rFonts w:ascii="宋体" w:hAnsi="宋体" w:cs="宋体"/>
          <w:b/>
          <w:sz w:val="28"/>
          <w:highlight w:val="none"/>
        </w:rPr>
        <w:t>项目编号：</w:t>
      </w:r>
      <w:r>
        <w:rPr>
          <w:rFonts w:hint="eastAsia" w:ascii="宋体" w:hAnsi="宋体" w:cs="宋体"/>
          <w:b/>
          <w:sz w:val="28"/>
          <w:highlight w:val="none"/>
        </w:rPr>
        <w:t>NYCG2026-F001</w:t>
      </w:r>
    </w:p>
    <w:p w14:paraId="12ECB7D6">
      <w:pPr>
        <w:spacing w:line="360" w:lineRule="auto"/>
        <w:jc w:val="center"/>
        <w:rPr>
          <w:rFonts w:ascii="宋体" w:hAnsi="宋体" w:cs="宋体"/>
          <w:b/>
          <w:sz w:val="36"/>
          <w:highlight w:val="none"/>
        </w:rPr>
      </w:pPr>
    </w:p>
    <w:p w14:paraId="1E553D26">
      <w:pPr>
        <w:spacing w:line="360" w:lineRule="auto"/>
        <w:jc w:val="center"/>
        <w:rPr>
          <w:rFonts w:ascii="宋体" w:hAnsi="宋体" w:cs="宋体"/>
          <w:b/>
          <w:sz w:val="36"/>
          <w:highlight w:val="none"/>
        </w:rPr>
      </w:pPr>
    </w:p>
    <w:p w14:paraId="47179B51">
      <w:pPr>
        <w:spacing w:line="360" w:lineRule="auto"/>
        <w:jc w:val="center"/>
        <w:rPr>
          <w:rFonts w:ascii="宋体" w:hAnsi="宋体" w:cs="宋体"/>
          <w:b/>
          <w:sz w:val="36"/>
          <w:highlight w:val="none"/>
        </w:rPr>
      </w:pPr>
    </w:p>
    <w:p w14:paraId="6FAE5B53">
      <w:pPr>
        <w:pStyle w:val="5"/>
        <w:ind w:firstLine="480"/>
        <w:jc w:val="center"/>
        <w:rPr>
          <w:rFonts w:ascii="宋体" w:hAnsi="宋体"/>
          <w:highlight w:val="none"/>
        </w:rPr>
      </w:pPr>
    </w:p>
    <w:p w14:paraId="0EF26462">
      <w:pPr>
        <w:spacing w:line="360" w:lineRule="auto"/>
        <w:rPr>
          <w:rFonts w:ascii="宋体" w:hAnsi="宋体" w:cs="宋体"/>
          <w:b/>
          <w:sz w:val="36"/>
          <w:highlight w:val="none"/>
        </w:rPr>
      </w:pPr>
      <w:r>
        <w:rPr>
          <w:rFonts w:hint="eastAsia" w:ascii="宋体" w:hAnsi="宋体" w:cs="宋体"/>
          <w:b/>
          <w:sz w:val="36"/>
          <w:highlight w:val="none"/>
        </w:rPr>
        <w:t>比选人</w:t>
      </w:r>
      <w:r>
        <w:rPr>
          <w:rFonts w:ascii="宋体" w:hAnsi="宋体" w:cs="宋体"/>
          <w:b/>
          <w:sz w:val="36"/>
          <w:highlight w:val="none"/>
        </w:rPr>
        <w:t>：</w:t>
      </w:r>
      <w:r>
        <w:rPr>
          <w:rFonts w:hint="eastAsia" w:ascii="宋体" w:hAnsi="宋体"/>
          <w:b/>
          <w:sz w:val="36"/>
          <w:szCs w:val="36"/>
          <w:highlight w:val="none"/>
        </w:rPr>
        <w:t>南京邮电大学</w:t>
      </w:r>
    </w:p>
    <w:p w14:paraId="0401C65E">
      <w:pPr>
        <w:spacing w:line="360" w:lineRule="auto"/>
        <w:rPr>
          <w:rFonts w:ascii="宋体" w:hAnsi="宋体" w:cs="宋体"/>
          <w:b/>
          <w:sz w:val="36"/>
          <w:highlight w:val="none"/>
        </w:rPr>
      </w:pPr>
      <w:r>
        <w:rPr>
          <w:rFonts w:hint="eastAsia" w:ascii="宋体" w:hAnsi="宋体" w:cs="宋体"/>
          <w:b/>
          <w:sz w:val="36"/>
          <w:highlight w:val="none"/>
        </w:rPr>
        <w:t>比选代理机构</w:t>
      </w:r>
      <w:r>
        <w:rPr>
          <w:rFonts w:ascii="宋体" w:hAnsi="宋体" w:cs="宋体"/>
          <w:b/>
          <w:sz w:val="36"/>
          <w:highlight w:val="none"/>
        </w:rPr>
        <w:t>：</w:t>
      </w:r>
      <w:r>
        <w:rPr>
          <w:rFonts w:hint="eastAsia" w:ascii="宋体" w:hAnsi="宋体" w:cs="宋体"/>
          <w:b/>
          <w:sz w:val="36"/>
          <w:highlight w:val="none"/>
        </w:rPr>
        <w:t>南京中信工程造价有限公司</w:t>
      </w:r>
      <w:r>
        <w:rPr>
          <w:rFonts w:ascii="宋体" w:hAnsi="宋体" w:cs="宋体"/>
          <w:b/>
          <w:sz w:val="36"/>
          <w:highlight w:val="none"/>
        </w:rPr>
        <w:t xml:space="preserve"> </w:t>
      </w:r>
    </w:p>
    <w:p w14:paraId="5323B18E">
      <w:pPr>
        <w:jc w:val="left"/>
        <w:rPr>
          <w:rFonts w:ascii="宋体" w:hAnsi="宋体" w:cs="宋体"/>
          <w:b/>
          <w:sz w:val="36"/>
          <w:highlight w:val="none"/>
        </w:rPr>
      </w:pPr>
      <w:r>
        <w:rPr>
          <w:rFonts w:ascii="宋体" w:hAnsi="宋体" w:cs="宋体"/>
          <w:b/>
          <w:sz w:val="36"/>
          <w:highlight w:val="none"/>
        </w:rPr>
        <w:t>日期：二〇二</w:t>
      </w:r>
      <w:r>
        <w:rPr>
          <w:rFonts w:hint="eastAsia" w:ascii="宋体" w:hAnsi="宋体" w:cs="宋体"/>
          <w:b/>
          <w:sz w:val="36"/>
          <w:highlight w:val="none"/>
        </w:rPr>
        <w:t>六</w:t>
      </w:r>
      <w:r>
        <w:rPr>
          <w:rFonts w:ascii="宋体" w:hAnsi="宋体" w:cs="宋体"/>
          <w:b/>
          <w:sz w:val="36"/>
          <w:highlight w:val="none"/>
        </w:rPr>
        <w:t>年</w:t>
      </w:r>
      <w:r>
        <w:rPr>
          <w:rFonts w:hint="eastAsia" w:ascii="宋体" w:hAnsi="宋体" w:cs="宋体"/>
          <w:b/>
          <w:sz w:val="36"/>
          <w:highlight w:val="none"/>
        </w:rPr>
        <w:t>一</w:t>
      </w:r>
      <w:r>
        <w:rPr>
          <w:rFonts w:ascii="宋体" w:hAnsi="宋体" w:cs="宋体"/>
          <w:b/>
          <w:sz w:val="36"/>
          <w:highlight w:val="none"/>
        </w:rPr>
        <w:t>月</w:t>
      </w:r>
    </w:p>
    <w:p w14:paraId="1B5F7146">
      <w:pPr>
        <w:jc w:val="center"/>
        <w:outlineLvl w:val="0"/>
        <w:rPr>
          <w:rFonts w:ascii="宋体" w:hAnsi="宋体" w:cs="黑体"/>
          <w:b/>
          <w:sz w:val="36"/>
          <w:highlight w:val="none"/>
        </w:rPr>
      </w:pPr>
      <w:r>
        <w:rPr>
          <w:rFonts w:ascii="宋体" w:hAnsi="宋体" w:cs="宋体"/>
          <w:b/>
          <w:sz w:val="36"/>
          <w:highlight w:val="none"/>
        </w:rPr>
        <w:br w:type="page"/>
      </w:r>
      <w:r>
        <w:rPr>
          <w:rFonts w:hint="eastAsia" w:ascii="宋体" w:hAnsi="宋体" w:cs="黑体"/>
          <w:b/>
          <w:sz w:val="36"/>
          <w:highlight w:val="none"/>
          <w:lang w:val="zh-CN"/>
        </w:rPr>
        <w:t>第一章</w:t>
      </w:r>
      <w:r>
        <w:rPr>
          <w:rFonts w:hint="eastAsia" w:ascii="宋体" w:hAnsi="宋体" w:cs="黑体"/>
          <w:b/>
          <w:sz w:val="36"/>
          <w:highlight w:val="none"/>
        </w:rPr>
        <w:t xml:space="preserve"> 公开比选公告</w:t>
      </w:r>
    </w:p>
    <w:p w14:paraId="3789585B">
      <w:pPr>
        <w:pStyle w:val="5"/>
        <w:numPr>
          <w:ilvl w:val="0"/>
          <w:numId w:val="3"/>
        </w:numPr>
        <w:ind w:firstLineChars="0"/>
        <w:rPr>
          <w:b/>
          <w:highlight w:val="none"/>
        </w:rPr>
      </w:pPr>
      <w:r>
        <w:rPr>
          <w:b/>
          <w:highlight w:val="none"/>
        </w:rPr>
        <w:t>项目基本情况</w:t>
      </w:r>
    </w:p>
    <w:p w14:paraId="2B0F714D">
      <w:pPr>
        <w:pStyle w:val="5"/>
        <w:numPr>
          <w:ilvl w:val="0"/>
          <w:numId w:val="4"/>
        </w:numPr>
        <w:ind w:firstLineChars="0"/>
        <w:rPr>
          <w:highlight w:val="none"/>
        </w:rPr>
      </w:pPr>
      <w:r>
        <w:rPr>
          <w:highlight w:val="none"/>
        </w:rPr>
        <w:t>项目编号：</w:t>
      </w:r>
      <w:r>
        <w:rPr>
          <w:rFonts w:hint="eastAsia"/>
          <w:highlight w:val="none"/>
        </w:rPr>
        <w:t>NYCG2026-F001</w:t>
      </w:r>
      <w:r>
        <w:rPr>
          <w:highlight w:val="none"/>
        </w:rPr>
        <w:t>；</w:t>
      </w:r>
    </w:p>
    <w:p w14:paraId="0A7A7370">
      <w:pPr>
        <w:pStyle w:val="5"/>
        <w:numPr>
          <w:ilvl w:val="0"/>
          <w:numId w:val="4"/>
        </w:numPr>
        <w:ind w:firstLineChars="0"/>
        <w:rPr>
          <w:highlight w:val="none"/>
        </w:rPr>
      </w:pPr>
      <w:r>
        <w:rPr>
          <w:highlight w:val="none"/>
        </w:rPr>
        <w:t>项目名称：</w:t>
      </w:r>
      <w:r>
        <w:rPr>
          <w:rFonts w:hint="eastAsia"/>
          <w:highlight w:val="none"/>
        </w:rPr>
        <w:t>南京邮电大学保卫处智能外卖柜运营服务项目</w:t>
      </w:r>
      <w:r>
        <w:rPr>
          <w:highlight w:val="none"/>
        </w:rPr>
        <w:t>；</w:t>
      </w:r>
    </w:p>
    <w:p w14:paraId="16AB48B6">
      <w:pPr>
        <w:pStyle w:val="5"/>
        <w:numPr>
          <w:ilvl w:val="0"/>
          <w:numId w:val="4"/>
        </w:numPr>
        <w:ind w:firstLineChars="0"/>
        <w:rPr>
          <w:highlight w:val="none"/>
        </w:rPr>
      </w:pPr>
      <w:r>
        <w:rPr>
          <w:rFonts w:hint="eastAsia"/>
          <w:highlight w:val="none"/>
        </w:rPr>
        <w:t>比选</w:t>
      </w:r>
      <w:r>
        <w:rPr>
          <w:highlight w:val="none"/>
        </w:rPr>
        <w:t>方式：</w:t>
      </w:r>
      <w:r>
        <w:rPr>
          <w:rFonts w:hint="eastAsia"/>
          <w:highlight w:val="none"/>
        </w:rPr>
        <w:t>公开比选</w:t>
      </w:r>
      <w:r>
        <w:rPr>
          <w:highlight w:val="none"/>
        </w:rPr>
        <w:t>；</w:t>
      </w:r>
    </w:p>
    <w:p w14:paraId="44112A5C">
      <w:pPr>
        <w:pStyle w:val="5"/>
        <w:numPr>
          <w:ilvl w:val="0"/>
          <w:numId w:val="4"/>
        </w:numPr>
        <w:ind w:firstLineChars="0"/>
        <w:rPr>
          <w:highlight w:val="none"/>
        </w:rPr>
      </w:pPr>
      <w:r>
        <w:rPr>
          <w:rFonts w:hint="eastAsia"/>
          <w:highlight w:val="none"/>
        </w:rPr>
        <w:t>项目</w:t>
      </w:r>
      <w:r>
        <w:rPr>
          <w:highlight w:val="none"/>
        </w:rPr>
        <w:t>需求：</w:t>
      </w:r>
      <w:r>
        <w:rPr>
          <w:rFonts w:hint="eastAsia"/>
          <w:highlight w:val="none"/>
          <w:lang w:val="zh-CN"/>
        </w:rPr>
        <w:t>南京邮电大学保卫处智能外卖柜运营服务，</w:t>
      </w:r>
      <w:r>
        <w:rPr>
          <w:rFonts w:hint="eastAsia"/>
          <w:highlight w:val="none"/>
        </w:rPr>
        <w:t>具体详见比选文件第四章“项目需求”。</w:t>
      </w:r>
    </w:p>
    <w:p w14:paraId="6192E6C2">
      <w:pPr>
        <w:pStyle w:val="5"/>
        <w:numPr>
          <w:ilvl w:val="0"/>
          <w:numId w:val="4"/>
        </w:numPr>
        <w:ind w:firstLineChars="0"/>
        <w:rPr>
          <w:highlight w:val="none"/>
        </w:rPr>
      </w:pPr>
      <w:r>
        <w:rPr>
          <w:rFonts w:hint="eastAsia"/>
          <w:highlight w:val="none"/>
        </w:rPr>
        <w:t>合同履行期限：</w:t>
      </w:r>
    </w:p>
    <w:p w14:paraId="5BAB8A6C">
      <w:pPr>
        <w:pStyle w:val="5"/>
        <w:ind w:left="480" w:firstLine="480"/>
        <w:rPr>
          <w:highlight w:val="none"/>
        </w:rPr>
      </w:pPr>
      <w:r>
        <w:rPr>
          <w:rFonts w:hint="eastAsia"/>
          <w:highlight w:val="none"/>
        </w:rPr>
        <w:t>交付期限：自合同签订之日起7日内完工。</w:t>
      </w:r>
    </w:p>
    <w:p w14:paraId="5EEA4B4A">
      <w:pPr>
        <w:pStyle w:val="5"/>
        <w:ind w:left="480" w:firstLine="480"/>
        <w:rPr>
          <w:highlight w:val="none"/>
        </w:rPr>
      </w:pPr>
      <w:r>
        <w:rPr>
          <w:rFonts w:hint="eastAsia"/>
          <w:highlight w:val="none"/>
        </w:rPr>
        <w:t>服务年限：一标段、二标段服务期限均为5年，合同采取年度续签方式，须经年度考核合格后方可签订次年合同。服务期满后，成交供应商须按规定拆除相关设备设施，并将场地恢复至原状。</w:t>
      </w:r>
    </w:p>
    <w:p w14:paraId="5D5751F6">
      <w:pPr>
        <w:pStyle w:val="5"/>
        <w:ind w:left="480" w:firstLine="480"/>
        <w:rPr>
          <w:highlight w:val="none"/>
        </w:rPr>
      </w:pPr>
      <w:r>
        <w:rPr>
          <w:rFonts w:hint="eastAsia"/>
          <w:highlight w:val="none"/>
        </w:rPr>
        <w:t>本项目共采购两个标段，自一标段至二标段依次进行评审，兼投不兼中。如果供应商在标段一被推荐为第一成交候选人，则供应商可以继续参加标段二的评审，但不得被推荐为标段二的成交候选人。</w:t>
      </w:r>
    </w:p>
    <w:p w14:paraId="79F042C6">
      <w:pPr>
        <w:pStyle w:val="5"/>
        <w:ind w:left="480" w:firstLine="480"/>
        <w:rPr>
          <w:highlight w:val="none"/>
        </w:rPr>
      </w:pPr>
      <w:r>
        <w:rPr>
          <w:rFonts w:hint="eastAsia"/>
          <w:highlight w:val="none"/>
        </w:rPr>
        <w:t>供应商应当从代理机构合法获得本项目比选文件。本次采购请按“标段”获取比选文件，编制、提交响应文件，并按“标段”开启。如同时参加2个包响应，须分别制作响应文件，并注明所响应标段号，否则按照无效响应处理。</w:t>
      </w:r>
    </w:p>
    <w:p w14:paraId="113EA22A">
      <w:pPr>
        <w:pStyle w:val="5"/>
        <w:numPr>
          <w:ilvl w:val="0"/>
          <w:numId w:val="4"/>
        </w:numPr>
        <w:ind w:firstLineChars="0"/>
        <w:rPr>
          <w:highlight w:val="none"/>
        </w:rPr>
      </w:pPr>
      <w:r>
        <w:rPr>
          <w:highlight w:val="none"/>
        </w:rPr>
        <w:t>本项目是否接受联合体响应：不接受。</w:t>
      </w:r>
    </w:p>
    <w:p w14:paraId="2ADFDF07">
      <w:pPr>
        <w:pStyle w:val="5"/>
        <w:numPr>
          <w:ilvl w:val="0"/>
          <w:numId w:val="3"/>
        </w:numPr>
        <w:ind w:firstLineChars="0"/>
        <w:rPr>
          <w:b/>
          <w:highlight w:val="none"/>
        </w:rPr>
      </w:pPr>
      <w:r>
        <w:rPr>
          <w:b/>
          <w:highlight w:val="none"/>
        </w:rPr>
        <w:t>申请人的资格要求：</w:t>
      </w:r>
    </w:p>
    <w:p w14:paraId="697BEB1A">
      <w:pPr>
        <w:pStyle w:val="5"/>
        <w:numPr>
          <w:ilvl w:val="255"/>
          <w:numId w:val="0"/>
        </w:numPr>
        <w:ind w:firstLine="480"/>
        <w:rPr>
          <w:highlight w:val="none"/>
        </w:rPr>
      </w:pPr>
      <w:r>
        <w:rPr>
          <w:highlight w:val="none"/>
        </w:rPr>
        <w:t>1</w:t>
      </w:r>
      <w:r>
        <w:rPr>
          <w:rFonts w:hint="eastAsia"/>
          <w:highlight w:val="none"/>
        </w:rPr>
        <w:t>、</w:t>
      </w:r>
      <w:r>
        <w:rPr>
          <w:highlight w:val="none"/>
        </w:rPr>
        <w:t>具有独立承担民事责任的能力（提供法人或者其他组织的营业执照</w:t>
      </w:r>
      <w:r>
        <w:rPr>
          <w:rFonts w:hint="eastAsia"/>
          <w:highlight w:val="none"/>
        </w:rPr>
        <w:t>等证明材料</w:t>
      </w:r>
      <w:r>
        <w:rPr>
          <w:highlight w:val="none"/>
        </w:rPr>
        <w:t>复印件加盖公章，自然人的身份证复印件加盖公章）；</w:t>
      </w:r>
    </w:p>
    <w:p w14:paraId="51F7434C">
      <w:pPr>
        <w:pStyle w:val="5"/>
        <w:numPr>
          <w:ilvl w:val="255"/>
          <w:numId w:val="0"/>
        </w:numPr>
        <w:ind w:firstLine="480"/>
        <w:rPr>
          <w:highlight w:val="none"/>
        </w:rPr>
      </w:pPr>
      <w:r>
        <w:rPr>
          <w:rFonts w:hint="eastAsia"/>
          <w:highlight w:val="none"/>
        </w:rPr>
        <w:t>2、</w:t>
      </w:r>
      <w:r>
        <w:rPr>
          <w:highlight w:val="none"/>
        </w:rPr>
        <w:t>具有良好的商业信誉和健全的财务会计制度（提供</w:t>
      </w:r>
      <w:r>
        <w:rPr>
          <w:rFonts w:hint="eastAsia"/>
          <w:highlight w:val="none"/>
        </w:rPr>
        <w:t>2024年度</w:t>
      </w:r>
      <w:r>
        <w:rPr>
          <w:highlight w:val="none"/>
        </w:rPr>
        <w:t>的审计报告复印件加盖公章或</w:t>
      </w:r>
      <w:r>
        <w:rPr>
          <w:rFonts w:hint="eastAsia"/>
          <w:highlight w:val="none"/>
        </w:rPr>
        <w:t>响应截止时间前半年内（2025年7月至2025年12月）至少一个月的财务状况报告（至少包括资产负债表和利润表）复印件加盖公章</w:t>
      </w:r>
      <w:r>
        <w:rPr>
          <w:highlight w:val="none"/>
        </w:rPr>
        <w:t>，或响应截止时间前六个月内</w:t>
      </w:r>
      <w:r>
        <w:rPr>
          <w:rFonts w:hint="eastAsia"/>
          <w:highlight w:val="none"/>
        </w:rPr>
        <w:t>（2025年7月至2025年12月）</w:t>
      </w:r>
      <w:r>
        <w:rPr>
          <w:highlight w:val="none"/>
        </w:rPr>
        <w:t>银行出具的资信证明复印件加盖公章，或财政部门认可的专业担保机构出具的响应担保函复印件加盖公章，成立不满一</w:t>
      </w:r>
      <w:r>
        <w:rPr>
          <w:rFonts w:hint="eastAsia"/>
          <w:highlight w:val="none"/>
        </w:rPr>
        <w:t>个月</w:t>
      </w:r>
      <w:r>
        <w:rPr>
          <w:highlight w:val="none"/>
        </w:rPr>
        <w:t>的无须提供）；</w:t>
      </w:r>
    </w:p>
    <w:p w14:paraId="15DDA84F">
      <w:pPr>
        <w:pStyle w:val="5"/>
        <w:numPr>
          <w:ilvl w:val="255"/>
          <w:numId w:val="0"/>
        </w:numPr>
        <w:ind w:firstLine="480"/>
        <w:rPr>
          <w:highlight w:val="none"/>
        </w:rPr>
      </w:pPr>
      <w:r>
        <w:rPr>
          <w:rFonts w:hint="eastAsia"/>
          <w:highlight w:val="none"/>
        </w:rPr>
        <w:t>3、</w:t>
      </w:r>
      <w:r>
        <w:rPr>
          <w:highlight w:val="none"/>
        </w:rPr>
        <w:t>具有履行合同所必需的设备和专业技术能力（根据项目需求提供履行合同所必需的设备和专业技术能力的</w:t>
      </w:r>
      <w:r>
        <w:rPr>
          <w:rFonts w:hint="eastAsia"/>
          <w:highlight w:val="none"/>
        </w:rPr>
        <w:t>声明函</w:t>
      </w:r>
      <w:r>
        <w:rPr>
          <w:highlight w:val="none"/>
        </w:rPr>
        <w:t>或证明材料）（格式见后附件）；</w:t>
      </w:r>
    </w:p>
    <w:p w14:paraId="738E8F2D">
      <w:pPr>
        <w:pStyle w:val="5"/>
        <w:numPr>
          <w:ilvl w:val="255"/>
          <w:numId w:val="0"/>
        </w:numPr>
        <w:ind w:firstLine="480"/>
        <w:rPr>
          <w:highlight w:val="none"/>
        </w:rPr>
      </w:pPr>
      <w:r>
        <w:rPr>
          <w:rFonts w:hint="eastAsia"/>
          <w:highlight w:val="none"/>
        </w:rPr>
        <w:t>4、</w:t>
      </w:r>
      <w:r>
        <w:rPr>
          <w:highlight w:val="none"/>
        </w:rPr>
        <w:t>有依法缴纳税收和社会保障资金的良好记录（提供响应截止时间前</w:t>
      </w:r>
      <w:r>
        <w:rPr>
          <w:rFonts w:hint="eastAsia"/>
          <w:highlight w:val="none"/>
        </w:rPr>
        <w:t>半年</w:t>
      </w:r>
      <w:r>
        <w:rPr>
          <w:highlight w:val="none"/>
        </w:rPr>
        <w:t>内</w:t>
      </w:r>
      <w:r>
        <w:rPr>
          <w:rFonts w:hint="eastAsia"/>
          <w:highlight w:val="none"/>
        </w:rPr>
        <w:t>（2025年7月至2025年12月）</w:t>
      </w:r>
      <w:r>
        <w:rPr>
          <w:highlight w:val="none"/>
        </w:rPr>
        <w:t>至少一个月</w:t>
      </w:r>
      <w:r>
        <w:rPr>
          <w:rFonts w:hint="eastAsia"/>
          <w:highlight w:val="none"/>
        </w:rPr>
        <w:t>缴纳税收（企业代缴的个人所得税除外）的凭据复印件加盖公章</w:t>
      </w:r>
      <w:r>
        <w:rPr>
          <w:highlight w:val="none"/>
        </w:rPr>
        <w:t>，并提供缴纳</w:t>
      </w:r>
      <w:r>
        <w:rPr>
          <w:rFonts w:hint="eastAsia"/>
          <w:highlight w:val="none"/>
        </w:rPr>
        <w:t>社会保险的凭据</w:t>
      </w:r>
      <w:r>
        <w:rPr>
          <w:highlight w:val="none"/>
        </w:rPr>
        <w:t>（专用收据或社会保险缴纳清单）复印件加盖公章，根据国家相关政策免缴或迟缴的需提供相关证明材料）；</w:t>
      </w:r>
    </w:p>
    <w:p w14:paraId="3F179F31">
      <w:pPr>
        <w:pStyle w:val="5"/>
        <w:numPr>
          <w:ilvl w:val="255"/>
          <w:numId w:val="0"/>
        </w:numPr>
        <w:ind w:firstLine="480"/>
        <w:rPr>
          <w:highlight w:val="none"/>
        </w:rPr>
      </w:pPr>
      <w:r>
        <w:rPr>
          <w:highlight w:val="none"/>
        </w:rPr>
        <w:t>5</w:t>
      </w:r>
      <w:r>
        <w:rPr>
          <w:rFonts w:hint="eastAsia"/>
          <w:highlight w:val="none"/>
        </w:rPr>
        <w:t>、</w:t>
      </w:r>
      <w:r>
        <w:rPr>
          <w:highlight w:val="none"/>
        </w:rPr>
        <w:t>参加</w:t>
      </w:r>
      <w:r>
        <w:rPr>
          <w:rFonts w:hint="eastAsia"/>
          <w:highlight w:val="none"/>
        </w:rPr>
        <w:t>比选</w:t>
      </w:r>
      <w:r>
        <w:rPr>
          <w:highlight w:val="none"/>
        </w:rPr>
        <w:t>前三年内，在经营活动中没有重大违法记录（提供参加本次</w:t>
      </w:r>
      <w:r>
        <w:rPr>
          <w:rFonts w:hint="eastAsia"/>
          <w:highlight w:val="none"/>
        </w:rPr>
        <w:t>比选</w:t>
      </w:r>
      <w:r>
        <w:rPr>
          <w:highlight w:val="none"/>
        </w:rPr>
        <w:t>活动前三年内在经营活动中没有重大违法记录的</w:t>
      </w:r>
      <w:r>
        <w:rPr>
          <w:rFonts w:hint="eastAsia"/>
          <w:highlight w:val="none"/>
        </w:rPr>
        <w:t>书面声明</w:t>
      </w:r>
      <w:r>
        <w:rPr>
          <w:highlight w:val="none"/>
        </w:rPr>
        <w:t>）（格式见后附件）；</w:t>
      </w:r>
    </w:p>
    <w:p w14:paraId="0842FFBC">
      <w:pPr>
        <w:pStyle w:val="5"/>
        <w:numPr>
          <w:ilvl w:val="255"/>
          <w:numId w:val="0"/>
        </w:numPr>
        <w:ind w:firstLine="480"/>
        <w:rPr>
          <w:highlight w:val="none"/>
        </w:rPr>
      </w:pPr>
      <w:r>
        <w:rPr>
          <w:highlight w:val="none"/>
        </w:rPr>
        <w:t>6</w:t>
      </w:r>
      <w:r>
        <w:rPr>
          <w:rFonts w:hint="eastAsia"/>
          <w:highlight w:val="none"/>
        </w:rPr>
        <w:t>、</w:t>
      </w:r>
      <w:r>
        <w:rPr>
          <w:highlight w:val="none"/>
        </w:rPr>
        <w:t>法律、行政法规规定的其他条件：无。</w:t>
      </w:r>
    </w:p>
    <w:p w14:paraId="0D59761D">
      <w:pPr>
        <w:pStyle w:val="5"/>
        <w:numPr>
          <w:ilvl w:val="255"/>
          <w:numId w:val="0"/>
        </w:numPr>
        <w:ind w:firstLine="480"/>
        <w:rPr>
          <w:highlight w:val="none"/>
        </w:rPr>
      </w:pPr>
      <w:r>
        <w:rPr>
          <w:rFonts w:hint="eastAsia"/>
          <w:highlight w:val="none"/>
        </w:rPr>
        <w:t>7、</w:t>
      </w:r>
      <w:r>
        <w:rPr>
          <w:highlight w:val="none"/>
        </w:rPr>
        <w:t>拒绝下述供应商参加本次</w:t>
      </w:r>
      <w:r>
        <w:rPr>
          <w:rFonts w:hint="eastAsia"/>
          <w:highlight w:val="none"/>
        </w:rPr>
        <w:t>比选</w:t>
      </w:r>
      <w:r>
        <w:rPr>
          <w:highlight w:val="none"/>
        </w:rPr>
        <w:t>：</w:t>
      </w:r>
    </w:p>
    <w:p w14:paraId="3C14ED75">
      <w:pPr>
        <w:pStyle w:val="5"/>
        <w:ind w:firstLine="480" w:firstLineChars="0"/>
        <w:rPr>
          <w:highlight w:val="none"/>
        </w:rPr>
      </w:pPr>
      <w:r>
        <w:rPr>
          <w:rFonts w:hint="eastAsia"/>
          <w:highlight w:val="none"/>
        </w:rPr>
        <w:t>①</w:t>
      </w:r>
      <w:r>
        <w:rPr>
          <w:highlight w:val="none"/>
        </w:rPr>
        <w:t>供应商单位负责人为同一人或者存在直接控股、管理关系的不同供应商，不得参加同一合同项下的</w:t>
      </w:r>
      <w:r>
        <w:rPr>
          <w:rFonts w:hint="eastAsia"/>
          <w:highlight w:val="none"/>
        </w:rPr>
        <w:t>比选</w:t>
      </w:r>
      <w:r>
        <w:rPr>
          <w:highlight w:val="none"/>
        </w:rPr>
        <w:t>活动；</w:t>
      </w:r>
    </w:p>
    <w:p w14:paraId="09E680D1">
      <w:pPr>
        <w:pStyle w:val="5"/>
        <w:ind w:firstLine="480" w:firstLineChars="0"/>
        <w:rPr>
          <w:highlight w:val="none"/>
        </w:rPr>
      </w:pPr>
      <w:r>
        <w:rPr>
          <w:rFonts w:hint="eastAsia"/>
          <w:highlight w:val="none"/>
        </w:rPr>
        <w:t>②</w:t>
      </w:r>
      <w:r>
        <w:rPr>
          <w:highlight w:val="none"/>
        </w:rPr>
        <w:t>凡为本项目提供整体设计、规范编制或者项目管理、检测等服务的供应商，不得再参加本项目的</w:t>
      </w:r>
      <w:r>
        <w:rPr>
          <w:rFonts w:hint="eastAsia"/>
          <w:highlight w:val="none"/>
        </w:rPr>
        <w:t>比选</w:t>
      </w:r>
      <w:r>
        <w:rPr>
          <w:highlight w:val="none"/>
        </w:rPr>
        <w:t>活动；</w:t>
      </w:r>
    </w:p>
    <w:p w14:paraId="6AE88733">
      <w:pPr>
        <w:pStyle w:val="5"/>
        <w:ind w:firstLine="480" w:firstLineChars="0"/>
        <w:rPr>
          <w:highlight w:val="none"/>
        </w:rPr>
      </w:pPr>
      <w:r>
        <w:rPr>
          <w:rFonts w:hint="eastAsia"/>
          <w:highlight w:val="none"/>
        </w:rPr>
        <w:t>③</w:t>
      </w: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w:t>
      </w:r>
    </w:p>
    <w:p w14:paraId="75978EFC">
      <w:pPr>
        <w:pStyle w:val="5"/>
        <w:numPr>
          <w:ilvl w:val="0"/>
          <w:numId w:val="3"/>
        </w:numPr>
        <w:ind w:firstLineChars="0"/>
        <w:rPr>
          <w:b/>
          <w:highlight w:val="none"/>
        </w:rPr>
      </w:pPr>
      <w:r>
        <w:rPr>
          <w:b/>
          <w:highlight w:val="none"/>
        </w:rPr>
        <w:t>获取</w:t>
      </w:r>
      <w:r>
        <w:rPr>
          <w:rFonts w:hint="eastAsia"/>
          <w:b/>
          <w:highlight w:val="none"/>
        </w:rPr>
        <w:t>比选</w:t>
      </w:r>
      <w:r>
        <w:rPr>
          <w:b/>
          <w:highlight w:val="none"/>
        </w:rPr>
        <w:t>文件</w:t>
      </w:r>
    </w:p>
    <w:p w14:paraId="52554345">
      <w:pPr>
        <w:pStyle w:val="5"/>
        <w:numPr>
          <w:ilvl w:val="0"/>
          <w:numId w:val="5"/>
        </w:numPr>
        <w:ind w:firstLineChars="0"/>
        <w:rPr>
          <w:highlight w:val="none"/>
        </w:rPr>
      </w:pPr>
      <w:r>
        <w:rPr>
          <w:highlight w:val="none"/>
        </w:rPr>
        <w:t>时间：202</w:t>
      </w:r>
      <w:r>
        <w:rPr>
          <w:rFonts w:hint="eastAsia"/>
          <w:highlight w:val="none"/>
        </w:rPr>
        <w:t>6年</w:t>
      </w:r>
      <w:r>
        <w:rPr>
          <w:highlight w:val="none"/>
        </w:rPr>
        <w:t>1</w:t>
      </w:r>
      <w:r>
        <w:rPr>
          <w:rFonts w:hint="eastAsia"/>
          <w:highlight w:val="none"/>
        </w:rPr>
        <w:t>月</w:t>
      </w:r>
      <w:r>
        <w:rPr>
          <w:rFonts w:hint="eastAsia"/>
          <w:highlight w:val="none"/>
          <w:lang w:val="en-US" w:eastAsia="zh-CN"/>
        </w:rPr>
        <w:t>30</w:t>
      </w:r>
      <w:r>
        <w:rPr>
          <w:rFonts w:hint="eastAsia"/>
          <w:highlight w:val="none"/>
        </w:rPr>
        <w:t>日上午09:00至2026年</w:t>
      </w:r>
      <w:r>
        <w:rPr>
          <w:rFonts w:hint="eastAsia"/>
          <w:highlight w:val="none"/>
          <w:lang w:val="en-US" w:eastAsia="zh-CN"/>
        </w:rPr>
        <w:t>2</w:t>
      </w:r>
      <w:r>
        <w:rPr>
          <w:rFonts w:hint="eastAsia"/>
          <w:highlight w:val="none"/>
        </w:rPr>
        <w:t>月</w:t>
      </w:r>
      <w:r>
        <w:rPr>
          <w:rFonts w:hint="eastAsia"/>
          <w:highlight w:val="none"/>
          <w:lang w:val="en-US" w:eastAsia="zh-CN"/>
        </w:rPr>
        <w:t>5</w:t>
      </w:r>
      <w:r>
        <w:rPr>
          <w:rFonts w:hint="eastAsia"/>
          <w:highlight w:val="none"/>
        </w:rPr>
        <w:t>日17:00（北京时间）</w:t>
      </w:r>
    </w:p>
    <w:p w14:paraId="2C02934C">
      <w:pPr>
        <w:pStyle w:val="5"/>
        <w:numPr>
          <w:ilvl w:val="0"/>
          <w:numId w:val="5"/>
        </w:numPr>
        <w:ind w:firstLineChars="0"/>
        <w:rPr>
          <w:highlight w:val="none"/>
        </w:rPr>
      </w:pPr>
      <w:r>
        <w:rPr>
          <w:highlight w:val="none"/>
        </w:rPr>
        <w:t>获取方式：</w:t>
      </w:r>
      <w:r>
        <w:rPr>
          <w:rFonts w:hint="eastAsia"/>
          <w:highlight w:val="none"/>
        </w:rPr>
        <w:t>以下两种方式二选一</w:t>
      </w:r>
    </w:p>
    <w:p w14:paraId="79D98D4B">
      <w:pPr>
        <w:pStyle w:val="5"/>
        <w:ind w:left="480" w:firstLine="0" w:firstLineChars="0"/>
        <w:rPr>
          <w:highlight w:val="none"/>
        </w:rPr>
      </w:pPr>
      <w:r>
        <w:rPr>
          <w:rFonts w:hint="eastAsia"/>
          <w:highlight w:val="none"/>
        </w:rPr>
        <w:t>①现场报名：供应商携带介绍信或授权委托书原件、被委托人身份证原件及复印件、营业执照复印件至南京市鼓楼区燕江路201号D座20楼购买。</w:t>
      </w:r>
    </w:p>
    <w:p w14:paraId="2A0E696A">
      <w:pPr>
        <w:pStyle w:val="5"/>
        <w:ind w:left="480" w:firstLine="0" w:firstLineChars="0"/>
        <w:rPr>
          <w:highlight w:val="none"/>
        </w:rPr>
      </w:pPr>
      <w:r>
        <w:rPr>
          <w:rFonts w:hint="eastAsia"/>
          <w:highlight w:val="none"/>
        </w:rPr>
        <w:t>②线上报名：供应商可</w:t>
      </w:r>
      <w:r>
        <w:rPr>
          <w:highlight w:val="none"/>
        </w:rPr>
        <w:fldChar w:fldCharType="begin"/>
      </w:r>
      <w:r>
        <w:rPr>
          <w:highlight w:val="none"/>
        </w:rPr>
        <w:instrText xml:space="preserve"> HYPERLINK "mailto:将营业执照复印件加盖公章扫描件及文件费缴纳证明发送至1571928359@qq.com" </w:instrText>
      </w:r>
      <w:r>
        <w:rPr>
          <w:highlight w:val="none"/>
        </w:rPr>
        <w:fldChar w:fldCharType="separate"/>
      </w:r>
      <w:r>
        <w:rPr>
          <w:rFonts w:hint="eastAsia"/>
          <w:highlight w:val="none"/>
        </w:rPr>
        <w:t>将介绍信或授权委托书原件、被委托人身份证复印件、营业执照复印件加盖公章扫描件及文件费缴纳证明打包发送至njzx666888@163.com</w:t>
      </w:r>
      <w:r>
        <w:rPr>
          <w:rFonts w:hint="eastAsia"/>
          <w:highlight w:val="none"/>
        </w:rPr>
        <w:fldChar w:fldCharType="end"/>
      </w:r>
      <w:r>
        <w:rPr>
          <w:rFonts w:hint="eastAsia"/>
          <w:highlight w:val="none"/>
        </w:rPr>
        <w:t>，文件命名为单位及项目简称，响应文件开启时将以上报名资料带至响应文件开启现场，随响应文件一起递交。</w:t>
      </w:r>
    </w:p>
    <w:p w14:paraId="05EEC208">
      <w:pPr>
        <w:pStyle w:val="5"/>
        <w:ind w:firstLine="480"/>
        <w:rPr>
          <w:highlight w:val="none"/>
        </w:rPr>
      </w:pPr>
      <w:r>
        <w:rPr>
          <w:highlight w:val="none"/>
        </w:rPr>
        <w:t>未按照上述要求合法获取</w:t>
      </w:r>
      <w:r>
        <w:rPr>
          <w:rFonts w:hint="eastAsia"/>
          <w:highlight w:val="none"/>
        </w:rPr>
        <w:t>比选</w:t>
      </w:r>
      <w:r>
        <w:rPr>
          <w:highlight w:val="none"/>
        </w:rPr>
        <w:t>文件的，</w:t>
      </w:r>
      <w:r>
        <w:rPr>
          <w:rFonts w:hint="eastAsia"/>
          <w:highlight w:val="none"/>
        </w:rPr>
        <w:t>比选方</w:t>
      </w:r>
      <w:r>
        <w:rPr>
          <w:highlight w:val="none"/>
        </w:rPr>
        <w:t>将不予受理其响应。</w:t>
      </w:r>
    </w:p>
    <w:p w14:paraId="33965B10">
      <w:pPr>
        <w:pStyle w:val="5"/>
        <w:ind w:firstLine="480"/>
        <w:rPr>
          <w:highlight w:val="none"/>
        </w:rPr>
      </w:pPr>
      <w:r>
        <w:rPr>
          <w:highlight w:val="none"/>
        </w:rPr>
        <w:t>售价：500元</w:t>
      </w:r>
      <w:r>
        <w:rPr>
          <w:rFonts w:hint="eastAsia"/>
          <w:highlight w:val="none"/>
        </w:rPr>
        <w:t>/标段</w:t>
      </w:r>
      <w:r>
        <w:rPr>
          <w:highlight w:val="none"/>
        </w:rPr>
        <w:t>。</w:t>
      </w:r>
      <w:r>
        <w:rPr>
          <w:rFonts w:hint="eastAsia"/>
          <w:highlight w:val="none"/>
        </w:rPr>
        <w:t>中信支付宝账户名</w:t>
      </w:r>
      <w:r>
        <w:rPr>
          <w:highlight w:val="none"/>
        </w:rPr>
        <w:fldChar w:fldCharType="begin"/>
      </w:r>
      <w:r>
        <w:rPr>
          <w:highlight w:val="none"/>
        </w:rPr>
        <w:instrText xml:space="preserve"> HYPERLINK "mailto:1042942410@qq.com" </w:instrText>
      </w:r>
      <w:r>
        <w:rPr>
          <w:highlight w:val="none"/>
        </w:rPr>
        <w:fldChar w:fldCharType="separate"/>
      </w:r>
      <w:r>
        <w:rPr>
          <w:rFonts w:hint="eastAsia"/>
          <w:highlight w:val="none"/>
        </w:rPr>
        <w:t>861979129@qq.com</w:t>
      </w:r>
      <w:r>
        <w:rPr>
          <w:rFonts w:hint="eastAsia"/>
          <w:highlight w:val="none"/>
        </w:rPr>
        <w:fldChar w:fldCharType="end"/>
      </w:r>
      <w:r>
        <w:rPr>
          <w:rFonts w:hint="eastAsia"/>
          <w:highlight w:val="none"/>
        </w:rPr>
        <w:t>，请供应商缴费时备注好单位及项目简称，文件费售后不退。</w:t>
      </w:r>
    </w:p>
    <w:p w14:paraId="2A304A75">
      <w:pPr>
        <w:pStyle w:val="5"/>
        <w:numPr>
          <w:ilvl w:val="0"/>
          <w:numId w:val="3"/>
        </w:numPr>
        <w:ind w:firstLineChars="0"/>
        <w:rPr>
          <w:b/>
          <w:highlight w:val="none"/>
        </w:rPr>
      </w:pPr>
      <w:r>
        <w:rPr>
          <w:b/>
          <w:highlight w:val="none"/>
        </w:rPr>
        <w:t>提交响应文件截止时间、</w:t>
      </w:r>
      <w:r>
        <w:rPr>
          <w:rFonts w:hint="eastAsia"/>
          <w:b/>
          <w:highlight w:val="none"/>
        </w:rPr>
        <w:t>响应文件开启</w:t>
      </w:r>
      <w:r>
        <w:rPr>
          <w:b/>
          <w:highlight w:val="none"/>
        </w:rPr>
        <w:t>时间和地点</w:t>
      </w:r>
    </w:p>
    <w:p w14:paraId="19A53596">
      <w:pPr>
        <w:pStyle w:val="5"/>
        <w:ind w:firstLine="480"/>
        <w:rPr>
          <w:highlight w:val="none"/>
          <w:u w:val="single"/>
        </w:rPr>
      </w:pPr>
      <w:r>
        <w:rPr>
          <w:highlight w:val="none"/>
        </w:rPr>
        <w:t>递交响应文件开始时间：</w:t>
      </w:r>
      <w:r>
        <w:rPr>
          <w:rFonts w:hint="eastAsia"/>
          <w:highlight w:val="none"/>
          <w:u w:val="single"/>
        </w:rPr>
        <w:t>2026年</w:t>
      </w:r>
      <w:r>
        <w:rPr>
          <w:rFonts w:hint="eastAsia"/>
          <w:highlight w:val="none"/>
          <w:u w:val="single"/>
          <w:lang w:val="en-US" w:eastAsia="zh-CN"/>
        </w:rPr>
        <w:t>2</w:t>
      </w:r>
      <w:r>
        <w:rPr>
          <w:rFonts w:hint="eastAsia"/>
          <w:highlight w:val="none"/>
          <w:u w:val="single"/>
        </w:rPr>
        <w:t>月</w:t>
      </w:r>
      <w:r>
        <w:rPr>
          <w:rFonts w:hint="eastAsia"/>
          <w:highlight w:val="none"/>
          <w:u w:val="single"/>
          <w:lang w:val="en-US" w:eastAsia="zh-CN"/>
        </w:rPr>
        <w:t>9</w:t>
      </w:r>
      <w:r>
        <w:rPr>
          <w:rFonts w:hint="eastAsia"/>
          <w:highlight w:val="none"/>
          <w:u w:val="single"/>
        </w:rPr>
        <w:t xml:space="preserve"> 日</w:t>
      </w:r>
      <w:r>
        <w:rPr>
          <w:highlight w:val="none"/>
          <w:u w:val="single"/>
        </w:rPr>
        <w:t>1</w:t>
      </w:r>
      <w:r>
        <w:rPr>
          <w:rFonts w:hint="eastAsia"/>
          <w:highlight w:val="none"/>
          <w:u w:val="single"/>
        </w:rPr>
        <w:t>4时0</w:t>
      </w:r>
      <w:r>
        <w:rPr>
          <w:highlight w:val="none"/>
          <w:u w:val="single"/>
        </w:rPr>
        <w:t>0</w:t>
      </w:r>
      <w:r>
        <w:rPr>
          <w:rFonts w:hint="eastAsia"/>
          <w:highlight w:val="none"/>
          <w:u w:val="single"/>
        </w:rPr>
        <w:t>分；</w:t>
      </w:r>
    </w:p>
    <w:p w14:paraId="72056F1D">
      <w:pPr>
        <w:pStyle w:val="5"/>
        <w:ind w:firstLine="480"/>
        <w:rPr>
          <w:highlight w:val="none"/>
          <w:u w:val="single"/>
        </w:rPr>
      </w:pPr>
      <w:r>
        <w:rPr>
          <w:highlight w:val="none"/>
        </w:rPr>
        <w:t>递交响应文件截止时间及</w:t>
      </w:r>
      <w:r>
        <w:rPr>
          <w:rFonts w:hint="eastAsia"/>
          <w:highlight w:val="none"/>
        </w:rPr>
        <w:t>响应文件开启</w:t>
      </w:r>
      <w:r>
        <w:rPr>
          <w:highlight w:val="none"/>
        </w:rPr>
        <w:t>时间：</w:t>
      </w:r>
      <w:r>
        <w:rPr>
          <w:rFonts w:hint="eastAsia"/>
          <w:highlight w:val="none"/>
          <w:u w:val="single"/>
        </w:rPr>
        <w:t>2026年</w:t>
      </w:r>
      <w:r>
        <w:rPr>
          <w:rFonts w:hint="eastAsia"/>
          <w:highlight w:val="none"/>
          <w:u w:val="single"/>
          <w:lang w:val="en-US" w:eastAsia="zh-CN"/>
        </w:rPr>
        <w:t>2</w:t>
      </w:r>
      <w:r>
        <w:rPr>
          <w:rFonts w:hint="eastAsia"/>
          <w:highlight w:val="none"/>
          <w:u w:val="single"/>
        </w:rPr>
        <w:t>月</w:t>
      </w:r>
      <w:r>
        <w:rPr>
          <w:rFonts w:hint="eastAsia"/>
          <w:highlight w:val="none"/>
          <w:u w:val="single"/>
          <w:lang w:val="en-US" w:eastAsia="zh-CN"/>
        </w:rPr>
        <w:t>9</w:t>
      </w:r>
      <w:r>
        <w:rPr>
          <w:rFonts w:hint="eastAsia"/>
          <w:highlight w:val="none"/>
          <w:u w:val="single"/>
        </w:rPr>
        <w:t>日</w:t>
      </w:r>
      <w:r>
        <w:rPr>
          <w:highlight w:val="none"/>
          <w:u w:val="single"/>
        </w:rPr>
        <w:t>14</w:t>
      </w:r>
      <w:r>
        <w:rPr>
          <w:rFonts w:hint="eastAsia"/>
          <w:highlight w:val="none"/>
          <w:u w:val="single"/>
        </w:rPr>
        <w:t>时3</w:t>
      </w:r>
      <w:r>
        <w:rPr>
          <w:highlight w:val="none"/>
          <w:u w:val="single"/>
        </w:rPr>
        <w:t>0</w:t>
      </w:r>
      <w:r>
        <w:rPr>
          <w:rFonts w:hint="eastAsia"/>
          <w:highlight w:val="none"/>
          <w:u w:val="single"/>
        </w:rPr>
        <w:t>分。</w:t>
      </w:r>
    </w:p>
    <w:p w14:paraId="5584B182">
      <w:pPr>
        <w:pStyle w:val="5"/>
        <w:ind w:firstLine="480"/>
        <w:rPr>
          <w:highlight w:val="none"/>
        </w:rPr>
      </w:pPr>
      <w:r>
        <w:rPr>
          <w:rFonts w:hint="eastAsia"/>
          <w:highlight w:val="none"/>
        </w:rPr>
        <w:t>响应文件开启</w:t>
      </w:r>
      <w:r>
        <w:rPr>
          <w:highlight w:val="none"/>
        </w:rPr>
        <w:t>地点：</w:t>
      </w:r>
      <w:r>
        <w:rPr>
          <w:rFonts w:hint="eastAsia"/>
          <w:highlight w:val="none"/>
          <w:lang w:val="zh-CN"/>
        </w:rPr>
        <w:t>南京邮电大学仙林校区行政楼146室</w:t>
      </w:r>
      <w:r>
        <w:rPr>
          <w:highlight w:val="none"/>
        </w:rPr>
        <w:t>。</w:t>
      </w:r>
    </w:p>
    <w:p w14:paraId="5E9A995F">
      <w:pPr>
        <w:pStyle w:val="5"/>
        <w:ind w:firstLine="480"/>
        <w:rPr>
          <w:highlight w:val="none"/>
        </w:rPr>
      </w:pPr>
      <w:r>
        <w:rPr>
          <w:highlight w:val="none"/>
        </w:rPr>
        <w:t>届时请</w:t>
      </w:r>
      <w:r>
        <w:rPr>
          <w:rFonts w:hint="eastAsia"/>
          <w:highlight w:val="none"/>
        </w:rPr>
        <w:t>供应商</w:t>
      </w:r>
      <w:r>
        <w:rPr>
          <w:highlight w:val="none"/>
        </w:rPr>
        <w:t>法定代表人或其委托授权代表出席</w:t>
      </w:r>
      <w:r>
        <w:rPr>
          <w:rFonts w:hint="eastAsia"/>
          <w:highlight w:val="none"/>
        </w:rPr>
        <w:t>响应文件开启</w:t>
      </w:r>
      <w:r>
        <w:rPr>
          <w:highlight w:val="none"/>
        </w:rPr>
        <w:t>仪式。</w:t>
      </w:r>
    </w:p>
    <w:p w14:paraId="6BFAC6D9">
      <w:pPr>
        <w:pStyle w:val="5"/>
        <w:numPr>
          <w:ilvl w:val="0"/>
          <w:numId w:val="3"/>
        </w:numPr>
        <w:ind w:firstLineChars="0"/>
        <w:rPr>
          <w:b/>
          <w:highlight w:val="none"/>
        </w:rPr>
      </w:pPr>
      <w:bookmarkStart w:id="0" w:name="六、公告期限"/>
      <w:bookmarkEnd w:id="0"/>
      <w:r>
        <w:rPr>
          <w:b/>
          <w:highlight w:val="none"/>
        </w:rPr>
        <w:t>公告期限</w:t>
      </w:r>
    </w:p>
    <w:p w14:paraId="0EAB5DE8">
      <w:pPr>
        <w:pStyle w:val="5"/>
        <w:ind w:firstLine="480"/>
        <w:rPr>
          <w:highlight w:val="none"/>
        </w:rPr>
      </w:pPr>
      <w:bookmarkStart w:id="1" w:name="自本公告发布之日起5个工作日。"/>
      <w:bookmarkEnd w:id="1"/>
      <w:r>
        <w:rPr>
          <w:highlight w:val="none"/>
        </w:rPr>
        <w:t>自本公告发布之日起5日。</w:t>
      </w:r>
    </w:p>
    <w:p w14:paraId="5F3E567C">
      <w:pPr>
        <w:pStyle w:val="5"/>
        <w:numPr>
          <w:ilvl w:val="0"/>
          <w:numId w:val="3"/>
        </w:numPr>
        <w:ind w:firstLineChars="0"/>
        <w:rPr>
          <w:b/>
          <w:highlight w:val="none"/>
        </w:rPr>
      </w:pPr>
      <w:r>
        <w:rPr>
          <w:b/>
          <w:highlight w:val="none"/>
        </w:rPr>
        <w:t>其他补充事宜</w:t>
      </w:r>
    </w:p>
    <w:p w14:paraId="7588BEA4">
      <w:pPr>
        <w:pStyle w:val="5"/>
        <w:numPr>
          <w:ilvl w:val="0"/>
          <w:numId w:val="6"/>
        </w:numPr>
        <w:ind w:firstLineChars="0"/>
        <w:rPr>
          <w:highlight w:val="none"/>
        </w:rPr>
      </w:pPr>
      <w:r>
        <w:rPr>
          <w:highlight w:val="none"/>
        </w:rPr>
        <w:t>响应文件份数：</w:t>
      </w:r>
      <w:r>
        <w:rPr>
          <w:rFonts w:hint="eastAsia"/>
          <w:highlight w:val="none"/>
        </w:rPr>
        <w:t>一式伍份</w:t>
      </w:r>
      <w:r>
        <w:rPr>
          <w:highlight w:val="none"/>
        </w:rPr>
        <w:t>（壹份正本、肆份副本），电子版响应文件壹份（一般应为PDF格式、U盘形式或光盘形式，随纸质正本文件一并提交）。当纸质正本文件和电子版文件不一致时，</w:t>
      </w:r>
      <w:r>
        <w:rPr>
          <w:rFonts w:hint="eastAsia"/>
          <w:highlight w:val="none"/>
        </w:rPr>
        <w:t>以纸质正本文件为准</w:t>
      </w:r>
      <w:r>
        <w:rPr>
          <w:highlight w:val="none"/>
        </w:rPr>
        <w:t>。电子版文件用于存档，</w:t>
      </w:r>
      <w:r>
        <w:rPr>
          <w:rFonts w:hint="eastAsia"/>
          <w:highlight w:val="none"/>
        </w:rPr>
        <w:t>供应商</w:t>
      </w:r>
      <w:r>
        <w:rPr>
          <w:highlight w:val="none"/>
        </w:rPr>
        <w:t>需承担前述不一致造成的不利后果。每份纸质文件须清楚标明</w:t>
      </w:r>
      <w:r>
        <w:rPr>
          <w:rFonts w:hint="eastAsia"/>
          <w:highlight w:val="none"/>
        </w:rPr>
        <w:t>“</w:t>
      </w:r>
      <w:r>
        <w:rPr>
          <w:highlight w:val="none"/>
        </w:rPr>
        <w:t>正本</w:t>
      </w:r>
      <w:r>
        <w:rPr>
          <w:rFonts w:hint="eastAsia"/>
          <w:highlight w:val="none"/>
        </w:rPr>
        <w:t>”</w:t>
      </w:r>
      <w:r>
        <w:rPr>
          <w:highlight w:val="none"/>
        </w:rPr>
        <w:t>或</w:t>
      </w:r>
      <w:r>
        <w:rPr>
          <w:rFonts w:hint="eastAsia"/>
          <w:highlight w:val="none"/>
        </w:rPr>
        <w:t>“</w:t>
      </w:r>
      <w:r>
        <w:rPr>
          <w:highlight w:val="none"/>
        </w:rPr>
        <w:t>副本</w:t>
      </w:r>
      <w:r>
        <w:rPr>
          <w:rFonts w:hint="eastAsia"/>
          <w:highlight w:val="none"/>
        </w:rPr>
        <w:t>”</w:t>
      </w:r>
      <w:r>
        <w:rPr>
          <w:highlight w:val="none"/>
        </w:rPr>
        <w:t>字样。一旦正本和副本不符，以正本为准。</w:t>
      </w:r>
    </w:p>
    <w:p w14:paraId="1A06937D">
      <w:pPr>
        <w:pStyle w:val="5"/>
        <w:numPr>
          <w:ilvl w:val="0"/>
          <w:numId w:val="6"/>
        </w:numPr>
        <w:ind w:firstLineChars="0"/>
        <w:rPr>
          <w:highlight w:val="none"/>
          <w:shd w:val="clear" w:color="auto" w:fill="FFFFFF"/>
        </w:rPr>
      </w:pPr>
      <w:r>
        <w:rPr>
          <w:rFonts w:hint="eastAsia"/>
          <w:highlight w:val="none"/>
          <w:shd w:val="clear" w:color="auto" w:fill="FFFFFF"/>
        </w:rPr>
        <w:t>踏勘现场：</w:t>
      </w:r>
    </w:p>
    <w:p w14:paraId="0954EA45">
      <w:pPr>
        <w:pStyle w:val="5"/>
        <w:numPr>
          <w:ilvl w:val="255"/>
          <w:numId w:val="0"/>
        </w:numPr>
        <w:ind w:firstLine="480" w:firstLineChars="200"/>
        <w:rPr>
          <w:highlight w:val="none"/>
          <w:shd w:val="clear" w:color="auto" w:fill="FFFFFF"/>
        </w:rPr>
      </w:pPr>
      <w:r>
        <w:rPr>
          <w:rFonts w:hint="eastAsia"/>
          <w:highlight w:val="none"/>
          <w:shd w:val="clear" w:color="auto" w:fill="FFFFFF"/>
        </w:rPr>
        <w:t>供应商应自行预约踏勘现场，踏勘</w:t>
      </w:r>
      <w:r>
        <w:rPr>
          <w:highlight w:val="none"/>
          <w:shd w:val="clear" w:color="auto" w:fill="FFFFFF"/>
        </w:rPr>
        <w:t>联系人：</w:t>
      </w:r>
      <w:r>
        <w:rPr>
          <w:rFonts w:hint="eastAsia"/>
          <w:highlight w:val="none"/>
          <w:shd w:val="clear" w:color="auto" w:fill="FFFFFF"/>
        </w:rPr>
        <w:t>蔡老师，联系电话</w:t>
      </w:r>
      <w:r>
        <w:rPr>
          <w:rFonts w:hint="eastAsia"/>
          <w:highlight w:val="none"/>
        </w:rPr>
        <w:t>：18951896583</w:t>
      </w:r>
      <w:r>
        <w:rPr>
          <w:rFonts w:hint="eastAsia"/>
          <w:highlight w:val="none"/>
          <w:shd w:val="clear" w:color="auto" w:fill="FFFFFF"/>
        </w:rPr>
        <w:t>。供应</w:t>
      </w:r>
      <w:r>
        <w:rPr>
          <w:rFonts w:hint="eastAsia"/>
          <w:highlight w:val="none"/>
        </w:rPr>
        <w:t>商对项目现场和周围环境进行仔细认真</w:t>
      </w:r>
      <w:r>
        <w:rPr>
          <w:rFonts w:hint="eastAsia"/>
          <w:highlight w:val="none"/>
          <w:shd w:val="clear" w:color="auto" w:fill="FFFFFF"/>
        </w:rPr>
        <w:t>踏勘</w:t>
      </w:r>
      <w:r>
        <w:rPr>
          <w:rFonts w:hint="eastAsia"/>
          <w:highlight w:val="none"/>
        </w:rPr>
        <w:t>，在随后的比选</w:t>
      </w:r>
      <w:r>
        <w:rPr>
          <w:rFonts w:hint="eastAsia"/>
          <w:highlight w:val="none"/>
          <w:shd w:val="clear" w:color="auto" w:fill="FFFFFF"/>
        </w:rPr>
        <w:t>中，对现场资料和数据所作出的推论、解释和结论及由此造成的后果由</w:t>
      </w:r>
      <w:r>
        <w:rPr>
          <w:rFonts w:hint="eastAsia"/>
          <w:highlight w:val="none"/>
        </w:rPr>
        <w:t>供应商</w:t>
      </w:r>
      <w:r>
        <w:rPr>
          <w:rFonts w:hint="eastAsia"/>
          <w:highlight w:val="none"/>
          <w:shd w:val="clear" w:color="auto" w:fill="FFFFFF"/>
        </w:rPr>
        <w:t>负责。没有踏勘现场或者踏勘不仔细导致对比选需求了解不充分的</w:t>
      </w:r>
      <w:r>
        <w:rPr>
          <w:rFonts w:hint="eastAsia"/>
          <w:highlight w:val="none"/>
        </w:rPr>
        <w:t>供应商</w:t>
      </w:r>
      <w:r>
        <w:rPr>
          <w:rFonts w:hint="eastAsia"/>
          <w:highlight w:val="none"/>
          <w:shd w:val="clear" w:color="auto" w:fill="FFFFFF"/>
        </w:rPr>
        <w:t>，自行承担相应责任。不参加现场踏勘的视同对现场的一切情况均已掌握，比选人不对</w:t>
      </w:r>
      <w:r>
        <w:rPr>
          <w:rFonts w:hint="eastAsia"/>
          <w:highlight w:val="none"/>
        </w:rPr>
        <w:t>供应商</w:t>
      </w:r>
      <w:r>
        <w:rPr>
          <w:rFonts w:hint="eastAsia"/>
          <w:highlight w:val="none"/>
          <w:shd w:val="clear" w:color="auto" w:fill="FFFFFF"/>
        </w:rPr>
        <w:t>据此作出的判断和决策负责。在现场踏勘过程中，</w:t>
      </w:r>
      <w:r>
        <w:rPr>
          <w:rFonts w:hint="eastAsia"/>
          <w:highlight w:val="none"/>
        </w:rPr>
        <w:t>供应商</w:t>
      </w:r>
      <w:r>
        <w:rPr>
          <w:rFonts w:hint="eastAsia"/>
          <w:highlight w:val="none"/>
          <w:shd w:val="clear" w:color="auto" w:fill="FFFFFF"/>
        </w:rPr>
        <w:t>如果发生人身伤亡、财物或其他损失，无论何种原因所造成，比选人及比选代理机构均不负责。</w:t>
      </w:r>
      <w:r>
        <w:rPr>
          <w:rFonts w:hint="eastAsia"/>
          <w:highlight w:val="none"/>
        </w:rPr>
        <w:t>踏勘现场需提前进校报备，具体方法见项目需求。</w:t>
      </w:r>
    </w:p>
    <w:p w14:paraId="19AC13F6">
      <w:pPr>
        <w:rPr>
          <w:highlight w:val="none"/>
        </w:rPr>
      </w:pPr>
    </w:p>
    <w:p w14:paraId="7986955D">
      <w:pPr>
        <w:pStyle w:val="5"/>
        <w:numPr>
          <w:ilvl w:val="0"/>
          <w:numId w:val="3"/>
        </w:numPr>
        <w:ind w:firstLineChars="0"/>
        <w:rPr>
          <w:b/>
          <w:highlight w:val="none"/>
        </w:rPr>
      </w:pPr>
      <w:r>
        <w:rPr>
          <w:b/>
          <w:highlight w:val="none"/>
        </w:rPr>
        <w:t>发布公告的媒介</w:t>
      </w:r>
    </w:p>
    <w:p w14:paraId="3B1CF830">
      <w:pPr>
        <w:pStyle w:val="5"/>
        <w:ind w:firstLine="480"/>
        <w:rPr>
          <w:highlight w:val="none"/>
        </w:rPr>
      </w:pPr>
      <w:r>
        <w:rPr>
          <w:highlight w:val="none"/>
        </w:rPr>
        <w:t>本</w:t>
      </w:r>
      <w:r>
        <w:rPr>
          <w:rFonts w:hint="eastAsia"/>
          <w:highlight w:val="none"/>
        </w:rPr>
        <w:t>比选</w:t>
      </w:r>
      <w:r>
        <w:rPr>
          <w:highlight w:val="none"/>
        </w:rPr>
        <w:t>公告在南京邮电大学</w:t>
      </w:r>
      <w:r>
        <w:rPr>
          <w:rFonts w:hint="eastAsia"/>
          <w:highlight w:val="none"/>
        </w:rPr>
        <w:t>采购招标管理办公室</w:t>
      </w:r>
      <w:r>
        <w:rPr>
          <w:highlight w:val="none"/>
        </w:rPr>
        <w:t>网站（https://zbb.njupt.edu.cn/）发布，敬请各</w:t>
      </w:r>
      <w:r>
        <w:rPr>
          <w:rFonts w:hint="eastAsia"/>
          <w:highlight w:val="none"/>
        </w:rPr>
        <w:t>供应商</w:t>
      </w:r>
      <w:r>
        <w:rPr>
          <w:highlight w:val="none"/>
        </w:rPr>
        <w:t>关注。</w:t>
      </w:r>
    </w:p>
    <w:p w14:paraId="616A1663">
      <w:pPr>
        <w:pStyle w:val="5"/>
        <w:numPr>
          <w:ilvl w:val="0"/>
          <w:numId w:val="3"/>
        </w:numPr>
        <w:ind w:firstLineChars="0"/>
        <w:rPr>
          <w:b/>
          <w:highlight w:val="none"/>
        </w:rPr>
      </w:pPr>
      <w:r>
        <w:rPr>
          <w:b/>
          <w:highlight w:val="none"/>
        </w:rPr>
        <w:t>对本次</w:t>
      </w:r>
      <w:r>
        <w:rPr>
          <w:rFonts w:hint="eastAsia"/>
          <w:b/>
          <w:highlight w:val="none"/>
        </w:rPr>
        <w:t>比选</w:t>
      </w:r>
      <w:r>
        <w:rPr>
          <w:b/>
          <w:highlight w:val="none"/>
        </w:rPr>
        <w:t>提出询问，请按以下方式联系。</w:t>
      </w:r>
    </w:p>
    <w:p w14:paraId="3DE9C2B6">
      <w:pPr>
        <w:pStyle w:val="5"/>
        <w:ind w:firstLine="480" w:firstLineChars="0"/>
        <w:rPr>
          <w:highlight w:val="none"/>
        </w:rPr>
      </w:pPr>
      <w:r>
        <w:rPr>
          <w:highlight w:val="none"/>
        </w:rPr>
        <w:t>1、</w:t>
      </w:r>
      <w:r>
        <w:rPr>
          <w:rFonts w:hint="eastAsia"/>
          <w:highlight w:val="none"/>
        </w:rPr>
        <w:t>比选</w:t>
      </w:r>
      <w:r>
        <w:rPr>
          <w:highlight w:val="none"/>
        </w:rPr>
        <w:t>人信息</w:t>
      </w:r>
    </w:p>
    <w:p w14:paraId="4BDF856D">
      <w:pPr>
        <w:pStyle w:val="5"/>
        <w:ind w:firstLine="480"/>
        <w:rPr>
          <w:highlight w:val="none"/>
        </w:rPr>
      </w:pPr>
      <w:r>
        <w:rPr>
          <w:highlight w:val="none"/>
        </w:rPr>
        <w:t>名称：南京邮电大学</w:t>
      </w:r>
    </w:p>
    <w:p w14:paraId="590E811C">
      <w:pPr>
        <w:pStyle w:val="5"/>
        <w:ind w:firstLine="480"/>
        <w:rPr>
          <w:highlight w:val="none"/>
        </w:rPr>
      </w:pPr>
      <w:r>
        <w:rPr>
          <w:highlight w:val="none"/>
        </w:rPr>
        <w:t>地址：南京市栖霞区文苑路9号</w:t>
      </w:r>
    </w:p>
    <w:p w14:paraId="1C7BF933">
      <w:pPr>
        <w:pStyle w:val="5"/>
        <w:ind w:firstLine="480"/>
        <w:rPr>
          <w:highlight w:val="none"/>
          <w:u w:val="single"/>
        </w:rPr>
      </w:pPr>
      <w:r>
        <w:rPr>
          <w:highlight w:val="none"/>
        </w:rPr>
        <w:t>联系人：</w:t>
      </w:r>
      <w:r>
        <w:rPr>
          <w:rFonts w:hint="eastAsia"/>
          <w:highlight w:val="none"/>
        </w:rPr>
        <w:t>张</w:t>
      </w:r>
      <w:r>
        <w:rPr>
          <w:highlight w:val="none"/>
        </w:rPr>
        <w:t>老师</w:t>
      </w:r>
    </w:p>
    <w:p w14:paraId="5B13CDD3">
      <w:pPr>
        <w:pStyle w:val="5"/>
        <w:ind w:firstLine="480"/>
        <w:rPr>
          <w:highlight w:val="none"/>
        </w:rPr>
      </w:pPr>
      <w:r>
        <w:rPr>
          <w:highlight w:val="none"/>
        </w:rPr>
        <w:t>联系方式：</w:t>
      </w:r>
      <w:r>
        <w:rPr>
          <w:rFonts w:hint="eastAsia"/>
          <w:highlight w:val="none"/>
        </w:rPr>
        <w:t>025-85866541</w:t>
      </w:r>
    </w:p>
    <w:p w14:paraId="21CC0F9D">
      <w:pPr>
        <w:pStyle w:val="5"/>
        <w:ind w:firstLine="480" w:firstLineChars="0"/>
        <w:rPr>
          <w:highlight w:val="none"/>
        </w:rPr>
      </w:pPr>
      <w:r>
        <w:rPr>
          <w:highlight w:val="none"/>
        </w:rPr>
        <w:t>2、代理机构信息</w:t>
      </w:r>
    </w:p>
    <w:p w14:paraId="2C7FCC75">
      <w:pPr>
        <w:pStyle w:val="5"/>
        <w:ind w:firstLine="480"/>
        <w:rPr>
          <w:highlight w:val="none"/>
        </w:rPr>
      </w:pPr>
      <w:r>
        <w:rPr>
          <w:highlight w:val="none"/>
        </w:rPr>
        <w:t>名称：</w:t>
      </w:r>
      <w:r>
        <w:rPr>
          <w:rFonts w:hint="eastAsia"/>
          <w:highlight w:val="none"/>
        </w:rPr>
        <w:t>南京中信工程造价有限公司</w:t>
      </w:r>
    </w:p>
    <w:p w14:paraId="3DD376DA">
      <w:pPr>
        <w:pStyle w:val="5"/>
        <w:ind w:firstLine="480"/>
        <w:rPr>
          <w:highlight w:val="none"/>
        </w:rPr>
      </w:pPr>
      <w:r>
        <w:rPr>
          <w:highlight w:val="none"/>
        </w:rPr>
        <w:t>地址：</w:t>
      </w:r>
      <w:r>
        <w:rPr>
          <w:rFonts w:hint="eastAsia"/>
          <w:highlight w:val="none"/>
        </w:rPr>
        <w:t>南京市鼓楼区燕江路201号</w:t>
      </w:r>
    </w:p>
    <w:p w14:paraId="74835492">
      <w:pPr>
        <w:pStyle w:val="5"/>
        <w:ind w:firstLine="480"/>
        <w:rPr>
          <w:highlight w:val="none"/>
        </w:rPr>
      </w:pPr>
      <w:r>
        <w:rPr>
          <w:rFonts w:hint="eastAsia"/>
          <w:highlight w:val="none"/>
        </w:rPr>
        <w:t>联系人：楚工</w:t>
      </w:r>
    </w:p>
    <w:p w14:paraId="6D505AE6">
      <w:pPr>
        <w:pStyle w:val="5"/>
        <w:ind w:firstLine="480"/>
        <w:rPr>
          <w:highlight w:val="none"/>
        </w:rPr>
      </w:pPr>
      <w:r>
        <w:rPr>
          <w:highlight w:val="none"/>
        </w:rPr>
        <w:t>联系方式：</w:t>
      </w:r>
      <w:r>
        <w:rPr>
          <w:rFonts w:hint="eastAsia"/>
          <w:highlight w:val="none"/>
        </w:rPr>
        <w:t>15952014136</w:t>
      </w:r>
    </w:p>
    <w:p w14:paraId="3EBC1F1E">
      <w:pPr>
        <w:pStyle w:val="5"/>
        <w:ind w:firstLine="480" w:firstLineChars="0"/>
        <w:rPr>
          <w:highlight w:val="none"/>
        </w:rPr>
      </w:pPr>
      <w:r>
        <w:rPr>
          <w:highlight w:val="none"/>
        </w:rPr>
        <w:t>3、项目联系方式</w:t>
      </w:r>
    </w:p>
    <w:p w14:paraId="52029B96">
      <w:pPr>
        <w:pStyle w:val="5"/>
        <w:ind w:firstLine="480"/>
        <w:rPr>
          <w:highlight w:val="none"/>
        </w:rPr>
      </w:pPr>
      <w:r>
        <w:rPr>
          <w:highlight w:val="none"/>
        </w:rPr>
        <w:t>项目联系人：</w:t>
      </w:r>
      <w:r>
        <w:rPr>
          <w:rFonts w:hint="eastAsia"/>
          <w:highlight w:val="none"/>
        </w:rPr>
        <w:t>楚</w:t>
      </w:r>
      <w:r>
        <w:rPr>
          <w:highlight w:val="none"/>
        </w:rPr>
        <w:t>工</w:t>
      </w:r>
    </w:p>
    <w:p w14:paraId="4917B397">
      <w:pPr>
        <w:pStyle w:val="5"/>
        <w:ind w:firstLine="480"/>
        <w:rPr>
          <w:highlight w:val="none"/>
        </w:rPr>
      </w:pPr>
      <w:r>
        <w:rPr>
          <w:highlight w:val="none"/>
        </w:rPr>
        <w:t>电话：</w:t>
      </w:r>
      <w:r>
        <w:rPr>
          <w:rFonts w:hint="eastAsia"/>
          <w:highlight w:val="none"/>
        </w:rPr>
        <w:t>15952014136</w:t>
      </w:r>
    </w:p>
    <w:p w14:paraId="2D51897D">
      <w:pPr>
        <w:pStyle w:val="5"/>
        <w:ind w:firstLine="480"/>
        <w:rPr>
          <w:highlight w:val="none"/>
        </w:rPr>
      </w:pPr>
      <w:r>
        <w:rPr>
          <w:highlight w:val="none"/>
        </w:rPr>
        <w:t>请贵单位领取本次</w:t>
      </w:r>
      <w:r>
        <w:rPr>
          <w:rFonts w:hint="eastAsia"/>
          <w:highlight w:val="none"/>
        </w:rPr>
        <w:t>比选</w:t>
      </w:r>
      <w:r>
        <w:rPr>
          <w:highlight w:val="none"/>
        </w:rPr>
        <w:t>文件后，认真阅读各项内容，进行必要的</w:t>
      </w:r>
      <w:r>
        <w:rPr>
          <w:rFonts w:hint="eastAsia"/>
          <w:highlight w:val="none"/>
        </w:rPr>
        <w:t>响应</w:t>
      </w:r>
      <w:r>
        <w:rPr>
          <w:highlight w:val="none"/>
        </w:rPr>
        <w:t>准备，按文件的要求详细填写和编制响应文件，并按以上确定的时间、地点准时参加</w:t>
      </w:r>
      <w:r>
        <w:rPr>
          <w:rFonts w:hint="eastAsia"/>
          <w:highlight w:val="none"/>
        </w:rPr>
        <w:t>比选活动</w:t>
      </w:r>
      <w:r>
        <w:rPr>
          <w:highlight w:val="none"/>
        </w:rPr>
        <w:t>。</w:t>
      </w:r>
      <w:bookmarkStart w:id="2" w:name="_Toc35393627"/>
      <w:bookmarkStart w:id="3" w:name="_Toc28359008"/>
      <w:bookmarkStart w:id="4" w:name="_Toc35393796"/>
      <w:bookmarkStart w:id="5" w:name="_Toc28359085"/>
    </w:p>
    <w:bookmarkEnd w:id="2"/>
    <w:bookmarkEnd w:id="3"/>
    <w:bookmarkEnd w:id="4"/>
    <w:bookmarkEnd w:id="5"/>
    <w:p w14:paraId="2C144DE3">
      <w:pPr>
        <w:rPr>
          <w:rFonts w:ascii="宋体" w:hAnsi="宋体" w:cs="黑体"/>
          <w:sz w:val="36"/>
          <w:highlight w:val="none"/>
        </w:rPr>
      </w:pPr>
      <w:r>
        <w:rPr>
          <w:rFonts w:ascii="宋体" w:hAnsi="宋体" w:cs="黑体"/>
          <w:sz w:val="36"/>
          <w:highlight w:val="none"/>
        </w:rPr>
        <w:br w:type="page"/>
      </w:r>
    </w:p>
    <w:p w14:paraId="21FCD043">
      <w:pPr>
        <w:pStyle w:val="151"/>
        <w:rPr>
          <w:highlight w:val="none"/>
        </w:rPr>
      </w:pPr>
      <w:r>
        <w:rPr>
          <w:highlight w:val="none"/>
        </w:rPr>
        <w:t xml:space="preserve">第二章  </w:t>
      </w:r>
      <w:r>
        <w:rPr>
          <w:rFonts w:hint="eastAsia"/>
          <w:highlight w:val="none"/>
        </w:rPr>
        <w:t>供应商</w:t>
      </w:r>
      <w:r>
        <w:rPr>
          <w:highlight w:val="none"/>
        </w:rPr>
        <w:t>须知</w:t>
      </w:r>
    </w:p>
    <w:p w14:paraId="7ACE6929">
      <w:pPr>
        <w:pStyle w:val="5"/>
        <w:numPr>
          <w:ilvl w:val="0"/>
          <w:numId w:val="7"/>
        </w:numPr>
        <w:ind w:firstLineChars="0"/>
        <w:rPr>
          <w:b/>
          <w:highlight w:val="none"/>
        </w:rPr>
      </w:pPr>
      <w:r>
        <w:rPr>
          <w:b/>
          <w:highlight w:val="none"/>
        </w:rPr>
        <w:t>总则</w:t>
      </w:r>
    </w:p>
    <w:p w14:paraId="5BA54D64">
      <w:pPr>
        <w:pStyle w:val="5"/>
        <w:ind w:firstLine="480" w:firstLineChars="0"/>
        <w:rPr>
          <w:highlight w:val="none"/>
        </w:rPr>
      </w:pPr>
      <w:r>
        <w:rPr>
          <w:highlight w:val="none"/>
        </w:rPr>
        <w:t>1</w:t>
      </w:r>
      <w:r>
        <w:rPr>
          <w:rFonts w:hint="eastAsia"/>
          <w:highlight w:val="none"/>
        </w:rPr>
        <w:t>.</w:t>
      </w:r>
      <w:r>
        <w:rPr>
          <w:highlight w:val="none"/>
        </w:rPr>
        <w:t>适用</w:t>
      </w:r>
      <w:r>
        <w:rPr>
          <w:rFonts w:hint="eastAsia"/>
          <w:highlight w:val="none"/>
        </w:rPr>
        <w:t>规则</w:t>
      </w:r>
    </w:p>
    <w:p w14:paraId="6F96ED23">
      <w:pPr>
        <w:pStyle w:val="5"/>
        <w:ind w:firstLine="480"/>
        <w:rPr>
          <w:highlight w:val="none"/>
        </w:rPr>
      </w:pPr>
      <w:r>
        <w:rPr>
          <w:highlight w:val="none"/>
        </w:rPr>
        <w:t xml:space="preserve">1.1 </w:t>
      </w:r>
      <w:r>
        <w:rPr>
          <w:rFonts w:hint="eastAsia"/>
          <w:highlight w:val="none"/>
        </w:rPr>
        <w:t>本项目为非政府采购项目，本次比选参照《南京邮电大学采购招标管理办法（修订）》（校发〔2025〕34号）</w:t>
      </w:r>
      <w:r>
        <w:rPr>
          <w:highlight w:val="none"/>
        </w:rPr>
        <w:t>《南京邮电大学校内集中采购管理实施细则 （试行）》（校发〔2023〕39号）《南京邮电大学采购项目质疑答复和投诉处理实施细则（试行）》（校发〔2023〕38号）等</w:t>
      </w:r>
      <w:r>
        <w:rPr>
          <w:rFonts w:hint="eastAsia"/>
          <w:highlight w:val="none"/>
        </w:rPr>
        <w:t>南京邮电大学内控制度</w:t>
      </w:r>
      <w:r>
        <w:rPr>
          <w:highlight w:val="none"/>
        </w:rPr>
        <w:t>（文件详见链接https://zbb.njupt.edu.cn/xngzzd/index.chtml）。</w:t>
      </w:r>
    </w:p>
    <w:p w14:paraId="0C144291">
      <w:pPr>
        <w:pStyle w:val="5"/>
        <w:ind w:firstLine="480" w:firstLineChars="0"/>
        <w:rPr>
          <w:b/>
          <w:highlight w:val="none"/>
        </w:rPr>
      </w:pPr>
      <w:r>
        <w:rPr>
          <w:b/>
          <w:highlight w:val="none"/>
        </w:rPr>
        <w:t>2</w:t>
      </w:r>
      <w:r>
        <w:rPr>
          <w:rFonts w:hint="eastAsia"/>
          <w:b/>
          <w:highlight w:val="none"/>
        </w:rPr>
        <w:t>.</w:t>
      </w:r>
      <w:r>
        <w:rPr>
          <w:b/>
          <w:highlight w:val="none"/>
        </w:rPr>
        <w:t>定义</w:t>
      </w:r>
    </w:p>
    <w:p w14:paraId="004A690E">
      <w:pPr>
        <w:pStyle w:val="5"/>
        <w:numPr>
          <w:ilvl w:val="0"/>
          <w:numId w:val="8"/>
        </w:numPr>
        <w:ind w:firstLineChars="0"/>
        <w:rPr>
          <w:highlight w:val="none"/>
        </w:rPr>
      </w:pPr>
      <w:r>
        <w:rPr>
          <w:highlight w:val="none"/>
        </w:rPr>
        <w:t>“供应商”是指参加</w:t>
      </w:r>
      <w:r>
        <w:rPr>
          <w:rFonts w:hint="eastAsia"/>
          <w:highlight w:val="none"/>
        </w:rPr>
        <w:t>比选</w:t>
      </w:r>
      <w:r>
        <w:rPr>
          <w:highlight w:val="none"/>
        </w:rPr>
        <w:t>竞争，并符合</w:t>
      </w:r>
      <w:r>
        <w:rPr>
          <w:rFonts w:hint="eastAsia"/>
          <w:highlight w:val="none"/>
        </w:rPr>
        <w:t>比选</w:t>
      </w:r>
      <w:r>
        <w:rPr>
          <w:highlight w:val="none"/>
        </w:rPr>
        <w:t>文件规定资格条件的法人、其他组织或者自然人。</w:t>
      </w:r>
    </w:p>
    <w:p w14:paraId="41ACF04A">
      <w:pPr>
        <w:pStyle w:val="5"/>
        <w:numPr>
          <w:ilvl w:val="0"/>
          <w:numId w:val="8"/>
        </w:numPr>
        <w:ind w:firstLineChars="0"/>
        <w:rPr>
          <w:highlight w:val="none"/>
        </w:rPr>
      </w:pPr>
      <w:r>
        <w:rPr>
          <w:highlight w:val="none"/>
        </w:rPr>
        <w:t>“服务”是指本</w:t>
      </w:r>
      <w:r>
        <w:rPr>
          <w:rFonts w:hint="eastAsia"/>
          <w:highlight w:val="none"/>
        </w:rPr>
        <w:t>比选</w:t>
      </w:r>
      <w:r>
        <w:rPr>
          <w:highlight w:val="none"/>
        </w:rPr>
        <w:t>文件中所述相关服务。</w:t>
      </w:r>
    </w:p>
    <w:p w14:paraId="228B1530">
      <w:pPr>
        <w:pStyle w:val="5"/>
        <w:numPr>
          <w:ilvl w:val="0"/>
          <w:numId w:val="8"/>
        </w:numPr>
        <w:ind w:firstLineChars="0"/>
        <w:rPr>
          <w:highlight w:val="none"/>
        </w:rPr>
      </w:pPr>
      <w:r>
        <w:rPr>
          <w:highlight w:val="none"/>
        </w:rPr>
        <w:t>“用户或使用单位”是指接受服务的单位。</w:t>
      </w:r>
    </w:p>
    <w:p w14:paraId="4CB88D2E">
      <w:pPr>
        <w:pStyle w:val="5"/>
        <w:numPr>
          <w:ilvl w:val="0"/>
          <w:numId w:val="7"/>
        </w:numPr>
        <w:ind w:firstLineChars="0"/>
        <w:rPr>
          <w:b/>
          <w:highlight w:val="none"/>
        </w:rPr>
      </w:pPr>
      <w:r>
        <w:rPr>
          <w:rFonts w:hint="eastAsia"/>
          <w:b/>
          <w:highlight w:val="none"/>
        </w:rPr>
        <w:t>比选</w:t>
      </w:r>
      <w:r>
        <w:rPr>
          <w:b/>
          <w:highlight w:val="none"/>
        </w:rPr>
        <w:t>文件</w:t>
      </w:r>
    </w:p>
    <w:p w14:paraId="5F0D0722">
      <w:pPr>
        <w:pStyle w:val="5"/>
        <w:ind w:firstLine="482"/>
        <w:rPr>
          <w:b/>
          <w:highlight w:val="none"/>
        </w:rPr>
      </w:pPr>
      <w:r>
        <w:rPr>
          <w:b/>
          <w:highlight w:val="none"/>
        </w:rPr>
        <w:t>3</w:t>
      </w:r>
      <w:r>
        <w:rPr>
          <w:rFonts w:hint="eastAsia"/>
          <w:b/>
          <w:highlight w:val="none"/>
        </w:rPr>
        <w:t>.比选</w:t>
      </w:r>
      <w:r>
        <w:rPr>
          <w:b/>
          <w:highlight w:val="none"/>
        </w:rPr>
        <w:t>文件组成</w:t>
      </w:r>
    </w:p>
    <w:p w14:paraId="11D792FF">
      <w:pPr>
        <w:pStyle w:val="5"/>
        <w:numPr>
          <w:ilvl w:val="0"/>
          <w:numId w:val="9"/>
        </w:numPr>
        <w:ind w:firstLineChars="0"/>
        <w:rPr>
          <w:highlight w:val="none"/>
        </w:rPr>
      </w:pPr>
      <w:r>
        <w:rPr>
          <w:rFonts w:hint="eastAsia"/>
          <w:b/>
          <w:highlight w:val="none"/>
        </w:rPr>
        <w:t>比选</w:t>
      </w:r>
      <w:r>
        <w:rPr>
          <w:highlight w:val="none"/>
        </w:rPr>
        <w:t>文件组成：</w:t>
      </w:r>
      <w:r>
        <w:rPr>
          <w:rFonts w:hint="eastAsia"/>
          <w:highlight w:val="none"/>
        </w:rPr>
        <w:t>比选公告</w:t>
      </w:r>
      <w:r>
        <w:rPr>
          <w:highlight w:val="none"/>
        </w:rPr>
        <w:t>、</w:t>
      </w:r>
      <w:r>
        <w:rPr>
          <w:rFonts w:hint="eastAsia"/>
          <w:highlight w:val="none"/>
        </w:rPr>
        <w:t>供应商</w:t>
      </w:r>
      <w:r>
        <w:rPr>
          <w:highlight w:val="none"/>
        </w:rPr>
        <w:t>须知、评</w:t>
      </w:r>
      <w:r>
        <w:rPr>
          <w:rFonts w:hint="eastAsia"/>
          <w:highlight w:val="none"/>
        </w:rPr>
        <w:t>审</w:t>
      </w:r>
      <w:r>
        <w:rPr>
          <w:highlight w:val="none"/>
        </w:rPr>
        <w:t>标准、</w:t>
      </w:r>
      <w:r>
        <w:rPr>
          <w:rFonts w:hint="eastAsia"/>
          <w:highlight w:val="none"/>
        </w:rPr>
        <w:t>项目需求</w:t>
      </w:r>
      <w:r>
        <w:rPr>
          <w:highlight w:val="none"/>
        </w:rPr>
        <w:t>、合同主要条款及格式、响应文件格式及附件等。</w:t>
      </w:r>
    </w:p>
    <w:p w14:paraId="162F0CD7">
      <w:pPr>
        <w:pStyle w:val="5"/>
        <w:numPr>
          <w:ilvl w:val="0"/>
          <w:numId w:val="9"/>
        </w:numPr>
        <w:ind w:firstLineChars="0"/>
        <w:rPr>
          <w:highlight w:val="none"/>
        </w:rPr>
      </w:pPr>
      <w:r>
        <w:rPr>
          <w:rFonts w:hint="eastAsia"/>
          <w:b/>
          <w:highlight w:val="none"/>
        </w:rPr>
        <w:t>比选</w:t>
      </w:r>
      <w:r>
        <w:rPr>
          <w:highlight w:val="none"/>
        </w:rPr>
        <w:t>的最小单位是包。服务数量及技术要求中未分包的，供应商对要求提供的服务不得部分</w:t>
      </w:r>
      <w:r>
        <w:rPr>
          <w:rFonts w:hint="eastAsia"/>
          <w:highlight w:val="none"/>
        </w:rPr>
        <w:t>响应</w:t>
      </w:r>
      <w:r>
        <w:rPr>
          <w:highlight w:val="none"/>
        </w:rPr>
        <w:t>；服务数量及技术要求中已经分包的，应当以包为单位</w:t>
      </w:r>
      <w:r>
        <w:rPr>
          <w:rFonts w:hint="eastAsia"/>
          <w:highlight w:val="none"/>
        </w:rPr>
        <w:t>响应</w:t>
      </w:r>
      <w:r>
        <w:rPr>
          <w:highlight w:val="none"/>
        </w:rPr>
        <w:t>。</w:t>
      </w:r>
    </w:p>
    <w:p w14:paraId="260C6388">
      <w:pPr>
        <w:pStyle w:val="5"/>
        <w:widowControl/>
        <w:numPr>
          <w:ilvl w:val="0"/>
          <w:numId w:val="9"/>
        </w:numPr>
        <w:ind w:firstLineChars="0"/>
        <w:rPr>
          <w:highlight w:val="none"/>
        </w:rPr>
      </w:pPr>
      <w:r>
        <w:rPr>
          <w:rFonts w:hint="eastAsia"/>
          <w:b/>
          <w:highlight w:val="none"/>
        </w:rPr>
        <w:t>比选</w:t>
      </w:r>
      <w:r>
        <w:rPr>
          <w:highlight w:val="none"/>
        </w:rPr>
        <w:t>文件如果要求供应商提交备选方案的，供应商可以提交备选方案，否则，不接受备选方案。</w:t>
      </w:r>
    </w:p>
    <w:p w14:paraId="44532090">
      <w:pPr>
        <w:pStyle w:val="5"/>
        <w:ind w:firstLine="482"/>
        <w:rPr>
          <w:b/>
          <w:highlight w:val="none"/>
        </w:rPr>
      </w:pPr>
      <w:r>
        <w:rPr>
          <w:b/>
          <w:highlight w:val="none"/>
        </w:rPr>
        <w:t>4</w:t>
      </w:r>
      <w:r>
        <w:rPr>
          <w:rFonts w:hint="eastAsia"/>
          <w:b/>
          <w:highlight w:val="none"/>
        </w:rPr>
        <w:t>.比选</w:t>
      </w:r>
      <w:r>
        <w:rPr>
          <w:b/>
          <w:highlight w:val="none"/>
        </w:rPr>
        <w:t>文件的澄清修改</w:t>
      </w:r>
    </w:p>
    <w:p w14:paraId="44150B14">
      <w:pPr>
        <w:pStyle w:val="5"/>
        <w:numPr>
          <w:ilvl w:val="0"/>
          <w:numId w:val="10"/>
        </w:numPr>
        <w:ind w:firstLineChars="0"/>
        <w:rPr>
          <w:highlight w:val="none"/>
        </w:rPr>
      </w:pPr>
      <w:r>
        <w:rPr>
          <w:highlight w:val="none"/>
        </w:rPr>
        <w:t>提交响应文件截止之日前，代理机构可以对已发出的</w:t>
      </w:r>
      <w:r>
        <w:rPr>
          <w:rFonts w:hint="eastAsia"/>
          <w:b/>
          <w:highlight w:val="none"/>
        </w:rPr>
        <w:t>比选</w:t>
      </w:r>
      <w:r>
        <w:rPr>
          <w:highlight w:val="none"/>
        </w:rPr>
        <w:t>文件进行必要的澄清或者修改，澄清或者修改的内容作为</w:t>
      </w:r>
      <w:r>
        <w:rPr>
          <w:rFonts w:hint="eastAsia"/>
          <w:b/>
          <w:highlight w:val="none"/>
        </w:rPr>
        <w:t>比选</w:t>
      </w:r>
      <w:r>
        <w:rPr>
          <w:highlight w:val="none"/>
        </w:rPr>
        <w:t>文件的组成部分。澄清或者修改的内容可能影响响应文件编制的，代理机构应当在提交响应文件截止之日3个工作日前，以在</w:t>
      </w:r>
      <w:r>
        <w:rPr>
          <w:rFonts w:hint="eastAsia"/>
          <w:highlight w:val="none"/>
        </w:rPr>
        <w:t>“</w:t>
      </w:r>
      <w:r>
        <w:rPr>
          <w:highlight w:val="none"/>
        </w:rPr>
        <w:t>南京邮电大学</w:t>
      </w:r>
      <w:r>
        <w:rPr>
          <w:rFonts w:hint="eastAsia"/>
          <w:highlight w:val="none"/>
        </w:rPr>
        <w:t>采购招标管理办公室网站”</w:t>
      </w:r>
      <w:r>
        <w:rPr>
          <w:highlight w:val="none"/>
        </w:rPr>
        <w:t>发布更正公告的形式通知所有已获取</w:t>
      </w:r>
      <w:r>
        <w:rPr>
          <w:rFonts w:hint="eastAsia"/>
          <w:b/>
          <w:highlight w:val="none"/>
        </w:rPr>
        <w:t>比选</w:t>
      </w:r>
      <w:r>
        <w:rPr>
          <w:highlight w:val="none"/>
        </w:rPr>
        <w:t>文件的供应商，不足3个工作日的，应当顺延提交响应文件截止之日。</w:t>
      </w:r>
    </w:p>
    <w:p w14:paraId="7656E524">
      <w:pPr>
        <w:pStyle w:val="5"/>
        <w:numPr>
          <w:ilvl w:val="0"/>
          <w:numId w:val="10"/>
        </w:numPr>
        <w:ind w:firstLineChars="0"/>
        <w:rPr>
          <w:highlight w:val="none"/>
        </w:rPr>
      </w:pPr>
      <w:r>
        <w:rPr>
          <w:highlight w:val="none"/>
        </w:rPr>
        <w:t>代理机构在</w:t>
      </w:r>
      <w:r>
        <w:rPr>
          <w:rFonts w:hint="eastAsia"/>
          <w:b/>
          <w:highlight w:val="none"/>
        </w:rPr>
        <w:t>比选</w:t>
      </w:r>
      <w:r>
        <w:rPr>
          <w:highlight w:val="none"/>
        </w:rPr>
        <w:t>文件要求提交响应文件截止时间前，有权决定延长提交响应文件截止时间和响应文件</w:t>
      </w:r>
      <w:r>
        <w:rPr>
          <w:rFonts w:hint="eastAsia"/>
          <w:highlight w:val="none"/>
        </w:rPr>
        <w:t>开启</w:t>
      </w:r>
      <w:r>
        <w:rPr>
          <w:highlight w:val="none"/>
        </w:rPr>
        <w:t>时间，并在原</w:t>
      </w:r>
      <w:r>
        <w:rPr>
          <w:rFonts w:hint="eastAsia"/>
          <w:highlight w:val="none"/>
        </w:rPr>
        <w:t>比选</w:t>
      </w:r>
      <w:r>
        <w:rPr>
          <w:highlight w:val="none"/>
        </w:rPr>
        <w:t>信息发布媒体上发布更正公告。</w:t>
      </w:r>
    </w:p>
    <w:p w14:paraId="7EA17EF9">
      <w:pPr>
        <w:pStyle w:val="5"/>
        <w:numPr>
          <w:ilvl w:val="0"/>
          <w:numId w:val="10"/>
        </w:numPr>
        <w:ind w:firstLineChars="0"/>
        <w:rPr>
          <w:highlight w:val="none"/>
        </w:rPr>
      </w:pPr>
      <w:r>
        <w:rPr>
          <w:highlight w:val="none"/>
        </w:rPr>
        <w:t>供应商应在提交响应文件截止时间前关注</w:t>
      </w:r>
      <w:r>
        <w:rPr>
          <w:rFonts w:hint="eastAsia"/>
          <w:highlight w:val="none"/>
        </w:rPr>
        <w:t>“</w:t>
      </w:r>
      <w:r>
        <w:rPr>
          <w:highlight w:val="none"/>
        </w:rPr>
        <w:t>南京邮电大学</w:t>
      </w:r>
      <w:r>
        <w:rPr>
          <w:rFonts w:hint="eastAsia"/>
          <w:highlight w:val="none"/>
        </w:rPr>
        <w:t>采购招标管理办公室网站”</w:t>
      </w:r>
      <w:r>
        <w:rPr>
          <w:highlight w:val="none"/>
        </w:rPr>
        <w:t>上有关本</w:t>
      </w:r>
      <w:r>
        <w:rPr>
          <w:rFonts w:hint="eastAsia"/>
          <w:highlight w:val="none"/>
        </w:rPr>
        <w:t>比选</w:t>
      </w:r>
      <w:r>
        <w:rPr>
          <w:highlight w:val="none"/>
        </w:rPr>
        <w:t>项目有无更正公告。</w:t>
      </w:r>
    </w:p>
    <w:p w14:paraId="1491220D">
      <w:pPr>
        <w:pStyle w:val="5"/>
        <w:numPr>
          <w:ilvl w:val="0"/>
          <w:numId w:val="7"/>
        </w:numPr>
        <w:ind w:firstLineChars="0"/>
        <w:rPr>
          <w:b/>
          <w:highlight w:val="none"/>
        </w:rPr>
      </w:pPr>
      <w:r>
        <w:rPr>
          <w:rFonts w:hint="eastAsia"/>
          <w:b/>
          <w:highlight w:val="none"/>
        </w:rPr>
        <w:t>响应</w:t>
      </w:r>
    </w:p>
    <w:p w14:paraId="1ED40F7C">
      <w:pPr>
        <w:pStyle w:val="5"/>
        <w:numPr>
          <w:ilvl w:val="0"/>
          <w:numId w:val="11"/>
        </w:numPr>
        <w:ind w:firstLineChars="0"/>
        <w:rPr>
          <w:b/>
          <w:highlight w:val="none"/>
        </w:rPr>
      </w:pPr>
      <w:r>
        <w:rPr>
          <w:b/>
          <w:highlight w:val="none"/>
        </w:rPr>
        <w:t>响应文件的语言、计量单位、货币、技术标准和编制</w:t>
      </w:r>
    </w:p>
    <w:p w14:paraId="4862DBD1">
      <w:pPr>
        <w:pStyle w:val="5"/>
        <w:numPr>
          <w:ilvl w:val="0"/>
          <w:numId w:val="12"/>
        </w:numPr>
        <w:ind w:firstLineChars="0"/>
        <w:rPr>
          <w:highlight w:val="none"/>
        </w:rPr>
      </w:pPr>
      <w:r>
        <w:rPr>
          <w:highlight w:val="none"/>
        </w:rPr>
        <w:t>供应商提交的响应文件、技术文件和资料，包括图纸中的说明，以及供应商与代理机构就有关</w:t>
      </w:r>
      <w:r>
        <w:rPr>
          <w:rFonts w:hint="eastAsia"/>
          <w:b/>
          <w:highlight w:val="none"/>
        </w:rPr>
        <w:t>比选</w:t>
      </w:r>
      <w:r>
        <w:rPr>
          <w:highlight w:val="none"/>
        </w:rPr>
        <w:t>的所有来往函电均应使用中文。响应文件中若有英文或其他语言文字的资料，应提供相应的中文翻译资料。对不同文本响应文件的解释发生异议的，以中文文本为准。</w:t>
      </w:r>
    </w:p>
    <w:p w14:paraId="1397BD9D">
      <w:pPr>
        <w:pStyle w:val="5"/>
        <w:numPr>
          <w:ilvl w:val="0"/>
          <w:numId w:val="12"/>
        </w:numPr>
        <w:ind w:firstLineChars="0"/>
        <w:rPr>
          <w:highlight w:val="none"/>
        </w:rPr>
      </w:pPr>
      <w:r>
        <w:rPr>
          <w:highlight w:val="none"/>
        </w:rPr>
        <w:t>供应商所使用的计量单位应为国家法定计量单位。</w:t>
      </w:r>
    </w:p>
    <w:p w14:paraId="3F51FDF6">
      <w:pPr>
        <w:pStyle w:val="5"/>
        <w:numPr>
          <w:ilvl w:val="0"/>
          <w:numId w:val="12"/>
        </w:numPr>
        <w:ind w:firstLineChars="0"/>
        <w:rPr>
          <w:highlight w:val="none"/>
        </w:rPr>
      </w:pPr>
      <w:r>
        <w:rPr>
          <w:highlight w:val="none"/>
        </w:rPr>
        <w:t>供应商应用人民币报价。</w:t>
      </w:r>
    </w:p>
    <w:p w14:paraId="47889C9C">
      <w:pPr>
        <w:pStyle w:val="5"/>
        <w:numPr>
          <w:ilvl w:val="0"/>
          <w:numId w:val="12"/>
        </w:numPr>
        <w:ind w:firstLineChars="0"/>
        <w:rPr>
          <w:highlight w:val="none"/>
        </w:rPr>
      </w:pPr>
      <w:r>
        <w:rPr>
          <w:highlight w:val="none"/>
        </w:rPr>
        <w:t>响应文件应字迹清楚、内容齐全、不得涂改。如有修改，修改处须有响应文件签署人签字或加盖公章。</w:t>
      </w:r>
    </w:p>
    <w:p w14:paraId="5EECE922">
      <w:pPr>
        <w:pStyle w:val="5"/>
        <w:numPr>
          <w:ilvl w:val="0"/>
          <w:numId w:val="12"/>
        </w:numPr>
        <w:ind w:firstLineChars="0"/>
        <w:rPr>
          <w:highlight w:val="none"/>
        </w:rPr>
      </w:pPr>
      <w:r>
        <w:rPr>
          <w:highlight w:val="none"/>
        </w:rPr>
        <w:t>供应商所使用的技术标准应遵循国家最新标准及规范。</w:t>
      </w:r>
    </w:p>
    <w:p w14:paraId="41B89CBC">
      <w:pPr>
        <w:pStyle w:val="5"/>
        <w:numPr>
          <w:ilvl w:val="0"/>
          <w:numId w:val="11"/>
        </w:numPr>
        <w:ind w:firstLineChars="0"/>
        <w:rPr>
          <w:b/>
          <w:highlight w:val="none"/>
        </w:rPr>
      </w:pPr>
      <w:r>
        <w:rPr>
          <w:b/>
          <w:highlight w:val="none"/>
        </w:rPr>
        <w:t>联合体及分包：本项目不接受联合体</w:t>
      </w:r>
      <w:r>
        <w:rPr>
          <w:rFonts w:hint="eastAsia"/>
          <w:b/>
          <w:highlight w:val="none"/>
        </w:rPr>
        <w:t>响应</w:t>
      </w:r>
      <w:r>
        <w:rPr>
          <w:b/>
          <w:highlight w:val="none"/>
        </w:rPr>
        <w:t>，不接受分包、转包。</w:t>
      </w:r>
    </w:p>
    <w:p w14:paraId="6261BAE7">
      <w:pPr>
        <w:pStyle w:val="5"/>
        <w:numPr>
          <w:ilvl w:val="0"/>
          <w:numId w:val="13"/>
        </w:numPr>
        <w:ind w:firstLineChars="0"/>
        <w:rPr>
          <w:highlight w:val="none"/>
        </w:rPr>
      </w:pPr>
      <w:r>
        <w:rPr>
          <w:rFonts w:hint="eastAsia"/>
          <w:b/>
          <w:highlight w:val="none"/>
        </w:rPr>
        <w:t>比选</w:t>
      </w:r>
      <w:r>
        <w:rPr>
          <w:highlight w:val="none"/>
        </w:rPr>
        <w:t>项目如接受联合体</w:t>
      </w:r>
      <w:r>
        <w:rPr>
          <w:rFonts w:hint="eastAsia"/>
          <w:highlight w:val="none"/>
        </w:rPr>
        <w:t>响应</w:t>
      </w:r>
      <w:r>
        <w:rPr>
          <w:highlight w:val="none"/>
        </w:rPr>
        <w:t>的，两个以上的自然人、法人或者其他组织可以组成一个联合体，以一个供应商的身份共同参加</w:t>
      </w:r>
      <w:r>
        <w:rPr>
          <w:rFonts w:hint="eastAsia"/>
          <w:highlight w:val="none"/>
        </w:rPr>
        <w:t>响应</w:t>
      </w:r>
      <w:r>
        <w:rPr>
          <w:highlight w:val="none"/>
        </w:rPr>
        <w:t>。</w:t>
      </w:r>
    </w:p>
    <w:p w14:paraId="5A4C0B41">
      <w:pPr>
        <w:pStyle w:val="5"/>
        <w:numPr>
          <w:ilvl w:val="0"/>
          <w:numId w:val="13"/>
        </w:numPr>
        <w:ind w:firstLineChars="0"/>
        <w:rPr>
          <w:highlight w:val="none"/>
        </w:rPr>
      </w:pPr>
      <w:r>
        <w:rPr>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highlight w:val="none"/>
        </w:rPr>
        <w:t>响应</w:t>
      </w:r>
      <w:r>
        <w:rPr>
          <w:highlight w:val="none"/>
        </w:rPr>
        <w:t>，也不得组成新的联合体参加同一项目</w:t>
      </w:r>
      <w:r>
        <w:rPr>
          <w:rFonts w:hint="eastAsia"/>
          <w:highlight w:val="none"/>
        </w:rPr>
        <w:t>响应</w:t>
      </w:r>
      <w:r>
        <w:rPr>
          <w:highlight w:val="none"/>
        </w:rPr>
        <w:t>。</w:t>
      </w:r>
    </w:p>
    <w:p w14:paraId="3258A690">
      <w:pPr>
        <w:pStyle w:val="5"/>
        <w:numPr>
          <w:ilvl w:val="0"/>
          <w:numId w:val="13"/>
        </w:numPr>
        <w:ind w:firstLineChars="0"/>
        <w:rPr>
          <w:highlight w:val="none"/>
        </w:rPr>
      </w:pPr>
      <w:r>
        <w:rPr>
          <w:highlight w:val="none"/>
        </w:rPr>
        <w:t>合同分包履行的，</w:t>
      </w:r>
      <w:r>
        <w:rPr>
          <w:rFonts w:hint="eastAsia"/>
          <w:highlight w:val="none"/>
        </w:rPr>
        <w:t>成交</w:t>
      </w:r>
      <w:r>
        <w:rPr>
          <w:highlight w:val="none"/>
        </w:rPr>
        <w:t>供应商就</w:t>
      </w:r>
      <w:r>
        <w:rPr>
          <w:rFonts w:hint="eastAsia"/>
          <w:b/>
          <w:highlight w:val="none"/>
        </w:rPr>
        <w:t>比选</w:t>
      </w:r>
      <w:r>
        <w:rPr>
          <w:highlight w:val="none"/>
        </w:rPr>
        <w:t>项目和分包项目向</w:t>
      </w:r>
      <w:r>
        <w:rPr>
          <w:rFonts w:hint="eastAsia"/>
          <w:highlight w:val="none"/>
        </w:rPr>
        <w:t>比选人</w:t>
      </w:r>
      <w:r>
        <w:rPr>
          <w:highlight w:val="none"/>
        </w:rPr>
        <w:t>负责，分包项目供应商就分包项目承担责任，</w:t>
      </w:r>
      <w:r>
        <w:rPr>
          <w:rFonts w:hint="eastAsia"/>
          <w:highlight w:val="none"/>
        </w:rPr>
        <w:t>成交</w:t>
      </w:r>
      <w:r>
        <w:rPr>
          <w:highlight w:val="none"/>
        </w:rPr>
        <w:t>供应商与分包人之间应该签订分包意向协议。</w:t>
      </w:r>
    </w:p>
    <w:p w14:paraId="0DFAB603">
      <w:pPr>
        <w:pStyle w:val="5"/>
        <w:numPr>
          <w:ilvl w:val="0"/>
          <w:numId w:val="11"/>
        </w:numPr>
        <w:ind w:firstLineChars="0"/>
        <w:rPr>
          <w:b/>
          <w:highlight w:val="none"/>
        </w:rPr>
      </w:pPr>
      <w:r>
        <w:rPr>
          <w:rFonts w:hint="eastAsia"/>
          <w:b/>
          <w:highlight w:val="none"/>
        </w:rPr>
        <w:t>响应</w:t>
      </w:r>
      <w:r>
        <w:rPr>
          <w:b/>
          <w:highlight w:val="none"/>
        </w:rPr>
        <w:t>费用</w:t>
      </w:r>
    </w:p>
    <w:p w14:paraId="66254071">
      <w:pPr>
        <w:pStyle w:val="5"/>
        <w:numPr>
          <w:ilvl w:val="0"/>
          <w:numId w:val="14"/>
        </w:numPr>
        <w:ind w:firstLineChars="0"/>
        <w:rPr>
          <w:highlight w:val="none"/>
        </w:rPr>
      </w:pPr>
      <w:r>
        <w:rPr>
          <w:highlight w:val="none"/>
        </w:rPr>
        <w:t>供应商应承担所有与准备和参加</w:t>
      </w:r>
      <w:r>
        <w:rPr>
          <w:rFonts w:hint="eastAsia"/>
          <w:highlight w:val="none"/>
        </w:rPr>
        <w:t>响应</w:t>
      </w:r>
      <w:r>
        <w:rPr>
          <w:highlight w:val="none"/>
        </w:rPr>
        <w:t>有关的费用，无论</w:t>
      </w:r>
      <w:r>
        <w:rPr>
          <w:rFonts w:hint="eastAsia"/>
          <w:b/>
          <w:highlight w:val="none"/>
        </w:rPr>
        <w:t>比选</w:t>
      </w:r>
      <w:r>
        <w:rPr>
          <w:highlight w:val="none"/>
        </w:rPr>
        <w:t>结果如何，代理机构和</w:t>
      </w:r>
      <w:r>
        <w:rPr>
          <w:rFonts w:hint="eastAsia"/>
          <w:highlight w:val="none"/>
        </w:rPr>
        <w:t>比选人</w:t>
      </w:r>
      <w:r>
        <w:rPr>
          <w:highlight w:val="none"/>
        </w:rPr>
        <w:t>在任何情况下均无义务和责任承担这些费用。</w:t>
      </w:r>
    </w:p>
    <w:p w14:paraId="3E262776">
      <w:pPr>
        <w:pStyle w:val="5"/>
        <w:numPr>
          <w:ilvl w:val="0"/>
          <w:numId w:val="14"/>
        </w:numPr>
        <w:ind w:firstLineChars="0"/>
        <w:rPr>
          <w:highlight w:val="none"/>
        </w:rPr>
      </w:pPr>
      <w:r>
        <w:rPr>
          <w:rFonts w:hint="eastAsia"/>
          <w:highlight w:val="none"/>
        </w:rPr>
        <w:t>比选</w:t>
      </w:r>
      <w:r>
        <w:rPr>
          <w:highlight w:val="none"/>
        </w:rPr>
        <w:t>代理服务费按照国家发展和改革委员会下发的《关于降低部分建设项目收费标准规范收费行为等有关问题的通知》（发改价格[2011]534 号）所列</w:t>
      </w:r>
      <w:r>
        <w:rPr>
          <w:rFonts w:hint="eastAsia"/>
          <w:highlight w:val="none"/>
        </w:rPr>
        <w:t>比选代理服务费</w:t>
      </w:r>
      <w:r>
        <w:rPr>
          <w:highlight w:val="none"/>
        </w:rPr>
        <w:t xml:space="preserve">收费标准下浮 </w:t>
      </w:r>
      <w:r>
        <w:rPr>
          <w:rFonts w:hint="eastAsia"/>
          <w:highlight w:val="none"/>
        </w:rPr>
        <w:t>52</w:t>
      </w:r>
      <w:r>
        <w:rPr>
          <w:highlight w:val="none"/>
        </w:rPr>
        <w:t xml:space="preserve"> %（优惠率）收取。代理服务费包括所供服务相关的所有费用，工程类</w:t>
      </w:r>
      <w:r>
        <w:rPr>
          <w:rFonts w:hint="eastAsia"/>
          <w:highlight w:val="none"/>
        </w:rPr>
        <w:t>比选</w:t>
      </w:r>
      <w:r>
        <w:rPr>
          <w:highlight w:val="none"/>
        </w:rPr>
        <w:t>代理项目报价包含编制工程量清单等所有费用。</w:t>
      </w:r>
    </w:p>
    <w:p w14:paraId="58C4AFBC">
      <w:pPr>
        <w:pStyle w:val="5"/>
        <w:numPr>
          <w:ilvl w:val="0"/>
          <w:numId w:val="14"/>
        </w:numPr>
        <w:ind w:firstLineChars="0"/>
        <w:rPr>
          <w:highlight w:val="none"/>
        </w:rPr>
      </w:pPr>
      <w:r>
        <w:rPr>
          <w:highlight w:val="none"/>
        </w:rPr>
        <w:t>保底代理费：</w:t>
      </w:r>
      <w:r>
        <w:rPr>
          <w:rFonts w:hint="eastAsia"/>
          <w:highlight w:val="none"/>
        </w:rPr>
        <w:t>比选代理机构</w:t>
      </w:r>
      <w:r>
        <w:rPr>
          <w:highlight w:val="none"/>
        </w:rPr>
        <w:t>完成单个委托</w:t>
      </w:r>
      <w:r>
        <w:rPr>
          <w:rFonts w:hint="eastAsia"/>
          <w:highlight w:val="none"/>
        </w:rPr>
        <w:t>标段</w:t>
      </w:r>
      <w:r>
        <w:rPr>
          <w:highlight w:val="none"/>
        </w:rPr>
        <w:t>最低的收费。货物类、服务类项目保底代理费为 4000 元</w:t>
      </w:r>
      <w:r>
        <w:rPr>
          <w:rFonts w:hint="eastAsia"/>
          <w:highlight w:val="none"/>
        </w:rPr>
        <w:t>/标段</w:t>
      </w:r>
      <w:r>
        <w:rPr>
          <w:highlight w:val="none"/>
        </w:rPr>
        <w:t>。</w:t>
      </w:r>
    </w:p>
    <w:p w14:paraId="0C969F49">
      <w:pPr>
        <w:pStyle w:val="5"/>
        <w:numPr>
          <w:ilvl w:val="0"/>
          <w:numId w:val="14"/>
        </w:numPr>
        <w:ind w:firstLineChars="0"/>
        <w:rPr>
          <w:highlight w:val="none"/>
        </w:rPr>
      </w:pPr>
      <w:r>
        <w:rPr>
          <w:rFonts w:hint="eastAsia"/>
          <w:highlight w:val="none"/>
        </w:rPr>
        <w:t>比选代理服务费</w:t>
      </w:r>
      <w:r>
        <w:rPr>
          <w:highlight w:val="none"/>
        </w:rPr>
        <w:t>按项目结算，由代理服务商向具体项目的成交单位收取。</w:t>
      </w:r>
      <w:r>
        <w:rPr>
          <w:rFonts w:hint="eastAsia"/>
          <w:highlight w:val="none"/>
        </w:rPr>
        <w:t>成交供应商须在领取成交通知书前，向比选代理机构一次性缴清比选代理服务费。</w:t>
      </w:r>
    </w:p>
    <w:p w14:paraId="09695AC9">
      <w:pPr>
        <w:pStyle w:val="5"/>
        <w:numPr>
          <w:ilvl w:val="0"/>
          <w:numId w:val="11"/>
        </w:numPr>
        <w:ind w:firstLineChars="0"/>
        <w:rPr>
          <w:b/>
          <w:highlight w:val="none"/>
        </w:rPr>
      </w:pPr>
      <w:r>
        <w:rPr>
          <w:b/>
          <w:highlight w:val="none"/>
        </w:rPr>
        <w:t>响应文件组成</w:t>
      </w:r>
    </w:p>
    <w:p w14:paraId="29CC8B64">
      <w:pPr>
        <w:pStyle w:val="5"/>
        <w:numPr>
          <w:ilvl w:val="0"/>
          <w:numId w:val="15"/>
        </w:numPr>
        <w:ind w:firstLineChars="0"/>
        <w:rPr>
          <w:highlight w:val="none"/>
        </w:rPr>
      </w:pPr>
      <w:r>
        <w:rPr>
          <w:highlight w:val="none"/>
        </w:rPr>
        <w:t>供应商应当根据</w:t>
      </w:r>
      <w:r>
        <w:rPr>
          <w:rFonts w:hint="eastAsia"/>
          <w:b/>
          <w:highlight w:val="none"/>
        </w:rPr>
        <w:t>比选</w:t>
      </w:r>
      <w:r>
        <w:rPr>
          <w:highlight w:val="none"/>
        </w:rPr>
        <w:t>文件要求编制响应文件，响应文件应对</w:t>
      </w:r>
      <w:r>
        <w:rPr>
          <w:rFonts w:hint="eastAsia"/>
          <w:b/>
          <w:highlight w:val="none"/>
        </w:rPr>
        <w:t>比选</w:t>
      </w:r>
      <w:r>
        <w:rPr>
          <w:highlight w:val="none"/>
        </w:rPr>
        <w:t>文件提出的要求和条件作出实质性响应，并在《商务条款偏离表》和《技术条款偏离表》《资格性和符合性检查响应对照表》等处逐条标明满足与否。</w:t>
      </w:r>
    </w:p>
    <w:p w14:paraId="270C41EA">
      <w:pPr>
        <w:pStyle w:val="5"/>
        <w:numPr>
          <w:ilvl w:val="0"/>
          <w:numId w:val="15"/>
        </w:numPr>
        <w:ind w:firstLineChars="0"/>
        <w:rPr>
          <w:highlight w:val="none"/>
        </w:rPr>
      </w:pPr>
      <w:r>
        <w:rPr>
          <w:highlight w:val="none"/>
        </w:rPr>
        <w:t>响应文件由商务部分、技术部分、价格部分，以及其他部分组成。</w:t>
      </w:r>
    </w:p>
    <w:p w14:paraId="1C496588">
      <w:pPr>
        <w:pStyle w:val="5"/>
        <w:numPr>
          <w:ilvl w:val="0"/>
          <w:numId w:val="11"/>
        </w:numPr>
        <w:ind w:firstLineChars="0"/>
        <w:rPr>
          <w:b/>
          <w:highlight w:val="none"/>
        </w:rPr>
      </w:pPr>
      <w:r>
        <w:rPr>
          <w:b/>
          <w:highlight w:val="none"/>
        </w:rPr>
        <w:t>响应文件的商务部分</w:t>
      </w:r>
    </w:p>
    <w:p w14:paraId="46C8DCBC">
      <w:pPr>
        <w:pStyle w:val="5"/>
        <w:ind w:firstLine="480"/>
        <w:rPr>
          <w:highlight w:val="none"/>
        </w:rPr>
      </w:pPr>
      <w:r>
        <w:rPr>
          <w:highlight w:val="none"/>
        </w:rPr>
        <w:t>9.1 商务部分是证明供应商有资格参加</w:t>
      </w:r>
      <w:r>
        <w:rPr>
          <w:rFonts w:hint="eastAsia"/>
          <w:b/>
          <w:highlight w:val="none"/>
        </w:rPr>
        <w:t>比选</w:t>
      </w:r>
      <w:r>
        <w:rPr>
          <w:highlight w:val="none"/>
        </w:rPr>
        <w:t>和成交后有能力履行合同的文件，这些文件应能满足</w:t>
      </w:r>
      <w:r>
        <w:rPr>
          <w:rFonts w:hint="eastAsia"/>
          <w:highlight w:val="none"/>
        </w:rPr>
        <w:t>比选</w:t>
      </w:r>
      <w:r>
        <w:rPr>
          <w:highlight w:val="none"/>
        </w:rPr>
        <w:t>的要求，包括但不限于下列文件，其中加</w:t>
      </w:r>
      <w:r>
        <w:rPr>
          <w:rFonts w:hint="eastAsia"/>
          <w:highlight w:val="none"/>
        </w:rPr>
        <w:t>“</w:t>
      </w:r>
      <w:r>
        <w:rPr>
          <w:highlight w:val="none"/>
        </w:rPr>
        <w:t>★</w:t>
      </w:r>
      <w:r>
        <w:rPr>
          <w:rFonts w:hint="eastAsia"/>
          <w:highlight w:val="none"/>
        </w:rPr>
        <w:t>”</w:t>
      </w:r>
      <w:r>
        <w:rPr>
          <w:highlight w:val="none"/>
        </w:rPr>
        <w:t>项目不得有缺失或无效：</w:t>
      </w:r>
    </w:p>
    <w:p w14:paraId="22C8F955">
      <w:pPr>
        <w:pStyle w:val="5"/>
        <w:widowControl/>
        <w:numPr>
          <w:ilvl w:val="0"/>
          <w:numId w:val="16"/>
        </w:numPr>
        <w:ind w:firstLineChars="0"/>
        <w:rPr>
          <w:highlight w:val="none"/>
        </w:rPr>
      </w:pPr>
      <w:r>
        <w:rPr>
          <w:highlight w:val="none"/>
        </w:rPr>
        <w:t>★</w:t>
      </w:r>
      <w:r>
        <w:rPr>
          <w:rFonts w:hint="eastAsia"/>
          <w:highlight w:val="none"/>
        </w:rPr>
        <w:t>响应</w:t>
      </w:r>
      <w:r>
        <w:rPr>
          <w:highlight w:val="none"/>
        </w:rPr>
        <w:t>函（</w:t>
      </w:r>
      <w:r>
        <w:rPr>
          <w:rFonts w:hint="eastAsia"/>
          <w:highlight w:val="none"/>
        </w:rPr>
        <w:t>响应</w:t>
      </w:r>
      <w:r>
        <w:rPr>
          <w:highlight w:val="none"/>
        </w:rPr>
        <w:t>申请及声明）；</w:t>
      </w:r>
    </w:p>
    <w:p w14:paraId="1311EDF9">
      <w:pPr>
        <w:pStyle w:val="5"/>
        <w:widowControl/>
        <w:numPr>
          <w:ilvl w:val="0"/>
          <w:numId w:val="16"/>
        </w:numPr>
        <w:ind w:firstLineChars="0"/>
        <w:rPr>
          <w:highlight w:val="none"/>
        </w:rPr>
      </w:pPr>
      <w:r>
        <w:rPr>
          <w:highlight w:val="none"/>
        </w:rPr>
        <w:t>★法定代表人授权委托书及授权委托人的身份证复印件（有授权委托的），或法定代表人身份证复印件（无授权委托的）；</w:t>
      </w:r>
    </w:p>
    <w:p w14:paraId="31E336DC">
      <w:pPr>
        <w:pStyle w:val="5"/>
        <w:widowControl/>
        <w:numPr>
          <w:ilvl w:val="0"/>
          <w:numId w:val="16"/>
        </w:numPr>
        <w:ind w:firstLineChars="0"/>
        <w:rPr>
          <w:highlight w:val="none"/>
        </w:rPr>
      </w:pPr>
      <w:r>
        <w:rPr>
          <w:highlight w:val="none"/>
        </w:rPr>
        <w:t>★第一章</w:t>
      </w:r>
      <w:r>
        <w:rPr>
          <w:rFonts w:hint="eastAsia"/>
          <w:highlight w:val="none"/>
        </w:rPr>
        <w:t>比选公告</w:t>
      </w:r>
      <w:r>
        <w:rPr>
          <w:highlight w:val="none"/>
        </w:rPr>
        <w:t>中</w:t>
      </w:r>
      <w:r>
        <w:rPr>
          <w:rFonts w:hint="eastAsia"/>
          <w:highlight w:val="none"/>
        </w:rPr>
        <w:t>“</w:t>
      </w:r>
      <w:r>
        <w:rPr>
          <w:highlight w:val="none"/>
        </w:rPr>
        <w:t>二、申请人的资格要求规定的资格条件证明文件</w:t>
      </w:r>
      <w:r>
        <w:rPr>
          <w:rFonts w:hint="eastAsia"/>
          <w:highlight w:val="none"/>
        </w:rPr>
        <w:t>”</w:t>
      </w:r>
      <w:r>
        <w:rPr>
          <w:highlight w:val="none"/>
        </w:rPr>
        <w:t>；</w:t>
      </w:r>
    </w:p>
    <w:p w14:paraId="74BC61BF">
      <w:pPr>
        <w:pStyle w:val="5"/>
        <w:widowControl/>
        <w:numPr>
          <w:ilvl w:val="0"/>
          <w:numId w:val="16"/>
        </w:numPr>
        <w:ind w:firstLineChars="0"/>
        <w:rPr>
          <w:highlight w:val="none"/>
        </w:rPr>
      </w:pPr>
      <w:r>
        <w:rPr>
          <w:highlight w:val="none"/>
        </w:rPr>
        <w:t>《商务条款偏离表》；</w:t>
      </w:r>
    </w:p>
    <w:p w14:paraId="79FED5B1">
      <w:pPr>
        <w:pStyle w:val="5"/>
        <w:numPr>
          <w:ilvl w:val="0"/>
          <w:numId w:val="16"/>
        </w:numPr>
        <w:ind w:firstLineChars="0"/>
        <w:rPr>
          <w:highlight w:val="none"/>
        </w:rPr>
      </w:pPr>
      <w:r>
        <w:rPr>
          <w:highlight w:val="none"/>
        </w:rPr>
        <w:t>合同条款；</w:t>
      </w:r>
    </w:p>
    <w:p w14:paraId="4058EA80">
      <w:pPr>
        <w:pStyle w:val="5"/>
        <w:numPr>
          <w:ilvl w:val="0"/>
          <w:numId w:val="16"/>
        </w:numPr>
        <w:ind w:firstLineChars="0"/>
        <w:rPr>
          <w:highlight w:val="none"/>
        </w:rPr>
      </w:pPr>
      <w:r>
        <w:rPr>
          <w:highlight w:val="none"/>
        </w:rPr>
        <w:t>供应商认为需要提供的其他资格证明文件和商务资料。</w:t>
      </w:r>
    </w:p>
    <w:p w14:paraId="2E290C70">
      <w:pPr>
        <w:pStyle w:val="5"/>
        <w:numPr>
          <w:ilvl w:val="0"/>
          <w:numId w:val="11"/>
        </w:numPr>
        <w:ind w:firstLineChars="0"/>
        <w:rPr>
          <w:b/>
          <w:highlight w:val="none"/>
        </w:rPr>
      </w:pPr>
      <w:r>
        <w:rPr>
          <w:b/>
          <w:highlight w:val="none"/>
        </w:rPr>
        <w:t>响应文件的技术部分</w:t>
      </w:r>
    </w:p>
    <w:p w14:paraId="77CEF9A7">
      <w:pPr>
        <w:pStyle w:val="5"/>
        <w:numPr>
          <w:ilvl w:val="0"/>
          <w:numId w:val="17"/>
        </w:numPr>
        <w:ind w:firstLineChars="0"/>
        <w:rPr>
          <w:highlight w:val="none"/>
        </w:rPr>
      </w:pPr>
      <w:r>
        <w:rPr>
          <w:highlight w:val="none"/>
        </w:rPr>
        <w:t>技术部分是证明供应商提供的服务是合格的、并符合</w:t>
      </w:r>
      <w:r>
        <w:rPr>
          <w:rFonts w:hint="eastAsia"/>
          <w:highlight w:val="none"/>
        </w:rPr>
        <w:t>比选文件</w:t>
      </w:r>
      <w:r>
        <w:rPr>
          <w:highlight w:val="none"/>
        </w:rPr>
        <w:t>要求的证明文件，以及对</w:t>
      </w:r>
      <w:r>
        <w:rPr>
          <w:rFonts w:hint="eastAsia"/>
          <w:highlight w:val="none"/>
        </w:rPr>
        <w:t>响应</w:t>
      </w:r>
      <w:r>
        <w:rPr>
          <w:highlight w:val="none"/>
        </w:rPr>
        <w:t>报价表中的服务的详细说明，这些文件可以是文字资料、图纸和数据等。</w:t>
      </w:r>
    </w:p>
    <w:p w14:paraId="5A4C7B1F">
      <w:pPr>
        <w:pStyle w:val="5"/>
        <w:numPr>
          <w:ilvl w:val="0"/>
          <w:numId w:val="17"/>
        </w:numPr>
        <w:ind w:firstLineChars="0"/>
        <w:rPr>
          <w:highlight w:val="none"/>
        </w:rPr>
      </w:pPr>
      <w:r>
        <w:rPr>
          <w:highlight w:val="none"/>
        </w:rPr>
        <w:t>若提供的服务与</w:t>
      </w:r>
      <w:r>
        <w:rPr>
          <w:rFonts w:hint="eastAsia"/>
          <w:highlight w:val="none"/>
        </w:rPr>
        <w:t>比选文件</w:t>
      </w:r>
      <w:r>
        <w:rPr>
          <w:highlight w:val="none"/>
        </w:rPr>
        <w:t>要求有不符之处，应说明其差别之所在。</w:t>
      </w:r>
    </w:p>
    <w:p w14:paraId="431C2D0D">
      <w:pPr>
        <w:pStyle w:val="5"/>
        <w:numPr>
          <w:ilvl w:val="0"/>
          <w:numId w:val="17"/>
        </w:numPr>
        <w:ind w:firstLineChars="0"/>
        <w:rPr>
          <w:highlight w:val="none"/>
        </w:rPr>
      </w:pPr>
      <w:r>
        <w:rPr>
          <w:highlight w:val="none"/>
        </w:rPr>
        <w:t>响应文件应按照</w:t>
      </w:r>
      <w:r>
        <w:rPr>
          <w:rFonts w:hint="eastAsia"/>
          <w:b/>
          <w:highlight w:val="none"/>
        </w:rPr>
        <w:t>比选</w:t>
      </w:r>
      <w:r>
        <w:rPr>
          <w:highlight w:val="none"/>
        </w:rPr>
        <w:t>文件要求提供服务说明，技术资料、文件和有关证明，包括但不限于以下材料：</w:t>
      </w:r>
    </w:p>
    <w:p w14:paraId="2AF92EEE">
      <w:pPr>
        <w:pStyle w:val="5"/>
        <w:numPr>
          <w:ilvl w:val="0"/>
          <w:numId w:val="18"/>
        </w:numPr>
        <w:ind w:firstLineChars="0"/>
        <w:rPr>
          <w:highlight w:val="none"/>
        </w:rPr>
      </w:pPr>
      <w:r>
        <w:rPr>
          <w:highlight w:val="none"/>
        </w:rPr>
        <w:t>提供技术及</w:t>
      </w:r>
      <w:r>
        <w:rPr>
          <w:rFonts w:hint="eastAsia"/>
          <w:highlight w:val="none"/>
        </w:rPr>
        <w:t>服务</w:t>
      </w:r>
      <w:r>
        <w:rPr>
          <w:highlight w:val="none"/>
        </w:rPr>
        <w:t>方案；</w:t>
      </w:r>
    </w:p>
    <w:p w14:paraId="348A26D2">
      <w:pPr>
        <w:pStyle w:val="5"/>
        <w:numPr>
          <w:ilvl w:val="0"/>
          <w:numId w:val="18"/>
        </w:numPr>
        <w:ind w:firstLineChars="0"/>
        <w:rPr>
          <w:highlight w:val="none"/>
        </w:rPr>
      </w:pPr>
      <w:r>
        <w:rPr>
          <w:highlight w:val="none"/>
        </w:rPr>
        <w:t>《技术条款偏离表》；</w:t>
      </w:r>
    </w:p>
    <w:p w14:paraId="33000F45">
      <w:pPr>
        <w:pStyle w:val="5"/>
        <w:numPr>
          <w:ilvl w:val="0"/>
          <w:numId w:val="18"/>
        </w:numPr>
        <w:ind w:firstLineChars="0"/>
        <w:rPr>
          <w:highlight w:val="none"/>
        </w:rPr>
      </w:pPr>
      <w:r>
        <w:rPr>
          <w:highlight w:val="none"/>
        </w:rPr>
        <w:t>服务承诺；</w:t>
      </w:r>
    </w:p>
    <w:p w14:paraId="2456A0C3">
      <w:pPr>
        <w:pStyle w:val="5"/>
        <w:numPr>
          <w:ilvl w:val="0"/>
          <w:numId w:val="18"/>
        </w:numPr>
        <w:ind w:firstLineChars="0"/>
        <w:rPr>
          <w:highlight w:val="none"/>
        </w:rPr>
      </w:pPr>
      <w:r>
        <w:rPr>
          <w:highlight w:val="none"/>
        </w:rPr>
        <w:t>供应商拟投入本项目的设备、人员情况一览表；</w:t>
      </w:r>
    </w:p>
    <w:p w14:paraId="2A621263">
      <w:pPr>
        <w:pStyle w:val="5"/>
        <w:widowControl/>
        <w:numPr>
          <w:ilvl w:val="0"/>
          <w:numId w:val="18"/>
        </w:numPr>
        <w:ind w:firstLineChars="0"/>
        <w:rPr>
          <w:highlight w:val="none"/>
        </w:rPr>
      </w:pPr>
      <w:r>
        <w:rPr>
          <w:highlight w:val="none"/>
        </w:rPr>
        <w:t>供应商认为需要提供的其他技术资料。</w:t>
      </w:r>
    </w:p>
    <w:p w14:paraId="0F6826A0">
      <w:pPr>
        <w:pStyle w:val="5"/>
        <w:numPr>
          <w:ilvl w:val="0"/>
          <w:numId w:val="11"/>
        </w:numPr>
        <w:ind w:firstLineChars="0"/>
        <w:rPr>
          <w:b/>
          <w:highlight w:val="none"/>
        </w:rPr>
      </w:pPr>
      <w:r>
        <w:rPr>
          <w:b/>
          <w:highlight w:val="none"/>
        </w:rPr>
        <w:t>响应文件的价格部分</w:t>
      </w:r>
    </w:p>
    <w:p w14:paraId="299E869E">
      <w:pPr>
        <w:pStyle w:val="5"/>
        <w:numPr>
          <w:ilvl w:val="0"/>
          <w:numId w:val="19"/>
        </w:numPr>
        <w:ind w:firstLineChars="0"/>
        <w:rPr>
          <w:highlight w:val="none"/>
        </w:rPr>
      </w:pPr>
      <w:r>
        <w:rPr>
          <w:highlight w:val="none"/>
        </w:rPr>
        <w:t>价格部分是对</w:t>
      </w:r>
      <w:r>
        <w:rPr>
          <w:rFonts w:hint="eastAsia"/>
          <w:highlight w:val="none"/>
        </w:rPr>
        <w:t>响应</w:t>
      </w:r>
      <w:r>
        <w:rPr>
          <w:highlight w:val="none"/>
        </w:rPr>
        <w:t>服务价格构成的说明，每一项服务仅接受一个价格。</w:t>
      </w:r>
    </w:p>
    <w:p w14:paraId="419F219B">
      <w:pPr>
        <w:pStyle w:val="5"/>
        <w:numPr>
          <w:ilvl w:val="0"/>
          <w:numId w:val="19"/>
        </w:numPr>
        <w:ind w:firstLineChars="0"/>
        <w:rPr>
          <w:highlight w:val="none"/>
        </w:rPr>
      </w:pPr>
      <w:r>
        <w:rPr>
          <w:highlight w:val="none"/>
        </w:rPr>
        <w:t>报价应包含</w:t>
      </w:r>
      <w:r>
        <w:rPr>
          <w:rFonts w:hint="eastAsia"/>
          <w:highlight w:val="none"/>
        </w:rPr>
        <w:t>响应</w:t>
      </w:r>
      <w:r>
        <w:rPr>
          <w:highlight w:val="none"/>
        </w:rPr>
        <w:t>文件所确定的</w:t>
      </w:r>
      <w:r>
        <w:rPr>
          <w:rFonts w:hint="eastAsia"/>
          <w:highlight w:val="none"/>
        </w:rPr>
        <w:t>响应</w:t>
      </w:r>
      <w:r>
        <w:rPr>
          <w:highlight w:val="none"/>
        </w:rPr>
        <w:t>范围内全部工作内容的体现，其应包括所有成本及运输、调试、劳务、现场配合、伴随服务、国家规定的保险、利润、税金等，</w:t>
      </w:r>
      <w:r>
        <w:rPr>
          <w:rFonts w:hint="eastAsia"/>
          <w:highlight w:val="none"/>
        </w:rPr>
        <w:t>比选人</w:t>
      </w:r>
      <w:r>
        <w:rPr>
          <w:highlight w:val="none"/>
        </w:rPr>
        <w:t>除依本项目合同约定支付价款外，不再向供应商支付任何费用。</w:t>
      </w:r>
    </w:p>
    <w:p w14:paraId="10D918B8">
      <w:pPr>
        <w:pStyle w:val="5"/>
        <w:numPr>
          <w:ilvl w:val="0"/>
          <w:numId w:val="19"/>
        </w:numPr>
        <w:ind w:firstLineChars="0"/>
        <w:rPr>
          <w:highlight w:val="none"/>
        </w:rPr>
      </w:pPr>
      <w:r>
        <w:rPr>
          <w:highlight w:val="none"/>
        </w:rPr>
        <w:t>供应商的任何错漏、优惠、竞争性报价不得作为减轻责任、减少服务、增加收费、降低质量的理由。</w:t>
      </w:r>
    </w:p>
    <w:p w14:paraId="73960369">
      <w:pPr>
        <w:pStyle w:val="5"/>
        <w:numPr>
          <w:ilvl w:val="0"/>
          <w:numId w:val="19"/>
        </w:numPr>
        <w:ind w:firstLineChars="0"/>
        <w:rPr>
          <w:highlight w:val="none"/>
        </w:rPr>
      </w:pPr>
      <w:r>
        <w:rPr>
          <w:highlight w:val="none"/>
        </w:rPr>
        <w:t>供应商应在《</w:t>
      </w:r>
      <w:r>
        <w:rPr>
          <w:rFonts w:hint="eastAsia"/>
          <w:highlight w:val="none"/>
        </w:rPr>
        <w:t>响应</w:t>
      </w:r>
      <w:r>
        <w:rPr>
          <w:highlight w:val="none"/>
        </w:rPr>
        <w:t>一览表》《分项报价表》</w:t>
      </w:r>
      <w:r>
        <w:rPr>
          <w:rFonts w:hint="eastAsia"/>
          <w:highlight w:val="none"/>
        </w:rPr>
        <w:t>中列</w:t>
      </w:r>
      <w:r>
        <w:rPr>
          <w:highlight w:val="none"/>
        </w:rPr>
        <w:t>明提供货物和服务的单价、总价以及分项报价。</w:t>
      </w:r>
    </w:p>
    <w:p w14:paraId="5D0DD8AA">
      <w:pPr>
        <w:pStyle w:val="5"/>
        <w:numPr>
          <w:ilvl w:val="0"/>
          <w:numId w:val="11"/>
        </w:numPr>
        <w:ind w:firstLineChars="0"/>
        <w:rPr>
          <w:b/>
          <w:highlight w:val="none"/>
        </w:rPr>
      </w:pPr>
      <w:r>
        <w:rPr>
          <w:b/>
          <w:highlight w:val="none"/>
        </w:rPr>
        <w:t>响应文件的其他部分</w:t>
      </w:r>
    </w:p>
    <w:p w14:paraId="773DE5F8">
      <w:pPr>
        <w:pStyle w:val="5"/>
        <w:ind w:firstLine="480"/>
        <w:rPr>
          <w:highlight w:val="none"/>
        </w:rPr>
      </w:pPr>
      <w:r>
        <w:rPr>
          <w:highlight w:val="none"/>
        </w:rPr>
        <w:t>供应商编制响应文件需要提供的其他相关文件。</w:t>
      </w:r>
    </w:p>
    <w:p w14:paraId="1CAC50BC">
      <w:pPr>
        <w:pStyle w:val="5"/>
        <w:numPr>
          <w:ilvl w:val="0"/>
          <w:numId w:val="11"/>
        </w:numPr>
        <w:ind w:firstLineChars="0"/>
        <w:rPr>
          <w:b/>
          <w:highlight w:val="none"/>
        </w:rPr>
      </w:pPr>
      <w:r>
        <w:rPr>
          <w:b/>
          <w:highlight w:val="none"/>
        </w:rPr>
        <w:t>响应保证金：无。</w:t>
      </w:r>
    </w:p>
    <w:p w14:paraId="19A1F6AB">
      <w:pPr>
        <w:pStyle w:val="5"/>
        <w:numPr>
          <w:ilvl w:val="0"/>
          <w:numId w:val="11"/>
        </w:numPr>
        <w:ind w:firstLineChars="0"/>
        <w:rPr>
          <w:b/>
          <w:highlight w:val="none"/>
        </w:rPr>
      </w:pPr>
      <w:r>
        <w:rPr>
          <w:b/>
          <w:highlight w:val="none"/>
        </w:rPr>
        <w:t>响应有效期</w:t>
      </w:r>
    </w:p>
    <w:p w14:paraId="7580C4B3">
      <w:pPr>
        <w:pStyle w:val="5"/>
        <w:numPr>
          <w:ilvl w:val="0"/>
          <w:numId w:val="20"/>
        </w:numPr>
        <w:ind w:firstLineChars="0"/>
        <w:rPr>
          <w:highlight w:val="none"/>
        </w:rPr>
      </w:pPr>
      <w:r>
        <w:rPr>
          <w:highlight w:val="none"/>
        </w:rPr>
        <w:t>自</w:t>
      </w:r>
      <w:r>
        <w:rPr>
          <w:rFonts w:hint="eastAsia"/>
          <w:highlight w:val="none"/>
        </w:rPr>
        <w:t>响应文件开启</w:t>
      </w:r>
      <w:r>
        <w:rPr>
          <w:highlight w:val="none"/>
        </w:rPr>
        <w:t>之日起六十日内响应有效。</w:t>
      </w:r>
    </w:p>
    <w:p w14:paraId="68070B46">
      <w:pPr>
        <w:pStyle w:val="5"/>
        <w:numPr>
          <w:ilvl w:val="0"/>
          <w:numId w:val="20"/>
        </w:numPr>
        <w:ind w:firstLineChars="0"/>
        <w:rPr>
          <w:highlight w:val="none"/>
        </w:rPr>
      </w:pPr>
      <w:r>
        <w:rPr>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71486D32">
      <w:pPr>
        <w:pStyle w:val="5"/>
        <w:numPr>
          <w:ilvl w:val="0"/>
          <w:numId w:val="11"/>
        </w:numPr>
        <w:ind w:firstLineChars="0"/>
        <w:rPr>
          <w:b/>
          <w:highlight w:val="none"/>
        </w:rPr>
      </w:pPr>
      <w:r>
        <w:rPr>
          <w:b/>
          <w:highlight w:val="none"/>
        </w:rPr>
        <w:t>响应文件的份数、签署</w:t>
      </w:r>
    </w:p>
    <w:p w14:paraId="0291FF2B">
      <w:pPr>
        <w:pStyle w:val="5"/>
        <w:numPr>
          <w:ilvl w:val="0"/>
          <w:numId w:val="21"/>
        </w:numPr>
        <w:ind w:firstLineChars="0"/>
        <w:rPr>
          <w:highlight w:val="none"/>
        </w:rPr>
      </w:pPr>
      <w:r>
        <w:rPr>
          <w:highlight w:val="none"/>
        </w:rPr>
        <w:t>供应商应按照</w:t>
      </w:r>
      <w:r>
        <w:rPr>
          <w:rFonts w:hint="eastAsia"/>
          <w:b/>
          <w:highlight w:val="none"/>
        </w:rPr>
        <w:t>比选</w:t>
      </w:r>
      <w:r>
        <w:rPr>
          <w:highlight w:val="none"/>
        </w:rPr>
        <w:t>文件要求的份数准备响应文件，每份响应文件须清楚地标明</w:t>
      </w:r>
      <w:r>
        <w:rPr>
          <w:rFonts w:hint="eastAsia"/>
          <w:highlight w:val="none"/>
        </w:rPr>
        <w:t>“</w:t>
      </w:r>
      <w:r>
        <w:rPr>
          <w:highlight w:val="none"/>
        </w:rPr>
        <w:t>正本</w:t>
      </w:r>
      <w:r>
        <w:rPr>
          <w:rFonts w:hint="eastAsia"/>
          <w:highlight w:val="none"/>
        </w:rPr>
        <w:t>”</w:t>
      </w:r>
      <w:r>
        <w:rPr>
          <w:highlight w:val="none"/>
        </w:rPr>
        <w:t>或</w:t>
      </w:r>
      <w:r>
        <w:rPr>
          <w:rFonts w:hint="eastAsia"/>
          <w:highlight w:val="none"/>
        </w:rPr>
        <w:t>“</w:t>
      </w:r>
      <w:r>
        <w:rPr>
          <w:highlight w:val="none"/>
        </w:rPr>
        <w:t>副本</w:t>
      </w:r>
      <w:r>
        <w:rPr>
          <w:rFonts w:hint="eastAsia"/>
          <w:highlight w:val="none"/>
        </w:rPr>
        <w:t>”</w:t>
      </w:r>
      <w:r>
        <w:rPr>
          <w:highlight w:val="none"/>
        </w:rPr>
        <w:t>字样。正本和副本不符时，以正本为准。</w:t>
      </w:r>
    </w:p>
    <w:p w14:paraId="35F6CC98">
      <w:pPr>
        <w:pStyle w:val="5"/>
        <w:numPr>
          <w:ilvl w:val="0"/>
          <w:numId w:val="21"/>
        </w:numPr>
        <w:ind w:firstLineChars="0"/>
        <w:rPr>
          <w:highlight w:val="none"/>
        </w:rPr>
      </w:pPr>
      <w:r>
        <w:rPr>
          <w:highlight w:val="none"/>
        </w:rPr>
        <w:t>响应文件正本中，文字材料需打印或用不褪色墨水书写。响应文件的正本须经法定代表人或经正式授权并对供应商有约束力的委托代理人签字和加盖供应商公章。</w:t>
      </w:r>
      <w:r>
        <w:rPr>
          <w:rFonts w:hint="eastAsia"/>
          <w:highlight w:val="none"/>
        </w:rPr>
        <w:t>本比选文件所表述（指定）的公章是指法定名称章，不包括合同专用章、业务专用章等印章</w:t>
      </w:r>
      <w:r>
        <w:rPr>
          <w:highlight w:val="none"/>
        </w:rPr>
        <w:t>。</w:t>
      </w:r>
    </w:p>
    <w:p w14:paraId="5813B0FF">
      <w:pPr>
        <w:pStyle w:val="5"/>
        <w:numPr>
          <w:ilvl w:val="0"/>
          <w:numId w:val="21"/>
        </w:numPr>
        <w:ind w:firstLineChars="0"/>
        <w:rPr>
          <w:highlight w:val="none"/>
        </w:rPr>
      </w:pPr>
      <w:r>
        <w:rPr>
          <w:highlight w:val="none"/>
        </w:rPr>
        <w:t>除供应商对错处做必要修改外，响应文件不得行间插字、涂改或增删。如有修改错漏处，必须由响应文件签署人签字或加盖公章。</w:t>
      </w:r>
    </w:p>
    <w:p w14:paraId="067A05F3">
      <w:pPr>
        <w:pStyle w:val="5"/>
        <w:numPr>
          <w:ilvl w:val="0"/>
          <w:numId w:val="11"/>
        </w:numPr>
        <w:ind w:firstLineChars="0"/>
        <w:rPr>
          <w:b/>
          <w:highlight w:val="none"/>
        </w:rPr>
      </w:pPr>
      <w:r>
        <w:rPr>
          <w:b/>
          <w:highlight w:val="none"/>
        </w:rPr>
        <w:t>响应文件的密封和递交</w:t>
      </w:r>
    </w:p>
    <w:p w14:paraId="1242F08E">
      <w:pPr>
        <w:pStyle w:val="5"/>
        <w:numPr>
          <w:ilvl w:val="0"/>
          <w:numId w:val="22"/>
        </w:numPr>
        <w:ind w:firstLineChars="0"/>
        <w:rPr>
          <w:highlight w:val="none"/>
        </w:rPr>
      </w:pPr>
      <w:r>
        <w:rPr>
          <w:highlight w:val="none"/>
        </w:rPr>
        <w:t>供应商应当将响应文件密封。</w:t>
      </w:r>
    </w:p>
    <w:p w14:paraId="2D1330AF">
      <w:pPr>
        <w:pStyle w:val="5"/>
        <w:numPr>
          <w:ilvl w:val="0"/>
          <w:numId w:val="22"/>
        </w:numPr>
        <w:ind w:firstLineChars="0"/>
        <w:rPr>
          <w:highlight w:val="none"/>
        </w:rPr>
      </w:pPr>
      <w:r>
        <w:rPr>
          <w:highlight w:val="none"/>
        </w:rPr>
        <w:t>供应商应当在</w:t>
      </w:r>
      <w:r>
        <w:rPr>
          <w:rFonts w:hint="eastAsia"/>
          <w:highlight w:val="none"/>
        </w:rPr>
        <w:t>比选文件</w:t>
      </w:r>
      <w:r>
        <w:rPr>
          <w:highlight w:val="none"/>
        </w:rPr>
        <w:t>要求提交响应文件的截止时间前，将密封的响应文件送达响应地点。</w:t>
      </w:r>
    </w:p>
    <w:p w14:paraId="543F6CC9">
      <w:pPr>
        <w:pStyle w:val="5"/>
        <w:numPr>
          <w:ilvl w:val="0"/>
          <w:numId w:val="11"/>
        </w:numPr>
        <w:ind w:firstLineChars="0"/>
        <w:rPr>
          <w:b/>
          <w:highlight w:val="none"/>
        </w:rPr>
      </w:pPr>
      <w:r>
        <w:rPr>
          <w:b/>
          <w:highlight w:val="none"/>
        </w:rPr>
        <w:t>有下列情形之一的响应文件将被拒收</w:t>
      </w:r>
    </w:p>
    <w:p w14:paraId="203D323D">
      <w:pPr>
        <w:pStyle w:val="5"/>
        <w:numPr>
          <w:ilvl w:val="0"/>
          <w:numId w:val="23"/>
        </w:numPr>
        <w:ind w:firstLineChars="0"/>
        <w:rPr>
          <w:highlight w:val="none"/>
        </w:rPr>
      </w:pPr>
      <w:r>
        <w:rPr>
          <w:highlight w:val="none"/>
        </w:rPr>
        <w:t>在</w:t>
      </w:r>
      <w:r>
        <w:rPr>
          <w:rFonts w:hint="eastAsia"/>
          <w:b/>
          <w:highlight w:val="none"/>
        </w:rPr>
        <w:t>比选</w:t>
      </w:r>
      <w:r>
        <w:rPr>
          <w:highlight w:val="none"/>
        </w:rPr>
        <w:t>文件要求提交响应文件的截止时间之后送达的。</w:t>
      </w:r>
    </w:p>
    <w:p w14:paraId="66BD121E">
      <w:pPr>
        <w:pStyle w:val="5"/>
        <w:numPr>
          <w:ilvl w:val="0"/>
          <w:numId w:val="23"/>
        </w:numPr>
        <w:ind w:firstLineChars="0"/>
        <w:rPr>
          <w:highlight w:val="none"/>
        </w:rPr>
      </w:pPr>
      <w:r>
        <w:rPr>
          <w:highlight w:val="none"/>
        </w:rPr>
        <w:t>响应文件未密封的。</w:t>
      </w:r>
    </w:p>
    <w:p w14:paraId="7E6CFF6E">
      <w:pPr>
        <w:pStyle w:val="5"/>
        <w:numPr>
          <w:ilvl w:val="0"/>
          <w:numId w:val="11"/>
        </w:numPr>
        <w:ind w:firstLineChars="0"/>
        <w:rPr>
          <w:b/>
          <w:highlight w:val="none"/>
        </w:rPr>
      </w:pPr>
      <w:r>
        <w:rPr>
          <w:b/>
          <w:highlight w:val="none"/>
        </w:rPr>
        <w:t>响应文件的修改和撤回</w:t>
      </w:r>
    </w:p>
    <w:p w14:paraId="36902CCD">
      <w:pPr>
        <w:pStyle w:val="5"/>
        <w:numPr>
          <w:ilvl w:val="0"/>
          <w:numId w:val="24"/>
        </w:numPr>
        <w:ind w:firstLineChars="0"/>
        <w:rPr>
          <w:highlight w:val="none"/>
        </w:rPr>
      </w:pPr>
      <w:r>
        <w:rPr>
          <w:highlight w:val="none"/>
        </w:rPr>
        <w:t>供应商在响应截止时间前，可以对所递交的响应文件进行补充、修改或撤回，并书面通知代理机构。补充、修改的内容应当按照</w:t>
      </w:r>
      <w:r>
        <w:rPr>
          <w:rFonts w:hint="eastAsia"/>
          <w:highlight w:val="none"/>
        </w:rPr>
        <w:t>比选文件</w:t>
      </w:r>
      <w:r>
        <w:rPr>
          <w:highlight w:val="none"/>
        </w:rPr>
        <w:t>要求签署、盖章，并作为响应文件的组成部分。</w:t>
      </w:r>
    </w:p>
    <w:p w14:paraId="54138877">
      <w:pPr>
        <w:pStyle w:val="5"/>
        <w:numPr>
          <w:ilvl w:val="0"/>
          <w:numId w:val="24"/>
        </w:numPr>
        <w:ind w:firstLineChars="0"/>
        <w:rPr>
          <w:highlight w:val="none"/>
        </w:rPr>
      </w:pPr>
      <w:r>
        <w:rPr>
          <w:highlight w:val="none"/>
        </w:rPr>
        <w:t>响应截止时间之后，响应文件不得撤回。</w:t>
      </w:r>
    </w:p>
    <w:p w14:paraId="0C672ED3">
      <w:pPr>
        <w:pStyle w:val="5"/>
        <w:numPr>
          <w:ilvl w:val="0"/>
          <w:numId w:val="7"/>
        </w:numPr>
        <w:ind w:firstLineChars="0"/>
        <w:rPr>
          <w:b/>
          <w:highlight w:val="none"/>
        </w:rPr>
      </w:pPr>
      <w:r>
        <w:rPr>
          <w:rFonts w:hint="eastAsia"/>
          <w:b/>
          <w:highlight w:val="none"/>
        </w:rPr>
        <w:t>响应文件开启</w:t>
      </w:r>
      <w:r>
        <w:rPr>
          <w:b/>
          <w:highlight w:val="none"/>
        </w:rPr>
        <w:t>、评</w:t>
      </w:r>
      <w:r>
        <w:rPr>
          <w:rFonts w:hint="eastAsia"/>
          <w:b/>
          <w:highlight w:val="none"/>
        </w:rPr>
        <w:t>审</w:t>
      </w:r>
      <w:r>
        <w:rPr>
          <w:b/>
          <w:highlight w:val="none"/>
        </w:rPr>
        <w:t>与确定成交供应商</w:t>
      </w:r>
    </w:p>
    <w:p w14:paraId="6D7C1636">
      <w:pPr>
        <w:pStyle w:val="5"/>
        <w:numPr>
          <w:ilvl w:val="0"/>
          <w:numId w:val="25"/>
        </w:numPr>
        <w:ind w:firstLineChars="0"/>
        <w:rPr>
          <w:b/>
          <w:highlight w:val="none"/>
        </w:rPr>
      </w:pPr>
      <w:r>
        <w:rPr>
          <w:rFonts w:hint="eastAsia"/>
          <w:b/>
          <w:highlight w:val="none"/>
        </w:rPr>
        <w:t>响应文件开启</w:t>
      </w:r>
    </w:p>
    <w:p w14:paraId="4C6D1359">
      <w:pPr>
        <w:pStyle w:val="5"/>
        <w:numPr>
          <w:ilvl w:val="0"/>
          <w:numId w:val="26"/>
        </w:numPr>
        <w:ind w:firstLineChars="0"/>
        <w:rPr>
          <w:highlight w:val="none"/>
        </w:rPr>
      </w:pPr>
      <w:r>
        <w:rPr>
          <w:highlight w:val="none"/>
        </w:rPr>
        <w:t>代理机构将在</w:t>
      </w:r>
      <w:r>
        <w:rPr>
          <w:rFonts w:hint="eastAsia"/>
          <w:b/>
          <w:highlight w:val="none"/>
        </w:rPr>
        <w:t>比选</w:t>
      </w:r>
      <w:r>
        <w:rPr>
          <w:highlight w:val="none"/>
        </w:rPr>
        <w:t>文件确定的时间和地点进行</w:t>
      </w:r>
      <w:r>
        <w:rPr>
          <w:rFonts w:hint="eastAsia"/>
          <w:highlight w:val="none"/>
        </w:rPr>
        <w:t>响应文件开启</w:t>
      </w:r>
      <w:r>
        <w:rPr>
          <w:highlight w:val="none"/>
        </w:rPr>
        <w:t>。供应商应委派代表准时参加，</w:t>
      </w:r>
      <w:r>
        <w:rPr>
          <w:rFonts w:hint="eastAsia"/>
          <w:highlight w:val="none"/>
        </w:rPr>
        <w:t>未参加响应文件开启的，视同认可响应文件开启结果。</w:t>
      </w:r>
    </w:p>
    <w:p w14:paraId="0F8C0F62">
      <w:pPr>
        <w:pStyle w:val="5"/>
        <w:numPr>
          <w:ilvl w:val="0"/>
          <w:numId w:val="26"/>
        </w:numPr>
        <w:ind w:firstLineChars="0"/>
        <w:rPr>
          <w:highlight w:val="none"/>
        </w:rPr>
      </w:pPr>
      <w:r>
        <w:rPr>
          <w:rFonts w:hint="eastAsia"/>
          <w:highlight w:val="none"/>
        </w:rPr>
        <w:t>响应文件开启</w:t>
      </w:r>
      <w:r>
        <w:rPr>
          <w:highlight w:val="none"/>
        </w:rPr>
        <w:t>时，由供应商或者其推选的代表检查响应文件的密封情况，经确认无误后，</w:t>
      </w:r>
      <w:r>
        <w:rPr>
          <w:rFonts w:hint="eastAsia"/>
          <w:highlight w:val="none"/>
        </w:rPr>
        <w:t>由比选人或者代理机构工作人员当众拆封</w:t>
      </w:r>
      <w:r>
        <w:rPr>
          <w:highlight w:val="none"/>
        </w:rPr>
        <w:t>，宣布供应商名称、响应价格和</w:t>
      </w:r>
      <w:r>
        <w:rPr>
          <w:rFonts w:hint="eastAsia"/>
          <w:b/>
          <w:highlight w:val="none"/>
        </w:rPr>
        <w:t>比选</w:t>
      </w:r>
      <w:r>
        <w:rPr>
          <w:highlight w:val="none"/>
        </w:rPr>
        <w:t>文件规定的需要宣布的其他内容。</w:t>
      </w:r>
    </w:p>
    <w:p w14:paraId="0B36D21C">
      <w:pPr>
        <w:pStyle w:val="5"/>
        <w:numPr>
          <w:ilvl w:val="0"/>
          <w:numId w:val="26"/>
        </w:numPr>
        <w:ind w:firstLineChars="0"/>
        <w:rPr>
          <w:highlight w:val="none"/>
        </w:rPr>
      </w:pPr>
      <w:r>
        <w:rPr>
          <w:highlight w:val="none"/>
        </w:rPr>
        <w:t>未宣读的响应价格、价格折扣和</w:t>
      </w:r>
      <w:r>
        <w:rPr>
          <w:rFonts w:hint="eastAsia"/>
          <w:b/>
          <w:highlight w:val="none"/>
        </w:rPr>
        <w:t>比选</w:t>
      </w:r>
      <w:r>
        <w:rPr>
          <w:highlight w:val="none"/>
        </w:rPr>
        <w:t>文件允许提供的备选响应方案等实质性内容，评审时不予承认。</w:t>
      </w:r>
    </w:p>
    <w:p w14:paraId="512735CA">
      <w:pPr>
        <w:pStyle w:val="5"/>
        <w:numPr>
          <w:ilvl w:val="0"/>
          <w:numId w:val="26"/>
        </w:numPr>
        <w:ind w:firstLineChars="0"/>
        <w:rPr>
          <w:highlight w:val="none"/>
        </w:rPr>
      </w:pPr>
      <w:r>
        <w:rPr>
          <w:rFonts w:hint="eastAsia"/>
          <w:highlight w:val="none"/>
        </w:rPr>
        <w:t>响应文件开启</w:t>
      </w:r>
      <w:r>
        <w:rPr>
          <w:highlight w:val="none"/>
        </w:rPr>
        <w:t>时，《</w:t>
      </w:r>
      <w:r>
        <w:rPr>
          <w:rFonts w:hint="eastAsia"/>
          <w:highlight w:val="none"/>
        </w:rPr>
        <w:t>响应</w:t>
      </w:r>
      <w:r>
        <w:rPr>
          <w:highlight w:val="none"/>
        </w:rPr>
        <w:t>一览表》（报价表）内容与响应文件中相应内容不一致的，以《</w:t>
      </w:r>
      <w:r>
        <w:rPr>
          <w:rFonts w:hint="eastAsia"/>
          <w:highlight w:val="none"/>
        </w:rPr>
        <w:t>响应</w:t>
      </w:r>
      <w:r>
        <w:rPr>
          <w:highlight w:val="none"/>
        </w:rPr>
        <w:t>一览表》（报价表）为准。</w:t>
      </w:r>
    </w:p>
    <w:p w14:paraId="68477A5F">
      <w:pPr>
        <w:pStyle w:val="5"/>
        <w:numPr>
          <w:ilvl w:val="0"/>
          <w:numId w:val="26"/>
        </w:numPr>
        <w:ind w:firstLineChars="0"/>
        <w:rPr>
          <w:highlight w:val="none"/>
        </w:rPr>
      </w:pPr>
      <w:r>
        <w:rPr>
          <w:highlight w:val="none"/>
        </w:rPr>
        <w:t>响应文件、《</w:t>
      </w:r>
      <w:r>
        <w:rPr>
          <w:rFonts w:hint="eastAsia"/>
          <w:highlight w:val="none"/>
        </w:rPr>
        <w:t>响应</w:t>
      </w:r>
      <w:r>
        <w:rPr>
          <w:highlight w:val="none"/>
        </w:rPr>
        <w:t>一览表》（报价表）中报价的大写金额与小写金额不一致的，以大写金额为准。</w:t>
      </w:r>
    </w:p>
    <w:p w14:paraId="192E6F3F">
      <w:pPr>
        <w:pStyle w:val="5"/>
        <w:numPr>
          <w:ilvl w:val="0"/>
          <w:numId w:val="26"/>
        </w:numPr>
        <w:ind w:firstLineChars="0"/>
        <w:rPr>
          <w:highlight w:val="none"/>
        </w:rPr>
      </w:pPr>
      <w:r>
        <w:rPr>
          <w:highlight w:val="none"/>
        </w:rPr>
        <w:t>单价金额小数点或者百分比有明显错位的，以《</w:t>
      </w:r>
      <w:r>
        <w:rPr>
          <w:rFonts w:hint="eastAsia"/>
          <w:highlight w:val="none"/>
        </w:rPr>
        <w:t>响应</w:t>
      </w:r>
      <w:r>
        <w:rPr>
          <w:highlight w:val="none"/>
        </w:rPr>
        <w:t>一览表》（报价表）的总价为准，并修改单价。</w:t>
      </w:r>
    </w:p>
    <w:p w14:paraId="256E8A79">
      <w:pPr>
        <w:pStyle w:val="5"/>
        <w:numPr>
          <w:ilvl w:val="0"/>
          <w:numId w:val="26"/>
        </w:numPr>
        <w:ind w:firstLineChars="0"/>
        <w:rPr>
          <w:highlight w:val="none"/>
        </w:rPr>
      </w:pPr>
      <w:r>
        <w:rPr>
          <w:highlight w:val="none"/>
        </w:rPr>
        <w:t>总价金额与按单价汇总金额不一致的，以单价金额计算结果为准。</w:t>
      </w:r>
    </w:p>
    <w:p w14:paraId="1CC2FB7B">
      <w:pPr>
        <w:pStyle w:val="5"/>
        <w:numPr>
          <w:ilvl w:val="0"/>
          <w:numId w:val="26"/>
        </w:numPr>
        <w:ind w:firstLineChars="0"/>
        <w:rPr>
          <w:highlight w:val="none"/>
        </w:rPr>
      </w:pPr>
      <w:r>
        <w:rPr>
          <w:highlight w:val="none"/>
        </w:rPr>
        <w:t>同时出现19.4-19.7中两种以上不一致的，按照19.4-19.7的顺序修正。修正后的报价由法定代表人或其授权的代表确认后产生约束力，供应商不确认的，响应无效。</w:t>
      </w:r>
    </w:p>
    <w:p w14:paraId="7F366802">
      <w:pPr>
        <w:pStyle w:val="5"/>
        <w:numPr>
          <w:ilvl w:val="0"/>
          <w:numId w:val="26"/>
        </w:numPr>
        <w:ind w:firstLineChars="0"/>
        <w:rPr>
          <w:highlight w:val="none"/>
        </w:rPr>
      </w:pPr>
      <w:r>
        <w:rPr>
          <w:highlight w:val="none"/>
        </w:rPr>
        <w:t>对不同文字文本响应文件的解释发生异议的，以中文文本为准。</w:t>
      </w:r>
    </w:p>
    <w:p w14:paraId="65411C1F">
      <w:pPr>
        <w:pStyle w:val="5"/>
        <w:numPr>
          <w:ilvl w:val="0"/>
          <w:numId w:val="26"/>
        </w:numPr>
        <w:ind w:firstLineChars="0"/>
        <w:rPr>
          <w:highlight w:val="none"/>
        </w:rPr>
      </w:pPr>
      <w:r>
        <w:rPr>
          <w:rFonts w:hint="eastAsia"/>
          <w:highlight w:val="none"/>
        </w:rPr>
        <w:t>响应截止时间响应供应商或者合格供应商不足</w:t>
      </w:r>
      <w:r>
        <w:rPr>
          <w:highlight w:val="none"/>
        </w:rPr>
        <w:t>3</w:t>
      </w:r>
      <w:r>
        <w:rPr>
          <w:rFonts w:hint="eastAsia"/>
          <w:highlight w:val="none"/>
        </w:rPr>
        <w:t>家，可按以下情形处理：</w:t>
      </w:r>
    </w:p>
    <w:p w14:paraId="0DE0B3CC">
      <w:pPr>
        <w:pStyle w:val="5"/>
        <w:adjustRightInd w:val="0"/>
        <w:snapToGrid w:val="0"/>
        <w:ind w:firstLine="480"/>
        <w:rPr>
          <w:highlight w:val="none"/>
        </w:rPr>
      </w:pPr>
      <w:r>
        <w:rPr>
          <w:highlight w:val="none"/>
        </w:rPr>
        <w:t>19.10.1</w:t>
      </w:r>
      <w:r>
        <w:rPr>
          <w:rFonts w:hint="eastAsia"/>
          <w:highlight w:val="none"/>
        </w:rPr>
        <w:t>采用公开征集方式的教学、科研仪器设备(含相关服务)比选项目，第一次公开征集，响应截止时间结束后响应供应商只有</w:t>
      </w:r>
      <w:r>
        <w:rPr>
          <w:highlight w:val="none"/>
        </w:rPr>
        <w:t>2</w:t>
      </w:r>
      <w:r>
        <w:rPr>
          <w:rFonts w:hint="eastAsia"/>
          <w:highlight w:val="none"/>
        </w:rPr>
        <w:t>家，或者经评审对</w:t>
      </w:r>
      <w:r>
        <w:rPr>
          <w:rFonts w:hint="eastAsia"/>
          <w:b/>
          <w:highlight w:val="none"/>
        </w:rPr>
        <w:t>比选</w:t>
      </w:r>
      <w:r>
        <w:rPr>
          <w:rFonts w:hint="eastAsia"/>
          <w:highlight w:val="none"/>
        </w:rPr>
        <w:t>文件做出实质响应的有效供应商只有</w:t>
      </w:r>
      <w:r>
        <w:rPr>
          <w:highlight w:val="none"/>
        </w:rPr>
        <w:t>2</w:t>
      </w:r>
      <w:r>
        <w:rPr>
          <w:rFonts w:hint="eastAsia"/>
          <w:highlight w:val="none"/>
        </w:rPr>
        <w:t>家，比选人急需比选的，可以继续开展比选活动； 响应截止时间结束后响应供应商只有1家，或者经评审对</w:t>
      </w:r>
      <w:r>
        <w:rPr>
          <w:rFonts w:hint="eastAsia"/>
          <w:b/>
          <w:highlight w:val="none"/>
        </w:rPr>
        <w:t>比选</w:t>
      </w:r>
      <w:r>
        <w:rPr>
          <w:rFonts w:hint="eastAsia"/>
          <w:highlight w:val="none"/>
        </w:rPr>
        <w:t>文件做出实质响应的有效供应商只有1家，比选人急需遴选的，且同时满足以下两个条件的，可现场转为单一来源方式采 购。（1）比选人及比选代理机构出具对</w:t>
      </w:r>
      <w:r>
        <w:rPr>
          <w:rFonts w:hint="eastAsia"/>
          <w:b/>
          <w:highlight w:val="none"/>
        </w:rPr>
        <w:t>比选</w:t>
      </w:r>
      <w:r>
        <w:rPr>
          <w:rFonts w:hint="eastAsia"/>
          <w:highlight w:val="none"/>
        </w:rPr>
        <w:t>文件和比选过程无供应商质疑或者质疑已得到妥善处理的情况说明；（2）评审委员会出具比选文件没有不合理条款、申请转变遴选方式理由恰当的论证意见。</w:t>
      </w:r>
    </w:p>
    <w:p w14:paraId="005E471F">
      <w:pPr>
        <w:pStyle w:val="5"/>
        <w:adjustRightInd w:val="0"/>
        <w:snapToGrid w:val="0"/>
        <w:ind w:firstLine="480"/>
        <w:rPr>
          <w:highlight w:val="none"/>
        </w:rPr>
      </w:pPr>
      <w:r>
        <w:rPr>
          <w:highlight w:val="none"/>
        </w:rPr>
        <w:t>19.10.2</w:t>
      </w:r>
      <w:r>
        <w:rPr>
          <w:rFonts w:hint="eastAsia"/>
          <w:highlight w:val="none"/>
        </w:rPr>
        <w:t>除1</w:t>
      </w:r>
      <w:r>
        <w:rPr>
          <w:highlight w:val="none"/>
        </w:rPr>
        <w:t>9.10.1</w:t>
      </w:r>
      <w:r>
        <w:rPr>
          <w:rFonts w:hint="eastAsia"/>
          <w:highlight w:val="none"/>
        </w:rPr>
        <w:t>以外的其他比选项目，第一次公开征集后合格供应商不足3家的，应重新征集供应商。重新公开征集，响应截止时间结束后响应供应商只有2家，或者经评审对比选文件做出实质响应的有效供应商只有2家，可以继续开展比选活动；响应截止时间结束后响应供应商只有1家，或者经评审对比选文件做出实质响应的有效供应商只有1家，且同时满足1</w:t>
      </w:r>
      <w:r>
        <w:rPr>
          <w:highlight w:val="none"/>
        </w:rPr>
        <w:t>9.10.1</w:t>
      </w:r>
      <w:r>
        <w:rPr>
          <w:rFonts w:hint="eastAsia"/>
          <w:highlight w:val="none"/>
        </w:rPr>
        <w:t>所列两个条件的，可转为单一来源方式。</w:t>
      </w:r>
    </w:p>
    <w:p w14:paraId="3BDB119B">
      <w:pPr>
        <w:pStyle w:val="5"/>
        <w:numPr>
          <w:ilvl w:val="0"/>
          <w:numId w:val="25"/>
        </w:numPr>
        <w:ind w:firstLineChars="0"/>
        <w:rPr>
          <w:b/>
          <w:highlight w:val="none"/>
        </w:rPr>
      </w:pPr>
      <w:r>
        <w:rPr>
          <w:b/>
          <w:highlight w:val="none"/>
        </w:rPr>
        <w:t>评审</w:t>
      </w:r>
    </w:p>
    <w:p w14:paraId="5E3F3AA1">
      <w:pPr>
        <w:pStyle w:val="5"/>
        <w:numPr>
          <w:ilvl w:val="0"/>
          <w:numId w:val="27"/>
        </w:numPr>
        <w:ind w:firstLineChars="0"/>
        <w:rPr>
          <w:b/>
          <w:highlight w:val="none"/>
        </w:rPr>
      </w:pPr>
      <w:r>
        <w:rPr>
          <w:b/>
          <w:highlight w:val="none"/>
        </w:rPr>
        <w:t>评审组织</w:t>
      </w:r>
    </w:p>
    <w:p w14:paraId="3AB91A1D">
      <w:pPr>
        <w:pStyle w:val="5"/>
        <w:numPr>
          <w:ilvl w:val="0"/>
          <w:numId w:val="28"/>
        </w:numPr>
        <w:ind w:firstLineChars="0"/>
        <w:rPr>
          <w:highlight w:val="none"/>
        </w:rPr>
      </w:pPr>
      <w:r>
        <w:rPr>
          <w:rFonts w:hint="eastAsia"/>
          <w:highlight w:val="none"/>
        </w:rPr>
        <w:t>评审工作由代理机构组织，具体评审事务由依法组建的评审委员会负责</w:t>
      </w:r>
      <w:r>
        <w:rPr>
          <w:highlight w:val="none"/>
        </w:rPr>
        <w:t>，并独立履行下列职责：</w:t>
      </w:r>
    </w:p>
    <w:p w14:paraId="6A2BAC64">
      <w:pPr>
        <w:pStyle w:val="5"/>
        <w:numPr>
          <w:ilvl w:val="0"/>
          <w:numId w:val="29"/>
        </w:numPr>
        <w:ind w:firstLineChars="0"/>
        <w:rPr>
          <w:highlight w:val="none"/>
        </w:rPr>
      </w:pPr>
      <w:r>
        <w:rPr>
          <w:highlight w:val="none"/>
        </w:rPr>
        <w:t>审查、评价响应文件是否符合</w:t>
      </w:r>
      <w:r>
        <w:rPr>
          <w:rFonts w:hint="eastAsia"/>
          <w:highlight w:val="none"/>
        </w:rPr>
        <w:t>比选文件</w:t>
      </w:r>
      <w:r>
        <w:rPr>
          <w:highlight w:val="none"/>
        </w:rPr>
        <w:t>的商务、技术等实质性要求；</w:t>
      </w:r>
    </w:p>
    <w:p w14:paraId="28815AB6">
      <w:pPr>
        <w:pStyle w:val="5"/>
        <w:numPr>
          <w:ilvl w:val="0"/>
          <w:numId w:val="29"/>
        </w:numPr>
        <w:ind w:firstLineChars="0"/>
        <w:rPr>
          <w:highlight w:val="none"/>
        </w:rPr>
      </w:pPr>
      <w:r>
        <w:rPr>
          <w:highlight w:val="none"/>
        </w:rPr>
        <w:t>要求供应商对响应文件有关事项作出澄清或者说明；</w:t>
      </w:r>
    </w:p>
    <w:p w14:paraId="0581BE8E">
      <w:pPr>
        <w:pStyle w:val="5"/>
        <w:numPr>
          <w:ilvl w:val="0"/>
          <w:numId w:val="29"/>
        </w:numPr>
        <w:ind w:firstLineChars="0"/>
        <w:rPr>
          <w:highlight w:val="none"/>
        </w:rPr>
      </w:pPr>
      <w:r>
        <w:rPr>
          <w:highlight w:val="none"/>
        </w:rPr>
        <w:t>对响应文件进行比较和评价；</w:t>
      </w:r>
    </w:p>
    <w:p w14:paraId="5D77F72B">
      <w:pPr>
        <w:pStyle w:val="5"/>
        <w:numPr>
          <w:ilvl w:val="0"/>
          <w:numId w:val="29"/>
        </w:numPr>
        <w:ind w:firstLineChars="0"/>
        <w:rPr>
          <w:highlight w:val="none"/>
        </w:rPr>
      </w:pPr>
      <w:r>
        <w:rPr>
          <w:highlight w:val="none"/>
        </w:rPr>
        <w:t>推荐成交候选人或根据</w:t>
      </w:r>
      <w:r>
        <w:rPr>
          <w:rFonts w:hint="eastAsia"/>
          <w:highlight w:val="none"/>
        </w:rPr>
        <w:t>比选人</w:t>
      </w:r>
      <w:r>
        <w:rPr>
          <w:highlight w:val="none"/>
        </w:rPr>
        <w:t>委托直接确定成交供应商；</w:t>
      </w:r>
    </w:p>
    <w:p w14:paraId="5E52258E">
      <w:pPr>
        <w:pStyle w:val="5"/>
        <w:numPr>
          <w:ilvl w:val="0"/>
          <w:numId w:val="29"/>
        </w:numPr>
        <w:ind w:firstLineChars="0"/>
        <w:rPr>
          <w:highlight w:val="none"/>
        </w:rPr>
      </w:pPr>
      <w:r>
        <w:rPr>
          <w:highlight w:val="none"/>
        </w:rPr>
        <w:t>向</w:t>
      </w:r>
      <w:r>
        <w:rPr>
          <w:rFonts w:hint="eastAsia"/>
          <w:highlight w:val="none"/>
        </w:rPr>
        <w:t>比选人</w:t>
      </w:r>
      <w:r>
        <w:rPr>
          <w:highlight w:val="none"/>
        </w:rPr>
        <w:t>报告评审中发现的违法行为。</w:t>
      </w:r>
    </w:p>
    <w:p w14:paraId="107798DF">
      <w:pPr>
        <w:pStyle w:val="5"/>
        <w:numPr>
          <w:ilvl w:val="0"/>
          <w:numId w:val="28"/>
        </w:numPr>
        <w:ind w:firstLineChars="0"/>
        <w:rPr>
          <w:highlight w:val="none"/>
        </w:rPr>
      </w:pPr>
      <w:r>
        <w:rPr>
          <w:rFonts w:hint="eastAsia"/>
          <w:highlight w:val="none"/>
        </w:rPr>
        <w:t>评审委员会由比选人代表和有关技术、经济等方面的专家组成</w:t>
      </w:r>
      <w:r>
        <w:rPr>
          <w:highlight w:val="none"/>
        </w:rPr>
        <w:t>，独立开展评审工作。</w:t>
      </w:r>
    </w:p>
    <w:p w14:paraId="57306625">
      <w:pPr>
        <w:pStyle w:val="5"/>
        <w:numPr>
          <w:ilvl w:val="0"/>
          <w:numId w:val="27"/>
        </w:numPr>
        <w:ind w:firstLineChars="0"/>
        <w:rPr>
          <w:b/>
          <w:highlight w:val="none"/>
        </w:rPr>
      </w:pPr>
      <w:r>
        <w:rPr>
          <w:b/>
          <w:highlight w:val="none"/>
        </w:rPr>
        <w:t>评审程序</w:t>
      </w:r>
    </w:p>
    <w:p w14:paraId="76CB900D">
      <w:pPr>
        <w:pStyle w:val="5"/>
        <w:numPr>
          <w:ilvl w:val="0"/>
          <w:numId w:val="30"/>
        </w:numPr>
        <w:ind w:firstLineChars="0"/>
        <w:rPr>
          <w:b/>
          <w:highlight w:val="none"/>
        </w:rPr>
      </w:pPr>
      <w:r>
        <w:rPr>
          <w:b/>
          <w:highlight w:val="none"/>
        </w:rPr>
        <w:t>响应文件的资格审查</w:t>
      </w:r>
    </w:p>
    <w:p w14:paraId="7A62312A">
      <w:pPr>
        <w:pStyle w:val="5"/>
        <w:numPr>
          <w:ilvl w:val="0"/>
          <w:numId w:val="31"/>
        </w:numPr>
        <w:ind w:firstLineChars="0"/>
        <w:rPr>
          <w:highlight w:val="none"/>
        </w:rPr>
      </w:pPr>
      <w:r>
        <w:rPr>
          <w:rFonts w:hint="eastAsia"/>
          <w:highlight w:val="none"/>
        </w:rPr>
        <w:t>比选代理机构</w:t>
      </w:r>
      <w:r>
        <w:rPr>
          <w:highlight w:val="none"/>
        </w:rPr>
        <w:t>依法对供应商的资格进行审查。</w:t>
      </w:r>
    </w:p>
    <w:p w14:paraId="24050E92">
      <w:pPr>
        <w:pStyle w:val="5"/>
        <w:numPr>
          <w:ilvl w:val="0"/>
          <w:numId w:val="31"/>
        </w:numPr>
        <w:ind w:firstLineChars="0"/>
        <w:rPr>
          <w:highlight w:val="none"/>
        </w:rPr>
      </w:pPr>
      <w:r>
        <w:rPr>
          <w:rFonts w:hint="eastAsia"/>
          <w:highlight w:val="none"/>
        </w:rPr>
        <w:t>比选代理机构</w:t>
      </w:r>
      <w:r>
        <w:rPr>
          <w:highlight w:val="none"/>
        </w:rPr>
        <w:t>依据法律法规和</w:t>
      </w:r>
      <w:r>
        <w:rPr>
          <w:rFonts w:hint="eastAsia"/>
          <w:highlight w:val="none"/>
        </w:rPr>
        <w:t>比选文件</w:t>
      </w:r>
      <w:r>
        <w:rPr>
          <w:highlight w:val="none"/>
        </w:rPr>
        <w:t>的规定，对响应文件中的资格证明文件等进行审查，以确定供应商是否具备响应资格。</w:t>
      </w:r>
    </w:p>
    <w:p w14:paraId="710CC9AF">
      <w:pPr>
        <w:pStyle w:val="5"/>
        <w:numPr>
          <w:ilvl w:val="0"/>
          <w:numId w:val="31"/>
        </w:numPr>
        <w:ind w:firstLineChars="0"/>
        <w:rPr>
          <w:highlight w:val="none"/>
        </w:rPr>
      </w:pPr>
      <w:r>
        <w:rPr>
          <w:highlight w:val="none"/>
        </w:rPr>
        <w:t>在进行资格性审查的同时，将在</w:t>
      </w:r>
      <w:r>
        <w:rPr>
          <w:rFonts w:hint="eastAsia"/>
          <w:highlight w:val="none"/>
        </w:rPr>
        <w:t>“</w:t>
      </w:r>
      <w:r>
        <w:rPr>
          <w:highlight w:val="none"/>
        </w:rPr>
        <w:t>信用中国</w:t>
      </w:r>
      <w:r>
        <w:rPr>
          <w:rFonts w:hint="eastAsia"/>
          <w:highlight w:val="none"/>
        </w:rPr>
        <w:t>”</w:t>
      </w:r>
      <w:r>
        <w:rPr>
          <w:highlight w:val="none"/>
        </w:rPr>
        <w:t>网站（www.creditchina.gov.cn）、对供应商是否被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网站（www.creditchina.gov.cn）列入失信被执行人、重大税收违法失信主体、严重违法失信行为记录名单进行查询，以确定供应商是否具备响应资格。查询结果将以网页打印的形式留存并归档。</w:t>
      </w:r>
    </w:p>
    <w:p w14:paraId="12A225D4">
      <w:pPr>
        <w:pStyle w:val="5"/>
        <w:widowControl/>
        <w:numPr>
          <w:ilvl w:val="0"/>
          <w:numId w:val="31"/>
        </w:numPr>
        <w:ind w:firstLineChars="0"/>
        <w:rPr>
          <w:b/>
          <w:highlight w:val="none"/>
        </w:rPr>
      </w:pPr>
      <w:r>
        <w:rPr>
          <w:b/>
          <w:highlight w:val="none"/>
        </w:rPr>
        <w:t>响应文件有下列情况之一的，在资格审查时按照无效响应处理</w:t>
      </w:r>
    </w:p>
    <w:p w14:paraId="7191F52D">
      <w:pPr>
        <w:pStyle w:val="5"/>
        <w:widowControl/>
        <w:numPr>
          <w:ilvl w:val="0"/>
          <w:numId w:val="32"/>
        </w:numPr>
        <w:ind w:firstLineChars="0"/>
        <w:rPr>
          <w:highlight w:val="none"/>
        </w:rPr>
      </w:pPr>
      <w:r>
        <w:rPr>
          <w:highlight w:val="none"/>
        </w:rPr>
        <w:t>不具备</w:t>
      </w:r>
      <w:r>
        <w:rPr>
          <w:rFonts w:hint="eastAsia"/>
          <w:highlight w:val="none"/>
        </w:rPr>
        <w:t>比选文件</w:t>
      </w:r>
      <w:r>
        <w:rPr>
          <w:highlight w:val="none"/>
        </w:rPr>
        <w:t>规定资格条件的；</w:t>
      </w:r>
    </w:p>
    <w:p w14:paraId="0777C446">
      <w:pPr>
        <w:pStyle w:val="5"/>
        <w:widowControl/>
        <w:numPr>
          <w:ilvl w:val="0"/>
          <w:numId w:val="32"/>
        </w:numPr>
        <w:ind w:firstLineChars="0"/>
        <w:rPr>
          <w:highlight w:val="none"/>
        </w:rPr>
      </w:pP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w:t>
      </w:r>
      <w:r>
        <w:rPr>
          <w:rFonts w:hint="eastAsia"/>
          <w:highlight w:val="none"/>
        </w:rPr>
        <w:t>“</w:t>
      </w:r>
      <w:r>
        <w:rPr>
          <w:highlight w:val="none"/>
        </w:rPr>
        <w:t>中国政府采购网</w:t>
      </w:r>
      <w:r>
        <w:rPr>
          <w:rFonts w:hint="eastAsia"/>
          <w:highlight w:val="none"/>
        </w:rPr>
        <w:t>”</w:t>
      </w:r>
      <w:r>
        <w:rPr>
          <w:highlight w:val="none"/>
        </w:rPr>
        <w:t>（www.ccgp.gov.cn）列入失信被执行人、重大税收违法失信主体、政府采购严重违法失信行为记录名单的。接受联合体的项目，两个以上的自然人、法人或者其他组织组成一个联合体，以一个供应商的身份共同参加</w:t>
      </w:r>
      <w:r>
        <w:rPr>
          <w:rFonts w:hint="eastAsia"/>
          <w:highlight w:val="none"/>
        </w:rPr>
        <w:t>比选</w:t>
      </w:r>
      <w:r>
        <w:rPr>
          <w:highlight w:val="none"/>
        </w:rPr>
        <w:t>活动的，联合体成员存在不良信用记录的，视同联合体存在不良应用记录；</w:t>
      </w:r>
    </w:p>
    <w:p w14:paraId="18B16DE6">
      <w:pPr>
        <w:pStyle w:val="5"/>
        <w:numPr>
          <w:ilvl w:val="0"/>
          <w:numId w:val="30"/>
        </w:numPr>
        <w:ind w:firstLineChars="0"/>
        <w:rPr>
          <w:b/>
          <w:highlight w:val="none"/>
        </w:rPr>
      </w:pPr>
      <w:r>
        <w:rPr>
          <w:b/>
          <w:highlight w:val="none"/>
        </w:rPr>
        <w:t>响应文件的符合性审查</w:t>
      </w:r>
    </w:p>
    <w:p w14:paraId="69D1DA6F">
      <w:pPr>
        <w:pStyle w:val="5"/>
        <w:ind w:firstLine="480" w:firstLineChars="0"/>
        <w:rPr>
          <w:highlight w:val="none"/>
        </w:rPr>
      </w:pPr>
      <w:r>
        <w:rPr>
          <w:highlight w:val="none"/>
        </w:rPr>
        <w:t>2</w:t>
      </w:r>
      <w:r>
        <w:rPr>
          <w:rFonts w:hint="eastAsia"/>
          <w:highlight w:val="none"/>
        </w:rPr>
        <w:t>0</w:t>
      </w:r>
      <w:r>
        <w:rPr>
          <w:highlight w:val="none"/>
        </w:rPr>
        <w:t>.2.2.1评审委员会将依据法律法规和</w:t>
      </w:r>
      <w:r>
        <w:rPr>
          <w:rFonts w:hint="eastAsia"/>
          <w:b/>
          <w:highlight w:val="none"/>
        </w:rPr>
        <w:t>比选</w:t>
      </w:r>
      <w:r>
        <w:rPr>
          <w:highlight w:val="none"/>
        </w:rPr>
        <w:t>文件的规定，对响应文件的有效性、完整性和对</w:t>
      </w:r>
      <w:r>
        <w:rPr>
          <w:rFonts w:hint="eastAsia"/>
          <w:highlight w:val="none"/>
        </w:rPr>
        <w:t>比选文件</w:t>
      </w:r>
      <w:r>
        <w:rPr>
          <w:highlight w:val="none"/>
        </w:rPr>
        <w:t>的响应程度进行审查，以确定是否对</w:t>
      </w:r>
      <w:r>
        <w:rPr>
          <w:rFonts w:hint="eastAsia"/>
          <w:highlight w:val="none"/>
        </w:rPr>
        <w:t>比选文件</w:t>
      </w:r>
      <w:r>
        <w:rPr>
          <w:highlight w:val="none"/>
        </w:rPr>
        <w:t>的实质性要求作出响应。</w:t>
      </w:r>
    </w:p>
    <w:p w14:paraId="32B5B1E9">
      <w:pPr>
        <w:pStyle w:val="5"/>
        <w:ind w:firstLine="480" w:firstLineChars="0"/>
        <w:rPr>
          <w:highlight w:val="none"/>
        </w:rPr>
      </w:pPr>
      <w:r>
        <w:rPr>
          <w:highlight w:val="none"/>
        </w:rPr>
        <w:t>2</w:t>
      </w:r>
      <w:r>
        <w:rPr>
          <w:rFonts w:hint="eastAsia"/>
          <w:highlight w:val="none"/>
        </w:rPr>
        <w:t>0</w:t>
      </w:r>
      <w:r>
        <w:rPr>
          <w:highlight w:val="none"/>
        </w:rPr>
        <w:t>.2.2.2实质性要求是指本</w:t>
      </w:r>
      <w:r>
        <w:rPr>
          <w:rFonts w:hint="eastAsia"/>
          <w:highlight w:val="none"/>
        </w:rPr>
        <w:t>比选文件</w:t>
      </w:r>
      <w:r>
        <w:rPr>
          <w:highlight w:val="none"/>
        </w:rPr>
        <w:t>中带</w:t>
      </w:r>
      <w:r>
        <w:rPr>
          <w:rFonts w:hint="eastAsia"/>
          <w:highlight w:val="none"/>
        </w:rPr>
        <w:t>“</w:t>
      </w:r>
      <w:r>
        <w:rPr>
          <w:highlight w:val="none"/>
        </w:rPr>
        <w:t>★</w:t>
      </w:r>
      <w:r>
        <w:rPr>
          <w:rFonts w:hint="eastAsia"/>
          <w:highlight w:val="none"/>
        </w:rPr>
        <w:t>”</w:t>
      </w:r>
      <w:r>
        <w:rPr>
          <w:highlight w:val="none"/>
        </w:rPr>
        <w:t>的商务和技术要求。</w:t>
      </w:r>
    </w:p>
    <w:p w14:paraId="7F770C76">
      <w:pPr>
        <w:pStyle w:val="5"/>
        <w:ind w:firstLine="480" w:firstLineChars="0"/>
        <w:rPr>
          <w:highlight w:val="none"/>
        </w:rPr>
      </w:pPr>
      <w:r>
        <w:rPr>
          <w:highlight w:val="none"/>
        </w:rPr>
        <w:t>2</w:t>
      </w:r>
      <w:r>
        <w:rPr>
          <w:rFonts w:hint="eastAsia"/>
          <w:highlight w:val="none"/>
        </w:rPr>
        <w:t>0</w:t>
      </w:r>
      <w:r>
        <w:rPr>
          <w:highlight w:val="none"/>
        </w:rPr>
        <w:t>.2.2.3如果响应文件实质上没有响应</w:t>
      </w:r>
      <w:r>
        <w:rPr>
          <w:rFonts w:hint="eastAsia"/>
          <w:highlight w:val="none"/>
        </w:rPr>
        <w:t>比选文件</w:t>
      </w:r>
      <w:r>
        <w:rPr>
          <w:highlight w:val="none"/>
        </w:rPr>
        <w:t>的要求，评审委员会将予以拒绝，供应商不得通过修改或撤销不符合要求的偏离而使其响应成为实质性响应的响应。</w:t>
      </w:r>
    </w:p>
    <w:p w14:paraId="1525FC63">
      <w:pPr>
        <w:pStyle w:val="5"/>
        <w:ind w:firstLine="480" w:firstLineChars="0"/>
        <w:rPr>
          <w:b/>
          <w:highlight w:val="none"/>
        </w:rPr>
      </w:pPr>
      <w:r>
        <w:rPr>
          <w:b/>
          <w:highlight w:val="none"/>
        </w:rPr>
        <w:t>2</w:t>
      </w:r>
      <w:r>
        <w:rPr>
          <w:rFonts w:hint="eastAsia"/>
          <w:b/>
          <w:highlight w:val="none"/>
        </w:rPr>
        <w:t>0</w:t>
      </w:r>
      <w:r>
        <w:rPr>
          <w:b/>
          <w:highlight w:val="none"/>
        </w:rPr>
        <w:t>.2.2.4响应文件有下列情况之一的，在符合性审查时按照无效响应处理</w:t>
      </w:r>
    </w:p>
    <w:p w14:paraId="6D501CA2">
      <w:pPr>
        <w:pStyle w:val="5"/>
        <w:widowControl/>
        <w:numPr>
          <w:ilvl w:val="0"/>
          <w:numId w:val="33"/>
        </w:numPr>
        <w:ind w:firstLineChars="0"/>
        <w:rPr>
          <w:highlight w:val="none"/>
        </w:rPr>
      </w:pPr>
      <w:r>
        <w:rPr>
          <w:rFonts w:hint="eastAsia"/>
          <w:highlight w:val="none"/>
        </w:rPr>
        <w:t>未按照比选文件规定的要求密封、签署、盖章的；</w:t>
      </w:r>
    </w:p>
    <w:p w14:paraId="3567554F">
      <w:pPr>
        <w:pStyle w:val="5"/>
        <w:widowControl/>
        <w:numPr>
          <w:ilvl w:val="0"/>
          <w:numId w:val="33"/>
        </w:numPr>
        <w:ind w:firstLineChars="0"/>
        <w:rPr>
          <w:highlight w:val="none"/>
        </w:rPr>
      </w:pPr>
      <w:r>
        <w:rPr>
          <w:rFonts w:hint="eastAsia"/>
          <w:highlight w:val="none"/>
        </w:rPr>
        <w:t>不具备比选文件中规定的资格要求的；</w:t>
      </w:r>
    </w:p>
    <w:p w14:paraId="58408540">
      <w:pPr>
        <w:pStyle w:val="5"/>
        <w:widowControl/>
        <w:numPr>
          <w:ilvl w:val="0"/>
          <w:numId w:val="33"/>
        </w:numPr>
        <w:ind w:firstLineChars="0"/>
        <w:rPr>
          <w:highlight w:val="none"/>
        </w:rPr>
      </w:pPr>
      <w:r>
        <w:rPr>
          <w:rFonts w:hint="eastAsia"/>
          <w:highlight w:val="none"/>
        </w:rPr>
        <w:t>报价超过比选文件中规定的预算金额或者最高限价的；</w:t>
      </w:r>
    </w:p>
    <w:p w14:paraId="3E44C204">
      <w:pPr>
        <w:pStyle w:val="5"/>
        <w:widowControl/>
        <w:numPr>
          <w:ilvl w:val="0"/>
          <w:numId w:val="33"/>
        </w:numPr>
        <w:ind w:firstLineChars="0"/>
        <w:rPr>
          <w:highlight w:val="none"/>
        </w:rPr>
      </w:pPr>
      <w:r>
        <w:rPr>
          <w:rFonts w:hint="eastAsia"/>
          <w:highlight w:val="none"/>
        </w:rPr>
        <w:t>响应文件含有比选人不能接受的附加条件的；</w:t>
      </w:r>
    </w:p>
    <w:p w14:paraId="6ED3DE27">
      <w:pPr>
        <w:pStyle w:val="5"/>
        <w:widowControl/>
        <w:numPr>
          <w:ilvl w:val="0"/>
          <w:numId w:val="33"/>
        </w:numPr>
        <w:ind w:firstLineChars="0"/>
        <w:rPr>
          <w:highlight w:val="none"/>
        </w:rPr>
      </w:pPr>
      <w:r>
        <w:rPr>
          <w:rFonts w:hint="eastAsia"/>
          <w:highlight w:val="none"/>
        </w:rPr>
        <w:t>响应文件不符合比选文件中规定的其它实质性要求的；</w:t>
      </w:r>
    </w:p>
    <w:p w14:paraId="50FE820B">
      <w:pPr>
        <w:pStyle w:val="5"/>
        <w:widowControl/>
        <w:numPr>
          <w:ilvl w:val="0"/>
          <w:numId w:val="33"/>
        </w:numPr>
        <w:ind w:firstLineChars="0"/>
        <w:rPr>
          <w:highlight w:val="none"/>
        </w:rPr>
      </w:pPr>
      <w:r>
        <w:rPr>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ECFADD9">
      <w:pPr>
        <w:pStyle w:val="5"/>
        <w:ind w:firstLine="480" w:firstLineChars="0"/>
        <w:rPr>
          <w:b/>
          <w:highlight w:val="none"/>
        </w:rPr>
      </w:pPr>
      <w:r>
        <w:rPr>
          <w:b/>
          <w:highlight w:val="none"/>
        </w:rPr>
        <w:t>2</w:t>
      </w:r>
      <w:r>
        <w:rPr>
          <w:rFonts w:hint="eastAsia"/>
          <w:b/>
          <w:highlight w:val="none"/>
        </w:rPr>
        <w:t>0</w:t>
      </w:r>
      <w:r>
        <w:rPr>
          <w:b/>
          <w:highlight w:val="none"/>
        </w:rPr>
        <w:t>.2.2.5提交响应文件截止时间后供应商不足3家或者通过资格审查或符合性审查的供应商不足3家的，除</w:t>
      </w:r>
      <w:r>
        <w:rPr>
          <w:rFonts w:hint="eastAsia"/>
          <w:b/>
          <w:highlight w:val="none"/>
        </w:rPr>
        <w:t>比选</w:t>
      </w:r>
      <w:r>
        <w:rPr>
          <w:b/>
          <w:highlight w:val="none"/>
        </w:rPr>
        <w:t>任务取消情形外，按照</w:t>
      </w:r>
      <w:r>
        <w:rPr>
          <w:rFonts w:hint="eastAsia"/>
          <w:b/>
          <w:highlight w:val="none"/>
        </w:rPr>
        <w:t>1</w:t>
      </w:r>
      <w:r>
        <w:rPr>
          <w:b/>
          <w:highlight w:val="none"/>
        </w:rPr>
        <w:t>9.10</w:t>
      </w:r>
      <w:r>
        <w:rPr>
          <w:rFonts w:hint="eastAsia"/>
          <w:b/>
          <w:highlight w:val="none"/>
        </w:rPr>
        <w:t>条款</w:t>
      </w:r>
      <w:r>
        <w:rPr>
          <w:b/>
          <w:highlight w:val="none"/>
        </w:rPr>
        <w:t>处理：</w:t>
      </w:r>
    </w:p>
    <w:p w14:paraId="104D2D1C">
      <w:pPr>
        <w:pStyle w:val="5"/>
        <w:ind w:firstLine="480" w:firstLineChars="0"/>
        <w:rPr>
          <w:b/>
          <w:highlight w:val="none"/>
        </w:rPr>
      </w:pPr>
      <w:r>
        <w:rPr>
          <w:b/>
          <w:highlight w:val="none"/>
        </w:rPr>
        <w:t>2</w:t>
      </w:r>
      <w:r>
        <w:rPr>
          <w:rFonts w:hint="eastAsia"/>
          <w:b/>
          <w:highlight w:val="none"/>
        </w:rPr>
        <w:t>0</w:t>
      </w:r>
      <w:r>
        <w:rPr>
          <w:b/>
          <w:highlight w:val="none"/>
        </w:rPr>
        <w:t>.2.2.6有下列情形之一的予以废标，同时将废标理由通知所有供应商</w:t>
      </w:r>
    </w:p>
    <w:p w14:paraId="7BC84563">
      <w:pPr>
        <w:pStyle w:val="5"/>
        <w:numPr>
          <w:ilvl w:val="0"/>
          <w:numId w:val="34"/>
        </w:numPr>
        <w:ind w:firstLineChars="0"/>
        <w:rPr>
          <w:highlight w:val="none"/>
        </w:rPr>
      </w:pPr>
      <w:r>
        <w:rPr>
          <w:highlight w:val="none"/>
        </w:rPr>
        <w:t>除</w:t>
      </w:r>
      <w:r>
        <w:rPr>
          <w:rFonts w:hint="eastAsia"/>
          <w:highlight w:val="none"/>
        </w:rPr>
        <w:t>19.10</w:t>
      </w:r>
      <w:r>
        <w:rPr>
          <w:highlight w:val="none"/>
        </w:rPr>
        <w:t>中规定的情形外，符合资格条件的供应商或者对</w:t>
      </w:r>
      <w:r>
        <w:rPr>
          <w:rFonts w:hint="eastAsia"/>
          <w:highlight w:val="none"/>
        </w:rPr>
        <w:t>比选文件</w:t>
      </w:r>
      <w:r>
        <w:rPr>
          <w:highlight w:val="none"/>
        </w:rPr>
        <w:t>作实质性响应的供应商不足三家的；</w:t>
      </w:r>
    </w:p>
    <w:p w14:paraId="4D1AEC56">
      <w:pPr>
        <w:pStyle w:val="5"/>
        <w:numPr>
          <w:ilvl w:val="0"/>
          <w:numId w:val="34"/>
        </w:numPr>
        <w:ind w:firstLineChars="0"/>
        <w:rPr>
          <w:highlight w:val="none"/>
        </w:rPr>
      </w:pPr>
      <w:r>
        <w:rPr>
          <w:highlight w:val="none"/>
        </w:rPr>
        <w:t>出现影响</w:t>
      </w:r>
      <w:r>
        <w:rPr>
          <w:rFonts w:hint="eastAsia"/>
          <w:highlight w:val="none"/>
        </w:rPr>
        <w:t>比选</w:t>
      </w:r>
      <w:r>
        <w:rPr>
          <w:highlight w:val="none"/>
        </w:rPr>
        <w:t>公正的违法、违规行为的；</w:t>
      </w:r>
    </w:p>
    <w:p w14:paraId="1CE9855F">
      <w:pPr>
        <w:pStyle w:val="5"/>
        <w:widowControl/>
        <w:numPr>
          <w:ilvl w:val="0"/>
          <w:numId w:val="34"/>
        </w:numPr>
        <w:ind w:firstLineChars="0"/>
        <w:rPr>
          <w:highlight w:val="none"/>
        </w:rPr>
      </w:pPr>
      <w:r>
        <w:rPr>
          <w:highlight w:val="none"/>
        </w:rPr>
        <w:t>因重大变故，</w:t>
      </w:r>
      <w:r>
        <w:rPr>
          <w:rFonts w:hint="eastAsia"/>
          <w:highlight w:val="none"/>
        </w:rPr>
        <w:t>比选</w:t>
      </w:r>
      <w:r>
        <w:rPr>
          <w:highlight w:val="none"/>
        </w:rPr>
        <w:t>任务取消的；</w:t>
      </w:r>
    </w:p>
    <w:p w14:paraId="45AE5717">
      <w:pPr>
        <w:pStyle w:val="5"/>
        <w:widowControl/>
        <w:numPr>
          <w:ilvl w:val="0"/>
          <w:numId w:val="34"/>
        </w:numPr>
        <w:ind w:firstLineChars="0"/>
        <w:rPr>
          <w:highlight w:val="none"/>
        </w:rPr>
      </w:pPr>
      <w:r>
        <w:rPr>
          <w:rFonts w:hint="eastAsia"/>
          <w:highlight w:val="none"/>
        </w:rPr>
        <w:t>比选文件</w:t>
      </w:r>
      <w:r>
        <w:rPr>
          <w:highlight w:val="none"/>
        </w:rPr>
        <w:t>存在歧义、重大缺陷，或者</w:t>
      </w:r>
      <w:r>
        <w:rPr>
          <w:rFonts w:hint="eastAsia"/>
          <w:highlight w:val="none"/>
        </w:rPr>
        <w:t>比选文件</w:t>
      </w:r>
      <w:r>
        <w:rPr>
          <w:highlight w:val="none"/>
        </w:rPr>
        <w:t>内容违反国家有关强制性规定的；</w:t>
      </w:r>
    </w:p>
    <w:p w14:paraId="4C4FF56E">
      <w:pPr>
        <w:pStyle w:val="5"/>
        <w:numPr>
          <w:ilvl w:val="0"/>
          <w:numId w:val="30"/>
        </w:numPr>
        <w:ind w:firstLineChars="0"/>
        <w:rPr>
          <w:b/>
          <w:highlight w:val="none"/>
        </w:rPr>
      </w:pPr>
      <w:r>
        <w:rPr>
          <w:b/>
          <w:highlight w:val="none"/>
        </w:rPr>
        <w:t>响应文件的进一步评审</w:t>
      </w:r>
    </w:p>
    <w:p w14:paraId="32876244">
      <w:pPr>
        <w:pStyle w:val="5"/>
        <w:numPr>
          <w:ilvl w:val="0"/>
          <w:numId w:val="35"/>
        </w:numPr>
        <w:ind w:firstLineChars="0"/>
        <w:rPr>
          <w:highlight w:val="none"/>
        </w:rPr>
      </w:pPr>
      <w:r>
        <w:rPr>
          <w:highlight w:val="none"/>
        </w:rPr>
        <w:t>评审委员会将对确定为实质性响应的响应文件进行进一步评审，看其是否有计算上或累加上的算术错误，修正错误的原则如下：</w:t>
      </w:r>
    </w:p>
    <w:p w14:paraId="0ED1945C">
      <w:pPr>
        <w:pStyle w:val="5"/>
        <w:numPr>
          <w:ilvl w:val="0"/>
          <w:numId w:val="36"/>
        </w:numPr>
        <w:ind w:firstLineChars="0"/>
        <w:rPr>
          <w:highlight w:val="none"/>
        </w:rPr>
      </w:pPr>
      <w:r>
        <w:rPr>
          <w:highlight w:val="none"/>
        </w:rPr>
        <w:t>如果用数字表示的金额和用文字表示的金额不一致时，应以文字表示的金额为准进行修正；</w:t>
      </w:r>
    </w:p>
    <w:p w14:paraId="1935561B">
      <w:pPr>
        <w:pStyle w:val="5"/>
        <w:numPr>
          <w:ilvl w:val="0"/>
          <w:numId w:val="36"/>
        </w:numPr>
        <w:ind w:firstLineChars="0"/>
        <w:rPr>
          <w:highlight w:val="none"/>
        </w:rPr>
      </w:pPr>
      <w:r>
        <w:rPr>
          <w:highlight w:val="none"/>
        </w:rPr>
        <w:t>当单价与数量的乘积和总价不一致时，以单价为准进行修正。只有在评审委员会认为单价有明显的小数点错误时，才能以标出的总价为准，并修改单价。</w:t>
      </w:r>
    </w:p>
    <w:p w14:paraId="2E3504A1">
      <w:pPr>
        <w:pStyle w:val="5"/>
        <w:numPr>
          <w:ilvl w:val="0"/>
          <w:numId w:val="35"/>
        </w:numPr>
        <w:ind w:firstLineChars="0"/>
        <w:rPr>
          <w:highlight w:val="none"/>
        </w:rPr>
      </w:pPr>
      <w:r>
        <w:rPr>
          <w:highlight w:val="none"/>
        </w:rPr>
        <w:t>评审委员会将按上述修正错误的方法调整响应文件中的响应价，调整后的价格应对供应商具有约束力。如果供应商不接受修正后的价格，则其响应将被拒绝。</w:t>
      </w:r>
    </w:p>
    <w:p w14:paraId="42FF5E85">
      <w:pPr>
        <w:pStyle w:val="5"/>
        <w:numPr>
          <w:ilvl w:val="0"/>
          <w:numId w:val="35"/>
        </w:numPr>
        <w:ind w:firstLineChars="0"/>
        <w:rPr>
          <w:highlight w:val="none"/>
        </w:rPr>
      </w:pPr>
      <w:r>
        <w:rPr>
          <w:highlight w:val="none"/>
        </w:rPr>
        <w:t>评审委员会将允许修正响应文件中不构成重大偏离的、微小的、非正规的、不一致的或不规则的地方，但这些修改不能影响任何供应商相应的名次排列。</w:t>
      </w:r>
    </w:p>
    <w:p w14:paraId="59D9D979">
      <w:pPr>
        <w:pStyle w:val="5"/>
        <w:widowControl/>
        <w:numPr>
          <w:ilvl w:val="0"/>
          <w:numId w:val="35"/>
        </w:numPr>
        <w:ind w:firstLineChars="0"/>
        <w:rPr>
          <w:highlight w:val="none"/>
        </w:rPr>
      </w:pPr>
      <w:r>
        <w:rPr>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578E9E6">
      <w:pPr>
        <w:pStyle w:val="5"/>
        <w:widowControl/>
        <w:numPr>
          <w:ilvl w:val="0"/>
          <w:numId w:val="35"/>
        </w:numPr>
        <w:ind w:firstLineChars="0"/>
        <w:rPr>
          <w:highlight w:val="none"/>
        </w:rPr>
      </w:pPr>
      <w:r>
        <w:rPr>
          <w:highlight w:val="none"/>
        </w:rPr>
        <w:t>评价。按照</w:t>
      </w:r>
      <w:r>
        <w:rPr>
          <w:rFonts w:hint="eastAsia"/>
          <w:highlight w:val="none"/>
        </w:rPr>
        <w:t>比选文件</w:t>
      </w:r>
      <w:r>
        <w:rPr>
          <w:highlight w:val="none"/>
        </w:rPr>
        <w:t>中规定的评审方法和标准，对资格性检查和符合性检查合格的响应文件进行</w:t>
      </w:r>
      <w:r>
        <w:rPr>
          <w:rFonts w:hint="eastAsia"/>
          <w:highlight w:val="none"/>
        </w:rPr>
        <w:t>评价</w:t>
      </w:r>
      <w:r>
        <w:rPr>
          <w:highlight w:val="none"/>
        </w:rPr>
        <w:t>。</w:t>
      </w:r>
    </w:p>
    <w:p w14:paraId="5AB1E875">
      <w:pPr>
        <w:pStyle w:val="5"/>
        <w:widowControl/>
        <w:numPr>
          <w:ilvl w:val="0"/>
          <w:numId w:val="27"/>
        </w:numPr>
        <w:ind w:firstLineChars="0"/>
        <w:rPr>
          <w:b/>
          <w:highlight w:val="none"/>
        </w:rPr>
      </w:pPr>
      <w:r>
        <w:rPr>
          <w:b/>
          <w:highlight w:val="none"/>
        </w:rPr>
        <w:t>评审方法和标准</w:t>
      </w:r>
    </w:p>
    <w:p w14:paraId="762FAA6A">
      <w:pPr>
        <w:pStyle w:val="5"/>
        <w:widowControl/>
        <w:numPr>
          <w:ilvl w:val="0"/>
          <w:numId w:val="37"/>
        </w:numPr>
        <w:ind w:firstLineChars="0"/>
        <w:rPr>
          <w:highlight w:val="none"/>
        </w:rPr>
      </w:pPr>
      <w:r>
        <w:rPr>
          <w:highlight w:val="none"/>
        </w:rPr>
        <w:t>采用综合评分法。即在响应文件满足</w:t>
      </w:r>
      <w:r>
        <w:rPr>
          <w:rFonts w:hint="eastAsia"/>
          <w:b/>
          <w:highlight w:val="none"/>
        </w:rPr>
        <w:t>比选</w:t>
      </w:r>
      <w:r>
        <w:rPr>
          <w:highlight w:val="none"/>
        </w:rPr>
        <w:t>文件全部实质性要求前提下，按照评审因素的量化指标评分。</w:t>
      </w:r>
    </w:p>
    <w:p w14:paraId="1DA9A384">
      <w:pPr>
        <w:pStyle w:val="5"/>
        <w:numPr>
          <w:ilvl w:val="0"/>
          <w:numId w:val="37"/>
        </w:numPr>
        <w:ind w:firstLineChars="0"/>
        <w:rPr>
          <w:highlight w:val="none"/>
        </w:rPr>
      </w:pPr>
      <w:r>
        <w:rPr>
          <w:highlight w:val="none"/>
        </w:rPr>
        <w:t>综合评分的主要因素是：价格、技术、服务、业绩、履约能力等。</w:t>
      </w:r>
    </w:p>
    <w:p w14:paraId="0FF2ADF0">
      <w:pPr>
        <w:pStyle w:val="5"/>
        <w:numPr>
          <w:ilvl w:val="0"/>
          <w:numId w:val="37"/>
        </w:numPr>
        <w:ind w:firstLineChars="0"/>
        <w:rPr>
          <w:highlight w:val="none"/>
        </w:rPr>
      </w:pPr>
      <w:r>
        <w:rPr>
          <w:highlight w:val="none"/>
        </w:rPr>
        <w:t>评分标准详见文件第三章。</w:t>
      </w:r>
    </w:p>
    <w:p w14:paraId="6C077F64">
      <w:pPr>
        <w:pStyle w:val="5"/>
        <w:numPr>
          <w:ilvl w:val="0"/>
          <w:numId w:val="25"/>
        </w:numPr>
        <w:ind w:firstLineChars="0"/>
        <w:rPr>
          <w:b/>
          <w:highlight w:val="none"/>
        </w:rPr>
      </w:pPr>
      <w:r>
        <w:rPr>
          <w:b/>
          <w:highlight w:val="none"/>
        </w:rPr>
        <w:t>确定成交供应商</w:t>
      </w:r>
    </w:p>
    <w:p w14:paraId="76AF09CC">
      <w:pPr>
        <w:pStyle w:val="5"/>
        <w:numPr>
          <w:ilvl w:val="0"/>
          <w:numId w:val="38"/>
        </w:numPr>
        <w:ind w:firstLineChars="0"/>
        <w:rPr>
          <w:highlight w:val="none"/>
        </w:rPr>
      </w:pPr>
      <w:r>
        <w:rPr>
          <w:highlight w:val="none"/>
        </w:rPr>
        <w:t>在综合</w:t>
      </w:r>
      <w:r>
        <w:rPr>
          <w:rFonts w:hint="eastAsia"/>
          <w:highlight w:val="none"/>
        </w:rPr>
        <w:t>评审</w:t>
      </w:r>
      <w:r>
        <w:rPr>
          <w:highlight w:val="none"/>
        </w:rPr>
        <w:t>后</w:t>
      </w:r>
      <w:r>
        <w:rPr>
          <w:rFonts w:hint="eastAsia"/>
          <w:highlight w:val="none"/>
        </w:rPr>
        <w:t>按照得分由高到低顺序对供应商进行排序</w:t>
      </w:r>
      <w:r>
        <w:rPr>
          <w:highlight w:val="none"/>
        </w:rPr>
        <w:t>。评审委员会按综合得分排名推荐3名成交候选人。得分相同的，按响应报价由低到高顺序排列。按以下第</w:t>
      </w:r>
      <w:r>
        <w:rPr>
          <w:highlight w:val="none"/>
          <w:u w:val="single"/>
        </w:rPr>
        <w:t>（2）</w:t>
      </w:r>
      <w:r>
        <w:rPr>
          <w:highlight w:val="none"/>
        </w:rPr>
        <w:t>种方式确定成交供应商</w:t>
      </w:r>
    </w:p>
    <w:p w14:paraId="3417DBA9">
      <w:pPr>
        <w:pStyle w:val="5"/>
        <w:numPr>
          <w:ilvl w:val="0"/>
          <w:numId w:val="39"/>
        </w:numPr>
        <w:ind w:firstLineChars="0"/>
        <w:rPr>
          <w:highlight w:val="none"/>
        </w:rPr>
      </w:pPr>
      <w:r>
        <w:rPr>
          <w:highlight w:val="none"/>
        </w:rPr>
        <w:t>评审委员会直接确定排名第一的成交候选人为成交供应商；</w:t>
      </w:r>
    </w:p>
    <w:p w14:paraId="1252A250">
      <w:pPr>
        <w:pStyle w:val="5"/>
        <w:numPr>
          <w:ilvl w:val="0"/>
          <w:numId w:val="39"/>
        </w:numPr>
        <w:ind w:firstLineChars="0"/>
        <w:rPr>
          <w:highlight w:val="none"/>
        </w:rPr>
      </w:pPr>
      <w:r>
        <w:rPr>
          <w:rFonts w:hint="eastAsia"/>
          <w:highlight w:val="none"/>
        </w:rPr>
        <w:t>比选人项目单位在评审委员会推荐的成交候选人中按顺序确定成交供应商</w:t>
      </w:r>
      <w:r>
        <w:rPr>
          <w:highlight w:val="none"/>
        </w:rPr>
        <w:t>。</w:t>
      </w:r>
    </w:p>
    <w:p w14:paraId="07298838">
      <w:pPr>
        <w:pStyle w:val="5"/>
        <w:ind w:firstLine="480"/>
        <w:rPr>
          <w:highlight w:val="none"/>
        </w:rPr>
      </w:pPr>
      <w:r>
        <w:rPr>
          <w:highlight w:val="none"/>
        </w:rPr>
        <w:t>按第二种方式确定成交供应商的，代理机构自评审结束之日起两个工作日内将评审报告送交</w:t>
      </w:r>
      <w:r>
        <w:rPr>
          <w:rFonts w:hint="eastAsia"/>
          <w:highlight w:val="none"/>
        </w:rPr>
        <w:t>比选人</w:t>
      </w:r>
      <w:r>
        <w:rPr>
          <w:highlight w:val="none"/>
        </w:rPr>
        <w:t>，</w:t>
      </w:r>
      <w:r>
        <w:rPr>
          <w:rFonts w:hint="eastAsia"/>
          <w:highlight w:val="none"/>
        </w:rPr>
        <w:t>比选人</w:t>
      </w:r>
      <w:r>
        <w:rPr>
          <w:highlight w:val="none"/>
        </w:rPr>
        <w:t>项目单位应当</w:t>
      </w:r>
      <w:r>
        <w:rPr>
          <w:rFonts w:hint="eastAsia"/>
          <w:highlight w:val="none"/>
        </w:rPr>
        <w:t>自收到评审报告之日起五个工作日内</w:t>
      </w:r>
      <w:r>
        <w:rPr>
          <w:highlight w:val="none"/>
        </w:rPr>
        <w:t>在评审报告推荐的成交候选人中按顺序确定成交供应商。</w:t>
      </w:r>
    </w:p>
    <w:p w14:paraId="5F5B85D0">
      <w:pPr>
        <w:pStyle w:val="5"/>
        <w:numPr>
          <w:ilvl w:val="0"/>
          <w:numId w:val="38"/>
        </w:numPr>
        <w:ind w:firstLineChars="0"/>
        <w:rPr>
          <w:highlight w:val="none"/>
        </w:rPr>
      </w:pPr>
      <w:r>
        <w:rPr>
          <w:highlight w:val="none"/>
        </w:rPr>
        <w:t>成交供应商确定之日起两个工作日内，将在</w:t>
      </w:r>
      <w:r>
        <w:rPr>
          <w:rFonts w:hint="eastAsia"/>
          <w:highlight w:val="none"/>
        </w:rPr>
        <w:t>“</w:t>
      </w:r>
      <w:r>
        <w:rPr>
          <w:highlight w:val="none"/>
        </w:rPr>
        <w:t>南京邮电大学校园网</w:t>
      </w:r>
      <w:r>
        <w:rPr>
          <w:rFonts w:hint="eastAsia"/>
          <w:highlight w:val="none"/>
        </w:rPr>
        <w:t>”</w:t>
      </w:r>
      <w:r>
        <w:rPr>
          <w:highlight w:val="none"/>
        </w:rPr>
        <w:t>发布公告，并向成交供应商发出《成交通知书》。</w:t>
      </w:r>
    </w:p>
    <w:p w14:paraId="5529629D">
      <w:pPr>
        <w:pStyle w:val="5"/>
        <w:numPr>
          <w:ilvl w:val="0"/>
          <w:numId w:val="38"/>
        </w:numPr>
        <w:ind w:firstLineChars="0"/>
        <w:rPr>
          <w:highlight w:val="none"/>
        </w:rPr>
      </w:pPr>
      <w:r>
        <w:rPr>
          <w:highlight w:val="none"/>
        </w:rPr>
        <w:t>《成交通知书》对</w:t>
      </w:r>
      <w:r>
        <w:rPr>
          <w:rFonts w:hint="eastAsia"/>
          <w:highlight w:val="none"/>
        </w:rPr>
        <w:t>比选人</w:t>
      </w:r>
      <w:r>
        <w:rPr>
          <w:highlight w:val="none"/>
        </w:rPr>
        <w:t>和成交供应商具有同等法律效力。</w:t>
      </w:r>
    </w:p>
    <w:p w14:paraId="2FB90A03">
      <w:pPr>
        <w:pStyle w:val="5"/>
        <w:numPr>
          <w:ilvl w:val="0"/>
          <w:numId w:val="38"/>
        </w:numPr>
        <w:ind w:firstLineChars="0"/>
        <w:rPr>
          <w:highlight w:val="none"/>
        </w:rPr>
      </w:pPr>
      <w:r>
        <w:rPr>
          <w:highlight w:val="none"/>
        </w:rPr>
        <w:t>《成交通知书》发出后，成交供应商无正当理由不与</w:t>
      </w:r>
      <w:r>
        <w:rPr>
          <w:rFonts w:hint="eastAsia"/>
          <w:highlight w:val="none"/>
        </w:rPr>
        <w:t>比选人</w:t>
      </w:r>
      <w:r>
        <w:rPr>
          <w:highlight w:val="none"/>
        </w:rPr>
        <w:t>签订合同的，应当依法承担法律责任。</w:t>
      </w:r>
    </w:p>
    <w:p w14:paraId="68C1DAEC">
      <w:pPr>
        <w:pStyle w:val="5"/>
        <w:numPr>
          <w:ilvl w:val="0"/>
          <w:numId w:val="38"/>
        </w:numPr>
        <w:ind w:firstLineChars="0"/>
        <w:rPr>
          <w:highlight w:val="none"/>
        </w:rPr>
      </w:pPr>
      <w:r>
        <w:rPr>
          <w:highlight w:val="none"/>
        </w:rPr>
        <w:t>代理机构和评审委员会对未成交的供应商不作未成交原因的解释。</w:t>
      </w:r>
    </w:p>
    <w:p w14:paraId="6FF874A9">
      <w:pPr>
        <w:pStyle w:val="5"/>
        <w:numPr>
          <w:ilvl w:val="0"/>
          <w:numId w:val="38"/>
        </w:numPr>
        <w:ind w:firstLineChars="0"/>
        <w:rPr>
          <w:highlight w:val="none"/>
        </w:rPr>
      </w:pPr>
      <w:r>
        <w:rPr>
          <w:highlight w:val="none"/>
        </w:rPr>
        <w:t>所有响应文件不论成交与否均不退回。</w:t>
      </w:r>
    </w:p>
    <w:p w14:paraId="29A06AF0">
      <w:pPr>
        <w:pStyle w:val="5"/>
        <w:numPr>
          <w:ilvl w:val="0"/>
          <w:numId w:val="25"/>
        </w:numPr>
        <w:ind w:firstLineChars="0"/>
        <w:rPr>
          <w:b/>
          <w:highlight w:val="none"/>
        </w:rPr>
      </w:pPr>
      <w:r>
        <w:rPr>
          <w:b/>
          <w:highlight w:val="none"/>
        </w:rPr>
        <w:t>编写评审报告</w:t>
      </w:r>
    </w:p>
    <w:p w14:paraId="0A333043">
      <w:pPr>
        <w:pStyle w:val="5"/>
        <w:ind w:firstLine="480"/>
        <w:rPr>
          <w:highlight w:val="none"/>
        </w:rPr>
      </w:pPr>
      <w:r>
        <w:rPr>
          <w:highlight w:val="none"/>
        </w:rPr>
        <w:t>评审委员会根据全体评审成员签字的原始评审记录和评审结果编写评审报告。</w:t>
      </w:r>
    </w:p>
    <w:p w14:paraId="68CF4138">
      <w:pPr>
        <w:pStyle w:val="5"/>
        <w:numPr>
          <w:ilvl w:val="0"/>
          <w:numId w:val="25"/>
        </w:numPr>
        <w:ind w:firstLineChars="0"/>
        <w:rPr>
          <w:b/>
          <w:highlight w:val="none"/>
        </w:rPr>
      </w:pPr>
      <w:r>
        <w:rPr>
          <w:b/>
          <w:highlight w:val="none"/>
        </w:rPr>
        <w:t>评审过程的保密</w:t>
      </w:r>
    </w:p>
    <w:p w14:paraId="7205FB19">
      <w:pPr>
        <w:pStyle w:val="5"/>
        <w:numPr>
          <w:ilvl w:val="0"/>
          <w:numId w:val="40"/>
        </w:numPr>
        <w:ind w:firstLineChars="0"/>
        <w:rPr>
          <w:highlight w:val="none"/>
        </w:rPr>
      </w:pPr>
      <w:r>
        <w:rPr>
          <w:highlight w:val="none"/>
        </w:rPr>
        <w:t>代理机构将采取必要措施，保证评审在严格保密的情况下进行。</w:t>
      </w:r>
    </w:p>
    <w:p w14:paraId="6A7EF4A7">
      <w:pPr>
        <w:pStyle w:val="5"/>
        <w:numPr>
          <w:ilvl w:val="0"/>
          <w:numId w:val="40"/>
        </w:numPr>
        <w:ind w:firstLineChars="0"/>
        <w:rPr>
          <w:highlight w:val="none"/>
        </w:rPr>
      </w:pPr>
      <w:r>
        <w:rPr>
          <w:highlight w:val="none"/>
        </w:rPr>
        <w:t>任何单位和个人不得非法干预、影响评审办法的确定，以及评审过程和结果。</w:t>
      </w:r>
    </w:p>
    <w:p w14:paraId="237C8D33">
      <w:pPr>
        <w:pStyle w:val="5"/>
        <w:numPr>
          <w:ilvl w:val="0"/>
          <w:numId w:val="40"/>
        </w:numPr>
        <w:ind w:firstLineChars="0"/>
        <w:rPr>
          <w:highlight w:val="none"/>
        </w:rPr>
      </w:pPr>
      <w:r>
        <w:rPr>
          <w:highlight w:val="none"/>
        </w:rPr>
        <w:t>凡是与审查、澄清、评价和比较响应的有关资料等，均不得向供应商及与评审无关的人员透露。</w:t>
      </w:r>
    </w:p>
    <w:p w14:paraId="7C41B1E5">
      <w:pPr>
        <w:pStyle w:val="5"/>
        <w:numPr>
          <w:ilvl w:val="0"/>
          <w:numId w:val="7"/>
        </w:numPr>
        <w:ind w:firstLineChars="0"/>
        <w:rPr>
          <w:b/>
          <w:highlight w:val="none"/>
        </w:rPr>
      </w:pPr>
      <w:r>
        <w:rPr>
          <w:b/>
          <w:highlight w:val="none"/>
        </w:rPr>
        <w:t>签订合同</w:t>
      </w:r>
    </w:p>
    <w:p w14:paraId="7F528C42">
      <w:pPr>
        <w:pStyle w:val="5"/>
        <w:ind w:firstLine="482"/>
        <w:rPr>
          <w:b/>
          <w:highlight w:val="none"/>
        </w:rPr>
      </w:pPr>
      <w:r>
        <w:rPr>
          <w:b/>
          <w:highlight w:val="none"/>
        </w:rPr>
        <w:t>24.签订合同</w:t>
      </w:r>
    </w:p>
    <w:p w14:paraId="1CDBB9BD">
      <w:pPr>
        <w:pStyle w:val="5"/>
        <w:numPr>
          <w:ilvl w:val="0"/>
          <w:numId w:val="41"/>
        </w:numPr>
        <w:ind w:firstLineChars="0"/>
        <w:rPr>
          <w:highlight w:val="none"/>
        </w:rPr>
      </w:pPr>
      <w:r>
        <w:rPr>
          <w:rFonts w:hint="eastAsia"/>
          <w:highlight w:val="none"/>
        </w:rPr>
        <w:t>比选人</w:t>
      </w:r>
      <w:r>
        <w:rPr>
          <w:highlight w:val="none"/>
        </w:rPr>
        <w:t>项目单位应当</w:t>
      </w:r>
      <w:r>
        <w:rPr>
          <w:rFonts w:hint="eastAsia"/>
          <w:highlight w:val="none"/>
        </w:rPr>
        <w:t>自《成交通知书》发出之日起三十日内</w:t>
      </w:r>
      <w:r>
        <w:rPr>
          <w:highlight w:val="none"/>
        </w:rPr>
        <w:t>，按照</w:t>
      </w:r>
      <w:r>
        <w:rPr>
          <w:rFonts w:hint="eastAsia"/>
          <w:b/>
          <w:highlight w:val="none"/>
        </w:rPr>
        <w:t>比选</w:t>
      </w:r>
      <w:r>
        <w:rPr>
          <w:highlight w:val="none"/>
        </w:rPr>
        <w:t>文件和成交供应商响应文件与成交供应商签订书面合同。所签订的合同不得对</w:t>
      </w:r>
      <w:r>
        <w:rPr>
          <w:rFonts w:hint="eastAsia"/>
          <w:b/>
          <w:highlight w:val="none"/>
        </w:rPr>
        <w:t>比选</w:t>
      </w:r>
      <w:r>
        <w:rPr>
          <w:highlight w:val="none"/>
        </w:rPr>
        <w:t>文件确定事项和成交供应商响应文件作实质性修改。</w:t>
      </w:r>
    </w:p>
    <w:p w14:paraId="34714195">
      <w:pPr>
        <w:pStyle w:val="5"/>
        <w:numPr>
          <w:ilvl w:val="0"/>
          <w:numId w:val="41"/>
        </w:numPr>
        <w:ind w:firstLineChars="0"/>
        <w:rPr>
          <w:highlight w:val="none"/>
        </w:rPr>
      </w:pPr>
      <w:r>
        <w:rPr>
          <w:rFonts w:hint="eastAsia"/>
          <w:highlight w:val="none"/>
        </w:rPr>
        <w:t>比选人</w:t>
      </w:r>
      <w:r>
        <w:rPr>
          <w:highlight w:val="none"/>
        </w:rPr>
        <w:t>不得向成交供应商提出任何不合理的要求作为签订合同的条件，不得与成交供应商私下订立背离合同实质性内容的协议。</w:t>
      </w:r>
    </w:p>
    <w:p w14:paraId="77EDB443">
      <w:pPr>
        <w:pStyle w:val="5"/>
        <w:numPr>
          <w:ilvl w:val="0"/>
          <w:numId w:val="41"/>
        </w:numPr>
        <w:ind w:firstLineChars="0"/>
        <w:rPr>
          <w:highlight w:val="none"/>
        </w:rPr>
      </w:pPr>
      <w:r>
        <w:rPr>
          <w:highlight w:val="none"/>
        </w:rPr>
        <w:t>成交供应商拒绝与</w:t>
      </w:r>
      <w:r>
        <w:rPr>
          <w:rFonts w:hint="eastAsia"/>
          <w:highlight w:val="none"/>
        </w:rPr>
        <w:t>比选人</w:t>
      </w:r>
      <w:r>
        <w:rPr>
          <w:highlight w:val="none"/>
        </w:rPr>
        <w:t>签订合同，或因不可抗力或者自身原因不能履行合同的，</w:t>
      </w:r>
      <w:r>
        <w:rPr>
          <w:rFonts w:hint="eastAsia"/>
          <w:highlight w:val="none"/>
        </w:rPr>
        <w:t>比选人</w:t>
      </w:r>
      <w:r>
        <w:rPr>
          <w:highlight w:val="none"/>
        </w:rPr>
        <w:t>可以按照评审报告推荐的成交候选人名单排序，确定下一候选人为成交供应商，也可以重新开展</w:t>
      </w:r>
      <w:r>
        <w:rPr>
          <w:rFonts w:hint="eastAsia"/>
          <w:highlight w:val="none"/>
        </w:rPr>
        <w:t>比选</w:t>
      </w:r>
      <w:r>
        <w:rPr>
          <w:highlight w:val="none"/>
        </w:rPr>
        <w:t>活动。评审报告未推荐成交候选人的，应重新开展</w:t>
      </w:r>
      <w:r>
        <w:rPr>
          <w:rFonts w:hint="eastAsia"/>
          <w:highlight w:val="none"/>
        </w:rPr>
        <w:t>比选</w:t>
      </w:r>
      <w:r>
        <w:rPr>
          <w:highlight w:val="none"/>
        </w:rPr>
        <w:t>活动。</w:t>
      </w:r>
    </w:p>
    <w:p w14:paraId="752964F3">
      <w:pPr>
        <w:pStyle w:val="5"/>
        <w:numPr>
          <w:ilvl w:val="0"/>
          <w:numId w:val="41"/>
        </w:numPr>
        <w:ind w:firstLineChars="0"/>
        <w:rPr>
          <w:highlight w:val="none"/>
        </w:rPr>
      </w:pPr>
      <w:r>
        <w:rPr>
          <w:highlight w:val="none"/>
        </w:rPr>
        <w:t>合同履行中，</w:t>
      </w:r>
      <w:r>
        <w:rPr>
          <w:rFonts w:hint="eastAsia"/>
          <w:highlight w:val="none"/>
        </w:rPr>
        <w:t>比选人</w:t>
      </w:r>
      <w:r>
        <w:rPr>
          <w:highlight w:val="none"/>
        </w:rPr>
        <w:t>需追加与合同标的相同服务的，在不改变合同其他条款的前提下，可以与供应商协商签订补充合同，但</w:t>
      </w:r>
      <w:r>
        <w:rPr>
          <w:rFonts w:hint="eastAsia"/>
          <w:highlight w:val="none"/>
        </w:rPr>
        <w:t>所有补充合同的金额不得超过原合同金额的百分之十</w:t>
      </w:r>
      <w:r>
        <w:rPr>
          <w:highlight w:val="none"/>
        </w:rPr>
        <w:t>。</w:t>
      </w:r>
    </w:p>
    <w:p w14:paraId="5012ACCC">
      <w:pPr>
        <w:pStyle w:val="5"/>
        <w:numPr>
          <w:ilvl w:val="0"/>
          <w:numId w:val="7"/>
        </w:numPr>
        <w:ind w:firstLineChars="0"/>
        <w:rPr>
          <w:b/>
          <w:highlight w:val="none"/>
        </w:rPr>
      </w:pPr>
      <w:r>
        <w:rPr>
          <w:b/>
          <w:highlight w:val="none"/>
        </w:rPr>
        <w:t>询问、质疑、投诉和诚实信用</w:t>
      </w:r>
    </w:p>
    <w:p w14:paraId="777BE4F3">
      <w:pPr>
        <w:pStyle w:val="5"/>
        <w:numPr>
          <w:ilvl w:val="0"/>
          <w:numId w:val="42"/>
        </w:numPr>
        <w:ind w:firstLineChars="0"/>
        <w:rPr>
          <w:b/>
          <w:highlight w:val="none"/>
        </w:rPr>
      </w:pPr>
      <w:r>
        <w:rPr>
          <w:b/>
          <w:highlight w:val="none"/>
        </w:rPr>
        <w:t>询问提出与答复</w:t>
      </w:r>
    </w:p>
    <w:p w14:paraId="670B2C1F">
      <w:pPr>
        <w:pStyle w:val="5"/>
        <w:numPr>
          <w:ilvl w:val="0"/>
          <w:numId w:val="43"/>
        </w:numPr>
        <w:ind w:firstLineChars="0"/>
        <w:rPr>
          <w:highlight w:val="none"/>
        </w:rPr>
      </w:pPr>
      <w:r>
        <w:rPr>
          <w:highlight w:val="none"/>
        </w:rPr>
        <w:t>供应商对</w:t>
      </w:r>
      <w:r>
        <w:rPr>
          <w:rFonts w:hint="eastAsia"/>
          <w:highlight w:val="none"/>
        </w:rPr>
        <w:t>比选</w:t>
      </w:r>
      <w:r>
        <w:rPr>
          <w:highlight w:val="none"/>
        </w:rPr>
        <w:t>活动事项有疑问的，如认为</w:t>
      </w:r>
      <w:r>
        <w:rPr>
          <w:rFonts w:hint="eastAsia"/>
          <w:b/>
          <w:highlight w:val="none"/>
        </w:rPr>
        <w:t>比选</w:t>
      </w:r>
      <w:r>
        <w:rPr>
          <w:highlight w:val="none"/>
        </w:rPr>
        <w:t>文件表述有歧义或表述不清，或了解本公司响应被拒绝详细理由等事项，可以通过电话、信函、电子邮件、传真等方式向</w:t>
      </w:r>
      <w:r>
        <w:rPr>
          <w:rFonts w:hint="eastAsia"/>
          <w:highlight w:val="none"/>
        </w:rPr>
        <w:t>比选人</w:t>
      </w:r>
      <w:r>
        <w:rPr>
          <w:highlight w:val="none"/>
        </w:rPr>
        <w:t>、代理机构（以下简称被询问人）提出询问。</w:t>
      </w:r>
    </w:p>
    <w:p w14:paraId="32A88631">
      <w:pPr>
        <w:pStyle w:val="5"/>
        <w:numPr>
          <w:ilvl w:val="0"/>
          <w:numId w:val="43"/>
        </w:numPr>
        <w:ind w:firstLineChars="0"/>
        <w:rPr>
          <w:highlight w:val="none"/>
        </w:rPr>
      </w:pPr>
      <w:r>
        <w:rPr>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630D2FB">
      <w:pPr>
        <w:pStyle w:val="5"/>
        <w:ind w:firstLine="480"/>
        <w:rPr>
          <w:highlight w:val="none"/>
        </w:rPr>
      </w:pPr>
      <w:r>
        <w:rPr>
          <w:highlight w:val="none"/>
        </w:rPr>
        <w:t>对</w:t>
      </w:r>
      <w:r>
        <w:rPr>
          <w:rFonts w:hint="eastAsia"/>
          <w:b/>
          <w:highlight w:val="none"/>
        </w:rPr>
        <w:t>比选</w:t>
      </w:r>
      <w:r>
        <w:rPr>
          <w:highlight w:val="none"/>
        </w:rPr>
        <w:t>文件资格条件、</w:t>
      </w:r>
      <w:r>
        <w:rPr>
          <w:rFonts w:hint="eastAsia"/>
          <w:highlight w:val="none"/>
        </w:rPr>
        <w:t>项目</w:t>
      </w:r>
      <w:r>
        <w:rPr>
          <w:highlight w:val="none"/>
        </w:rPr>
        <w:t>需求、评审办法等实质性内容提出的询问，被询问人可以按照审慎原则组织专家论证，参考论证意见进行澄清、修改和答复。</w:t>
      </w:r>
    </w:p>
    <w:p w14:paraId="1A1A9E1C">
      <w:pPr>
        <w:pStyle w:val="5"/>
        <w:numPr>
          <w:ilvl w:val="0"/>
          <w:numId w:val="43"/>
        </w:numPr>
        <w:ind w:firstLineChars="0"/>
        <w:rPr>
          <w:highlight w:val="none"/>
        </w:rPr>
      </w:pPr>
      <w:r>
        <w:rPr>
          <w:highlight w:val="none"/>
        </w:rPr>
        <w:t>如供应商询问事项涉及依法应当保密的内容，被询问人不予答复，向供应商说明理由和依据。</w:t>
      </w:r>
    </w:p>
    <w:p w14:paraId="0A30511F">
      <w:pPr>
        <w:pStyle w:val="5"/>
        <w:numPr>
          <w:ilvl w:val="0"/>
          <w:numId w:val="42"/>
        </w:numPr>
        <w:ind w:firstLineChars="0"/>
        <w:rPr>
          <w:b/>
          <w:highlight w:val="none"/>
        </w:rPr>
      </w:pPr>
      <w:r>
        <w:rPr>
          <w:b/>
          <w:highlight w:val="none"/>
        </w:rPr>
        <w:t>质疑提出与答复</w:t>
      </w:r>
    </w:p>
    <w:p w14:paraId="7AA4C788">
      <w:pPr>
        <w:pStyle w:val="5"/>
        <w:numPr>
          <w:ilvl w:val="0"/>
          <w:numId w:val="44"/>
        </w:numPr>
        <w:ind w:firstLineChars="0"/>
        <w:rPr>
          <w:highlight w:val="none"/>
        </w:rPr>
      </w:pPr>
      <w:r>
        <w:rPr>
          <w:highlight w:val="none"/>
        </w:rPr>
        <w:t>供应商认为</w:t>
      </w:r>
      <w:r>
        <w:rPr>
          <w:rFonts w:hint="eastAsia"/>
          <w:b/>
          <w:highlight w:val="none"/>
        </w:rPr>
        <w:t>比选</w:t>
      </w:r>
      <w:r>
        <w:rPr>
          <w:highlight w:val="none"/>
        </w:rPr>
        <w:t>文件、</w:t>
      </w:r>
      <w:r>
        <w:rPr>
          <w:rFonts w:hint="eastAsia"/>
          <w:highlight w:val="none"/>
        </w:rPr>
        <w:t>比选</w:t>
      </w:r>
      <w:r>
        <w:rPr>
          <w:highlight w:val="none"/>
        </w:rPr>
        <w:t>过程、成交或者成交结果使自己的权益受到损害的，可以在知道或者应知其权益受到损害之日起规定质疑期 5 个工作日内，以书面形式向</w:t>
      </w:r>
      <w:r>
        <w:rPr>
          <w:rFonts w:hint="eastAsia"/>
          <w:highlight w:val="none"/>
        </w:rPr>
        <w:t>比选人</w:t>
      </w:r>
      <w:r>
        <w:rPr>
          <w:highlight w:val="none"/>
        </w:rPr>
        <w:t>、代理机构提出质疑。</w:t>
      </w:r>
    </w:p>
    <w:p w14:paraId="1E87B23B">
      <w:pPr>
        <w:pStyle w:val="5"/>
        <w:ind w:firstLine="480"/>
        <w:rPr>
          <w:highlight w:val="none"/>
        </w:rPr>
      </w:pPr>
      <w:r>
        <w:rPr>
          <w:highlight w:val="none"/>
        </w:rPr>
        <w:t>26.1.1供应商在规定质疑期内应一次性提出针对同一</w:t>
      </w:r>
      <w:r>
        <w:rPr>
          <w:rFonts w:hint="eastAsia"/>
          <w:highlight w:val="none"/>
        </w:rPr>
        <w:t>比选</w:t>
      </w:r>
      <w:r>
        <w:rPr>
          <w:highlight w:val="none"/>
        </w:rPr>
        <w:t>程序环节的质疑。</w:t>
      </w:r>
    </w:p>
    <w:p w14:paraId="56CD44CB">
      <w:pPr>
        <w:pStyle w:val="5"/>
        <w:numPr>
          <w:ilvl w:val="0"/>
          <w:numId w:val="44"/>
        </w:numPr>
        <w:ind w:firstLineChars="0"/>
        <w:rPr>
          <w:highlight w:val="none"/>
        </w:rPr>
      </w:pPr>
      <w:r>
        <w:rPr>
          <w:highlight w:val="none"/>
        </w:rPr>
        <w:t>供应商知道或者应知其权益受到损害之日，是指：</w:t>
      </w:r>
    </w:p>
    <w:p w14:paraId="1BD504E7">
      <w:pPr>
        <w:pStyle w:val="5"/>
        <w:numPr>
          <w:ilvl w:val="0"/>
          <w:numId w:val="45"/>
        </w:numPr>
        <w:ind w:firstLineChars="0"/>
        <w:rPr>
          <w:highlight w:val="none"/>
        </w:rPr>
      </w:pPr>
      <w:r>
        <w:rPr>
          <w:highlight w:val="none"/>
        </w:rPr>
        <w:t>对可以质疑的</w:t>
      </w:r>
      <w:r>
        <w:rPr>
          <w:rFonts w:hint="eastAsia"/>
          <w:highlight w:val="none"/>
        </w:rPr>
        <w:t>比选文件</w:t>
      </w:r>
      <w:r>
        <w:rPr>
          <w:highlight w:val="none"/>
        </w:rPr>
        <w:t>提出质疑的，为收到</w:t>
      </w:r>
      <w:r>
        <w:rPr>
          <w:rFonts w:hint="eastAsia"/>
          <w:highlight w:val="none"/>
        </w:rPr>
        <w:t>比选文件</w:t>
      </w:r>
      <w:r>
        <w:rPr>
          <w:highlight w:val="none"/>
        </w:rPr>
        <w:t>之日或者</w:t>
      </w:r>
      <w:r>
        <w:rPr>
          <w:rFonts w:hint="eastAsia"/>
          <w:highlight w:val="none"/>
        </w:rPr>
        <w:t>比选文件</w:t>
      </w:r>
      <w:r>
        <w:rPr>
          <w:highlight w:val="none"/>
        </w:rPr>
        <w:t>公告期限届满之日；</w:t>
      </w:r>
    </w:p>
    <w:p w14:paraId="5629CDA3">
      <w:pPr>
        <w:pStyle w:val="5"/>
        <w:numPr>
          <w:ilvl w:val="0"/>
          <w:numId w:val="45"/>
        </w:numPr>
        <w:ind w:firstLineChars="0"/>
        <w:rPr>
          <w:highlight w:val="none"/>
        </w:rPr>
      </w:pPr>
      <w:r>
        <w:rPr>
          <w:highlight w:val="none"/>
        </w:rPr>
        <w:t>对</w:t>
      </w:r>
      <w:r>
        <w:rPr>
          <w:rFonts w:hint="eastAsia"/>
          <w:highlight w:val="none"/>
        </w:rPr>
        <w:t>比选</w:t>
      </w:r>
      <w:r>
        <w:rPr>
          <w:highlight w:val="none"/>
        </w:rPr>
        <w:t>过程提出质疑的，为各</w:t>
      </w:r>
      <w:r>
        <w:rPr>
          <w:rFonts w:hint="eastAsia"/>
          <w:highlight w:val="none"/>
        </w:rPr>
        <w:t>比选</w:t>
      </w:r>
      <w:r>
        <w:rPr>
          <w:highlight w:val="none"/>
        </w:rPr>
        <w:t>程序环节结束之日；</w:t>
      </w:r>
    </w:p>
    <w:p w14:paraId="1CC2B724">
      <w:pPr>
        <w:pStyle w:val="5"/>
        <w:numPr>
          <w:ilvl w:val="0"/>
          <w:numId w:val="45"/>
        </w:numPr>
        <w:ind w:firstLineChars="0"/>
        <w:rPr>
          <w:highlight w:val="none"/>
        </w:rPr>
      </w:pPr>
      <w:r>
        <w:rPr>
          <w:highlight w:val="none"/>
        </w:rPr>
        <w:t>对成交或者成交结果提出质疑的，为成交或者成交结果公告期限届满之日。</w:t>
      </w:r>
    </w:p>
    <w:p w14:paraId="74F89A25">
      <w:pPr>
        <w:pStyle w:val="5"/>
        <w:numPr>
          <w:ilvl w:val="0"/>
          <w:numId w:val="44"/>
        </w:numPr>
        <w:ind w:firstLineChars="0"/>
        <w:rPr>
          <w:highlight w:val="none"/>
        </w:rPr>
      </w:pPr>
      <w:r>
        <w:rPr>
          <w:highlight w:val="none"/>
        </w:rPr>
        <w:t>提出质疑的供应商应当是参与所质疑项目</w:t>
      </w:r>
      <w:r>
        <w:rPr>
          <w:rFonts w:hint="eastAsia"/>
          <w:highlight w:val="none"/>
        </w:rPr>
        <w:t>比选</w:t>
      </w:r>
      <w:r>
        <w:rPr>
          <w:highlight w:val="none"/>
        </w:rPr>
        <w:t>活动的供应商。潜在供应商已依法获取其可质疑的</w:t>
      </w:r>
      <w:r>
        <w:rPr>
          <w:rFonts w:hint="eastAsia"/>
          <w:highlight w:val="none"/>
        </w:rPr>
        <w:t>比选文件</w:t>
      </w:r>
      <w:r>
        <w:rPr>
          <w:highlight w:val="none"/>
        </w:rPr>
        <w:t>的，可以对该文件提出质疑。</w:t>
      </w:r>
    </w:p>
    <w:p w14:paraId="003E74E2">
      <w:pPr>
        <w:pStyle w:val="5"/>
        <w:numPr>
          <w:ilvl w:val="0"/>
          <w:numId w:val="44"/>
        </w:numPr>
        <w:ind w:firstLineChars="0"/>
        <w:rPr>
          <w:highlight w:val="none"/>
        </w:rPr>
      </w:pPr>
      <w:r>
        <w:rPr>
          <w:highlight w:val="none"/>
        </w:rPr>
        <w:t>供应商提出质疑应当提交质疑函和必要的证明材料。质疑函应当包括下列内容：</w:t>
      </w:r>
    </w:p>
    <w:p w14:paraId="7716A3E4">
      <w:pPr>
        <w:pStyle w:val="5"/>
        <w:numPr>
          <w:ilvl w:val="0"/>
          <w:numId w:val="46"/>
        </w:numPr>
        <w:ind w:firstLineChars="0"/>
        <w:rPr>
          <w:highlight w:val="none"/>
        </w:rPr>
      </w:pPr>
      <w:r>
        <w:rPr>
          <w:highlight w:val="none"/>
        </w:rPr>
        <w:t>供应商的姓名或者名称、地址、邮编、联系人及联系电话；</w:t>
      </w:r>
    </w:p>
    <w:p w14:paraId="3A9A5EF6">
      <w:pPr>
        <w:pStyle w:val="5"/>
        <w:numPr>
          <w:ilvl w:val="0"/>
          <w:numId w:val="46"/>
        </w:numPr>
        <w:ind w:firstLineChars="0"/>
        <w:rPr>
          <w:highlight w:val="none"/>
        </w:rPr>
      </w:pPr>
      <w:r>
        <w:rPr>
          <w:highlight w:val="none"/>
        </w:rPr>
        <w:t>质疑项目的名称、编号；</w:t>
      </w:r>
    </w:p>
    <w:p w14:paraId="4F39D244">
      <w:pPr>
        <w:pStyle w:val="5"/>
        <w:numPr>
          <w:ilvl w:val="0"/>
          <w:numId w:val="46"/>
        </w:numPr>
        <w:ind w:firstLineChars="0"/>
        <w:rPr>
          <w:highlight w:val="none"/>
        </w:rPr>
      </w:pPr>
      <w:r>
        <w:rPr>
          <w:highlight w:val="none"/>
        </w:rPr>
        <w:t>具体、明确的质疑事项和与质疑事项相关的请求；</w:t>
      </w:r>
    </w:p>
    <w:p w14:paraId="78445ECE">
      <w:pPr>
        <w:pStyle w:val="5"/>
        <w:numPr>
          <w:ilvl w:val="0"/>
          <w:numId w:val="46"/>
        </w:numPr>
        <w:ind w:firstLineChars="0"/>
        <w:rPr>
          <w:highlight w:val="none"/>
        </w:rPr>
      </w:pPr>
      <w:r>
        <w:rPr>
          <w:highlight w:val="none"/>
        </w:rPr>
        <w:t>事实依据；</w:t>
      </w:r>
    </w:p>
    <w:p w14:paraId="71F5F873">
      <w:pPr>
        <w:pStyle w:val="5"/>
        <w:numPr>
          <w:ilvl w:val="0"/>
          <w:numId w:val="46"/>
        </w:numPr>
        <w:ind w:firstLineChars="0"/>
        <w:rPr>
          <w:highlight w:val="none"/>
        </w:rPr>
      </w:pPr>
      <w:r>
        <w:rPr>
          <w:highlight w:val="none"/>
        </w:rPr>
        <w:t>必要的法律依据；</w:t>
      </w:r>
    </w:p>
    <w:p w14:paraId="0449381C">
      <w:pPr>
        <w:pStyle w:val="5"/>
        <w:numPr>
          <w:ilvl w:val="0"/>
          <w:numId w:val="46"/>
        </w:numPr>
        <w:ind w:firstLineChars="0"/>
        <w:rPr>
          <w:highlight w:val="none"/>
        </w:rPr>
      </w:pPr>
      <w:r>
        <w:rPr>
          <w:highlight w:val="none"/>
        </w:rPr>
        <w:t>提出质疑的日期。</w:t>
      </w:r>
    </w:p>
    <w:p w14:paraId="07FA460B">
      <w:pPr>
        <w:pStyle w:val="5"/>
        <w:ind w:firstLine="480"/>
        <w:rPr>
          <w:highlight w:val="none"/>
        </w:rPr>
      </w:pPr>
      <w:r>
        <w:rPr>
          <w:highlight w:val="none"/>
        </w:rPr>
        <w:t>供应商为自然人的，应当由本人签字；供应商为法人或者其他组织的，应当由法定代表人、主要负责人，或者其授权代表签字或者盖章，并加盖公章。</w:t>
      </w:r>
    </w:p>
    <w:p w14:paraId="275DCC7E">
      <w:pPr>
        <w:pStyle w:val="5"/>
        <w:numPr>
          <w:ilvl w:val="0"/>
          <w:numId w:val="44"/>
        </w:numPr>
        <w:ind w:firstLineChars="0"/>
        <w:rPr>
          <w:highlight w:val="none"/>
        </w:rPr>
      </w:pPr>
      <w:r>
        <w:rPr>
          <w:rFonts w:hint="eastAsia"/>
          <w:highlight w:val="none"/>
        </w:rPr>
        <w:t>比选人</w:t>
      </w:r>
      <w:r>
        <w:rPr>
          <w:highlight w:val="none"/>
        </w:rPr>
        <w:t>、代理机构不得拒收质疑供应商在规定质疑期内发出的质疑函。质疑函通过邮寄送达的，按交邮时间计算。逾期送达的，不予接收。</w:t>
      </w:r>
    </w:p>
    <w:p w14:paraId="547AD5F7">
      <w:pPr>
        <w:pStyle w:val="5"/>
        <w:numPr>
          <w:ilvl w:val="0"/>
          <w:numId w:val="44"/>
        </w:numPr>
        <w:ind w:firstLineChars="0"/>
        <w:rPr>
          <w:highlight w:val="none"/>
        </w:rPr>
      </w:pPr>
      <w:r>
        <w:rPr>
          <w:rFonts w:hint="eastAsia"/>
          <w:highlight w:val="none"/>
        </w:rPr>
        <w:t>比选人</w:t>
      </w:r>
      <w:r>
        <w:rPr>
          <w:highlight w:val="none"/>
        </w:rPr>
        <w:t>、代理机构收到质疑函后，对供应商质疑资格和质疑函相关内容进行审查。审查后若发现质疑函有未按规定签字、盖章，或代理人提出质疑未提交供应商签署的授权委托书的等不符合第26.4条规定情形的，</w:t>
      </w:r>
      <w:r>
        <w:rPr>
          <w:rFonts w:hint="eastAsia"/>
          <w:highlight w:val="none"/>
        </w:rPr>
        <w:t>比选人</w:t>
      </w:r>
      <w:r>
        <w:rPr>
          <w:highlight w:val="none"/>
        </w:rPr>
        <w:t>、代理机构告知供应商（或代理人）需更正或补充的内容，要求其在规定质疑期内补正后提出。审查后发现质疑函存在下列情形之一的，</w:t>
      </w:r>
      <w:r>
        <w:rPr>
          <w:rFonts w:hint="eastAsia"/>
          <w:highlight w:val="none"/>
        </w:rPr>
        <w:t>比选人</w:t>
      </w:r>
      <w:r>
        <w:rPr>
          <w:highlight w:val="none"/>
        </w:rPr>
        <w:t>、代理机构不予受理，并书面告知理由：</w:t>
      </w:r>
    </w:p>
    <w:p w14:paraId="076F368E">
      <w:pPr>
        <w:pStyle w:val="5"/>
        <w:numPr>
          <w:ilvl w:val="0"/>
          <w:numId w:val="47"/>
        </w:numPr>
        <w:ind w:firstLineChars="0"/>
        <w:rPr>
          <w:highlight w:val="none"/>
        </w:rPr>
      </w:pPr>
      <w:r>
        <w:rPr>
          <w:highlight w:val="none"/>
        </w:rPr>
        <w:t>供应商不是参与所质疑项目</w:t>
      </w:r>
      <w:r>
        <w:rPr>
          <w:rFonts w:hint="eastAsia"/>
          <w:highlight w:val="none"/>
        </w:rPr>
        <w:t>比选</w:t>
      </w:r>
      <w:r>
        <w:rPr>
          <w:highlight w:val="none"/>
        </w:rPr>
        <w:t>活动的供应商或依法获取可质疑</w:t>
      </w:r>
      <w:r>
        <w:rPr>
          <w:rFonts w:hint="eastAsia"/>
          <w:highlight w:val="none"/>
        </w:rPr>
        <w:t>比选文件</w:t>
      </w:r>
      <w:r>
        <w:rPr>
          <w:highlight w:val="none"/>
        </w:rPr>
        <w:t>的潜在供应商；</w:t>
      </w:r>
    </w:p>
    <w:p w14:paraId="508CA68C">
      <w:pPr>
        <w:pStyle w:val="5"/>
        <w:numPr>
          <w:ilvl w:val="0"/>
          <w:numId w:val="47"/>
        </w:numPr>
        <w:ind w:firstLineChars="0"/>
        <w:rPr>
          <w:highlight w:val="none"/>
        </w:rPr>
      </w:pPr>
      <w:r>
        <w:rPr>
          <w:highlight w:val="none"/>
        </w:rPr>
        <w:t>潜在供应商所质疑事项均为</w:t>
      </w:r>
      <w:r>
        <w:rPr>
          <w:rFonts w:hint="eastAsia"/>
          <w:highlight w:val="none"/>
        </w:rPr>
        <w:t>比选文件</w:t>
      </w:r>
      <w:r>
        <w:rPr>
          <w:highlight w:val="none"/>
        </w:rPr>
        <w:t>以外的事项；</w:t>
      </w:r>
    </w:p>
    <w:p w14:paraId="3EDE3535">
      <w:pPr>
        <w:pStyle w:val="5"/>
        <w:numPr>
          <w:ilvl w:val="0"/>
          <w:numId w:val="47"/>
        </w:numPr>
        <w:ind w:firstLineChars="0"/>
        <w:rPr>
          <w:highlight w:val="none"/>
        </w:rPr>
      </w:pPr>
      <w:r>
        <w:rPr>
          <w:highlight w:val="none"/>
        </w:rPr>
        <w:t>供应商提交质疑的时间已超过规定质疑期。</w:t>
      </w:r>
    </w:p>
    <w:p w14:paraId="6DABFEC1">
      <w:pPr>
        <w:pStyle w:val="5"/>
        <w:numPr>
          <w:ilvl w:val="0"/>
          <w:numId w:val="47"/>
        </w:numPr>
        <w:ind w:firstLineChars="0"/>
        <w:rPr>
          <w:highlight w:val="none"/>
        </w:rPr>
      </w:pPr>
      <w:r>
        <w:rPr>
          <w:highlight w:val="none"/>
        </w:rPr>
        <w:t>质疑函未按规定签字、盖章，或代理人提出质疑未提交供应商签署的授权委托书，</w:t>
      </w:r>
      <w:r>
        <w:rPr>
          <w:rFonts w:hint="eastAsia"/>
          <w:highlight w:val="none"/>
        </w:rPr>
        <w:t>比选人</w:t>
      </w:r>
      <w:r>
        <w:rPr>
          <w:highlight w:val="none"/>
        </w:rPr>
        <w:t>、代理机构告知后，供应商或代理人未在规定质疑期内补正后提出的。</w:t>
      </w:r>
    </w:p>
    <w:p w14:paraId="7A591D68">
      <w:pPr>
        <w:pStyle w:val="5"/>
        <w:numPr>
          <w:ilvl w:val="0"/>
          <w:numId w:val="47"/>
        </w:numPr>
        <w:ind w:firstLineChars="0"/>
        <w:rPr>
          <w:highlight w:val="none"/>
        </w:rPr>
      </w:pPr>
      <w:r>
        <w:rPr>
          <w:highlight w:val="none"/>
        </w:rPr>
        <w:t>其它不符合受理条件的情形。</w:t>
      </w:r>
    </w:p>
    <w:p w14:paraId="47CA232E">
      <w:pPr>
        <w:pStyle w:val="5"/>
        <w:numPr>
          <w:ilvl w:val="0"/>
          <w:numId w:val="42"/>
        </w:numPr>
        <w:ind w:firstLineChars="0"/>
        <w:rPr>
          <w:b/>
          <w:highlight w:val="none"/>
        </w:rPr>
      </w:pPr>
      <w:r>
        <w:rPr>
          <w:b/>
          <w:highlight w:val="none"/>
        </w:rPr>
        <w:t>投诉提起与处理</w:t>
      </w:r>
    </w:p>
    <w:p w14:paraId="30B4740D">
      <w:pPr>
        <w:pStyle w:val="5"/>
        <w:numPr>
          <w:ilvl w:val="0"/>
          <w:numId w:val="48"/>
        </w:numPr>
        <w:ind w:firstLineChars="0"/>
        <w:rPr>
          <w:highlight w:val="none"/>
        </w:rPr>
      </w:pPr>
      <w:r>
        <w:rPr>
          <w:highlight w:val="none"/>
        </w:rPr>
        <w:t>投诉提起</w:t>
      </w:r>
    </w:p>
    <w:p w14:paraId="15D4F67C">
      <w:pPr>
        <w:pStyle w:val="5"/>
        <w:ind w:firstLine="480"/>
        <w:rPr>
          <w:highlight w:val="none"/>
        </w:rPr>
      </w:pPr>
      <w:r>
        <w:rPr>
          <w:highlight w:val="none"/>
        </w:rPr>
        <w:t>质疑供应商对代理机构的答复不满意，或者代理机构未在规定时间内作出答复的，可以在答复期满后法律法规规定的期限内向有关行政监督部门提起投诉。</w:t>
      </w:r>
    </w:p>
    <w:p w14:paraId="2600ABC5">
      <w:pPr>
        <w:pStyle w:val="5"/>
        <w:numPr>
          <w:ilvl w:val="0"/>
          <w:numId w:val="48"/>
        </w:numPr>
        <w:ind w:firstLineChars="0"/>
        <w:rPr>
          <w:highlight w:val="none"/>
        </w:rPr>
      </w:pPr>
      <w:r>
        <w:rPr>
          <w:highlight w:val="none"/>
        </w:rPr>
        <w:t>供应商投诉时，应当提交投诉书和必要的证明材料。投诉书应当包括下列内容：</w:t>
      </w:r>
    </w:p>
    <w:p w14:paraId="02CA6B4E">
      <w:pPr>
        <w:pStyle w:val="5"/>
        <w:numPr>
          <w:ilvl w:val="0"/>
          <w:numId w:val="49"/>
        </w:numPr>
        <w:ind w:firstLineChars="0"/>
        <w:rPr>
          <w:highlight w:val="none"/>
        </w:rPr>
      </w:pPr>
      <w:r>
        <w:rPr>
          <w:highlight w:val="none"/>
        </w:rPr>
        <w:t>投诉人和被投诉人的姓名或者名称、通讯地址、邮编、联系人及联系电话；</w:t>
      </w:r>
    </w:p>
    <w:p w14:paraId="2A832E6F">
      <w:pPr>
        <w:pStyle w:val="5"/>
        <w:numPr>
          <w:ilvl w:val="0"/>
          <w:numId w:val="49"/>
        </w:numPr>
        <w:ind w:firstLineChars="0"/>
        <w:rPr>
          <w:highlight w:val="none"/>
        </w:rPr>
      </w:pPr>
      <w:r>
        <w:rPr>
          <w:highlight w:val="none"/>
        </w:rPr>
        <w:t>质疑和质疑答复情况说明及相关证明材料；</w:t>
      </w:r>
    </w:p>
    <w:p w14:paraId="05991A6B">
      <w:pPr>
        <w:pStyle w:val="5"/>
        <w:numPr>
          <w:ilvl w:val="0"/>
          <w:numId w:val="49"/>
        </w:numPr>
        <w:ind w:firstLineChars="0"/>
        <w:rPr>
          <w:highlight w:val="none"/>
        </w:rPr>
      </w:pPr>
      <w:r>
        <w:rPr>
          <w:highlight w:val="none"/>
        </w:rPr>
        <w:t>具体、明确的投诉事项和与投诉事项相关的投诉请求；</w:t>
      </w:r>
    </w:p>
    <w:p w14:paraId="5D9726ED">
      <w:pPr>
        <w:pStyle w:val="5"/>
        <w:numPr>
          <w:ilvl w:val="0"/>
          <w:numId w:val="49"/>
        </w:numPr>
        <w:ind w:firstLineChars="0"/>
        <w:rPr>
          <w:highlight w:val="none"/>
        </w:rPr>
      </w:pPr>
      <w:r>
        <w:rPr>
          <w:highlight w:val="none"/>
        </w:rPr>
        <w:t>事实依据；</w:t>
      </w:r>
    </w:p>
    <w:p w14:paraId="0ABD4AD0">
      <w:pPr>
        <w:pStyle w:val="5"/>
        <w:numPr>
          <w:ilvl w:val="0"/>
          <w:numId w:val="49"/>
        </w:numPr>
        <w:ind w:firstLineChars="0"/>
        <w:rPr>
          <w:highlight w:val="none"/>
        </w:rPr>
      </w:pPr>
      <w:r>
        <w:rPr>
          <w:highlight w:val="none"/>
        </w:rPr>
        <w:t>法律依据；</w:t>
      </w:r>
    </w:p>
    <w:p w14:paraId="1AEBB294">
      <w:pPr>
        <w:pStyle w:val="5"/>
        <w:numPr>
          <w:ilvl w:val="0"/>
          <w:numId w:val="49"/>
        </w:numPr>
        <w:ind w:firstLineChars="0"/>
        <w:rPr>
          <w:highlight w:val="none"/>
        </w:rPr>
      </w:pPr>
      <w:r>
        <w:rPr>
          <w:highlight w:val="none"/>
        </w:rPr>
        <w:t>提起投诉的日期。</w:t>
      </w:r>
    </w:p>
    <w:p w14:paraId="5F2EA743">
      <w:pPr>
        <w:pStyle w:val="5"/>
        <w:ind w:firstLine="480"/>
        <w:rPr>
          <w:highlight w:val="none"/>
        </w:rPr>
      </w:pPr>
      <w:r>
        <w:rPr>
          <w:highlight w:val="none"/>
        </w:rPr>
        <w:t>投诉人为自然人的，应当由本人签字；投诉人为法人或者其他组织的，应当由法定代表人、主要负责人，或者其授权代表签字或者盖章，并加盖公章。</w:t>
      </w:r>
    </w:p>
    <w:p w14:paraId="1BD3AAD4">
      <w:pPr>
        <w:pStyle w:val="5"/>
        <w:numPr>
          <w:ilvl w:val="0"/>
          <w:numId w:val="42"/>
        </w:numPr>
        <w:ind w:firstLineChars="0"/>
        <w:rPr>
          <w:b/>
          <w:highlight w:val="none"/>
        </w:rPr>
      </w:pPr>
      <w:r>
        <w:rPr>
          <w:b/>
          <w:highlight w:val="none"/>
        </w:rPr>
        <w:t>诚实信用</w:t>
      </w:r>
    </w:p>
    <w:p w14:paraId="224D59AA">
      <w:pPr>
        <w:pStyle w:val="5"/>
        <w:numPr>
          <w:ilvl w:val="0"/>
          <w:numId w:val="50"/>
        </w:numPr>
        <w:ind w:firstLineChars="0"/>
        <w:rPr>
          <w:highlight w:val="none"/>
        </w:rPr>
      </w:pPr>
      <w:r>
        <w:rPr>
          <w:highlight w:val="none"/>
        </w:rPr>
        <w:t>供应商之间不得相互串通响应报价，不得妨碍其他供应商的公平竞争，不得损害</w:t>
      </w:r>
      <w:r>
        <w:rPr>
          <w:rFonts w:hint="eastAsia"/>
          <w:highlight w:val="none"/>
        </w:rPr>
        <w:t>比选人</w:t>
      </w:r>
      <w:r>
        <w:rPr>
          <w:highlight w:val="none"/>
        </w:rPr>
        <w:t>和其他供应商的合法权益。</w:t>
      </w:r>
    </w:p>
    <w:p w14:paraId="0C758FA6">
      <w:pPr>
        <w:pStyle w:val="5"/>
        <w:numPr>
          <w:ilvl w:val="0"/>
          <w:numId w:val="50"/>
        </w:numPr>
        <w:ind w:firstLineChars="0"/>
        <w:rPr>
          <w:highlight w:val="none"/>
        </w:rPr>
      </w:pPr>
      <w:r>
        <w:rPr>
          <w:highlight w:val="none"/>
        </w:rPr>
        <w:t>供应商不得向代理机构工作人员、评审委员会成员行贿或者采取其他不正当手段谋取成交。经查实供应商有此行为的，</w:t>
      </w:r>
      <w:r>
        <w:rPr>
          <w:rFonts w:hint="eastAsia"/>
          <w:highlight w:val="none"/>
        </w:rPr>
        <w:t>学校</w:t>
      </w:r>
      <w:r>
        <w:rPr>
          <w:highlight w:val="none"/>
        </w:rPr>
        <w:t>管理部门将供应商列入不良行为记录名单，按照有关规定处理。</w:t>
      </w:r>
    </w:p>
    <w:p w14:paraId="15149253">
      <w:pPr>
        <w:pStyle w:val="5"/>
        <w:numPr>
          <w:ilvl w:val="0"/>
          <w:numId w:val="50"/>
        </w:numPr>
        <w:ind w:firstLineChars="0"/>
        <w:rPr>
          <w:highlight w:val="none"/>
        </w:rPr>
      </w:pPr>
      <w:r>
        <w:rPr>
          <w:highlight w:val="none"/>
        </w:rPr>
        <w:t>供应商提出书面质疑必须有理、有据，不得虚假质疑和恶意质疑，并对质疑内容的真实性承担责任。否则，一经查实，代理机构有权依据有关规定，报请</w:t>
      </w:r>
      <w:r>
        <w:rPr>
          <w:rFonts w:hint="eastAsia"/>
          <w:highlight w:val="none"/>
        </w:rPr>
        <w:t>相关</w:t>
      </w:r>
      <w:r>
        <w:rPr>
          <w:highlight w:val="none"/>
        </w:rPr>
        <w:t>监管部门对该供应商进行相应的行政处罚并予以公示。如果供应商或者其他利害关系人通过捏造事实、伪造证明材料等方式提出质疑，干扰</w:t>
      </w:r>
      <w:r>
        <w:rPr>
          <w:rFonts w:hint="eastAsia"/>
          <w:highlight w:val="none"/>
        </w:rPr>
        <w:t>比选</w:t>
      </w:r>
      <w:r>
        <w:rPr>
          <w:highlight w:val="none"/>
        </w:rPr>
        <w:t>活动正常进行的，属于严重不良行为，代理机构将提请将其列入</w:t>
      </w:r>
      <w:r>
        <w:rPr>
          <w:rFonts w:hint="eastAsia"/>
          <w:highlight w:val="none"/>
        </w:rPr>
        <w:t>比选人</w:t>
      </w:r>
      <w:r>
        <w:rPr>
          <w:highlight w:val="none"/>
        </w:rPr>
        <w:t>不良行为记录名单，并依法予以处罚。</w:t>
      </w:r>
    </w:p>
    <w:p w14:paraId="513E2469">
      <w:pPr>
        <w:pStyle w:val="5"/>
        <w:numPr>
          <w:ilvl w:val="0"/>
          <w:numId w:val="50"/>
        </w:numPr>
        <w:ind w:firstLineChars="0"/>
        <w:rPr>
          <w:highlight w:val="none"/>
        </w:rPr>
      </w:pPr>
      <w:r>
        <w:rPr>
          <w:highlight w:val="none"/>
        </w:rPr>
        <w:t>供应商不得虚假承诺，否则，按照提供虚假材料谋取成交处理。</w:t>
      </w:r>
    </w:p>
    <w:p w14:paraId="5807BB11">
      <w:pPr>
        <w:rPr>
          <w:rFonts w:ascii="宋体" w:hAnsi="宋体" w:cs="黑体"/>
          <w:b/>
          <w:sz w:val="36"/>
          <w:highlight w:val="none"/>
        </w:rPr>
      </w:pPr>
      <w:r>
        <w:rPr>
          <w:rFonts w:ascii="宋体" w:hAnsi="宋体" w:cs="黑体"/>
          <w:b/>
          <w:sz w:val="36"/>
          <w:highlight w:val="none"/>
        </w:rPr>
        <w:br w:type="page"/>
      </w:r>
    </w:p>
    <w:p w14:paraId="3BA05CBC">
      <w:pPr>
        <w:pStyle w:val="151"/>
        <w:rPr>
          <w:highlight w:val="none"/>
        </w:rPr>
      </w:pPr>
      <w:r>
        <w:rPr>
          <w:highlight w:val="none"/>
        </w:rPr>
        <w:t>第三章  评</w:t>
      </w:r>
      <w:r>
        <w:rPr>
          <w:rFonts w:hint="eastAsia"/>
          <w:highlight w:val="none"/>
        </w:rPr>
        <w:t>审</w:t>
      </w:r>
      <w:r>
        <w:rPr>
          <w:highlight w:val="none"/>
        </w:rPr>
        <w:t>标准</w:t>
      </w:r>
    </w:p>
    <w:p w14:paraId="12125ECF">
      <w:pPr>
        <w:pStyle w:val="5"/>
        <w:numPr>
          <w:ilvl w:val="0"/>
          <w:numId w:val="51"/>
        </w:numPr>
        <w:ind w:firstLineChars="0"/>
        <w:rPr>
          <w:b/>
          <w:highlight w:val="none"/>
        </w:rPr>
      </w:pPr>
      <w:r>
        <w:rPr>
          <w:b/>
          <w:highlight w:val="none"/>
        </w:rPr>
        <w:t>评审方法与</w:t>
      </w:r>
      <w:r>
        <w:rPr>
          <w:rFonts w:hint="eastAsia"/>
          <w:b/>
          <w:highlight w:val="none"/>
        </w:rPr>
        <w:t>确定成交供应商</w:t>
      </w:r>
      <w:r>
        <w:rPr>
          <w:b/>
          <w:highlight w:val="none"/>
        </w:rPr>
        <w:t>原则</w:t>
      </w:r>
    </w:p>
    <w:p w14:paraId="65CBDBC0">
      <w:pPr>
        <w:pStyle w:val="5"/>
        <w:ind w:firstLine="480"/>
        <w:rPr>
          <w:highlight w:val="none"/>
        </w:rPr>
      </w:pPr>
      <w:r>
        <w:rPr>
          <w:rFonts w:hint="eastAsia"/>
          <w:highlight w:val="none"/>
        </w:rPr>
        <w:t>本项目采用综合评分法。评审工作组将对确定为实质性响应比选文件要求的响应文件进行评审，评分统计方法采用百分制（满分100分），将全部评委评分直接进行算术平均，小数点后保留2位。</w:t>
      </w:r>
    </w:p>
    <w:p w14:paraId="58BA4990">
      <w:pPr>
        <w:pStyle w:val="5"/>
        <w:ind w:firstLine="480"/>
        <w:rPr>
          <w:highlight w:val="none"/>
        </w:rPr>
      </w:pPr>
      <w:r>
        <w:rPr>
          <w:rFonts w:hint="eastAsia"/>
          <w:highlight w:val="none"/>
        </w:rPr>
        <w:t>评审委员会根据供应商总得分由高到低的顺序推荐前三名作为成交候选人。总得分相同的，按收费定价得分由高到低顺序排列；总得分及收费定价相同的，由评审委员会采取随机抽取方式确定成交候选人，比选人或评审委员会经比选人授权后按成交候选人顺序确定一名成交人。</w:t>
      </w:r>
    </w:p>
    <w:p w14:paraId="7DA4F9F7">
      <w:pPr>
        <w:pStyle w:val="5"/>
        <w:numPr>
          <w:ilvl w:val="0"/>
          <w:numId w:val="51"/>
        </w:numPr>
        <w:ind w:firstLineChars="0"/>
        <w:rPr>
          <w:b/>
          <w:highlight w:val="none"/>
        </w:rPr>
      </w:pPr>
      <w:r>
        <w:rPr>
          <w:b/>
          <w:highlight w:val="none"/>
        </w:rPr>
        <w:t>评分标准</w:t>
      </w:r>
    </w:p>
    <w:tbl>
      <w:tblPr>
        <w:tblStyle w:val="47"/>
        <w:tblW w:w="47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6964"/>
        <w:gridCol w:w="682"/>
      </w:tblGrid>
      <w:tr w14:paraId="7BA67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05" w:type="pct"/>
            <w:vAlign w:val="center"/>
          </w:tcPr>
          <w:p w14:paraId="3D168512">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评审因素</w:t>
            </w:r>
          </w:p>
        </w:tc>
        <w:tc>
          <w:tcPr>
            <w:tcW w:w="3911" w:type="pct"/>
            <w:vAlign w:val="center"/>
          </w:tcPr>
          <w:p w14:paraId="23FBE59F">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评审细则</w:t>
            </w:r>
          </w:p>
        </w:tc>
        <w:tc>
          <w:tcPr>
            <w:tcW w:w="383" w:type="pct"/>
            <w:vAlign w:val="center"/>
          </w:tcPr>
          <w:p w14:paraId="11A4D5B0">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分值</w:t>
            </w:r>
          </w:p>
        </w:tc>
      </w:tr>
      <w:tr w14:paraId="4D204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pct"/>
            <w:vAlign w:val="center"/>
          </w:tcPr>
          <w:p w14:paraId="3CC9CCCD">
            <w:pPr>
              <w:widowControl/>
              <w:adjustRightInd w:val="0"/>
              <w:snapToGrid w:val="0"/>
              <w:spacing w:line="340" w:lineRule="exact"/>
              <w:jc w:val="center"/>
              <w:rPr>
                <w:rFonts w:ascii="宋体" w:hAnsi="宋体" w:cs="宋体"/>
                <w:b/>
                <w:bCs/>
                <w:highlight w:val="none"/>
              </w:rPr>
            </w:pPr>
            <w:bookmarkStart w:id="6" w:name="_Hlk131769803"/>
            <w:r>
              <w:rPr>
                <w:rFonts w:hint="eastAsia" w:ascii="宋体" w:hAnsi="宋体" w:cs="宋体"/>
                <w:b/>
                <w:bCs/>
                <w:highlight w:val="none"/>
              </w:rPr>
              <w:t>收费定价</w:t>
            </w:r>
          </w:p>
        </w:tc>
        <w:tc>
          <w:tcPr>
            <w:tcW w:w="3911" w:type="pct"/>
            <w:vAlign w:val="center"/>
          </w:tcPr>
          <w:p w14:paraId="24C29CA1">
            <w:pPr>
              <w:widowControl/>
              <w:adjustRightInd w:val="0"/>
              <w:snapToGrid w:val="0"/>
              <w:spacing w:line="340" w:lineRule="exact"/>
              <w:rPr>
                <w:rFonts w:ascii="宋体" w:hAnsi="宋体" w:cs="宋体"/>
                <w:kern w:val="2"/>
                <w:szCs w:val="21"/>
                <w:highlight w:val="none"/>
                <w:lang w:bidi="ar"/>
              </w:rPr>
            </w:pPr>
            <w:r>
              <w:rPr>
                <w:rFonts w:hint="eastAsia" w:asciiTheme="minorEastAsia" w:hAnsiTheme="minorEastAsia" w:eastAsiaTheme="minorEastAsia" w:cstheme="minorEastAsia"/>
                <w:highlight w:val="none"/>
              </w:rPr>
              <w:t>对第四章“二、（二）收费定价要求”供应商需对所有平台骑手收费标准不得超出0.3元/单。</w:t>
            </w:r>
            <w:r>
              <w:rPr>
                <w:rFonts w:hint="eastAsia" w:ascii="宋体" w:hAnsi="宋体" w:cs="宋体"/>
                <w:kern w:val="2"/>
                <w:szCs w:val="21"/>
                <w:highlight w:val="none"/>
                <w:lang w:bidi="ar"/>
              </w:rPr>
              <w:t>报价得分计算规则如下：</w:t>
            </w:r>
          </w:p>
          <w:p w14:paraId="58FFA341">
            <w:pPr>
              <w:adjustRightInd w:val="0"/>
              <w:snapToGrid w:val="0"/>
              <w:spacing w:line="280" w:lineRule="exact"/>
              <w:rPr>
                <w:rFonts w:ascii="宋体" w:hAnsi="宋体" w:cs="宋体"/>
                <w:kern w:val="2"/>
                <w:szCs w:val="21"/>
                <w:highlight w:val="none"/>
                <w:lang w:bidi="ar"/>
              </w:rPr>
            </w:pPr>
            <w:r>
              <w:rPr>
                <w:rFonts w:hint="eastAsia" w:ascii="宋体" w:hAnsi="宋体" w:cs="宋体"/>
                <w:kern w:val="2"/>
                <w:szCs w:val="21"/>
                <w:highlight w:val="none"/>
                <w:lang w:bidi="ar"/>
              </w:rPr>
              <w:t>（1）满足比选文件要求且报价最低的价格为评标基准价，其价格分为满分。</w:t>
            </w:r>
          </w:p>
          <w:p w14:paraId="6226DB7D">
            <w:pPr>
              <w:adjustRightInd w:val="0"/>
              <w:snapToGrid w:val="0"/>
              <w:spacing w:line="280" w:lineRule="exact"/>
              <w:rPr>
                <w:rFonts w:asciiTheme="minorEastAsia" w:hAnsiTheme="minorEastAsia" w:eastAsiaTheme="minorEastAsia" w:cstheme="minorEastAsia"/>
                <w:highlight w:val="none"/>
              </w:rPr>
            </w:pPr>
            <w:r>
              <w:rPr>
                <w:rFonts w:hint="eastAsia" w:ascii="宋体" w:hAnsi="宋体" w:cs="宋体"/>
                <w:kern w:val="2"/>
                <w:szCs w:val="21"/>
                <w:highlight w:val="none"/>
                <w:lang w:bidi="ar"/>
              </w:rPr>
              <w:t>（2）报价得分=（评审基准价／报价）×35。</w:t>
            </w:r>
          </w:p>
        </w:tc>
        <w:tc>
          <w:tcPr>
            <w:tcW w:w="383" w:type="pct"/>
            <w:vAlign w:val="center"/>
          </w:tcPr>
          <w:p w14:paraId="07BF3350">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35</w:t>
            </w:r>
          </w:p>
        </w:tc>
      </w:tr>
      <w:tr w14:paraId="481C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05" w:type="pct"/>
            <w:vAlign w:val="center"/>
          </w:tcPr>
          <w:p w14:paraId="69B46725">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设计实施</w:t>
            </w:r>
          </w:p>
        </w:tc>
        <w:tc>
          <w:tcPr>
            <w:tcW w:w="3911" w:type="pct"/>
            <w:vAlign w:val="center"/>
          </w:tcPr>
          <w:p w14:paraId="48E5E99B">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对第四章“二、（四）设计实施要求”的响应情况进行评分：</w:t>
            </w:r>
          </w:p>
          <w:p w14:paraId="373FC01E">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结合学校各校区校园环境、文化及点位周边情况，完成柜体外观(材质、颜色、图案、结构)的个性化设计，提供建设点位效果图(含柜体数量、外观、颜色、图案等)作为建设依据，完全符合要求得8分，较为符合要求得6分，基本符合得4分，未提供或不符合不得分。</w:t>
            </w:r>
          </w:p>
          <w:p w14:paraId="23BA0C74">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（2）针对校区环境、文化及点位周边的便利性、安全性、交通影响等维度，提供专项个性化设计说明，方案可行性强得6分，可行性较强得4分，基本可行得2分，未提供或不可行不得分。</w:t>
            </w:r>
          </w:p>
        </w:tc>
        <w:tc>
          <w:tcPr>
            <w:tcW w:w="383" w:type="pct"/>
            <w:vAlign w:val="center"/>
          </w:tcPr>
          <w:p w14:paraId="337C718B">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14</w:t>
            </w:r>
          </w:p>
        </w:tc>
      </w:tr>
      <w:tr w14:paraId="57C5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pct"/>
            <w:vMerge w:val="restart"/>
            <w:vAlign w:val="center"/>
          </w:tcPr>
          <w:p w14:paraId="0F06FE0B">
            <w:pPr>
              <w:spacing w:line="340" w:lineRule="exact"/>
              <w:rPr>
                <w:rFonts w:ascii="宋体" w:hAnsi="宋体" w:cs="宋体"/>
                <w:b/>
                <w:bCs/>
                <w:highlight w:val="none"/>
              </w:rPr>
            </w:pPr>
            <w:r>
              <w:rPr>
                <w:rFonts w:hint="eastAsia" w:ascii="宋体" w:hAnsi="宋体" w:cs="宋体"/>
                <w:b/>
                <w:bCs/>
                <w:highlight w:val="none"/>
              </w:rPr>
              <w:t>运营服务</w:t>
            </w:r>
          </w:p>
          <w:p w14:paraId="1A4C937C">
            <w:pPr>
              <w:widowControl/>
              <w:adjustRightInd w:val="0"/>
              <w:snapToGrid w:val="0"/>
              <w:spacing w:line="340" w:lineRule="exact"/>
              <w:jc w:val="center"/>
              <w:rPr>
                <w:rFonts w:ascii="宋体" w:hAnsi="宋体" w:cs="宋体"/>
                <w:b/>
                <w:bCs/>
                <w:highlight w:val="none"/>
              </w:rPr>
            </w:pPr>
          </w:p>
        </w:tc>
        <w:tc>
          <w:tcPr>
            <w:tcW w:w="3911" w:type="pct"/>
            <w:vAlign w:val="center"/>
          </w:tcPr>
          <w:p w14:paraId="06C2CB53">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对第四章“二、（五）运营服务要求”的响应情况进行评分：</w:t>
            </w:r>
          </w:p>
          <w:p w14:paraId="79FEE95E">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1.团队与制度管理</w:t>
            </w:r>
          </w:p>
          <w:p w14:paraId="434BC085">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（1）组建满足项目需求的专属服务团队</w:t>
            </w:r>
            <w:r>
              <w:rPr>
                <w:rFonts w:hint="eastAsia" w:ascii="宋体" w:hAnsi="宋体" w:cs="宋体"/>
                <w:szCs w:val="21"/>
                <w:highlight w:val="none"/>
              </w:rPr>
              <w:t>（含项目负责人）</w:t>
            </w:r>
            <w:r>
              <w:rPr>
                <w:rFonts w:hint="eastAsia" w:asciiTheme="minorEastAsia" w:hAnsiTheme="minorEastAsia" w:eastAsiaTheme="minorEastAsia" w:cstheme="minorEastAsia"/>
                <w:highlight w:val="none"/>
              </w:rPr>
              <w:t>，人员配置合理得6分，人员配置基本合理得4分，人员配置一般得2分，未配置不得分。</w:t>
            </w:r>
          </w:p>
          <w:p w14:paraId="4C259471">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（2）制定完善的管理制度与细则，涵盖日常运营、人员管理、应急处理等内容，制度完善得6分，较为完善得4分，基本完善得2分，未提供不得分。</w:t>
            </w:r>
            <w:r>
              <w:rPr>
                <w:rFonts w:hint="eastAsia" w:asciiTheme="minorEastAsia" w:hAnsiTheme="minorEastAsia" w:eastAsiaTheme="minorEastAsia" w:cstheme="minorEastAsia"/>
                <w:highlight w:val="none"/>
              </w:rPr>
              <w:br w:type="textWrapping"/>
            </w:r>
            <w:r>
              <w:rPr>
                <w:rFonts w:hint="eastAsia" w:asciiTheme="minorEastAsia" w:hAnsiTheme="minorEastAsia" w:eastAsiaTheme="minorEastAsia" w:cstheme="minorEastAsia"/>
                <w:highlight w:val="none"/>
              </w:rPr>
              <w:t>（3）定期对运维及客服人员开展业务培训（含故障维修、服务规范等），培训计划明确得6分，计划较为明确得4分，计划一般得2分，未提供不得分。</w:t>
            </w:r>
          </w:p>
        </w:tc>
        <w:tc>
          <w:tcPr>
            <w:tcW w:w="383" w:type="pct"/>
            <w:vAlign w:val="center"/>
          </w:tcPr>
          <w:p w14:paraId="58BCA2FE">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18</w:t>
            </w:r>
          </w:p>
        </w:tc>
      </w:tr>
      <w:tr w14:paraId="4019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05" w:type="pct"/>
            <w:vMerge w:val="continue"/>
            <w:vAlign w:val="center"/>
          </w:tcPr>
          <w:p w14:paraId="5B2385A2">
            <w:pPr>
              <w:widowControl/>
              <w:adjustRightInd w:val="0"/>
              <w:snapToGrid w:val="0"/>
              <w:spacing w:line="340" w:lineRule="exact"/>
              <w:jc w:val="center"/>
              <w:rPr>
                <w:rFonts w:ascii="宋体" w:hAnsi="宋体" w:cs="宋体"/>
                <w:b/>
                <w:bCs/>
                <w:highlight w:val="none"/>
              </w:rPr>
            </w:pPr>
          </w:p>
        </w:tc>
        <w:tc>
          <w:tcPr>
            <w:tcW w:w="3911" w:type="pct"/>
            <w:vAlign w:val="center"/>
          </w:tcPr>
          <w:p w14:paraId="7CCA87DE">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2.服务时效与保障</w:t>
            </w:r>
          </w:p>
          <w:p w14:paraId="00CB3EB2">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（1）所有外卖投递点提供24小时服务，配备24小时客服及时处置紧急情况得2分，未明确24小时服务不得分；</w:t>
            </w:r>
            <w:r>
              <w:rPr>
                <w:rFonts w:hint="eastAsia" w:asciiTheme="minorEastAsia" w:hAnsiTheme="minorEastAsia" w:eastAsiaTheme="minorEastAsia" w:cstheme="minorEastAsia"/>
                <w:highlight w:val="none"/>
              </w:rPr>
              <w:br w:type="textWrapping"/>
            </w:r>
            <w:r>
              <w:rPr>
                <w:rFonts w:hint="eastAsia" w:asciiTheme="minorEastAsia" w:hAnsiTheme="minorEastAsia" w:eastAsiaTheme="minorEastAsia" w:cstheme="minorEastAsia"/>
                <w:highlight w:val="none"/>
              </w:rPr>
              <w:t>（2）建立超时外卖处理机制，明确不同季节的外卖滞留处理标准，机制完善得6分，机制较为完善得4分，机制一般得2分，未提供不得分；</w:t>
            </w:r>
            <w:r>
              <w:rPr>
                <w:rFonts w:hint="eastAsia" w:asciiTheme="minorEastAsia" w:hAnsiTheme="minorEastAsia" w:eastAsiaTheme="minorEastAsia" w:cstheme="minorEastAsia"/>
                <w:highlight w:val="none"/>
              </w:rPr>
              <w:br w:type="textWrapping"/>
            </w:r>
            <w:r>
              <w:rPr>
                <w:rFonts w:hint="eastAsia" w:asciiTheme="minorEastAsia" w:hAnsiTheme="minorEastAsia" w:eastAsiaTheme="minorEastAsia" w:cstheme="minorEastAsia"/>
                <w:highlight w:val="none"/>
              </w:rPr>
              <w:t>（3）通过消息推送提醒用户取外卖，杜绝校园周边外卖乱摆乱放，措施有效得2分，措施一般得1分，其他情形不得分。</w:t>
            </w:r>
          </w:p>
        </w:tc>
        <w:tc>
          <w:tcPr>
            <w:tcW w:w="383" w:type="pct"/>
            <w:vAlign w:val="center"/>
          </w:tcPr>
          <w:p w14:paraId="1030EDA3">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10</w:t>
            </w:r>
          </w:p>
        </w:tc>
      </w:tr>
      <w:tr w14:paraId="59BF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705" w:type="pct"/>
            <w:vMerge w:val="continue"/>
            <w:vAlign w:val="center"/>
          </w:tcPr>
          <w:p w14:paraId="227F3BB6">
            <w:pPr>
              <w:widowControl/>
              <w:adjustRightInd w:val="0"/>
              <w:snapToGrid w:val="0"/>
              <w:spacing w:line="340" w:lineRule="exact"/>
              <w:jc w:val="center"/>
              <w:rPr>
                <w:rFonts w:ascii="宋体" w:hAnsi="宋体" w:cs="宋体"/>
                <w:b/>
                <w:bCs/>
                <w:highlight w:val="none"/>
              </w:rPr>
            </w:pPr>
          </w:p>
        </w:tc>
        <w:tc>
          <w:tcPr>
            <w:tcW w:w="3911" w:type="pct"/>
            <w:vAlign w:val="center"/>
          </w:tcPr>
          <w:p w14:paraId="06226AC5">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3.设施维护与保洁</w:t>
            </w:r>
          </w:p>
          <w:p w14:paraId="7166BD23">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（1）定期对柜体进行安全检查，建立维护台账，维护机制、台账记录规范得2分，规范性一般得1分，未提供不得分。</w:t>
            </w:r>
          </w:p>
          <w:p w14:paraId="0D72E30D">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（2）接到故障报告后24小时内完成维修，维修范围覆盖全部设施，维修响应机制高效得2分，高效性一般得1分，未明确时效不得分；</w:t>
            </w:r>
          </w:p>
        </w:tc>
        <w:tc>
          <w:tcPr>
            <w:tcW w:w="383" w:type="pct"/>
            <w:vAlign w:val="center"/>
          </w:tcPr>
          <w:p w14:paraId="0B7D1C9A">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4</w:t>
            </w:r>
          </w:p>
        </w:tc>
      </w:tr>
      <w:tr w14:paraId="6A19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pct"/>
            <w:shd w:val="clear" w:color="auto" w:fill="auto"/>
            <w:vAlign w:val="center"/>
          </w:tcPr>
          <w:p w14:paraId="0F78D1CB">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业绩</w:t>
            </w:r>
          </w:p>
        </w:tc>
        <w:tc>
          <w:tcPr>
            <w:tcW w:w="3911" w:type="pct"/>
            <w:shd w:val="clear" w:color="auto" w:fill="auto"/>
            <w:vAlign w:val="center"/>
          </w:tcPr>
          <w:p w14:paraId="291523FA">
            <w:pPr>
              <w:widowControl/>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供应商自2023年1月1日以来（以合同签订时间为准）承担过同类智能外卖柜项目业绩，每提供1份业绩证明材料得3分，最高得9分。（提供合同复印件并加盖公章。合同应能反映相关信息，合同签订主体须与响应主体一致，未提供或提供不全的不得分。同一业主单位的业绩不重复计分）。</w:t>
            </w:r>
          </w:p>
        </w:tc>
        <w:tc>
          <w:tcPr>
            <w:tcW w:w="383" w:type="pct"/>
            <w:shd w:val="clear" w:color="auto" w:fill="auto"/>
            <w:vAlign w:val="center"/>
          </w:tcPr>
          <w:p w14:paraId="2B11EF62">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9</w:t>
            </w:r>
          </w:p>
        </w:tc>
      </w:tr>
      <w:tr w14:paraId="2A930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5" w:type="pct"/>
            <w:shd w:val="clear" w:color="auto" w:fill="auto"/>
            <w:vAlign w:val="center"/>
          </w:tcPr>
          <w:p w14:paraId="699D50FD">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增值服务</w:t>
            </w:r>
          </w:p>
        </w:tc>
        <w:tc>
          <w:tcPr>
            <w:tcW w:w="3911" w:type="pct"/>
            <w:shd w:val="clear" w:color="auto" w:fill="auto"/>
            <w:vAlign w:val="center"/>
          </w:tcPr>
          <w:p w14:paraId="5338E834">
            <w:pPr>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依据供应商针对服务群体以及高校特殊环境所提供的</w:t>
            </w:r>
            <w:r>
              <w:rPr>
                <w:rFonts w:hint="eastAsia" w:asciiTheme="minorEastAsia" w:hAnsiTheme="minorEastAsia" w:eastAsiaTheme="minorEastAsia" w:cstheme="minorEastAsia"/>
                <w:b/>
                <w:bCs/>
                <w:highlight w:val="none"/>
                <w:u w:val="single"/>
              </w:rPr>
              <w:t>特色增值服务</w:t>
            </w:r>
            <w:r>
              <w:rPr>
                <w:rFonts w:hint="eastAsia" w:asciiTheme="minorEastAsia" w:hAnsiTheme="minorEastAsia" w:eastAsiaTheme="minorEastAsia" w:cstheme="minorEastAsia"/>
                <w:highlight w:val="none"/>
              </w:rPr>
              <w:t>开展综合评分：若成交供应商能够为学校的安全教育宣传、治安防范、交通建设提供进一步保障，且能在校内图文制作、校门及校园周边治安防控设施、校内道路标牌与标线等交通设施方面提供额外支持，并可根据校区实际状况制定具体可行的额外支持方案，该方案涵盖但不限于额外支持的主要项目内容、最低费用金额等。</w:t>
            </w:r>
          </w:p>
          <w:p w14:paraId="4930FB1E">
            <w:pPr>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（1）方案合理，契合学校实际情况，具备显著综合优势的，给予10分；</w:t>
            </w:r>
          </w:p>
          <w:p w14:paraId="771E7AC6">
            <w:pPr>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（2）方案较为合理，较符合学校实际情况，具有一定优势的，给予7分；</w:t>
            </w:r>
          </w:p>
          <w:p w14:paraId="6758E5B4">
            <w:pPr>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（3）方案合理性一般，与学校实际情况的符合程度一般，优势不明显的，给予4分；</w:t>
            </w:r>
          </w:p>
          <w:p w14:paraId="58711A42">
            <w:pPr>
              <w:adjustRightInd w:val="0"/>
              <w:snapToGrid w:val="0"/>
              <w:spacing w:line="340" w:lineRule="exac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（4）未提供方案的，不得分。</w:t>
            </w:r>
          </w:p>
        </w:tc>
        <w:tc>
          <w:tcPr>
            <w:tcW w:w="383" w:type="pct"/>
            <w:shd w:val="clear" w:color="auto" w:fill="auto"/>
            <w:vAlign w:val="center"/>
          </w:tcPr>
          <w:p w14:paraId="06093716">
            <w:pPr>
              <w:widowControl/>
              <w:adjustRightInd w:val="0"/>
              <w:snapToGrid w:val="0"/>
              <w:spacing w:line="340" w:lineRule="exact"/>
              <w:jc w:val="center"/>
              <w:rPr>
                <w:rFonts w:ascii="宋体" w:hAnsi="宋体" w:cs="宋体"/>
                <w:highlight w:val="none"/>
              </w:rPr>
            </w:pPr>
            <w:r>
              <w:rPr>
                <w:rFonts w:hint="eastAsia" w:ascii="宋体" w:hAnsi="宋体" w:cs="宋体"/>
                <w:highlight w:val="none"/>
              </w:rPr>
              <w:t>10</w:t>
            </w:r>
          </w:p>
        </w:tc>
      </w:tr>
      <w:tr w14:paraId="3DA3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16" w:type="pct"/>
            <w:gridSpan w:val="2"/>
            <w:shd w:val="clear" w:color="auto" w:fill="auto"/>
            <w:vAlign w:val="center"/>
          </w:tcPr>
          <w:p w14:paraId="65F5845D">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合计</w:t>
            </w:r>
          </w:p>
        </w:tc>
        <w:tc>
          <w:tcPr>
            <w:tcW w:w="383" w:type="pct"/>
            <w:shd w:val="clear" w:color="auto" w:fill="auto"/>
            <w:vAlign w:val="center"/>
          </w:tcPr>
          <w:p w14:paraId="16E3D65A">
            <w:pPr>
              <w:widowControl/>
              <w:adjustRightInd w:val="0"/>
              <w:snapToGrid w:val="0"/>
              <w:spacing w:line="340" w:lineRule="exact"/>
              <w:jc w:val="center"/>
              <w:rPr>
                <w:rFonts w:ascii="宋体" w:hAnsi="宋体" w:cs="宋体"/>
                <w:b/>
                <w:bCs/>
                <w:highlight w:val="none"/>
              </w:rPr>
            </w:pPr>
            <w:r>
              <w:rPr>
                <w:rFonts w:hint="eastAsia" w:ascii="宋体" w:hAnsi="宋体" w:cs="宋体"/>
                <w:b/>
                <w:bCs/>
                <w:highlight w:val="none"/>
              </w:rPr>
              <w:t>100</w:t>
            </w:r>
          </w:p>
        </w:tc>
      </w:tr>
      <w:bookmarkEnd w:id="6"/>
    </w:tbl>
    <w:p w14:paraId="32C80F6B">
      <w:pPr>
        <w:rPr>
          <w:highlight w:val="none"/>
        </w:rPr>
      </w:pPr>
    </w:p>
    <w:p w14:paraId="400452A3">
      <w:pPr>
        <w:rPr>
          <w:rFonts w:ascii="宋体" w:hAnsi="宋体" w:cs="黑体"/>
          <w:b/>
          <w:sz w:val="36"/>
          <w:highlight w:val="none"/>
        </w:rPr>
      </w:pPr>
      <w:r>
        <w:rPr>
          <w:rFonts w:hint="eastAsia" w:ascii="宋体" w:hAnsi="宋体" w:cs="黑体"/>
          <w:b/>
          <w:sz w:val="36"/>
          <w:highlight w:val="none"/>
        </w:rPr>
        <w:br w:type="page"/>
      </w:r>
    </w:p>
    <w:p w14:paraId="00E31E18">
      <w:pPr>
        <w:pStyle w:val="151"/>
        <w:numPr>
          <w:ilvl w:val="0"/>
          <w:numId w:val="52"/>
        </w:numPr>
        <w:rPr>
          <w:highlight w:val="none"/>
        </w:rPr>
      </w:pPr>
      <w:r>
        <w:rPr>
          <w:highlight w:val="none"/>
        </w:rPr>
        <w:t xml:space="preserve"> </w:t>
      </w:r>
      <w:r>
        <w:rPr>
          <w:rFonts w:hint="eastAsia"/>
          <w:highlight w:val="none"/>
        </w:rPr>
        <w:t>项目</w:t>
      </w:r>
      <w:r>
        <w:rPr>
          <w:highlight w:val="none"/>
        </w:rPr>
        <w:t>需求</w:t>
      </w:r>
    </w:p>
    <w:p w14:paraId="24064142">
      <w:pPr>
        <w:spacing w:line="520" w:lineRule="exact"/>
        <w:rPr>
          <w:rFonts w:ascii="宋体" w:hAnsi="宋体" w:cs="宋体"/>
          <w:b/>
          <w:bCs/>
          <w:sz w:val="24"/>
          <w:szCs w:val="24"/>
          <w:highlight w:val="none"/>
        </w:rPr>
      </w:pPr>
      <w:r>
        <w:rPr>
          <w:rFonts w:hint="eastAsia" w:ascii="宋体" w:hAnsi="宋体" w:cs="宋体"/>
          <w:b/>
          <w:bCs/>
          <w:sz w:val="24"/>
          <w:szCs w:val="24"/>
          <w:highlight w:val="none"/>
        </w:rPr>
        <w:t>一、项目概况</w:t>
      </w:r>
    </w:p>
    <w:p w14:paraId="1F023FD8">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南京邮电大学现有在校师生3.9万余人，其中仙林校区3.1万余人、三牌楼校区7000余人、锁金村校区1000余人。各校区均设有食堂，学生主要采取堂食方式，仙林校区配备“云餐厅”提供有限送餐服务。为进一步优化校园外卖柜服务运行机制，规范外卖配送管理流程，提升师生外卖使用便利化程度，有效防范外卖遗失风险，确保外卖食品质量安全，我校拟引入无接触式双面智能外卖柜（以下简称“智能外卖柜”或“外卖柜”）供应商，开展智能外卖柜投放及运营管理工作。</w:t>
      </w:r>
    </w:p>
    <w:p w14:paraId="34580FA8">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为切实保障师生享有安全便捷的外卖投递服务，供应商须具备与本项目相匹配的技术实力和实施经验。供应商应免费向全校师生员工提供无接触取外卖服务。供应商须在学校指定区域建设并运营无接触式双面智能外卖柜，骑手在校外投放，师生在校内取外卖。供应商须承担基础建设、设备投放安装调试、日常运维及服务保障等职责，设备投放须严格限定于学校指定区域。</w:t>
      </w:r>
    </w:p>
    <w:p w14:paraId="315D7B7C">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智能外卖柜除满足外卖投递基本功能要求外，应与周围环境相协调，充分考虑运行时对周围环境的影响。设计方案中柜体外观材质、颜色、图案、结构等需根据学校各校区校园环境、文化及点位周围环境进行个性化设计，以符合学校特色。设计方案应同时考虑设施在校外投放校内取出时的便利性、安全性以及对周围交通的影响，并提出切实可行的解决方案。</w:t>
      </w:r>
    </w:p>
    <w:p w14:paraId="6A56FEE7">
      <w:pPr>
        <w:spacing w:line="520" w:lineRule="exact"/>
        <w:rPr>
          <w:rFonts w:ascii="宋体" w:hAnsi="宋体" w:cs="宋体"/>
          <w:b/>
          <w:bCs/>
          <w:sz w:val="24"/>
          <w:szCs w:val="24"/>
          <w:highlight w:val="none"/>
        </w:rPr>
      </w:pPr>
      <w:bookmarkStart w:id="7" w:name="_Hlk219887068"/>
      <w:r>
        <w:rPr>
          <w:rFonts w:hint="eastAsia" w:ascii="宋体" w:hAnsi="宋体" w:cs="宋体"/>
          <w:b/>
          <w:bCs/>
          <w:sz w:val="24"/>
          <w:szCs w:val="24"/>
          <w:highlight w:val="none"/>
        </w:rPr>
        <w:t>二、服务内容</w:t>
      </w:r>
    </w:p>
    <w:bookmarkEnd w:id="7"/>
    <w:p w14:paraId="267DC49D">
      <w:pPr>
        <w:spacing w:line="5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（一）建设点位</w:t>
      </w:r>
    </w:p>
    <w:p w14:paraId="41EC915A">
      <w:pPr>
        <w:spacing w:line="520" w:lineRule="exact"/>
        <w:jc w:val="center"/>
        <w:rPr>
          <w:rFonts w:ascii="宋体" w:hAnsi="宋体" w:cs="宋体"/>
          <w:b/>
          <w:bCs/>
          <w:sz w:val="24"/>
          <w:szCs w:val="24"/>
          <w:highlight w:val="none"/>
        </w:rPr>
      </w:pPr>
      <w:r>
        <w:rPr>
          <w:rFonts w:hint="eastAsia" w:ascii="宋体" w:hAnsi="宋体" w:cs="宋体"/>
          <w:b/>
          <w:bCs/>
          <w:sz w:val="24"/>
          <w:szCs w:val="24"/>
          <w:highlight w:val="none"/>
        </w:rPr>
        <w:t>各标段外卖柜拟摆放位置及数量（</w:t>
      </w:r>
      <w:r>
        <w:rPr>
          <w:rFonts w:hint="eastAsia" w:ascii="宋体" w:hAnsi="宋体" w:cs="宋体"/>
          <w:b/>
          <w:bCs/>
          <w:sz w:val="24"/>
          <w:szCs w:val="24"/>
          <w:highlight w:val="none"/>
          <w:lang w:val="zh-CN"/>
        </w:rPr>
        <w:t>具体建设点位</w:t>
      </w:r>
      <w:r>
        <w:rPr>
          <w:rFonts w:hint="eastAsia" w:ascii="宋体" w:hAnsi="宋体" w:cs="宋体"/>
          <w:b/>
          <w:bCs/>
          <w:sz w:val="24"/>
          <w:szCs w:val="24"/>
          <w:highlight w:val="none"/>
        </w:rPr>
        <w:t>及</w:t>
      </w:r>
      <w:r>
        <w:rPr>
          <w:rFonts w:hint="eastAsia" w:ascii="宋体" w:hAnsi="宋体" w:cs="宋体"/>
          <w:b/>
          <w:bCs/>
          <w:sz w:val="24"/>
          <w:szCs w:val="24"/>
          <w:highlight w:val="none"/>
          <w:lang w:val="zh-CN"/>
        </w:rPr>
        <w:t>摆放数量由学校</w:t>
      </w:r>
      <w:r>
        <w:rPr>
          <w:rFonts w:hint="eastAsia" w:ascii="宋体" w:hAnsi="宋体" w:cs="宋体"/>
          <w:b/>
          <w:bCs/>
          <w:sz w:val="24"/>
          <w:szCs w:val="24"/>
          <w:highlight w:val="none"/>
        </w:rPr>
        <w:t>最终通知为准</w:t>
      </w:r>
      <w:r>
        <w:rPr>
          <w:rFonts w:hint="eastAsia" w:ascii="宋体" w:hAnsi="宋体" w:cs="宋体"/>
          <w:sz w:val="24"/>
          <w:szCs w:val="24"/>
          <w:highlight w:val="none"/>
          <w:u w:val="single"/>
          <w:lang w:val="zh-CN"/>
        </w:rPr>
        <w:t>）</w:t>
      </w:r>
    </w:p>
    <w:tbl>
      <w:tblPr>
        <w:tblStyle w:val="47"/>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1184"/>
        <w:gridCol w:w="1200"/>
        <w:gridCol w:w="811"/>
        <w:gridCol w:w="878"/>
        <w:gridCol w:w="1217"/>
        <w:gridCol w:w="1289"/>
        <w:gridCol w:w="1096"/>
      </w:tblGrid>
      <w:tr w14:paraId="4916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vAlign w:val="center"/>
          </w:tcPr>
          <w:p w14:paraId="2B910D20">
            <w:pPr>
              <w:spacing w:line="560" w:lineRule="exact"/>
              <w:jc w:val="center"/>
              <w:rPr>
                <w:rFonts w:ascii="宋体" w:hAnsi="宋体" w:cs="宋体"/>
                <w:b/>
                <w:bCs/>
                <w:highlight w:val="none"/>
              </w:rPr>
            </w:pPr>
            <w:r>
              <w:rPr>
                <w:rFonts w:hint="eastAsia" w:ascii="宋体" w:hAnsi="宋体" w:cs="宋体"/>
                <w:b/>
                <w:bCs/>
                <w:highlight w:val="none"/>
              </w:rPr>
              <w:t>标段</w:t>
            </w:r>
          </w:p>
        </w:tc>
        <w:tc>
          <w:tcPr>
            <w:tcW w:w="1184" w:type="dxa"/>
            <w:vAlign w:val="center"/>
          </w:tcPr>
          <w:p w14:paraId="76B15FE2">
            <w:pPr>
              <w:spacing w:line="560" w:lineRule="exact"/>
              <w:jc w:val="center"/>
              <w:rPr>
                <w:rFonts w:ascii="宋体" w:hAnsi="宋体" w:cs="宋体"/>
                <w:b/>
                <w:bCs/>
                <w:highlight w:val="none"/>
              </w:rPr>
            </w:pPr>
            <w:r>
              <w:rPr>
                <w:rFonts w:hint="eastAsia" w:ascii="宋体" w:hAnsi="宋体" w:cs="宋体"/>
                <w:b/>
                <w:bCs/>
                <w:highlight w:val="none"/>
              </w:rPr>
              <w:t>校区</w:t>
            </w:r>
          </w:p>
        </w:tc>
        <w:tc>
          <w:tcPr>
            <w:tcW w:w="1200" w:type="dxa"/>
            <w:vAlign w:val="center"/>
          </w:tcPr>
          <w:p w14:paraId="0DB86A73">
            <w:pPr>
              <w:spacing w:line="560" w:lineRule="exact"/>
              <w:jc w:val="center"/>
              <w:rPr>
                <w:rFonts w:ascii="宋体" w:hAnsi="宋体" w:cs="宋体"/>
                <w:b/>
                <w:bCs/>
                <w:highlight w:val="none"/>
              </w:rPr>
            </w:pPr>
            <w:r>
              <w:rPr>
                <w:rFonts w:hint="eastAsia" w:ascii="宋体" w:hAnsi="宋体" w:cs="宋体"/>
                <w:b/>
                <w:bCs/>
                <w:highlight w:val="none"/>
              </w:rPr>
              <w:t>位置</w:t>
            </w:r>
          </w:p>
        </w:tc>
        <w:tc>
          <w:tcPr>
            <w:tcW w:w="811" w:type="dxa"/>
            <w:vAlign w:val="center"/>
          </w:tcPr>
          <w:p w14:paraId="76D86F4D">
            <w:pPr>
              <w:spacing w:line="560" w:lineRule="exact"/>
              <w:jc w:val="center"/>
              <w:rPr>
                <w:rFonts w:ascii="宋体" w:hAnsi="宋体" w:cs="宋体"/>
                <w:b/>
                <w:bCs/>
                <w:highlight w:val="none"/>
              </w:rPr>
            </w:pPr>
            <w:r>
              <w:rPr>
                <w:rFonts w:hint="eastAsia" w:ascii="宋体" w:hAnsi="宋体" w:cs="宋体"/>
                <w:b/>
                <w:bCs/>
                <w:highlight w:val="none"/>
              </w:rPr>
              <w:t>数量（组）</w:t>
            </w:r>
          </w:p>
        </w:tc>
        <w:tc>
          <w:tcPr>
            <w:tcW w:w="878" w:type="dxa"/>
            <w:vAlign w:val="center"/>
          </w:tcPr>
          <w:p w14:paraId="6832DFA5">
            <w:pPr>
              <w:spacing w:line="560" w:lineRule="exact"/>
              <w:jc w:val="center"/>
              <w:rPr>
                <w:rFonts w:ascii="宋体" w:hAnsi="宋体" w:cs="宋体"/>
                <w:b/>
                <w:bCs/>
                <w:highlight w:val="none"/>
              </w:rPr>
            </w:pPr>
            <w:r>
              <w:rPr>
                <w:rFonts w:hint="eastAsia" w:ascii="宋体" w:hAnsi="宋体" w:cs="宋体"/>
                <w:b/>
                <w:bCs/>
                <w:highlight w:val="none"/>
              </w:rPr>
              <w:t>格口总数（个）</w:t>
            </w:r>
          </w:p>
        </w:tc>
        <w:tc>
          <w:tcPr>
            <w:tcW w:w="1217" w:type="dxa"/>
            <w:vAlign w:val="center"/>
          </w:tcPr>
          <w:p w14:paraId="02BAB4C1">
            <w:pPr>
              <w:spacing w:line="560" w:lineRule="exact"/>
              <w:jc w:val="center"/>
              <w:rPr>
                <w:rFonts w:ascii="宋体" w:hAnsi="宋体" w:cs="宋体"/>
                <w:b/>
                <w:bCs/>
                <w:highlight w:val="none"/>
              </w:rPr>
            </w:pPr>
            <w:r>
              <w:rPr>
                <w:rFonts w:hint="eastAsia" w:ascii="宋体" w:hAnsi="宋体" w:cs="宋体"/>
                <w:b/>
                <w:bCs/>
                <w:highlight w:val="none"/>
              </w:rPr>
              <w:t>占地面积</w:t>
            </w:r>
          </w:p>
          <w:p w14:paraId="4FB51499">
            <w:pPr>
              <w:spacing w:line="560" w:lineRule="exact"/>
              <w:jc w:val="center"/>
              <w:rPr>
                <w:rFonts w:ascii="宋体" w:hAnsi="宋体" w:cs="宋体"/>
                <w:b/>
                <w:bCs/>
                <w:highlight w:val="none"/>
              </w:rPr>
            </w:pPr>
            <w:r>
              <w:rPr>
                <w:rFonts w:hint="eastAsia" w:ascii="宋体" w:hAnsi="宋体" w:cs="宋体"/>
                <w:b/>
                <w:bCs/>
                <w:highlight w:val="none"/>
              </w:rPr>
              <w:t>(</w:t>
            </w:r>
            <w:r>
              <w:rPr>
                <w:rFonts w:hint="eastAsia" w:ascii="宋体" w:hAnsi="宋体" w:cs="宋体"/>
                <w:b/>
                <w:bCs/>
                <w:spacing w:val="-5"/>
                <w:highlight w:val="none"/>
              </w:rPr>
              <w:t>m²)</w:t>
            </w:r>
          </w:p>
        </w:tc>
        <w:tc>
          <w:tcPr>
            <w:tcW w:w="1289" w:type="dxa"/>
            <w:vAlign w:val="center"/>
          </w:tcPr>
          <w:p w14:paraId="70E40C2C">
            <w:pPr>
              <w:spacing w:line="560" w:lineRule="exact"/>
              <w:jc w:val="center"/>
              <w:rPr>
                <w:rFonts w:ascii="宋体" w:hAnsi="宋体" w:cs="宋体"/>
                <w:b/>
                <w:bCs/>
                <w:highlight w:val="none"/>
              </w:rPr>
            </w:pPr>
            <w:r>
              <w:rPr>
                <w:rFonts w:hint="eastAsia" w:ascii="宋体" w:hAnsi="宋体" w:cs="宋体"/>
                <w:b/>
                <w:bCs/>
                <w:highlight w:val="none"/>
              </w:rPr>
              <w:t>款式</w:t>
            </w:r>
          </w:p>
        </w:tc>
        <w:tc>
          <w:tcPr>
            <w:tcW w:w="1096" w:type="dxa"/>
            <w:vAlign w:val="center"/>
          </w:tcPr>
          <w:p w14:paraId="77B3D59D">
            <w:pPr>
              <w:spacing w:line="560" w:lineRule="exact"/>
              <w:jc w:val="center"/>
              <w:rPr>
                <w:rFonts w:ascii="宋体" w:hAnsi="宋体" w:cs="宋体"/>
                <w:b/>
                <w:bCs/>
                <w:highlight w:val="none"/>
              </w:rPr>
            </w:pPr>
            <w:r>
              <w:rPr>
                <w:rFonts w:hint="eastAsia" w:ascii="宋体" w:hAnsi="宋体" w:cs="宋体"/>
                <w:b/>
                <w:bCs/>
                <w:highlight w:val="none"/>
              </w:rPr>
              <w:t>参考尺寸</w:t>
            </w:r>
          </w:p>
        </w:tc>
      </w:tr>
      <w:tr w14:paraId="16BD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restart"/>
            <w:vAlign w:val="center"/>
          </w:tcPr>
          <w:p w14:paraId="0D00D31F">
            <w:pPr>
              <w:spacing w:line="560" w:lineRule="exact"/>
              <w:jc w:val="center"/>
              <w:rPr>
                <w:rFonts w:ascii="宋体" w:hAnsi="宋体" w:cs="宋体"/>
                <w:highlight w:val="none"/>
              </w:rPr>
            </w:pPr>
            <w:r>
              <w:rPr>
                <w:rFonts w:hint="eastAsia" w:ascii="宋体" w:hAnsi="宋体" w:cs="宋体"/>
                <w:highlight w:val="none"/>
              </w:rPr>
              <w:t>一标段</w:t>
            </w:r>
          </w:p>
        </w:tc>
        <w:tc>
          <w:tcPr>
            <w:tcW w:w="1184" w:type="dxa"/>
            <w:vMerge w:val="restart"/>
            <w:vAlign w:val="center"/>
          </w:tcPr>
          <w:p w14:paraId="73AFF791">
            <w:pPr>
              <w:spacing w:line="560" w:lineRule="exact"/>
              <w:jc w:val="center"/>
              <w:rPr>
                <w:rFonts w:ascii="宋体" w:hAnsi="宋体" w:cs="宋体"/>
                <w:highlight w:val="none"/>
              </w:rPr>
            </w:pPr>
            <w:r>
              <w:rPr>
                <w:rFonts w:hint="eastAsia" w:ascii="宋体" w:hAnsi="宋体" w:cs="宋体"/>
                <w:highlight w:val="none"/>
              </w:rPr>
              <w:t>仙林</w:t>
            </w:r>
          </w:p>
        </w:tc>
        <w:tc>
          <w:tcPr>
            <w:tcW w:w="1200" w:type="dxa"/>
            <w:vAlign w:val="center"/>
          </w:tcPr>
          <w:p w14:paraId="40B9756E">
            <w:pPr>
              <w:spacing w:line="560" w:lineRule="exact"/>
              <w:jc w:val="center"/>
              <w:rPr>
                <w:rFonts w:ascii="宋体" w:hAnsi="宋体" w:cs="宋体"/>
                <w:highlight w:val="none"/>
              </w:rPr>
            </w:pPr>
            <w:r>
              <w:rPr>
                <w:rFonts w:hint="eastAsia" w:ascii="宋体" w:hAnsi="宋体" w:cs="宋体"/>
                <w:highlight w:val="none"/>
              </w:rPr>
              <w:t>东门</w:t>
            </w:r>
          </w:p>
        </w:tc>
        <w:tc>
          <w:tcPr>
            <w:tcW w:w="811" w:type="dxa"/>
            <w:vAlign w:val="center"/>
          </w:tcPr>
          <w:p w14:paraId="25DACB43">
            <w:pPr>
              <w:spacing w:line="560" w:lineRule="exact"/>
              <w:jc w:val="center"/>
              <w:rPr>
                <w:rFonts w:ascii="宋体" w:hAnsi="宋体" w:cs="宋体"/>
                <w:highlight w:val="none"/>
              </w:rPr>
            </w:pPr>
            <w:r>
              <w:rPr>
                <w:rFonts w:hint="eastAsia" w:ascii="宋体" w:hAnsi="宋体" w:cs="宋体"/>
                <w:highlight w:val="none"/>
              </w:rPr>
              <w:t>13</w:t>
            </w:r>
          </w:p>
        </w:tc>
        <w:tc>
          <w:tcPr>
            <w:tcW w:w="878" w:type="dxa"/>
            <w:vAlign w:val="center"/>
          </w:tcPr>
          <w:p w14:paraId="55B49C0F">
            <w:pPr>
              <w:spacing w:line="560" w:lineRule="exact"/>
              <w:jc w:val="center"/>
              <w:rPr>
                <w:rFonts w:ascii="宋体" w:hAnsi="宋体" w:cs="宋体"/>
                <w:highlight w:val="none"/>
              </w:rPr>
            </w:pPr>
            <w:r>
              <w:rPr>
                <w:rFonts w:hint="eastAsia" w:ascii="宋体" w:hAnsi="宋体" w:cs="宋体"/>
                <w:highlight w:val="none"/>
              </w:rPr>
              <w:t>271</w:t>
            </w:r>
          </w:p>
        </w:tc>
        <w:tc>
          <w:tcPr>
            <w:tcW w:w="1217" w:type="dxa"/>
            <w:vAlign w:val="center"/>
          </w:tcPr>
          <w:p w14:paraId="0CD3D9AC">
            <w:pPr>
              <w:widowControl/>
              <w:jc w:val="center"/>
              <w:textAlignment w:val="center"/>
              <w:rPr>
                <w:rFonts w:ascii="宋体" w:hAnsi="宋体" w:cs="宋体"/>
                <w:highlight w:val="none"/>
              </w:rPr>
            </w:pPr>
            <w:r>
              <w:rPr>
                <w:rFonts w:hint="eastAsia" w:ascii="宋体" w:hAnsi="宋体" w:cs="宋体"/>
                <w:highlight w:val="none"/>
                <w:lang w:bidi="ar"/>
              </w:rPr>
              <w:t>5.36</w:t>
            </w:r>
          </w:p>
        </w:tc>
        <w:tc>
          <w:tcPr>
            <w:tcW w:w="1289" w:type="dxa"/>
            <w:vAlign w:val="center"/>
          </w:tcPr>
          <w:p w14:paraId="36525661">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restart"/>
            <w:vAlign w:val="center"/>
          </w:tcPr>
          <w:p w14:paraId="0FC8983D">
            <w:pPr>
              <w:pStyle w:val="168"/>
              <w:spacing w:line="560" w:lineRule="exact"/>
              <w:jc w:val="center"/>
              <w:rPr>
                <w:rFonts w:ascii="宋体" w:hAnsi="宋体" w:cs="宋体"/>
                <w:spacing w:val="13"/>
                <w:highlight w:val="none"/>
              </w:rPr>
            </w:pPr>
            <w:r>
              <w:rPr>
                <w:rFonts w:hint="eastAsia" w:ascii="宋体" w:hAnsi="宋体" w:cs="宋体"/>
                <w:spacing w:val="13"/>
                <w:highlight w:val="none"/>
              </w:rPr>
              <w:t>每组尺寸</w:t>
            </w:r>
          </w:p>
          <w:p w14:paraId="1D851D33">
            <w:pPr>
              <w:pStyle w:val="168"/>
              <w:spacing w:line="560" w:lineRule="exact"/>
              <w:jc w:val="center"/>
              <w:rPr>
                <w:rFonts w:ascii="宋体" w:hAnsi="宋体" w:cs="宋体"/>
                <w:highlight w:val="none"/>
              </w:rPr>
            </w:pPr>
            <w:r>
              <w:rPr>
                <w:rFonts w:hint="eastAsia" w:ascii="宋体" w:hAnsi="宋体" w:cs="宋体"/>
                <w:spacing w:val="-3"/>
                <w:highlight w:val="none"/>
              </w:rPr>
              <w:t>1.03m*0.4m*2m</w:t>
            </w:r>
          </w:p>
        </w:tc>
      </w:tr>
      <w:tr w14:paraId="05650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113F0911">
            <w:pPr>
              <w:spacing w:line="560" w:lineRule="exact"/>
              <w:jc w:val="center"/>
              <w:rPr>
                <w:rFonts w:ascii="宋体" w:hAnsi="宋体" w:cs="宋体"/>
                <w:highlight w:val="none"/>
              </w:rPr>
            </w:pPr>
          </w:p>
        </w:tc>
        <w:tc>
          <w:tcPr>
            <w:tcW w:w="1184" w:type="dxa"/>
            <w:vMerge w:val="continue"/>
            <w:vAlign w:val="center"/>
          </w:tcPr>
          <w:p w14:paraId="3A4B967C">
            <w:pPr>
              <w:spacing w:line="560" w:lineRule="exact"/>
              <w:jc w:val="center"/>
              <w:rPr>
                <w:rFonts w:ascii="宋体" w:hAnsi="宋体" w:cs="宋体"/>
                <w:highlight w:val="none"/>
              </w:rPr>
            </w:pPr>
          </w:p>
        </w:tc>
        <w:tc>
          <w:tcPr>
            <w:tcW w:w="1200" w:type="dxa"/>
            <w:vAlign w:val="center"/>
          </w:tcPr>
          <w:p w14:paraId="00D8ED90">
            <w:pPr>
              <w:spacing w:line="560" w:lineRule="exact"/>
              <w:jc w:val="center"/>
              <w:rPr>
                <w:rFonts w:ascii="宋体" w:hAnsi="宋体" w:cs="宋体"/>
                <w:highlight w:val="none"/>
              </w:rPr>
            </w:pPr>
            <w:r>
              <w:rPr>
                <w:rFonts w:hint="eastAsia" w:ascii="宋体" w:hAnsi="宋体" w:cs="宋体"/>
                <w:highlight w:val="none"/>
              </w:rPr>
              <w:t>菊苑东南</w:t>
            </w:r>
          </w:p>
        </w:tc>
        <w:tc>
          <w:tcPr>
            <w:tcW w:w="811" w:type="dxa"/>
            <w:vAlign w:val="center"/>
          </w:tcPr>
          <w:p w14:paraId="1D1E70FA">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33E0DB1F">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5443115C">
            <w:pPr>
              <w:widowControl/>
              <w:jc w:val="center"/>
              <w:textAlignment w:val="center"/>
              <w:rPr>
                <w:rFonts w:ascii="宋体" w:hAnsi="宋体" w:cs="宋体"/>
                <w:highlight w:val="none"/>
                <w:lang w:bidi="ar"/>
              </w:rPr>
            </w:pPr>
            <w:r>
              <w:rPr>
                <w:rFonts w:hint="eastAsia" w:ascii="宋体" w:hAnsi="宋体" w:cs="宋体"/>
                <w:highlight w:val="none"/>
                <w:lang w:bidi="ar"/>
              </w:rPr>
              <w:t>1.24</w:t>
            </w:r>
          </w:p>
        </w:tc>
        <w:tc>
          <w:tcPr>
            <w:tcW w:w="1289" w:type="dxa"/>
            <w:vAlign w:val="center"/>
          </w:tcPr>
          <w:p w14:paraId="2BFDD77E">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4440CF7F">
            <w:pPr>
              <w:spacing w:line="560" w:lineRule="exact"/>
              <w:jc w:val="center"/>
              <w:rPr>
                <w:rFonts w:ascii="宋体" w:hAnsi="宋体" w:cs="宋体"/>
                <w:highlight w:val="none"/>
              </w:rPr>
            </w:pPr>
          </w:p>
        </w:tc>
      </w:tr>
      <w:tr w14:paraId="7162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0F30AB89">
            <w:pPr>
              <w:spacing w:line="560" w:lineRule="exact"/>
              <w:jc w:val="center"/>
              <w:rPr>
                <w:rFonts w:ascii="宋体" w:hAnsi="宋体" w:cs="宋体"/>
                <w:highlight w:val="none"/>
              </w:rPr>
            </w:pPr>
          </w:p>
        </w:tc>
        <w:tc>
          <w:tcPr>
            <w:tcW w:w="1184" w:type="dxa"/>
            <w:vMerge w:val="continue"/>
            <w:vAlign w:val="center"/>
          </w:tcPr>
          <w:p w14:paraId="59315167">
            <w:pPr>
              <w:spacing w:line="560" w:lineRule="exact"/>
              <w:jc w:val="center"/>
              <w:rPr>
                <w:rFonts w:ascii="宋体" w:hAnsi="宋体" w:cs="宋体"/>
                <w:highlight w:val="none"/>
              </w:rPr>
            </w:pPr>
          </w:p>
        </w:tc>
        <w:tc>
          <w:tcPr>
            <w:tcW w:w="1200" w:type="dxa"/>
            <w:vAlign w:val="center"/>
          </w:tcPr>
          <w:p w14:paraId="540CC3D1">
            <w:pPr>
              <w:spacing w:line="560" w:lineRule="exact"/>
              <w:jc w:val="center"/>
              <w:rPr>
                <w:rFonts w:ascii="宋体" w:hAnsi="宋体" w:cs="宋体"/>
                <w:highlight w:val="none"/>
              </w:rPr>
            </w:pPr>
            <w:r>
              <w:rPr>
                <w:rFonts w:hint="eastAsia" w:ascii="宋体" w:hAnsi="宋体" w:cs="宋体"/>
                <w:highlight w:val="none"/>
              </w:rPr>
              <w:t>竹苑东</w:t>
            </w:r>
          </w:p>
        </w:tc>
        <w:tc>
          <w:tcPr>
            <w:tcW w:w="811" w:type="dxa"/>
            <w:vAlign w:val="center"/>
          </w:tcPr>
          <w:p w14:paraId="08C11C3E">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73653EE7">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0E2B0F98">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2501EE72">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5625560B">
            <w:pPr>
              <w:spacing w:line="560" w:lineRule="exact"/>
              <w:jc w:val="center"/>
              <w:rPr>
                <w:rFonts w:ascii="宋体" w:hAnsi="宋体" w:cs="宋体"/>
                <w:highlight w:val="none"/>
              </w:rPr>
            </w:pPr>
          </w:p>
        </w:tc>
      </w:tr>
      <w:tr w14:paraId="422B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739B121A">
            <w:pPr>
              <w:spacing w:line="560" w:lineRule="exact"/>
              <w:jc w:val="center"/>
              <w:rPr>
                <w:rFonts w:ascii="宋体" w:hAnsi="宋体" w:cs="宋体"/>
                <w:highlight w:val="none"/>
              </w:rPr>
            </w:pPr>
          </w:p>
        </w:tc>
        <w:tc>
          <w:tcPr>
            <w:tcW w:w="1184" w:type="dxa"/>
            <w:vMerge w:val="continue"/>
            <w:vAlign w:val="center"/>
          </w:tcPr>
          <w:p w14:paraId="1F1264DC">
            <w:pPr>
              <w:spacing w:line="560" w:lineRule="exact"/>
              <w:jc w:val="center"/>
              <w:rPr>
                <w:rFonts w:ascii="宋体" w:hAnsi="宋体" w:cs="宋体"/>
                <w:highlight w:val="none"/>
              </w:rPr>
            </w:pPr>
          </w:p>
        </w:tc>
        <w:tc>
          <w:tcPr>
            <w:tcW w:w="1200" w:type="dxa"/>
            <w:vAlign w:val="center"/>
          </w:tcPr>
          <w:p w14:paraId="1FB417AD">
            <w:pPr>
              <w:spacing w:line="560" w:lineRule="exact"/>
              <w:jc w:val="center"/>
              <w:rPr>
                <w:rFonts w:ascii="宋体" w:hAnsi="宋体" w:cs="宋体"/>
                <w:highlight w:val="none"/>
              </w:rPr>
            </w:pPr>
            <w:r>
              <w:rPr>
                <w:rFonts w:hint="eastAsia" w:ascii="宋体" w:hAnsi="宋体" w:cs="宋体"/>
                <w:highlight w:val="none"/>
              </w:rPr>
              <w:t>南门出口</w:t>
            </w:r>
          </w:p>
        </w:tc>
        <w:tc>
          <w:tcPr>
            <w:tcW w:w="811" w:type="dxa"/>
            <w:vAlign w:val="center"/>
          </w:tcPr>
          <w:p w14:paraId="5AFD13D3">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39EE6689">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09E06A4B">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015A6E88">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054EFC20">
            <w:pPr>
              <w:spacing w:line="560" w:lineRule="exact"/>
              <w:jc w:val="center"/>
              <w:rPr>
                <w:rFonts w:ascii="宋体" w:hAnsi="宋体" w:cs="宋体"/>
                <w:highlight w:val="none"/>
              </w:rPr>
            </w:pPr>
          </w:p>
        </w:tc>
      </w:tr>
      <w:tr w14:paraId="64B2A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085B815C">
            <w:pPr>
              <w:spacing w:line="560" w:lineRule="exact"/>
              <w:jc w:val="center"/>
              <w:rPr>
                <w:rFonts w:ascii="宋体" w:hAnsi="宋体" w:cs="宋体"/>
                <w:highlight w:val="none"/>
              </w:rPr>
            </w:pPr>
          </w:p>
        </w:tc>
        <w:tc>
          <w:tcPr>
            <w:tcW w:w="1184" w:type="dxa"/>
            <w:vMerge w:val="continue"/>
            <w:vAlign w:val="center"/>
          </w:tcPr>
          <w:p w14:paraId="397E5840">
            <w:pPr>
              <w:spacing w:line="560" w:lineRule="exact"/>
              <w:jc w:val="center"/>
              <w:rPr>
                <w:rFonts w:ascii="宋体" w:hAnsi="宋体" w:cs="宋体"/>
                <w:highlight w:val="none"/>
              </w:rPr>
            </w:pPr>
          </w:p>
        </w:tc>
        <w:tc>
          <w:tcPr>
            <w:tcW w:w="1200" w:type="dxa"/>
            <w:vAlign w:val="center"/>
          </w:tcPr>
          <w:p w14:paraId="3F0C6112">
            <w:pPr>
              <w:spacing w:line="560" w:lineRule="exact"/>
              <w:jc w:val="center"/>
              <w:rPr>
                <w:rFonts w:ascii="宋体" w:hAnsi="宋体" w:cs="宋体"/>
                <w:highlight w:val="none"/>
              </w:rPr>
            </w:pPr>
            <w:r>
              <w:rPr>
                <w:rFonts w:hint="eastAsia" w:ascii="宋体" w:hAnsi="宋体" w:cs="宋体"/>
                <w:highlight w:val="none"/>
              </w:rPr>
              <w:t>樱苑西</w:t>
            </w:r>
          </w:p>
        </w:tc>
        <w:tc>
          <w:tcPr>
            <w:tcW w:w="811" w:type="dxa"/>
            <w:vAlign w:val="center"/>
          </w:tcPr>
          <w:p w14:paraId="58F4D6DD">
            <w:pPr>
              <w:spacing w:line="560" w:lineRule="exact"/>
              <w:jc w:val="center"/>
              <w:rPr>
                <w:rFonts w:ascii="宋体" w:hAnsi="宋体" w:cs="宋体"/>
                <w:highlight w:val="none"/>
              </w:rPr>
            </w:pPr>
            <w:r>
              <w:rPr>
                <w:rFonts w:hint="eastAsia" w:ascii="宋体" w:hAnsi="宋体" w:cs="宋体"/>
                <w:highlight w:val="none"/>
              </w:rPr>
              <w:t>4</w:t>
            </w:r>
          </w:p>
        </w:tc>
        <w:tc>
          <w:tcPr>
            <w:tcW w:w="878" w:type="dxa"/>
            <w:vAlign w:val="center"/>
          </w:tcPr>
          <w:p w14:paraId="43E3C8A2">
            <w:pPr>
              <w:spacing w:line="560" w:lineRule="exact"/>
              <w:jc w:val="center"/>
              <w:rPr>
                <w:rFonts w:ascii="宋体" w:hAnsi="宋体" w:cs="宋体"/>
                <w:highlight w:val="none"/>
              </w:rPr>
            </w:pPr>
            <w:r>
              <w:rPr>
                <w:rFonts w:hint="eastAsia" w:ascii="宋体" w:hAnsi="宋体" w:cs="宋体"/>
                <w:highlight w:val="none"/>
              </w:rPr>
              <w:t>83</w:t>
            </w:r>
          </w:p>
        </w:tc>
        <w:tc>
          <w:tcPr>
            <w:tcW w:w="1217" w:type="dxa"/>
            <w:vAlign w:val="center"/>
          </w:tcPr>
          <w:p w14:paraId="1494BB5B">
            <w:pPr>
              <w:widowControl/>
              <w:jc w:val="center"/>
              <w:textAlignment w:val="center"/>
              <w:rPr>
                <w:rFonts w:ascii="宋体" w:hAnsi="宋体" w:cs="宋体"/>
                <w:highlight w:val="none"/>
              </w:rPr>
            </w:pPr>
            <w:r>
              <w:rPr>
                <w:rFonts w:hint="eastAsia" w:ascii="宋体" w:hAnsi="宋体" w:cs="宋体"/>
                <w:highlight w:val="none"/>
                <w:lang w:bidi="ar"/>
              </w:rPr>
              <w:t>1.65</w:t>
            </w:r>
          </w:p>
        </w:tc>
        <w:tc>
          <w:tcPr>
            <w:tcW w:w="1289" w:type="dxa"/>
            <w:vAlign w:val="center"/>
          </w:tcPr>
          <w:p w14:paraId="28E456FF">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5AEA2C4F">
            <w:pPr>
              <w:spacing w:line="560" w:lineRule="exact"/>
              <w:jc w:val="center"/>
              <w:rPr>
                <w:rFonts w:ascii="宋体" w:hAnsi="宋体" w:cs="宋体"/>
                <w:highlight w:val="none"/>
              </w:rPr>
            </w:pPr>
          </w:p>
        </w:tc>
      </w:tr>
      <w:tr w14:paraId="0D810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35559E85">
            <w:pPr>
              <w:spacing w:line="560" w:lineRule="exact"/>
              <w:jc w:val="center"/>
              <w:rPr>
                <w:rFonts w:ascii="宋体" w:hAnsi="宋体" w:cs="宋体"/>
                <w:highlight w:val="none"/>
              </w:rPr>
            </w:pPr>
          </w:p>
        </w:tc>
        <w:tc>
          <w:tcPr>
            <w:tcW w:w="1184" w:type="dxa"/>
            <w:vMerge w:val="continue"/>
            <w:vAlign w:val="center"/>
          </w:tcPr>
          <w:p w14:paraId="30AF3786">
            <w:pPr>
              <w:spacing w:line="560" w:lineRule="exact"/>
              <w:jc w:val="center"/>
              <w:rPr>
                <w:rFonts w:ascii="宋体" w:hAnsi="宋体" w:cs="宋体"/>
                <w:highlight w:val="none"/>
              </w:rPr>
            </w:pPr>
          </w:p>
        </w:tc>
        <w:tc>
          <w:tcPr>
            <w:tcW w:w="1200" w:type="dxa"/>
            <w:vAlign w:val="center"/>
          </w:tcPr>
          <w:p w14:paraId="4CF1D609">
            <w:pPr>
              <w:spacing w:line="560" w:lineRule="exact"/>
              <w:jc w:val="center"/>
              <w:rPr>
                <w:rFonts w:ascii="宋体" w:hAnsi="宋体" w:cs="宋体"/>
                <w:highlight w:val="none"/>
              </w:rPr>
            </w:pPr>
            <w:r>
              <w:rPr>
                <w:rFonts w:hint="eastAsia" w:ascii="宋体" w:hAnsi="宋体" w:cs="宋体"/>
                <w:highlight w:val="none"/>
              </w:rPr>
              <w:t>青教北</w:t>
            </w:r>
          </w:p>
        </w:tc>
        <w:tc>
          <w:tcPr>
            <w:tcW w:w="811" w:type="dxa"/>
            <w:vAlign w:val="center"/>
          </w:tcPr>
          <w:p w14:paraId="74AD069C">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2CE38BBB">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30743E8E">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76909B35">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249F475A">
            <w:pPr>
              <w:spacing w:line="560" w:lineRule="exact"/>
              <w:jc w:val="center"/>
              <w:rPr>
                <w:rFonts w:ascii="宋体" w:hAnsi="宋体" w:cs="宋体"/>
                <w:highlight w:val="none"/>
              </w:rPr>
            </w:pPr>
          </w:p>
        </w:tc>
      </w:tr>
      <w:tr w14:paraId="2EEB9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2B10778D">
            <w:pPr>
              <w:spacing w:line="560" w:lineRule="exact"/>
              <w:jc w:val="center"/>
              <w:rPr>
                <w:rFonts w:ascii="宋体" w:hAnsi="宋体" w:cs="宋体"/>
                <w:highlight w:val="none"/>
              </w:rPr>
            </w:pPr>
          </w:p>
        </w:tc>
        <w:tc>
          <w:tcPr>
            <w:tcW w:w="1184" w:type="dxa"/>
            <w:vMerge w:val="continue"/>
            <w:vAlign w:val="center"/>
          </w:tcPr>
          <w:p w14:paraId="31C7226F">
            <w:pPr>
              <w:spacing w:line="560" w:lineRule="exact"/>
              <w:jc w:val="center"/>
              <w:rPr>
                <w:rFonts w:ascii="宋体" w:hAnsi="宋体" w:cs="宋体"/>
                <w:highlight w:val="none"/>
              </w:rPr>
            </w:pPr>
          </w:p>
        </w:tc>
        <w:tc>
          <w:tcPr>
            <w:tcW w:w="1200" w:type="dxa"/>
            <w:vAlign w:val="center"/>
          </w:tcPr>
          <w:p w14:paraId="3F80B75E">
            <w:pPr>
              <w:spacing w:line="560" w:lineRule="exact"/>
              <w:jc w:val="center"/>
              <w:rPr>
                <w:rFonts w:ascii="宋体" w:hAnsi="宋体" w:cs="宋体"/>
                <w:highlight w:val="none"/>
              </w:rPr>
            </w:pPr>
            <w:r>
              <w:rPr>
                <w:rFonts w:hint="eastAsia" w:ascii="宋体" w:hAnsi="宋体" w:cs="宋体"/>
                <w:highlight w:val="none"/>
              </w:rPr>
              <w:t>青教西</w:t>
            </w:r>
          </w:p>
        </w:tc>
        <w:tc>
          <w:tcPr>
            <w:tcW w:w="811" w:type="dxa"/>
            <w:vAlign w:val="center"/>
          </w:tcPr>
          <w:p w14:paraId="48077015">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6063B4C9">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6C1B7715">
            <w:pPr>
              <w:widowControl/>
              <w:jc w:val="center"/>
              <w:textAlignment w:val="center"/>
              <w:rPr>
                <w:rFonts w:ascii="宋体" w:hAnsi="宋体" w:cs="宋体"/>
                <w:highlight w:val="none"/>
                <w:lang w:bidi="ar"/>
              </w:rPr>
            </w:pPr>
            <w:r>
              <w:rPr>
                <w:rFonts w:hint="eastAsia" w:ascii="宋体" w:hAnsi="宋体" w:cs="宋体"/>
                <w:highlight w:val="none"/>
                <w:lang w:bidi="ar"/>
              </w:rPr>
              <w:t>1.24</w:t>
            </w:r>
          </w:p>
        </w:tc>
        <w:tc>
          <w:tcPr>
            <w:tcW w:w="1289" w:type="dxa"/>
            <w:vAlign w:val="center"/>
          </w:tcPr>
          <w:p w14:paraId="74B44854">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4347A757">
            <w:pPr>
              <w:spacing w:line="560" w:lineRule="exact"/>
              <w:jc w:val="center"/>
              <w:rPr>
                <w:rFonts w:ascii="宋体" w:hAnsi="宋体" w:cs="宋体"/>
                <w:highlight w:val="none"/>
              </w:rPr>
            </w:pPr>
          </w:p>
        </w:tc>
      </w:tr>
      <w:tr w14:paraId="3839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1E70F554">
            <w:pPr>
              <w:spacing w:line="560" w:lineRule="exact"/>
              <w:jc w:val="center"/>
              <w:rPr>
                <w:rFonts w:ascii="宋体" w:hAnsi="宋体" w:cs="宋体"/>
                <w:highlight w:val="none"/>
              </w:rPr>
            </w:pPr>
          </w:p>
        </w:tc>
        <w:tc>
          <w:tcPr>
            <w:tcW w:w="1184" w:type="dxa"/>
            <w:vMerge w:val="continue"/>
            <w:vAlign w:val="center"/>
          </w:tcPr>
          <w:p w14:paraId="6E805FD2">
            <w:pPr>
              <w:spacing w:line="560" w:lineRule="exact"/>
              <w:jc w:val="center"/>
              <w:rPr>
                <w:rFonts w:ascii="宋体" w:hAnsi="宋体" w:cs="宋体"/>
                <w:highlight w:val="none"/>
              </w:rPr>
            </w:pPr>
          </w:p>
        </w:tc>
        <w:tc>
          <w:tcPr>
            <w:tcW w:w="1200" w:type="dxa"/>
            <w:vAlign w:val="center"/>
          </w:tcPr>
          <w:p w14:paraId="4DE8DFFE">
            <w:pPr>
              <w:spacing w:line="560" w:lineRule="exact"/>
              <w:jc w:val="center"/>
              <w:rPr>
                <w:rFonts w:ascii="宋体" w:hAnsi="宋体" w:cs="宋体"/>
                <w:highlight w:val="none"/>
              </w:rPr>
            </w:pPr>
            <w:r>
              <w:rPr>
                <w:rFonts w:hint="eastAsia" w:ascii="宋体" w:hAnsi="宋体" w:cs="宋体"/>
                <w:highlight w:val="none"/>
              </w:rPr>
              <w:t>兰苑东</w:t>
            </w:r>
          </w:p>
        </w:tc>
        <w:tc>
          <w:tcPr>
            <w:tcW w:w="811" w:type="dxa"/>
            <w:vAlign w:val="center"/>
          </w:tcPr>
          <w:p w14:paraId="79E5F1E8">
            <w:pPr>
              <w:spacing w:line="560" w:lineRule="exact"/>
              <w:jc w:val="center"/>
              <w:rPr>
                <w:rFonts w:ascii="宋体" w:hAnsi="宋体" w:cs="宋体"/>
                <w:highlight w:val="none"/>
              </w:rPr>
            </w:pPr>
            <w:r>
              <w:rPr>
                <w:rFonts w:hint="eastAsia" w:ascii="宋体" w:hAnsi="宋体" w:cs="宋体"/>
                <w:highlight w:val="none"/>
              </w:rPr>
              <w:t>6</w:t>
            </w:r>
          </w:p>
        </w:tc>
        <w:tc>
          <w:tcPr>
            <w:tcW w:w="878" w:type="dxa"/>
            <w:vAlign w:val="center"/>
          </w:tcPr>
          <w:p w14:paraId="057E3AEF">
            <w:pPr>
              <w:spacing w:line="560" w:lineRule="exact"/>
              <w:jc w:val="center"/>
              <w:rPr>
                <w:rFonts w:ascii="宋体" w:hAnsi="宋体" w:cs="宋体"/>
                <w:highlight w:val="none"/>
              </w:rPr>
            </w:pPr>
            <w:r>
              <w:rPr>
                <w:rFonts w:hint="eastAsia" w:ascii="宋体" w:hAnsi="宋体" w:cs="宋体"/>
                <w:highlight w:val="none"/>
              </w:rPr>
              <w:t>125</w:t>
            </w:r>
          </w:p>
        </w:tc>
        <w:tc>
          <w:tcPr>
            <w:tcW w:w="1217" w:type="dxa"/>
            <w:vAlign w:val="center"/>
          </w:tcPr>
          <w:p w14:paraId="56A79ACB">
            <w:pPr>
              <w:widowControl/>
              <w:jc w:val="center"/>
              <w:textAlignment w:val="center"/>
              <w:rPr>
                <w:rFonts w:ascii="宋体" w:hAnsi="宋体" w:cs="宋体"/>
                <w:highlight w:val="none"/>
              </w:rPr>
            </w:pPr>
            <w:r>
              <w:rPr>
                <w:rFonts w:hint="eastAsia" w:ascii="宋体" w:hAnsi="宋体" w:cs="宋体"/>
                <w:highlight w:val="none"/>
                <w:lang w:bidi="ar"/>
              </w:rPr>
              <w:t>2.47</w:t>
            </w:r>
          </w:p>
        </w:tc>
        <w:tc>
          <w:tcPr>
            <w:tcW w:w="1289" w:type="dxa"/>
            <w:vAlign w:val="center"/>
          </w:tcPr>
          <w:p w14:paraId="76EA51E2">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165439C6">
            <w:pPr>
              <w:spacing w:line="560" w:lineRule="exact"/>
              <w:jc w:val="center"/>
              <w:rPr>
                <w:rFonts w:ascii="宋体" w:hAnsi="宋体" w:cs="宋体"/>
                <w:highlight w:val="none"/>
              </w:rPr>
            </w:pPr>
          </w:p>
        </w:tc>
      </w:tr>
      <w:tr w14:paraId="2292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84" w:type="dxa"/>
            <w:vMerge w:val="continue"/>
            <w:vAlign w:val="center"/>
          </w:tcPr>
          <w:p w14:paraId="02745893">
            <w:pPr>
              <w:spacing w:line="560" w:lineRule="exact"/>
              <w:jc w:val="center"/>
              <w:rPr>
                <w:rFonts w:ascii="宋体" w:hAnsi="宋体" w:cs="宋体"/>
                <w:highlight w:val="none"/>
              </w:rPr>
            </w:pPr>
          </w:p>
        </w:tc>
        <w:tc>
          <w:tcPr>
            <w:tcW w:w="1184" w:type="dxa"/>
            <w:vMerge w:val="continue"/>
            <w:vAlign w:val="center"/>
          </w:tcPr>
          <w:p w14:paraId="4476BE91">
            <w:pPr>
              <w:spacing w:line="560" w:lineRule="exact"/>
              <w:jc w:val="center"/>
              <w:rPr>
                <w:rFonts w:ascii="宋体" w:hAnsi="宋体" w:cs="宋体"/>
                <w:highlight w:val="none"/>
              </w:rPr>
            </w:pPr>
          </w:p>
        </w:tc>
        <w:tc>
          <w:tcPr>
            <w:tcW w:w="1200" w:type="dxa"/>
            <w:vAlign w:val="center"/>
          </w:tcPr>
          <w:p w14:paraId="1A799F3E">
            <w:pPr>
              <w:spacing w:line="560" w:lineRule="exact"/>
              <w:jc w:val="center"/>
              <w:rPr>
                <w:rFonts w:ascii="宋体" w:hAnsi="宋体" w:cs="宋体"/>
                <w:highlight w:val="none"/>
              </w:rPr>
            </w:pPr>
            <w:r>
              <w:rPr>
                <w:rFonts w:hint="eastAsia" w:ascii="宋体" w:hAnsi="宋体" w:cs="宋体"/>
                <w:highlight w:val="none"/>
              </w:rPr>
              <w:t>北门</w:t>
            </w:r>
          </w:p>
        </w:tc>
        <w:tc>
          <w:tcPr>
            <w:tcW w:w="811" w:type="dxa"/>
            <w:vAlign w:val="center"/>
          </w:tcPr>
          <w:p w14:paraId="46DEBA7B">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69A4D9EC">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74491962">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335FBEF6">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7B2DAEAB">
            <w:pPr>
              <w:spacing w:line="560" w:lineRule="exact"/>
              <w:jc w:val="center"/>
              <w:rPr>
                <w:rFonts w:ascii="宋体" w:hAnsi="宋体" w:cs="宋体"/>
                <w:highlight w:val="none"/>
              </w:rPr>
            </w:pPr>
          </w:p>
        </w:tc>
      </w:tr>
      <w:tr w14:paraId="4E4BA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68" w:type="dxa"/>
            <w:gridSpan w:val="3"/>
            <w:vAlign w:val="center"/>
          </w:tcPr>
          <w:p w14:paraId="739CFDB2">
            <w:pPr>
              <w:spacing w:line="560" w:lineRule="exact"/>
              <w:jc w:val="center"/>
              <w:rPr>
                <w:rFonts w:ascii="宋体" w:hAnsi="宋体" w:cs="宋体"/>
                <w:b/>
                <w:bCs/>
                <w:highlight w:val="none"/>
              </w:rPr>
            </w:pPr>
            <w:r>
              <w:rPr>
                <w:rFonts w:hint="eastAsia" w:ascii="宋体" w:hAnsi="宋体" w:cs="宋体"/>
                <w:b/>
                <w:bCs/>
                <w:highlight w:val="none"/>
              </w:rPr>
              <w:t>合计</w:t>
            </w:r>
          </w:p>
        </w:tc>
        <w:tc>
          <w:tcPr>
            <w:tcW w:w="811" w:type="dxa"/>
            <w:shd w:val="clear" w:color="auto" w:fill="auto"/>
            <w:vAlign w:val="center"/>
          </w:tcPr>
          <w:p w14:paraId="68BD8E4C">
            <w:pPr>
              <w:widowControl/>
              <w:jc w:val="center"/>
              <w:textAlignment w:val="center"/>
              <w:rPr>
                <w:rFonts w:ascii="宋体" w:hAnsi="宋体" w:cs="宋体"/>
                <w:b/>
                <w:bCs/>
                <w:sz w:val="22"/>
                <w:highlight w:val="none"/>
              </w:rPr>
            </w:pPr>
            <w:r>
              <w:rPr>
                <w:rFonts w:hint="eastAsia" w:ascii="宋体" w:hAnsi="宋体" w:cs="宋体"/>
                <w:b/>
                <w:bCs/>
                <w:sz w:val="22"/>
                <w:highlight w:val="none"/>
                <w:lang w:bidi="ar"/>
              </w:rPr>
              <w:t>41</w:t>
            </w:r>
          </w:p>
        </w:tc>
        <w:tc>
          <w:tcPr>
            <w:tcW w:w="878" w:type="dxa"/>
            <w:shd w:val="clear" w:color="auto" w:fill="auto"/>
            <w:vAlign w:val="center"/>
          </w:tcPr>
          <w:p w14:paraId="4B08E488">
            <w:pPr>
              <w:widowControl/>
              <w:jc w:val="center"/>
              <w:textAlignment w:val="center"/>
              <w:rPr>
                <w:rFonts w:ascii="宋体" w:hAnsi="宋体" w:cs="宋体"/>
                <w:b/>
                <w:bCs/>
                <w:sz w:val="22"/>
                <w:highlight w:val="none"/>
              </w:rPr>
            </w:pPr>
            <w:r>
              <w:rPr>
                <w:rFonts w:hint="eastAsia" w:ascii="宋体" w:hAnsi="宋体" w:cs="宋体"/>
                <w:b/>
                <w:bCs/>
                <w:sz w:val="22"/>
                <w:highlight w:val="none"/>
                <w:lang w:bidi="ar"/>
              </w:rPr>
              <w:t>851</w:t>
            </w:r>
          </w:p>
        </w:tc>
        <w:tc>
          <w:tcPr>
            <w:tcW w:w="1217" w:type="dxa"/>
            <w:shd w:val="clear" w:color="auto" w:fill="auto"/>
            <w:vAlign w:val="center"/>
          </w:tcPr>
          <w:p w14:paraId="2F3416F7">
            <w:pPr>
              <w:widowControl/>
              <w:jc w:val="center"/>
              <w:textAlignment w:val="center"/>
              <w:rPr>
                <w:rFonts w:ascii="宋体" w:hAnsi="宋体" w:cs="宋体"/>
                <w:b/>
                <w:bCs/>
                <w:sz w:val="22"/>
                <w:highlight w:val="none"/>
              </w:rPr>
            </w:pPr>
            <w:r>
              <w:rPr>
                <w:rFonts w:hint="eastAsia" w:ascii="宋体" w:hAnsi="宋体" w:cs="宋体"/>
                <w:b/>
                <w:bCs/>
                <w:sz w:val="22"/>
                <w:highlight w:val="none"/>
                <w:lang w:bidi="ar"/>
              </w:rPr>
              <w:t>16.92</w:t>
            </w:r>
          </w:p>
        </w:tc>
        <w:tc>
          <w:tcPr>
            <w:tcW w:w="2385" w:type="dxa"/>
            <w:gridSpan w:val="2"/>
            <w:vAlign w:val="center"/>
          </w:tcPr>
          <w:p w14:paraId="7C61C83C">
            <w:pPr>
              <w:spacing w:line="560" w:lineRule="exact"/>
              <w:jc w:val="center"/>
              <w:rPr>
                <w:rFonts w:ascii="宋体" w:hAnsi="宋体" w:cs="宋体"/>
                <w:highlight w:val="none"/>
              </w:rPr>
            </w:pPr>
          </w:p>
        </w:tc>
      </w:tr>
      <w:tr w14:paraId="5F69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restart"/>
            <w:vAlign w:val="center"/>
          </w:tcPr>
          <w:p w14:paraId="46BC04B7">
            <w:pPr>
              <w:spacing w:line="560" w:lineRule="exact"/>
              <w:jc w:val="center"/>
              <w:rPr>
                <w:rFonts w:ascii="宋体" w:hAnsi="宋体" w:cs="宋体"/>
                <w:highlight w:val="none"/>
              </w:rPr>
            </w:pPr>
            <w:r>
              <w:rPr>
                <w:rFonts w:hint="eastAsia" w:ascii="宋体" w:hAnsi="宋体" w:cs="宋体"/>
                <w:highlight w:val="none"/>
              </w:rPr>
              <w:t>二标段</w:t>
            </w:r>
          </w:p>
        </w:tc>
        <w:tc>
          <w:tcPr>
            <w:tcW w:w="1184" w:type="dxa"/>
            <w:vMerge w:val="restart"/>
            <w:vAlign w:val="center"/>
          </w:tcPr>
          <w:p w14:paraId="360DC124">
            <w:pPr>
              <w:spacing w:line="560" w:lineRule="exact"/>
              <w:jc w:val="center"/>
              <w:rPr>
                <w:rFonts w:ascii="宋体" w:hAnsi="宋体" w:cs="宋体"/>
                <w:highlight w:val="none"/>
              </w:rPr>
            </w:pPr>
            <w:r>
              <w:rPr>
                <w:rFonts w:hint="eastAsia" w:ascii="宋体" w:hAnsi="宋体" w:cs="宋体"/>
                <w:highlight w:val="none"/>
              </w:rPr>
              <w:t>三牌楼</w:t>
            </w:r>
          </w:p>
        </w:tc>
        <w:tc>
          <w:tcPr>
            <w:tcW w:w="1200" w:type="dxa"/>
            <w:vAlign w:val="center"/>
          </w:tcPr>
          <w:p w14:paraId="48B741B1">
            <w:pPr>
              <w:spacing w:line="560" w:lineRule="exact"/>
              <w:jc w:val="center"/>
              <w:rPr>
                <w:rFonts w:ascii="宋体" w:hAnsi="宋体" w:cs="宋体"/>
                <w:highlight w:val="none"/>
              </w:rPr>
            </w:pPr>
            <w:r>
              <w:rPr>
                <w:rFonts w:hint="eastAsia" w:ascii="宋体" w:hAnsi="宋体" w:cs="宋体"/>
                <w:highlight w:val="none"/>
              </w:rPr>
              <w:t>东门</w:t>
            </w:r>
          </w:p>
        </w:tc>
        <w:tc>
          <w:tcPr>
            <w:tcW w:w="811" w:type="dxa"/>
            <w:vAlign w:val="center"/>
          </w:tcPr>
          <w:p w14:paraId="3960054F">
            <w:pPr>
              <w:spacing w:line="560" w:lineRule="exact"/>
              <w:jc w:val="center"/>
              <w:rPr>
                <w:rFonts w:ascii="宋体" w:hAnsi="宋体" w:cs="宋体"/>
                <w:highlight w:val="none"/>
              </w:rPr>
            </w:pPr>
            <w:r>
              <w:rPr>
                <w:rFonts w:hint="eastAsia" w:ascii="宋体" w:hAnsi="宋体" w:cs="宋体"/>
                <w:highlight w:val="none"/>
              </w:rPr>
              <w:t>12</w:t>
            </w:r>
          </w:p>
        </w:tc>
        <w:tc>
          <w:tcPr>
            <w:tcW w:w="878" w:type="dxa"/>
            <w:vAlign w:val="center"/>
          </w:tcPr>
          <w:p w14:paraId="33B871A8">
            <w:pPr>
              <w:spacing w:line="560" w:lineRule="exact"/>
              <w:jc w:val="center"/>
              <w:rPr>
                <w:rFonts w:ascii="宋体" w:hAnsi="宋体" w:cs="宋体"/>
                <w:highlight w:val="none"/>
              </w:rPr>
            </w:pPr>
            <w:r>
              <w:rPr>
                <w:rFonts w:hint="eastAsia" w:ascii="宋体" w:hAnsi="宋体" w:cs="宋体"/>
                <w:highlight w:val="none"/>
              </w:rPr>
              <w:t>250</w:t>
            </w:r>
          </w:p>
        </w:tc>
        <w:tc>
          <w:tcPr>
            <w:tcW w:w="1217" w:type="dxa"/>
            <w:vAlign w:val="center"/>
          </w:tcPr>
          <w:p w14:paraId="45ECF839">
            <w:pPr>
              <w:widowControl/>
              <w:jc w:val="center"/>
              <w:textAlignment w:val="center"/>
              <w:rPr>
                <w:rFonts w:ascii="宋体" w:hAnsi="宋体" w:cs="宋体"/>
                <w:highlight w:val="none"/>
              </w:rPr>
            </w:pPr>
            <w:r>
              <w:rPr>
                <w:rFonts w:hint="eastAsia" w:ascii="宋体" w:hAnsi="宋体" w:cs="宋体"/>
                <w:highlight w:val="none"/>
                <w:lang w:bidi="ar"/>
              </w:rPr>
              <w:t>4.94</w:t>
            </w:r>
          </w:p>
        </w:tc>
        <w:tc>
          <w:tcPr>
            <w:tcW w:w="1289" w:type="dxa"/>
            <w:vAlign w:val="center"/>
          </w:tcPr>
          <w:p w14:paraId="2EFB7368">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restart"/>
            <w:vAlign w:val="center"/>
          </w:tcPr>
          <w:p w14:paraId="7F87284E">
            <w:pPr>
              <w:pStyle w:val="168"/>
              <w:spacing w:line="560" w:lineRule="exact"/>
              <w:jc w:val="center"/>
              <w:rPr>
                <w:rFonts w:ascii="宋体" w:hAnsi="宋体" w:cs="宋体"/>
                <w:spacing w:val="13"/>
                <w:highlight w:val="none"/>
              </w:rPr>
            </w:pPr>
            <w:r>
              <w:rPr>
                <w:rFonts w:hint="eastAsia" w:ascii="宋体" w:hAnsi="宋体" w:cs="宋体"/>
                <w:spacing w:val="13"/>
                <w:highlight w:val="none"/>
              </w:rPr>
              <w:t>每组尺寸</w:t>
            </w:r>
          </w:p>
          <w:p w14:paraId="7F223C22">
            <w:pPr>
              <w:spacing w:line="560" w:lineRule="exact"/>
              <w:jc w:val="center"/>
              <w:rPr>
                <w:rFonts w:ascii="宋体" w:hAnsi="宋体" w:cs="宋体"/>
                <w:highlight w:val="none"/>
              </w:rPr>
            </w:pPr>
            <w:r>
              <w:rPr>
                <w:rFonts w:hint="eastAsia" w:ascii="宋体" w:hAnsi="宋体" w:cs="宋体"/>
                <w:spacing w:val="-3"/>
                <w:highlight w:val="none"/>
              </w:rPr>
              <w:t>1.03m*0.4m*2m</w:t>
            </w:r>
          </w:p>
        </w:tc>
      </w:tr>
      <w:tr w14:paraId="414A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799D8DEB">
            <w:pPr>
              <w:spacing w:line="560" w:lineRule="exact"/>
              <w:jc w:val="center"/>
              <w:rPr>
                <w:rFonts w:ascii="宋体" w:hAnsi="宋体" w:cs="宋体"/>
                <w:highlight w:val="none"/>
              </w:rPr>
            </w:pPr>
          </w:p>
        </w:tc>
        <w:tc>
          <w:tcPr>
            <w:tcW w:w="1184" w:type="dxa"/>
            <w:vMerge w:val="continue"/>
            <w:vAlign w:val="center"/>
          </w:tcPr>
          <w:p w14:paraId="2C5A79CB">
            <w:pPr>
              <w:spacing w:line="560" w:lineRule="exact"/>
              <w:jc w:val="center"/>
              <w:rPr>
                <w:rFonts w:ascii="宋体" w:hAnsi="宋体" w:cs="宋体"/>
                <w:highlight w:val="none"/>
              </w:rPr>
            </w:pPr>
          </w:p>
        </w:tc>
        <w:tc>
          <w:tcPr>
            <w:tcW w:w="1200" w:type="dxa"/>
            <w:vAlign w:val="center"/>
          </w:tcPr>
          <w:p w14:paraId="25FF1952">
            <w:pPr>
              <w:spacing w:line="560" w:lineRule="exact"/>
              <w:jc w:val="center"/>
              <w:rPr>
                <w:rFonts w:ascii="宋体" w:hAnsi="宋体" w:cs="宋体"/>
                <w:highlight w:val="none"/>
              </w:rPr>
            </w:pPr>
            <w:r>
              <w:rPr>
                <w:rFonts w:hint="eastAsia" w:ascii="宋体" w:hAnsi="宋体" w:cs="宋体"/>
                <w:highlight w:val="none"/>
              </w:rPr>
              <w:t>南门</w:t>
            </w:r>
          </w:p>
        </w:tc>
        <w:tc>
          <w:tcPr>
            <w:tcW w:w="811" w:type="dxa"/>
            <w:vAlign w:val="center"/>
          </w:tcPr>
          <w:p w14:paraId="467B1796">
            <w:pPr>
              <w:spacing w:line="560" w:lineRule="exact"/>
              <w:jc w:val="center"/>
              <w:rPr>
                <w:rFonts w:ascii="宋体" w:hAnsi="宋体" w:cs="宋体"/>
                <w:highlight w:val="none"/>
              </w:rPr>
            </w:pPr>
            <w:r>
              <w:rPr>
                <w:rFonts w:hint="eastAsia" w:ascii="宋体" w:hAnsi="宋体" w:cs="宋体"/>
                <w:highlight w:val="none"/>
              </w:rPr>
              <w:t>2</w:t>
            </w:r>
          </w:p>
        </w:tc>
        <w:tc>
          <w:tcPr>
            <w:tcW w:w="878" w:type="dxa"/>
            <w:vAlign w:val="center"/>
          </w:tcPr>
          <w:p w14:paraId="7B44A331">
            <w:pPr>
              <w:spacing w:line="560" w:lineRule="exact"/>
              <w:jc w:val="center"/>
              <w:rPr>
                <w:rFonts w:ascii="宋体" w:hAnsi="宋体" w:cs="宋体"/>
                <w:highlight w:val="none"/>
              </w:rPr>
            </w:pPr>
            <w:r>
              <w:rPr>
                <w:rFonts w:hint="eastAsia" w:ascii="宋体" w:hAnsi="宋体" w:cs="宋体"/>
                <w:highlight w:val="none"/>
              </w:rPr>
              <w:t>41</w:t>
            </w:r>
          </w:p>
        </w:tc>
        <w:tc>
          <w:tcPr>
            <w:tcW w:w="1217" w:type="dxa"/>
            <w:vAlign w:val="center"/>
          </w:tcPr>
          <w:p w14:paraId="13357681">
            <w:pPr>
              <w:widowControl/>
              <w:jc w:val="center"/>
              <w:textAlignment w:val="center"/>
              <w:rPr>
                <w:rFonts w:ascii="宋体" w:hAnsi="宋体" w:cs="宋体"/>
                <w:highlight w:val="none"/>
              </w:rPr>
            </w:pPr>
            <w:r>
              <w:rPr>
                <w:rFonts w:hint="eastAsia" w:ascii="宋体" w:hAnsi="宋体" w:cs="宋体"/>
                <w:highlight w:val="none"/>
                <w:lang w:bidi="ar"/>
              </w:rPr>
              <w:t>0.82</w:t>
            </w:r>
          </w:p>
        </w:tc>
        <w:tc>
          <w:tcPr>
            <w:tcW w:w="1289" w:type="dxa"/>
            <w:vAlign w:val="center"/>
          </w:tcPr>
          <w:p w14:paraId="050FF554">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50434F69">
            <w:pPr>
              <w:spacing w:line="560" w:lineRule="exact"/>
              <w:jc w:val="center"/>
              <w:rPr>
                <w:rFonts w:ascii="宋体" w:hAnsi="宋体" w:cs="宋体"/>
                <w:highlight w:val="none"/>
              </w:rPr>
            </w:pPr>
          </w:p>
        </w:tc>
      </w:tr>
      <w:tr w14:paraId="3E0BD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5CC45BDA">
            <w:pPr>
              <w:spacing w:line="560" w:lineRule="exact"/>
              <w:jc w:val="center"/>
              <w:rPr>
                <w:rFonts w:ascii="宋体" w:hAnsi="宋体" w:cs="宋体"/>
                <w:highlight w:val="none"/>
              </w:rPr>
            </w:pPr>
          </w:p>
        </w:tc>
        <w:tc>
          <w:tcPr>
            <w:tcW w:w="1184" w:type="dxa"/>
            <w:vMerge w:val="continue"/>
            <w:vAlign w:val="center"/>
          </w:tcPr>
          <w:p w14:paraId="74049E85">
            <w:pPr>
              <w:spacing w:line="560" w:lineRule="exact"/>
              <w:jc w:val="center"/>
              <w:rPr>
                <w:rFonts w:ascii="宋体" w:hAnsi="宋体" w:cs="宋体"/>
                <w:highlight w:val="none"/>
              </w:rPr>
            </w:pPr>
          </w:p>
        </w:tc>
        <w:tc>
          <w:tcPr>
            <w:tcW w:w="1200" w:type="dxa"/>
            <w:vAlign w:val="center"/>
          </w:tcPr>
          <w:p w14:paraId="70425CD5">
            <w:pPr>
              <w:spacing w:line="560" w:lineRule="exact"/>
              <w:jc w:val="center"/>
              <w:rPr>
                <w:rFonts w:ascii="宋体" w:hAnsi="宋体" w:cs="宋体"/>
                <w:highlight w:val="none"/>
              </w:rPr>
            </w:pPr>
            <w:r>
              <w:rPr>
                <w:rFonts w:hint="eastAsia" w:ascii="宋体" w:hAnsi="宋体" w:cs="宋体"/>
                <w:highlight w:val="none"/>
              </w:rPr>
              <w:t>学1楼东</w:t>
            </w:r>
          </w:p>
        </w:tc>
        <w:tc>
          <w:tcPr>
            <w:tcW w:w="811" w:type="dxa"/>
            <w:vAlign w:val="center"/>
          </w:tcPr>
          <w:p w14:paraId="3CF055C9">
            <w:pPr>
              <w:spacing w:line="560" w:lineRule="exact"/>
              <w:jc w:val="center"/>
              <w:rPr>
                <w:rFonts w:ascii="宋体" w:hAnsi="宋体" w:cs="宋体"/>
                <w:highlight w:val="none"/>
              </w:rPr>
            </w:pPr>
            <w:r>
              <w:rPr>
                <w:rFonts w:hint="eastAsia" w:ascii="宋体" w:hAnsi="宋体" w:cs="宋体"/>
                <w:highlight w:val="none"/>
              </w:rPr>
              <w:t>12</w:t>
            </w:r>
          </w:p>
        </w:tc>
        <w:tc>
          <w:tcPr>
            <w:tcW w:w="878" w:type="dxa"/>
            <w:vAlign w:val="center"/>
          </w:tcPr>
          <w:p w14:paraId="6B17C3FA">
            <w:pPr>
              <w:spacing w:line="560" w:lineRule="exact"/>
              <w:jc w:val="center"/>
              <w:rPr>
                <w:rFonts w:ascii="宋体" w:hAnsi="宋体" w:cs="宋体"/>
                <w:highlight w:val="none"/>
              </w:rPr>
            </w:pPr>
            <w:r>
              <w:rPr>
                <w:rFonts w:hint="eastAsia" w:ascii="宋体" w:hAnsi="宋体" w:cs="宋体"/>
                <w:highlight w:val="none"/>
              </w:rPr>
              <w:t>250</w:t>
            </w:r>
          </w:p>
        </w:tc>
        <w:tc>
          <w:tcPr>
            <w:tcW w:w="1217" w:type="dxa"/>
            <w:vAlign w:val="center"/>
          </w:tcPr>
          <w:p w14:paraId="09C6445C">
            <w:pPr>
              <w:widowControl/>
              <w:jc w:val="center"/>
              <w:textAlignment w:val="center"/>
              <w:rPr>
                <w:rFonts w:ascii="宋体" w:hAnsi="宋体" w:cs="宋体"/>
                <w:highlight w:val="none"/>
              </w:rPr>
            </w:pPr>
            <w:r>
              <w:rPr>
                <w:rFonts w:hint="eastAsia" w:ascii="宋体" w:hAnsi="宋体" w:cs="宋体"/>
                <w:highlight w:val="none"/>
                <w:lang w:bidi="ar"/>
              </w:rPr>
              <w:t>4.94</w:t>
            </w:r>
          </w:p>
        </w:tc>
        <w:tc>
          <w:tcPr>
            <w:tcW w:w="1289" w:type="dxa"/>
            <w:vAlign w:val="center"/>
          </w:tcPr>
          <w:p w14:paraId="16393EB0">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2D26A16F">
            <w:pPr>
              <w:spacing w:line="560" w:lineRule="exact"/>
              <w:jc w:val="center"/>
              <w:rPr>
                <w:rFonts w:ascii="宋体" w:hAnsi="宋体" w:cs="宋体"/>
                <w:highlight w:val="none"/>
              </w:rPr>
            </w:pPr>
          </w:p>
        </w:tc>
      </w:tr>
      <w:tr w14:paraId="447E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67EA8566">
            <w:pPr>
              <w:spacing w:line="560" w:lineRule="exact"/>
              <w:jc w:val="center"/>
              <w:rPr>
                <w:rFonts w:ascii="宋体" w:hAnsi="宋体" w:cs="宋体"/>
                <w:highlight w:val="none"/>
              </w:rPr>
            </w:pPr>
          </w:p>
        </w:tc>
        <w:tc>
          <w:tcPr>
            <w:tcW w:w="1184" w:type="dxa"/>
            <w:vMerge w:val="continue"/>
            <w:vAlign w:val="center"/>
          </w:tcPr>
          <w:p w14:paraId="2B0C905E">
            <w:pPr>
              <w:spacing w:line="560" w:lineRule="exact"/>
              <w:jc w:val="center"/>
              <w:rPr>
                <w:rFonts w:ascii="宋体" w:hAnsi="宋体" w:cs="宋体"/>
                <w:highlight w:val="none"/>
              </w:rPr>
            </w:pPr>
          </w:p>
        </w:tc>
        <w:tc>
          <w:tcPr>
            <w:tcW w:w="1200" w:type="dxa"/>
            <w:vAlign w:val="center"/>
          </w:tcPr>
          <w:p w14:paraId="1C0B38B9">
            <w:pPr>
              <w:spacing w:line="560" w:lineRule="exact"/>
              <w:jc w:val="center"/>
              <w:rPr>
                <w:rFonts w:ascii="宋体" w:hAnsi="宋体" w:cs="宋体"/>
                <w:highlight w:val="none"/>
              </w:rPr>
            </w:pPr>
            <w:r>
              <w:rPr>
                <w:rFonts w:hint="eastAsia" w:ascii="宋体" w:hAnsi="宋体" w:cs="宋体"/>
                <w:highlight w:val="none"/>
              </w:rPr>
              <w:t>博士楼5号东</w:t>
            </w:r>
          </w:p>
        </w:tc>
        <w:tc>
          <w:tcPr>
            <w:tcW w:w="811" w:type="dxa"/>
            <w:vAlign w:val="center"/>
          </w:tcPr>
          <w:p w14:paraId="758BCB20">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0EFC7421">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05FFBFE1">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3F70BC75">
            <w:pPr>
              <w:spacing w:line="560" w:lineRule="exact"/>
              <w:jc w:val="center"/>
              <w:rPr>
                <w:rFonts w:ascii="宋体" w:hAnsi="宋体" w:cs="宋体"/>
                <w:highlight w:val="none"/>
              </w:rPr>
            </w:pPr>
            <w:r>
              <w:rPr>
                <w:rFonts w:hint="eastAsia" w:ascii="宋体" w:hAnsi="宋体" w:cs="宋体"/>
                <w:highlight w:val="none"/>
              </w:rPr>
              <w:t>单面外卖柜</w:t>
            </w:r>
          </w:p>
        </w:tc>
        <w:tc>
          <w:tcPr>
            <w:tcW w:w="1096" w:type="dxa"/>
            <w:vMerge w:val="continue"/>
            <w:vAlign w:val="center"/>
          </w:tcPr>
          <w:p w14:paraId="62FAA44D">
            <w:pPr>
              <w:spacing w:line="560" w:lineRule="exact"/>
              <w:jc w:val="center"/>
              <w:rPr>
                <w:rFonts w:ascii="宋体" w:hAnsi="宋体" w:cs="宋体"/>
                <w:highlight w:val="none"/>
              </w:rPr>
            </w:pPr>
          </w:p>
        </w:tc>
      </w:tr>
      <w:tr w14:paraId="5051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4" w:type="dxa"/>
            <w:vMerge w:val="continue"/>
            <w:vAlign w:val="center"/>
          </w:tcPr>
          <w:p w14:paraId="322AFA9F">
            <w:pPr>
              <w:spacing w:line="560" w:lineRule="exact"/>
              <w:jc w:val="center"/>
              <w:rPr>
                <w:rFonts w:ascii="宋体" w:hAnsi="宋体" w:cs="宋体"/>
                <w:highlight w:val="none"/>
              </w:rPr>
            </w:pPr>
          </w:p>
        </w:tc>
        <w:tc>
          <w:tcPr>
            <w:tcW w:w="1184" w:type="dxa"/>
            <w:vAlign w:val="center"/>
          </w:tcPr>
          <w:p w14:paraId="35DD6826">
            <w:pPr>
              <w:spacing w:line="560" w:lineRule="exact"/>
              <w:jc w:val="center"/>
              <w:rPr>
                <w:rFonts w:ascii="宋体" w:hAnsi="宋体" w:cs="宋体"/>
                <w:highlight w:val="none"/>
              </w:rPr>
            </w:pPr>
            <w:r>
              <w:rPr>
                <w:rFonts w:hint="eastAsia" w:ascii="宋体" w:hAnsi="宋体" w:cs="宋体"/>
                <w:highlight w:val="none"/>
              </w:rPr>
              <w:t>锁金村</w:t>
            </w:r>
          </w:p>
        </w:tc>
        <w:tc>
          <w:tcPr>
            <w:tcW w:w="1200" w:type="dxa"/>
            <w:vAlign w:val="center"/>
          </w:tcPr>
          <w:p w14:paraId="09F1511A">
            <w:pPr>
              <w:spacing w:line="560" w:lineRule="exact"/>
              <w:jc w:val="center"/>
              <w:rPr>
                <w:rFonts w:ascii="宋体" w:hAnsi="宋体" w:cs="宋体"/>
                <w:highlight w:val="none"/>
              </w:rPr>
            </w:pPr>
            <w:r>
              <w:rPr>
                <w:rFonts w:hint="eastAsia" w:ascii="宋体" w:hAnsi="宋体" w:cs="宋体"/>
                <w:highlight w:val="none"/>
              </w:rPr>
              <w:t>东北门</w:t>
            </w:r>
          </w:p>
        </w:tc>
        <w:tc>
          <w:tcPr>
            <w:tcW w:w="811" w:type="dxa"/>
            <w:vAlign w:val="center"/>
          </w:tcPr>
          <w:p w14:paraId="09C0F704">
            <w:pPr>
              <w:spacing w:line="560" w:lineRule="exact"/>
              <w:jc w:val="center"/>
              <w:rPr>
                <w:rFonts w:ascii="宋体" w:hAnsi="宋体" w:cs="宋体"/>
                <w:highlight w:val="none"/>
              </w:rPr>
            </w:pPr>
            <w:r>
              <w:rPr>
                <w:rFonts w:hint="eastAsia" w:ascii="宋体" w:hAnsi="宋体" w:cs="宋体"/>
                <w:highlight w:val="none"/>
              </w:rPr>
              <w:t>6</w:t>
            </w:r>
          </w:p>
        </w:tc>
        <w:tc>
          <w:tcPr>
            <w:tcW w:w="878" w:type="dxa"/>
            <w:vAlign w:val="center"/>
          </w:tcPr>
          <w:p w14:paraId="4AD0FA24">
            <w:pPr>
              <w:spacing w:line="560" w:lineRule="exact"/>
              <w:jc w:val="center"/>
              <w:rPr>
                <w:rFonts w:ascii="宋体" w:hAnsi="宋体" w:cs="宋体"/>
                <w:highlight w:val="none"/>
              </w:rPr>
            </w:pPr>
            <w:r>
              <w:rPr>
                <w:rFonts w:hint="eastAsia" w:ascii="宋体" w:hAnsi="宋体" w:cs="宋体"/>
                <w:highlight w:val="none"/>
              </w:rPr>
              <w:t>125</w:t>
            </w:r>
          </w:p>
        </w:tc>
        <w:tc>
          <w:tcPr>
            <w:tcW w:w="1217" w:type="dxa"/>
            <w:vAlign w:val="center"/>
          </w:tcPr>
          <w:p w14:paraId="4E191EEE">
            <w:pPr>
              <w:widowControl/>
              <w:jc w:val="center"/>
              <w:textAlignment w:val="center"/>
              <w:rPr>
                <w:rFonts w:ascii="宋体" w:hAnsi="宋体" w:cs="宋体"/>
                <w:highlight w:val="none"/>
              </w:rPr>
            </w:pPr>
            <w:r>
              <w:rPr>
                <w:rFonts w:hint="eastAsia" w:ascii="宋体" w:hAnsi="宋体" w:cs="宋体"/>
                <w:highlight w:val="none"/>
                <w:lang w:bidi="ar"/>
              </w:rPr>
              <w:t>2.47</w:t>
            </w:r>
          </w:p>
        </w:tc>
        <w:tc>
          <w:tcPr>
            <w:tcW w:w="1289" w:type="dxa"/>
            <w:vAlign w:val="center"/>
          </w:tcPr>
          <w:p w14:paraId="34C460DC">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6CC4ADF0">
            <w:pPr>
              <w:spacing w:line="560" w:lineRule="exact"/>
              <w:jc w:val="center"/>
              <w:rPr>
                <w:rFonts w:ascii="宋体" w:hAnsi="宋体" w:cs="宋体"/>
                <w:highlight w:val="none"/>
              </w:rPr>
            </w:pPr>
          </w:p>
        </w:tc>
      </w:tr>
      <w:tr w14:paraId="704D5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68" w:type="dxa"/>
            <w:gridSpan w:val="3"/>
            <w:vAlign w:val="center"/>
          </w:tcPr>
          <w:p w14:paraId="6AF6FDA1">
            <w:pPr>
              <w:widowControl/>
              <w:jc w:val="center"/>
              <w:textAlignment w:val="center"/>
              <w:rPr>
                <w:rFonts w:ascii="宋体" w:hAnsi="宋体" w:cs="宋体"/>
                <w:b/>
                <w:bCs/>
                <w:highlight w:val="none"/>
                <w:lang w:bidi="ar"/>
              </w:rPr>
            </w:pPr>
            <w:r>
              <w:rPr>
                <w:rFonts w:hint="eastAsia" w:ascii="宋体" w:hAnsi="宋体" w:cs="宋体"/>
                <w:b/>
                <w:bCs/>
                <w:highlight w:val="none"/>
                <w:lang w:bidi="ar"/>
              </w:rPr>
              <w:t>合计</w:t>
            </w:r>
          </w:p>
        </w:tc>
        <w:tc>
          <w:tcPr>
            <w:tcW w:w="811" w:type="dxa"/>
            <w:vAlign w:val="center"/>
          </w:tcPr>
          <w:p w14:paraId="206CF1F1">
            <w:pPr>
              <w:widowControl/>
              <w:jc w:val="center"/>
              <w:textAlignment w:val="center"/>
              <w:rPr>
                <w:rFonts w:ascii="宋体" w:hAnsi="宋体" w:cs="宋体"/>
                <w:b/>
                <w:bCs/>
                <w:highlight w:val="none"/>
                <w:lang w:bidi="ar"/>
              </w:rPr>
            </w:pPr>
            <w:r>
              <w:rPr>
                <w:rFonts w:hint="eastAsia" w:ascii="宋体" w:hAnsi="宋体" w:cs="宋体"/>
                <w:b/>
                <w:bCs/>
                <w:sz w:val="22"/>
                <w:highlight w:val="none"/>
                <w:lang w:bidi="ar"/>
              </w:rPr>
              <w:t>35</w:t>
            </w:r>
          </w:p>
        </w:tc>
        <w:tc>
          <w:tcPr>
            <w:tcW w:w="878" w:type="dxa"/>
            <w:vAlign w:val="center"/>
          </w:tcPr>
          <w:p w14:paraId="0E8A661F">
            <w:pPr>
              <w:widowControl/>
              <w:jc w:val="center"/>
              <w:textAlignment w:val="center"/>
              <w:rPr>
                <w:rFonts w:ascii="宋体" w:hAnsi="宋体" w:cs="宋体"/>
                <w:b/>
                <w:bCs/>
                <w:highlight w:val="none"/>
                <w:lang w:bidi="ar"/>
              </w:rPr>
            </w:pPr>
            <w:r>
              <w:rPr>
                <w:rFonts w:hint="eastAsia" w:ascii="宋体" w:hAnsi="宋体" w:cs="宋体"/>
                <w:b/>
                <w:bCs/>
                <w:sz w:val="22"/>
                <w:highlight w:val="none"/>
                <w:lang w:bidi="ar"/>
              </w:rPr>
              <w:t>728</w:t>
            </w:r>
          </w:p>
        </w:tc>
        <w:tc>
          <w:tcPr>
            <w:tcW w:w="1217" w:type="dxa"/>
            <w:vAlign w:val="center"/>
          </w:tcPr>
          <w:p w14:paraId="6E7C763F">
            <w:pPr>
              <w:widowControl/>
              <w:jc w:val="center"/>
              <w:textAlignment w:val="center"/>
              <w:rPr>
                <w:rFonts w:ascii="宋体" w:hAnsi="宋体" w:cs="宋体"/>
                <w:b/>
                <w:bCs/>
                <w:highlight w:val="none"/>
              </w:rPr>
            </w:pPr>
            <w:r>
              <w:rPr>
                <w:rFonts w:hint="eastAsia" w:ascii="宋体" w:hAnsi="宋体" w:cs="宋体"/>
                <w:b/>
                <w:bCs/>
                <w:sz w:val="22"/>
                <w:highlight w:val="none"/>
                <w:lang w:bidi="ar"/>
              </w:rPr>
              <w:t>14.41</w:t>
            </w:r>
          </w:p>
        </w:tc>
        <w:tc>
          <w:tcPr>
            <w:tcW w:w="2385" w:type="dxa"/>
            <w:gridSpan w:val="2"/>
            <w:vAlign w:val="center"/>
          </w:tcPr>
          <w:p w14:paraId="37D13790">
            <w:pPr>
              <w:spacing w:line="560" w:lineRule="exact"/>
              <w:jc w:val="center"/>
              <w:rPr>
                <w:rFonts w:ascii="宋体" w:hAnsi="宋体" w:cs="宋体"/>
                <w:b/>
                <w:bCs/>
                <w:highlight w:val="none"/>
                <w:lang w:bidi="ar"/>
              </w:rPr>
            </w:pPr>
          </w:p>
        </w:tc>
      </w:tr>
    </w:tbl>
    <w:p w14:paraId="635D9F22">
      <w:pPr>
        <w:spacing w:line="520" w:lineRule="exact"/>
        <w:rPr>
          <w:rFonts w:ascii="宋体" w:hAnsi="宋体" w:cs="宋体"/>
          <w:b/>
          <w:bCs/>
          <w:sz w:val="24"/>
          <w:szCs w:val="24"/>
          <w:highlight w:val="none"/>
        </w:rPr>
      </w:pPr>
      <w:r>
        <w:rPr>
          <w:rFonts w:hint="eastAsia" w:ascii="宋体" w:hAnsi="宋体" w:cs="宋体"/>
          <w:b/>
          <w:bCs/>
          <w:sz w:val="24"/>
          <w:szCs w:val="24"/>
          <w:highlight w:val="none"/>
        </w:rPr>
        <w:t>备注：</w:t>
      </w:r>
    </w:p>
    <w:p w14:paraId="7661503E">
      <w:pPr>
        <w:spacing w:line="520" w:lineRule="exact"/>
        <w:ind w:firstLine="480" w:firstLineChars="200"/>
        <w:rPr>
          <w:rFonts w:hint="eastAsia" w:ascii="宋体" w:hAnsi="宋体" w:eastAsia="宋体" w:cs="宋体"/>
          <w:sz w:val="24"/>
          <w:szCs w:val="24"/>
          <w:highlight w:val="none"/>
          <w:u w:val="single"/>
          <w:lang w:eastAsia="zh-CN"/>
        </w:rPr>
      </w:pPr>
      <w:r>
        <w:rPr>
          <w:rFonts w:hint="eastAsia" w:ascii="宋体" w:hAnsi="宋体" w:cs="宋体"/>
          <w:strike w:val="0"/>
          <w:dstrike w:val="0"/>
          <w:sz w:val="24"/>
          <w:szCs w:val="24"/>
          <w:highlight w:val="none"/>
          <w:u w:val="single"/>
        </w:rPr>
        <w:t>★成交供应商需</w:t>
      </w:r>
      <w:r>
        <w:rPr>
          <w:rFonts w:hint="eastAsia" w:ascii="宋体" w:hAnsi="宋体" w:cs="宋体"/>
          <w:bCs/>
          <w:strike w:val="0"/>
          <w:dstrike w:val="0"/>
          <w:sz w:val="24"/>
          <w:szCs w:val="24"/>
          <w:highlight w:val="none"/>
          <w:u w:val="single"/>
        </w:rPr>
        <w:t>承担全部基础设施建设</w:t>
      </w:r>
      <w:r>
        <w:rPr>
          <w:rFonts w:hint="eastAsia" w:ascii="宋体" w:hAnsi="宋体" w:cs="宋体"/>
          <w:bCs/>
          <w:strike w:val="0"/>
          <w:dstrike w:val="0"/>
          <w:sz w:val="24"/>
          <w:szCs w:val="24"/>
          <w:highlight w:val="none"/>
          <w:u w:val="single"/>
          <w:lang w:eastAsia="zh-CN"/>
        </w:rPr>
        <w:t>，</w:t>
      </w:r>
      <w:r>
        <w:rPr>
          <w:rFonts w:hint="eastAsia" w:ascii="宋体" w:hAnsi="宋体" w:cs="宋体"/>
          <w:bCs/>
          <w:strike w:val="0"/>
          <w:dstrike w:val="0"/>
          <w:sz w:val="24"/>
          <w:szCs w:val="24"/>
          <w:highlight w:val="none"/>
          <w:u w:val="single"/>
          <w:lang w:val="en-US" w:eastAsia="zh-CN"/>
        </w:rPr>
        <w:t>相关</w:t>
      </w:r>
      <w:r>
        <w:rPr>
          <w:rFonts w:hint="eastAsia" w:ascii="宋体" w:hAnsi="宋体" w:cs="宋体"/>
          <w:bCs/>
          <w:strike w:val="0"/>
          <w:dstrike w:val="0"/>
          <w:sz w:val="24"/>
          <w:szCs w:val="24"/>
          <w:highlight w:val="none"/>
          <w:u w:val="single"/>
        </w:rPr>
        <w:t>建设标准需符合国家/行业规范及校方需求</w:t>
      </w:r>
      <w:r>
        <w:rPr>
          <w:rFonts w:hint="eastAsia" w:ascii="宋体" w:hAnsi="宋体" w:cs="宋体"/>
          <w:bCs/>
          <w:strike w:val="0"/>
          <w:dstrike w:val="0"/>
          <w:sz w:val="24"/>
          <w:szCs w:val="24"/>
          <w:highlight w:val="none"/>
          <w:u w:val="single"/>
          <w:lang w:eastAsia="zh-CN"/>
        </w:rPr>
        <w:t>，</w:t>
      </w:r>
      <w:r>
        <w:rPr>
          <w:rFonts w:hint="eastAsia" w:ascii="宋体" w:hAnsi="宋体" w:cs="宋体"/>
          <w:bCs/>
          <w:strike w:val="0"/>
          <w:dstrike w:val="0"/>
          <w:sz w:val="24"/>
          <w:szCs w:val="24"/>
          <w:highlight w:val="none"/>
          <w:u w:val="single"/>
        </w:rPr>
        <w:t>承担项目建设及运维期内的安全责任。</w:t>
      </w:r>
      <w:r>
        <w:rPr>
          <w:rFonts w:hint="eastAsia" w:ascii="宋体" w:hAnsi="宋体" w:cs="宋体"/>
          <w:bCs/>
          <w:strike w:val="0"/>
          <w:dstrike w:val="0"/>
          <w:sz w:val="24"/>
          <w:szCs w:val="24"/>
          <w:highlight w:val="none"/>
          <w:u w:val="single"/>
          <w:lang w:val="en-US" w:eastAsia="zh-CN"/>
        </w:rPr>
        <w:t>成交供应商全额承担相应施工配套费用</w:t>
      </w:r>
      <w:r>
        <w:rPr>
          <w:rFonts w:hint="eastAsia" w:ascii="宋体" w:hAnsi="宋体" w:cs="宋体"/>
          <w:strike w:val="0"/>
          <w:dstrike w:val="0"/>
          <w:sz w:val="24"/>
          <w:szCs w:val="24"/>
          <w:highlight w:val="none"/>
          <w:u w:val="single"/>
          <w:lang w:val="en-US" w:eastAsia="zh-CN"/>
        </w:rPr>
        <w:t>以及</w:t>
      </w:r>
      <w:r>
        <w:rPr>
          <w:rFonts w:hint="eastAsia" w:ascii="宋体" w:hAnsi="宋体" w:cs="宋体"/>
          <w:strike w:val="0"/>
          <w:dstrike w:val="0"/>
          <w:sz w:val="24"/>
          <w:szCs w:val="24"/>
          <w:highlight w:val="none"/>
          <w:u w:val="single"/>
        </w:rPr>
        <w:t>项目运营相关全部费用（包括但不限于服务人员工资薪酬、</w:t>
      </w:r>
      <w:r>
        <w:rPr>
          <w:rFonts w:hint="eastAsia" w:ascii="宋体" w:hAnsi="宋体" w:cs="宋体"/>
          <w:bCs/>
          <w:strike w:val="0"/>
          <w:dstrike w:val="0"/>
          <w:sz w:val="24"/>
          <w:szCs w:val="24"/>
          <w:highlight w:val="none"/>
          <w:u w:val="single"/>
        </w:rPr>
        <w:t>电路铺设、</w:t>
      </w:r>
      <w:r>
        <w:rPr>
          <w:rFonts w:hint="eastAsia" w:ascii="宋体" w:hAnsi="宋体" w:cs="宋体"/>
          <w:bCs/>
          <w:strike w:val="0"/>
          <w:dstrike w:val="0"/>
          <w:sz w:val="24"/>
          <w:szCs w:val="24"/>
          <w:highlight w:val="none"/>
          <w:u w:val="single"/>
          <w:lang w:val="en-US" w:eastAsia="zh-CN"/>
        </w:rPr>
        <w:t>网路接入、</w:t>
      </w:r>
      <w:r>
        <w:rPr>
          <w:rFonts w:hint="eastAsia" w:ascii="宋体" w:hAnsi="宋体" w:cs="宋体"/>
          <w:bCs/>
          <w:strike w:val="0"/>
          <w:dstrike w:val="0"/>
          <w:sz w:val="24"/>
          <w:szCs w:val="24"/>
          <w:highlight w:val="none"/>
          <w:u w:val="single"/>
        </w:rPr>
        <w:t>地面硬化、</w:t>
      </w:r>
      <w:r>
        <w:rPr>
          <w:rFonts w:hint="eastAsia" w:ascii="宋体" w:hAnsi="宋体" w:cs="宋体"/>
          <w:strike w:val="0"/>
          <w:dstrike w:val="0"/>
          <w:sz w:val="24"/>
          <w:szCs w:val="24"/>
          <w:highlight w:val="none"/>
          <w:u w:val="single"/>
        </w:rPr>
        <w:t>围墙拆装</w:t>
      </w:r>
      <w:r>
        <w:rPr>
          <w:rFonts w:hint="eastAsia" w:ascii="宋体" w:hAnsi="宋体" w:cs="宋体"/>
          <w:bCs/>
          <w:strike w:val="0"/>
          <w:dstrike w:val="0"/>
          <w:sz w:val="24"/>
          <w:szCs w:val="24"/>
          <w:highlight w:val="none"/>
          <w:u w:val="single"/>
        </w:rPr>
        <w:t>、</w:t>
      </w:r>
      <w:r>
        <w:rPr>
          <w:rFonts w:hint="eastAsia" w:ascii="宋体" w:hAnsi="宋体" w:cs="宋体"/>
          <w:strike w:val="0"/>
          <w:dstrike w:val="0"/>
          <w:sz w:val="24"/>
          <w:szCs w:val="24"/>
          <w:highlight w:val="none"/>
          <w:u w:val="single"/>
        </w:rPr>
        <w:t>绿植移栽</w:t>
      </w:r>
      <w:r>
        <w:rPr>
          <w:rFonts w:hint="eastAsia" w:ascii="宋体" w:hAnsi="宋体" w:cs="宋体"/>
          <w:strike w:val="0"/>
          <w:dstrike w:val="0"/>
          <w:sz w:val="24"/>
          <w:szCs w:val="24"/>
          <w:highlight w:val="none"/>
          <w:u w:val="single"/>
          <w:lang w:eastAsia="zh-CN"/>
        </w:rPr>
        <w:t>（</w:t>
      </w:r>
      <w:r>
        <w:rPr>
          <w:rFonts w:hint="eastAsia" w:ascii="宋体" w:hAnsi="宋体" w:cs="宋体"/>
          <w:strike w:val="0"/>
          <w:dstrike w:val="0"/>
          <w:sz w:val="24"/>
          <w:szCs w:val="24"/>
          <w:highlight w:val="none"/>
          <w:u w:val="single"/>
          <w:lang w:val="en-US" w:eastAsia="zh-CN"/>
        </w:rPr>
        <w:t>修复</w:t>
      </w:r>
      <w:r>
        <w:rPr>
          <w:rFonts w:hint="eastAsia" w:ascii="宋体" w:hAnsi="宋体" w:cs="宋体"/>
          <w:strike w:val="0"/>
          <w:dstrike w:val="0"/>
          <w:sz w:val="24"/>
          <w:szCs w:val="24"/>
          <w:highlight w:val="none"/>
          <w:u w:val="single"/>
          <w:lang w:eastAsia="zh-CN"/>
        </w:rPr>
        <w:t>）、</w:t>
      </w:r>
      <w:r>
        <w:rPr>
          <w:rFonts w:hint="eastAsia" w:ascii="宋体" w:hAnsi="宋体" w:cs="宋体"/>
          <w:bCs/>
          <w:strike w:val="0"/>
          <w:dstrike w:val="0"/>
          <w:sz w:val="24"/>
          <w:szCs w:val="24"/>
          <w:highlight w:val="none"/>
          <w:u w:val="single"/>
        </w:rPr>
        <w:t>土建改造、装饰装修、机电安装</w:t>
      </w:r>
      <w:r>
        <w:rPr>
          <w:rFonts w:hint="eastAsia" w:ascii="宋体" w:hAnsi="宋体" w:cs="宋体"/>
          <w:strike w:val="0"/>
          <w:dstrike w:val="0"/>
          <w:sz w:val="24"/>
          <w:szCs w:val="24"/>
          <w:highlight w:val="none"/>
          <w:u w:val="single"/>
        </w:rPr>
        <w:t>等费用）</w:t>
      </w:r>
      <w:r>
        <w:rPr>
          <w:rFonts w:hint="eastAsia" w:ascii="宋体" w:hAnsi="宋体" w:cs="宋体"/>
          <w:strike w:val="0"/>
          <w:dstrike w:val="0"/>
          <w:sz w:val="24"/>
          <w:szCs w:val="24"/>
          <w:highlight w:val="none"/>
          <w:u w:val="single"/>
          <w:lang w:eastAsia="zh-CN"/>
        </w:rPr>
        <w:t>。</w:t>
      </w:r>
    </w:p>
    <w:p w14:paraId="120BD80C">
      <w:pPr>
        <w:spacing w:line="520" w:lineRule="exact"/>
        <w:ind w:firstLine="482" w:firstLineChars="200"/>
        <w:rPr>
          <w:rFonts w:ascii="宋体" w:hAnsi="宋体" w:cs="宋体"/>
          <w:b/>
          <w:bCs/>
          <w:sz w:val="24"/>
          <w:szCs w:val="24"/>
          <w:highlight w:val="none"/>
        </w:rPr>
      </w:pPr>
      <w:bookmarkStart w:id="8" w:name="_Hlk219886965"/>
      <w:r>
        <w:rPr>
          <w:rFonts w:hint="eastAsia" w:ascii="宋体" w:hAnsi="宋体" w:cs="宋体"/>
          <w:b/>
          <w:bCs/>
          <w:sz w:val="24"/>
          <w:szCs w:val="24"/>
          <w:highlight w:val="none"/>
        </w:rPr>
        <w:t>（二）收费定价要求</w:t>
      </w:r>
    </w:p>
    <w:bookmarkEnd w:id="8"/>
    <w:p w14:paraId="6B6C03E5">
      <w:pPr>
        <w:spacing w:line="520" w:lineRule="exact"/>
        <w:ind w:firstLine="480" w:firstLineChars="200"/>
        <w:rPr>
          <w:rFonts w:ascii="宋体" w:hAnsi="宋体" w:cs="宋体"/>
          <w:sz w:val="24"/>
          <w:szCs w:val="24"/>
          <w:highlight w:val="none"/>
          <w:u w:val="single"/>
        </w:rPr>
      </w:pPr>
      <w:r>
        <w:rPr>
          <w:rFonts w:hint="eastAsia" w:ascii="宋体" w:hAnsi="宋体" w:cs="宋体"/>
          <w:sz w:val="24"/>
          <w:szCs w:val="24"/>
          <w:highlight w:val="none"/>
          <w:u w:val="single"/>
        </w:rPr>
        <w:t>★提供的智能外卖柜，供应商应免费向全校师生员工提供无接触取外卖服务。</w:t>
      </w:r>
    </w:p>
    <w:p w14:paraId="5485BA5E">
      <w:pPr>
        <w:spacing w:line="520" w:lineRule="exact"/>
        <w:ind w:firstLine="482" w:firstLineChars="200"/>
        <w:rPr>
          <w:rFonts w:ascii="宋体" w:hAnsi="宋体" w:cs="宋体"/>
          <w:b/>
          <w:bCs/>
          <w:sz w:val="24"/>
          <w:szCs w:val="24"/>
          <w:highlight w:val="none"/>
          <w:u w:val="single"/>
        </w:rPr>
      </w:pPr>
      <w:bookmarkStart w:id="9" w:name="_Hlk219886973"/>
      <w:r>
        <w:rPr>
          <w:rFonts w:hint="eastAsia" w:ascii="宋体" w:hAnsi="宋体" w:cs="宋体"/>
          <w:b/>
          <w:bCs/>
          <w:sz w:val="24"/>
          <w:szCs w:val="24"/>
          <w:highlight w:val="none"/>
          <w:u w:val="single"/>
        </w:rPr>
        <w:t>（三）</w:t>
      </w:r>
      <w:r>
        <w:rPr>
          <w:rFonts w:hint="eastAsia" w:ascii="宋体" w:hAnsi="宋体" w:cs="宋体"/>
          <w:sz w:val="24"/>
          <w:szCs w:val="24"/>
          <w:highlight w:val="none"/>
          <w:u w:val="single"/>
        </w:rPr>
        <w:t>★</w:t>
      </w:r>
      <w:r>
        <w:rPr>
          <w:rFonts w:hint="eastAsia" w:ascii="宋体" w:hAnsi="宋体" w:cs="宋体"/>
          <w:b/>
          <w:bCs/>
          <w:sz w:val="24"/>
          <w:szCs w:val="24"/>
          <w:highlight w:val="none"/>
          <w:u w:val="single"/>
        </w:rPr>
        <w:t>设备功能要求</w:t>
      </w:r>
    </w:p>
    <w:bookmarkEnd w:id="9"/>
    <w:p w14:paraId="294B934C">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1.柜体要求符合国家相关卫生安全标准，无异味、无有害物质释放，具有防腐涂层，使用寿命5年以上，结构坚固安全，可透过柜门直接看到里面实物。</w:t>
      </w:r>
    </w:p>
    <w:p w14:paraId="535E9AB5">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2.柜体主要结构材质应采用冷轧钢板、镀锌钢板、不锈钢等金属，应配备防雨棚，加装视频监控系统。</w:t>
      </w:r>
    </w:p>
    <w:p w14:paraId="6F61F242">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3.存放单元须满足主流种类外卖包装尺寸的需求，每组外卖柜应同时配备大格口和小格口，每组大格口数量不低于15%，参考尺寸：大格口330cmx320cmx400cm，小格口230cmx320cmx400cm。</w:t>
      </w:r>
    </w:p>
    <w:p w14:paraId="1B97CC62">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4.采用无接触式双面智能外卖柜，投递取件方式为单向流通（仅支持校外投入，校内取外卖），后期可根据学校需求调整。</w:t>
      </w:r>
    </w:p>
    <w:p w14:paraId="29888F90">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5.柜体具备防尘防水防虫密封性能，具有紫外线消毒功能，保障食品安全。</w:t>
      </w:r>
    </w:p>
    <w:p w14:paraId="76F8577C">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6.柜体支持智能预约、超时提醒等功能，</w:t>
      </w:r>
    </w:p>
    <w:p w14:paraId="30411786">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7.应具备远程升级、应急解锁、自动故障报警等远程控制功能。</w:t>
      </w:r>
    </w:p>
    <w:p w14:paraId="4C3043AD">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8.须服务任何实名注册骑手。</w:t>
      </w:r>
    </w:p>
    <w:p w14:paraId="72A10F13">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9.须服务任何外卖平台用户。</w:t>
      </w:r>
    </w:p>
    <w:p w14:paraId="27CC33D4">
      <w:pPr>
        <w:spacing w:line="520" w:lineRule="exact"/>
        <w:ind w:firstLine="482" w:firstLineChars="200"/>
        <w:rPr>
          <w:rFonts w:ascii="宋体" w:hAnsi="宋体" w:cs="宋体"/>
          <w:bCs/>
          <w:sz w:val="24"/>
          <w:szCs w:val="24"/>
          <w:highlight w:val="none"/>
        </w:rPr>
      </w:pPr>
      <w:bookmarkStart w:id="10" w:name="_Hlk219886982"/>
      <w:r>
        <w:rPr>
          <w:rFonts w:hint="eastAsia" w:ascii="宋体" w:hAnsi="宋体" w:cs="宋体"/>
          <w:b/>
          <w:bCs/>
          <w:sz w:val="24"/>
          <w:szCs w:val="24"/>
          <w:highlight w:val="none"/>
        </w:rPr>
        <w:t>（四）设计实施要求</w:t>
      </w:r>
    </w:p>
    <w:bookmarkEnd w:id="10"/>
    <w:p w14:paraId="5FED2375">
      <w:pPr>
        <w:tabs>
          <w:tab w:val="left" w:pos="5250"/>
        </w:tabs>
        <w:autoSpaceDE w:val="0"/>
        <w:autoSpaceDN w:val="0"/>
        <w:adjustRightInd w:val="0"/>
        <w:snapToGrid w:val="0"/>
        <w:spacing w:line="52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1.个性化设计与方案适配</w:t>
      </w:r>
    </w:p>
    <w:p w14:paraId="2776185F">
      <w:pPr>
        <w:numPr>
          <w:ilvl w:val="0"/>
          <w:numId w:val="53"/>
        </w:numPr>
        <w:tabs>
          <w:tab w:val="left" w:pos="5250"/>
        </w:tabs>
        <w:autoSpaceDE w:val="0"/>
        <w:autoSpaceDN w:val="0"/>
        <w:adjustRightInd w:val="0"/>
        <w:snapToGrid w:val="0"/>
        <w:spacing w:line="520" w:lineRule="exact"/>
        <w:ind w:firstLine="480" w:firstLineChars="200"/>
        <w:rPr>
          <w:rFonts w:ascii="宋体" w:hAnsi="宋体" w:cs="宋体"/>
          <w:bCs/>
          <w:sz w:val="24"/>
          <w:szCs w:val="24"/>
          <w:highlight w:val="none"/>
        </w:rPr>
      </w:pPr>
      <w:r>
        <w:rPr>
          <w:rFonts w:hint="eastAsia" w:ascii="宋体" w:hAnsi="宋体" w:cs="宋体"/>
          <w:bCs/>
          <w:sz w:val="24"/>
          <w:szCs w:val="24"/>
          <w:highlight w:val="none"/>
        </w:rPr>
        <w:t>结合学校各校区校园环境、文化及点位周边情况，完成柜体外观（材质、颜色、图案、结构）的个性化设计。</w:t>
      </w:r>
    </w:p>
    <w:p w14:paraId="7891B852">
      <w:pPr>
        <w:numPr>
          <w:ilvl w:val="0"/>
          <w:numId w:val="53"/>
        </w:numPr>
        <w:tabs>
          <w:tab w:val="left" w:pos="5250"/>
        </w:tabs>
        <w:autoSpaceDE w:val="0"/>
        <w:autoSpaceDN w:val="0"/>
        <w:adjustRightInd w:val="0"/>
        <w:snapToGrid w:val="0"/>
        <w:spacing w:line="520" w:lineRule="exact"/>
        <w:ind w:firstLine="480" w:firstLineChars="200"/>
        <w:rPr>
          <w:rFonts w:ascii="宋体" w:hAnsi="宋体" w:cs="宋体"/>
          <w:bCs/>
          <w:sz w:val="24"/>
          <w:szCs w:val="24"/>
          <w:highlight w:val="none"/>
        </w:rPr>
      </w:pPr>
      <w:r>
        <w:rPr>
          <w:rFonts w:hint="eastAsia" w:ascii="宋体" w:hAnsi="宋体" w:cs="宋体"/>
          <w:bCs/>
          <w:sz w:val="24"/>
          <w:szCs w:val="24"/>
          <w:highlight w:val="none"/>
        </w:rPr>
        <w:t>针对校区环境、文化及点位周边的便利性、安全性、交通影响等维度，提供专项个性化设计说明。</w:t>
      </w:r>
    </w:p>
    <w:p w14:paraId="09590A65">
      <w:pPr>
        <w:tabs>
          <w:tab w:val="left" w:pos="5250"/>
        </w:tabs>
        <w:autoSpaceDE w:val="0"/>
        <w:autoSpaceDN w:val="0"/>
        <w:adjustRightInd w:val="0"/>
        <w:snapToGrid w:val="0"/>
        <w:spacing w:line="52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2.设计交付与施工管理</w:t>
      </w:r>
    </w:p>
    <w:p w14:paraId="37F067AF">
      <w:pPr>
        <w:numPr>
          <w:ilvl w:val="0"/>
          <w:numId w:val="53"/>
        </w:numPr>
        <w:tabs>
          <w:tab w:val="left" w:pos="5250"/>
        </w:tabs>
        <w:autoSpaceDE w:val="0"/>
        <w:autoSpaceDN w:val="0"/>
        <w:adjustRightInd w:val="0"/>
        <w:snapToGrid w:val="0"/>
        <w:spacing w:line="520" w:lineRule="exact"/>
        <w:ind w:firstLine="480" w:firstLineChars="200"/>
        <w:rPr>
          <w:rFonts w:ascii="宋体" w:hAnsi="宋体" w:cs="宋体"/>
          <w:bCs/>
          <w:sz w:val="24"/>
          <w:szCs w:val="24"/>
          <w:highlight w:val="none"/>
        </w:rPr>
      </w:pPr>
      <w:r>
        <w:rPr>
          <w:rFonts w:hint="eastAsia" w:ascii="宋体" w:hAnsi="宋体" w:cs="宋体"/>
          <w:bCs/>
          <w:sz w:val="24"/>
          <w:szCs w:val="24"/>
          <w:highlight w:val="none"/>
        </w:rPr>
        <w:t>提供拟建设点位效果图（柜体数量、外观、颜色、图案等）作为实施依据。</w:t>
      </w:r>
    </w:p>
    <w:p w14:paraId="1CC677BF">
      <w:pPr>
        <w:numPr>
          <w:ilvl w:val="0"/>
          <w:numId w:val="53"/>
        </w:numPr>
        <w:tabs>
          <w:tab w:val="left" w:pos="5250"/>
        </w:tabs>
        <w:autoSpaceDE w:val="0"/>
        <w:autoSpaceDN w:val="0"/>
        <w:adjustRightInd w:val="0"/>
        <w:snapToGrid w:val="0"/>
        <w:spacing w:line="520" w:lineRule="exact"/>
        <w:ind w:firstLine="480" w:firstLineChars="200"/>
        <w:rPr>
          <w:rFonts w:ascii="宋体" w:hAnsi="宋体" w:cs="宋体"/>
          <w:bCs/>
          <w:sz w:val="24"/>
          <w:szCs w:val="24"/>
          <w:highlight w:val="none"/>
        </w:rPr>
      </w:pPr>
      <w:r>
        <w:rPr>
          <w:rFonts w:hint="eastAsia" w:ascii="宋体" w:hAnsi="宋体" w:cs="宋体"/>
          <w:bCs/>
          <w:sz w:val="24"/>
          <w:szCs w:val="24"/>
          <w:highlight w:val="none"/>
        </w:rPr>
        <w:t>根据学校最终选址深化智能外卖柜方案，经校方确认后施工，并在工期内完成项目建设。</w:t>
      </w:r>
    </w:p>
    <w:p w14:paraId="04ECA5B2">
      <w:pPr>
        <w:tabs>
          <w:tab w:val="left" w:pos="5250"/>
        </w:tabs>
        <w:autoSpaceDE w:val="0"/>
        <w:autoSpaceDN w:val="0"/>
        <w:adjustRightInd w:val="0"/>
        <w:snapToGrid w:val="0"/>
        <w:spacing w:line="520" w:lineRule="exact"/>
        <w:ind w:firstLine="482" w:firstLineChars="200"/>
        <w:rPr>
          <w:rFonts w:ascii="宋体" w:hAnsi="宋体" w:cs="宋体"/>
          <w:b/>
          <w:sz w:val="24"/>
          <w:szCs w:val="24"/>
          <w:highlight w:val="none"/>
        </w:rPr>
      </w:pPr>
      <w:r>
        <w:rPr>
          <w:rFonts w:hint="eastAsia" w:ascii="宋体" w:hAnsi="宋体" w:cs="宋体"/>
          <w:b/>
          <w:sz w:val="24"/>
          <w:szCs w:val="24"/>
          <w:highlight w:val="none"/>
        </w:rPr>
        <w:t>3.基础设施与配套建设</w:t>
      </w:r>
    </w:p>
    <w:p w14:paraId="059D3FD6">
      <w:pPr>
        <w:numPr>
          <w:ilvl w:val="0"/>
          <w:numId w:val="53"/>
        </w:numPr>
        <w:tabs>
          <w:tab w:val="left" w:pos="5250"/>
        </w:tabs>
        <w:autoSpaceDE w:val="0"/>
        <w:autoSpaceDN w:val="0"/>
        <w:adjustRightInd w:val="0"/>
        <w:snapToGrid w:val="0"/>
        <w:spacing w:line="520" w:lineRule="exact"/>
        <w:ind w:firstLine="480" w:firstLineChars="200"/>
        <w:rPr>
          <w:rFonts w:ascii="宋体" w:hAnsi="宋体" w:cs="宋体"/>
          <w:bCs/>
          <w:sz w:val="24"/>
          <w:szCs w:val="24"/>
          <w:highlight w:val="none"/>
        </w:rPr>
      </w:pPr>
      <w:r>
        <w:rPr>
          <w:rFonts w:hint="eastAsia" w:ascii="宋体" w:hAnsi="宋体" w:cs="宋体"/>
          <w:bCs/>
          <w:sz w:val="24"/>
          <w:szCs w:val="24"/>
          <w:highlight w:val="none"/>
        </w:rPr>
        <w:t>负责项目所需的电源建设、网络搭建等配套工程，校方仅提供点位电源点。</w:t>
      </w:r>
    </w:p>
    <w:p w14:paraId="1F934966">
      <w:pPr>
        <w:spacing w:line="520" w:lineRule="exact"/>
        <w:ind w:firstLine="482" w:firstLineChars="200"/>
        <w:rPr>
          <w:rFonts w:ascii="宋体" w:hAnsi="宋体" w:cs="宋体"/>
          <w:b/>
          <w:bCs/>
          <w:sz w:val="24"/>
          <w:szCs w:val="24"/>
          <w:highlight w:val="none"/>
        </w:rPr>
      </w:pPr>
      <w:bookmarkStart w:id="11" w:name="_Hlk219886987"/>
      <w:r>
        <w:rPr>
          <w:rFonts w:hint="eastAsia" w:ascii="宋体" w:hAnsi="宋体" w:cs="宋体"/>
          <w:b/>
          <w:bCs/>
          <w:sz w:val="24"/>
          <w:szCs w:val="24"/>
          <w:highlight w:val="none"/>
        </w:rPr>
        <w:t>（五）运营服务要求</w:t>
      </w:r>
    </w:p>
    <w:bookmarkEnd w:id="11"/>
    <w:p w14:paraId="7073929D">
      <w:pPr>
        <w:spacing w:line="5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1.团队与制度管理</w:t>
      </w:r>
    </w:p>
    <w:p w14:paraId="1CCC7298">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组建满足工作需求的服务团队，承诺派专人服务，制定具体管理制度与细则。</w:t>
      </w:r>
    </w:p>
    <w:p w14:paraId="6A54F7E0">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严格遵守国家市场监督管理总局以及《中华人民共和国消防法》《中华人民共和国民法典》等国家有关法律和法规，接受学校的监督和指导，服从学校各项管理制度及工作安排。</w:t>
      </w:r>
    </w:p>
    <w:p w14:paraId="58B6313A">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定期对运维及客服人员开展业务培训，内容涵盖故障维修、仪容仪表、文明用语、服务规范等。</w:t>
      </w:r>
    </w:p>
    <w:p w14:paraId="608B6AA4">
      <w:pPr>
        <w:spacing w:line="5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2.服务时效与保障</w:t>
      </w:r>
    </w:p>
    <w:p w14:paraId="5F86F6FC">
      <w:pPr>
        <w:numPr>
          <w:ilvl w:val="0"/>
          <w:numId w:val="54"/>
        </w:numPr>
        <w:spacing w:line="520" w:lineRule="exact"/>
        <w:ind w:firstLine="480"/>
        <w:rPr>
          <w:highlight w:val="none"/>
        </w:rPr>
      </w:pPr>
      <w:r>
        <w:rPr>
          <w:rFonts w:hint="eastAsia" w:ascii="宋体" w:hAnsi="宋体" w:cs="宋体"/>
          <w:sz w:val="24"/>
          <w:szCs w:val="24"/>
          <w:highlight w:val="none"/>
          <w:lang w:val="zh-CN"/>
        </w:rPr>
        <w:t>所有外卖投递点均提供全天候（24小时）服务，并配备全天候客服人员，以便及时处理无法开柜、餐品放置错误等紧急情况，确保外卖柜能够正常、安全且有序地运行。</w:t>
      </w:r>
    </w:p>
    <w:p w14:paraId="57BE007B">
      <w:pPr>
        <w:numPr>
          <w:ilvl w:val="0"/>
          <w:numId w:val="54"/>
        </w:numPr>
        <w:spacing w:line="520" w:lineRule="exact"/>
        <w:ind w:firstLine="480"/>
        <w:rPr>
          <w:highlight w:val="none"/>
        </w:rPr>
      </w:pPr>
      <w:r>
        <w:rPr>
          <w:rFonts w:hint="eastAsia" w:ascii="宋体" w:hAnsi="宋体" w:cs="宋体"/>
          <w:sz w:val="24"/>
          <w:szCs w:val="24"/>
          <w:highlight w:val="none"/>
          <w:lang w:val="zh-CN"/>
        </w:rPr>
        <w:t>建立超时外卖处理机制：针对超过两小时未取走的外卖，应联系用户，敦促其尽快</w:t>
      </w:r>
      <w:r>
        <w:rPr>
          <w:rFonts w:hint="eastAsia" w:ascii="宋体" w:hAnsi="宋体" w:cs="宋体"/>
          <w:sz w:val="24"/>
          <w:szCs w:val="24"/>
          <w:highlight w:val="none"/>
        </w:rPr>
        <w:t>取走</w:t>
      </w:r>
      <w:r>
        <w:rPr>
          <w:rFonts w:hint="eastAsia" w:ascii="宋体" w:hAnsi="宋体" w:cs="宋体"/>
          <w:sz w:val="24"/>
          <w:szCs w:val="24"/>
          <w:highlight w:val="none"/>
          <w:lang w:val="zh-CN"/>
        </w:rPr>
        <w:t>；对于夏季超过三小时、冬季超过五小时仍未取走的食品，需及时进行处理。</w:t>
      </w:r>
    </w:p>
    <w:p w14:paraId="2F254DD8">
      <w:pPr>
        <w:numPr>
          <w:ilvl w:val="0"/>
          <w:numId w:val="54"/>
        </w:numPr>
        <w:spacing w:line="520" w:lineRule="exact"/>
        <w:ind w:firstLine="480"/>
        <w:rPr>
          <w:highlight w:val="none"/>
        </w:rPr>
      </w:pPr>
      <w:r>
        <w:rPr>
          <w:rFonts w:hint="eastAsia" w:ascii="宋体" w:hAnsi="宋体" w:cs="宋体"/>
          <w:sz w:val="24"/>
          <w:szCs w:val="24"/>
          <w:highlight w:val="none"/>
          <w:lang w:val="zh-CN"/>
        </w:rPr>
        <w:t>通过消息推送等途径提醒用户及时</w:t>
      </w:r>
      <w:r>
        <w:rPr>
          <w:rFonts w:hint="eastAsia" w:ascii="宋体" w:hAnsi="宋体" w:cs="宋体"/>
          <w:sz w:val="24"/>
          <w:szCs w:val="24"/>
          <w:highlight w:val="none"/>
        </w:rPr>
        <w:t>取走外卖</w:t>
      </w:r>
      <w:r>
        <w:rPr>
          <w:rFonts w:hint="eastAsia" w:ascii="宋体" w:hAnsi="宋体" w:cs="宋体"/>
          <w:sz w:val="24"/>
          <w:szCs w:val="24"/>
          <w:highlight w:val="none"/>
          <w:lang w:val="zh-CN"/>
        </w:rPr>
        <w:t xml:space="preserve">，以减少外卖滞留现象。同时，加强对外卖入柜的管理工作，杜绝校园周边外卖随意摆放、悬挂的情况，并及时进行清理。 </w:t>
      </w:r>
    </w:p>
    <w:p w14:paraId="4528252B">
      <w:pPr>
        <w:spacing w:line="520" w:lineRule="exact"/>
        <w:ind w:firstLine="482" w:firstLineChars="200"/>
        <w:rPr>
          <w:rFonts w:ascii="宋体" w:hAnsi="宋体" w:cs="宋体"/>
          <w:b/>
          <w:bCs/>
          <w:sz w:val="24"/>
          <w:szCs w:val="24"/>
          <w:highlight w:val="none"/>
          <w:u w:val="single"/>
        </w:rPr>
      </w:pPr>
      <w:r>
        <w:rPr>
          <w:rFonts w:hint="eastAsia" w:ascii="宋体" w:hAnsi="宋体" w:cs="宋体"/>
          <w:b/>
          <w:bCs/>
          <w:sz w:val="24"/>
          <w:szCs w:val="24"/>
          <w:highlight w:val="none"/>
          <w:u w:val="single"/>
        </w:rPr>
        <w:t>3.</w:t>
      </w:r>
      <w:r>
        <w:rPr>
          <w:rFonts w:hint="eastAsia" w:ascii="宋体" w:hAnsi="宋体" w:cs="宋体"/>
          <w:sz w:val="24"/>
          <w:szCs w:val="24"/>
          <w:highlight w:val="none"/>
          <w:u w:val="single"/>
        </w:rPr>
        <w:t>★</w:t>
      </w:r>
      <w:r>
        <w:rPr>
          <w:rFonts w:hint="eastAsia" w:ascii="宋体" w:hAnsi="宋体" w:cs="宋体"/>
          <w:b/>
          <w:bCs/>
          <w:sz w:val="24"/>
          <w:szCs w:val="24"/>
          <w:highlight w:val="none"/>
          <w:u w:val="single"/>
        </w:rPr>
        <w:t>责任与纠纷处理</w:t>
      </w:r>
    </w:p>
    <w:p w14:paraId="3026CA53">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运营过程中产生的投诉、赔偿等纠纷，由成交供应商负责解释并承担全部责任。</w:t>
      </w:r>
    </w:p>
    <w:p w14:paraId="5B2C949D">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如涉及政府部门相关事务（如卫生经营许可、环保检测、消防安全检查等），由成交供应商负责落实。</w:t>
      </w:r>
    </w:p>
    <w:p w14:paraId="584E294B">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若发生卫生、防疫、安全（含</w:t>
      </w:r>
      <w:r>
        <w:rPr>
          <w:rFonts w:hint="eastAsia" w:ascii="宋体" w:hAnsi="宋体" w:cs="宋体"/>
          <w:sz w:val="24"/>
          <w:szCs w:val="24"/>
          <w:highlight w:val="none"/>
        </w:rPr>
        <w:t>设施、</w:t>
      </w:r>
      <w:r>
        <w:rPr>
          <w:rFonts w:hint="eastAsia" w:ascii="宋体" w:hAnsi="宋体" w:cs="宋体"/>
          <w:sz w:val="24"/>
          <w:szCs w:val="24"/>
          <w:highlight w:val="none"/>
          <w:lang w:val="zh-CN"/>
        </w:rPr>
        <w:t>网络及系统的安全）等</w:t>
      </w:r>
      <w:r>
        <w:rPr>
          <w:rFonts w:hint="eastAsia" w:ascii="宋体" w:hAnsi="宋体" w:cs="宋体"/>
          <w:sz w:val="24"/>
          <w:szCs w:val="24"/>
          <w:highlight w:val="none"/>
        </w:rPr>
        <w:t>事故，</w:t>
      </w:r>
      <w:r>
        <w:rPr>
          <w:rFonts w:hint="eastAsia" w:ascii="宋体" w:hAnsi="宋体" w:cs="宋体"/>
          <w:sz w:val="24"/>
          <w:szCs w:val="24"/>
          <w:highlight w:val="none"/>
          <w:lang w:val="zh-CN"/>
        </w:rPr>
        <w:t>所有责任均由成交供应商承担。</w:t>
      </w:r>
    </w:p>
    <w:p w14:paraId="49930F6B">
      <w:pPr>
        <w:spacing w:line="5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4.设施维护与保洁</w:t>
      </w:r>
    </w:p>
    <w:p w14:paraId="29C3484D">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rPr>
        <w:t>定期对智能外卖柜相关设施进行安全检查，建立维护台账，规范台账记录。</w:t>
      </w:r>
    </w:p>
    <w:p w14:paraId="43B96FF0">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接到故障报告后24小时内完成设施设备系统维修，维修范围覆盖招标文件中所有归成交供应商经营管理的设施。</w:t>
      </w:r>
    </w:p>
    <w:p w14:paraId="3C082C58">
      <w:pPr>
        <w:numPr>
          <w:ilvl w:val="0"/>
          <w:numId w:val="54"/>
        </w:numPr>
        <w:spacing w:line="520" w:lineRule="exact"/>
        <w:ind w:firstLine="480"/>
        <w:rPr>
          <w:rFonts w:ascii="宋体" w:hAnsi="宋体" w:cs="宋体"/>
          <w:sz w:val="24"/>
          <w:szCs w:val="24"/>
          <w:highlight w:val="none"/>
          <w:u w:val="single"/>
          <w:lang w:val="zh-CN"/>
        </w:rPr>
      </w:pPr>
      <w:r>
        <w:rPr>
          <w:rFonts w:hint="eastAsia" w:ascii="宋体" w:hAnsi="宋体" w:cs="宋体"/>
          <w:sz w:val="24"/>
          <w:szCs w:val="24"/>
          <w:highlight w:val="none"/>
          <w:u w:val="single"/>
          <w:lang w:val="zh-CN"/>
        </w:rPr>
        <w:t>★</w:t>
      </w:r>
      <w:r>
        <w:rPr>
          <w:rFonts w:hint="eastAsia" w:ascii="宋体" w:hAnsi="宋体" w:cs="宋体"/>
          <w:sz w:val="24"/>
          <w:szCs w:val="24"/>
          <w:highlight w:val="none"/>
          <w:u w:val="single"/>
        </w:rPr>
        <w:t>智能外卖柜</w:t>
      </w:r>
      <w:r>
        <w:rPr>
          <w:rFonts w:hint="eastAsia" w:ascii="宋体" w:hAnsi="宋体" w:cs="宋体"/>
          <w:sz w:val="24"/>
          <w:szCs w:val="24"/>
          <w:highlight w:val="none"/>
          <w:u w:val="single"/>
          <w:lang w:val="zh-CN"/>
        </w:rPr>
        <w:t>设施不得张贴或发布与运营无关的广告，</w:t>
      </w:r>
      <w:r>
        <w:rPr>
          <w:rFonts w:hint="eastAsia" w:ascii="宋体" w:hAnsi="宋体" w:cs="宋体"/>
          <w:sz w:val="24"/>
          <w:szCs w:val="24"/>
          <w:highlight w:val="none"/>
          <w:u w:val="single"/>
          <w:lang w:val="zh-CN"/>
        </w:rPr>
        <w:t>每日至少一次对智能外卖柜及周边环境进行保洁、消毒、清理小广告，</w:t>
      </w:r>
      <w:r>
        <w:rPr>
          <w:rFonts w:hint="eastAsia" w:ascii="宋体" w:hAnsi="宋体" w:cs="宋体"/>
          <w:sz w:val="24"/>
          <w:szCs w:val="24"/>
          <w:highlight w:val="none"/>
          <w:u w:val="single"/>
        </w:rPr>
        <w:t>一标段（</w:t>
      </w:r>
      <w:r>
        <w:rPr>
          <w:rFonts w:hint="eastAsia" w:ascii="宋体" w:hAnsi="宋体" w:cs="宋体"/>
          <w:sz w:val="24"/>
          <w:szCs w:val="24"/>
          <w:highlight w:val="none"/>
          <w:u w:val="single"/>
          <w:lang w:val="zh-CN"/>
        </w:rPr>
        <w:t>仙林校区</w:t>
      </w:r>
      <w:r>
        <w:rPr>
          <w:rFonts w:hint="eastAsia" w:ascii="宋体" w:hAnsi="宋体" w:cs="宋体"/>
          <w:sz w:val="24"/>
          <w:szCs w:val="24"/>
          <w:highlight w:val="none"/>
          <w:u w:val="single"/>
        </w:rPr>
        <w:t>）</w:t>
      </w:r>
      <w:r>
        <w:rPr>
          <w:rFonts w:hint="eastAsia" w:ascii="宋体" w:hAnsi="宋体" w:cs="宋体"/>
          <w:sz w:val="24"/>
          <w:szCs w:val="24"/>
          <w:highlight w:val="none"/>
          <w:u w:val="single"/>
          <w:lang w:val="zh-CN"/>
        </w:rPr>
        <w:t>需派驻1名专职人员负责此项工作，</w:t>
      </w:r>
      <w:r>
        <w:rPr>
          <w:rFonts w:hint="eastAsia" w:ascii="宋体" w:hAnsi="宋体" w:cs="宋体"/>
          <w:sz w:val="24"/>
          <w:szCs w:val="24"/>
          <w:highlight w:val="none"/>
          <w:u w:val="single"/>
        </w:rPr>
        <w:t>二标段（三牌楼校区和锁金村校区）</w:t>
      </w:r>
      <w:r>
        <w:rPr>
          <w:rFonts w:hint="eastAsia" w:ascii="宋体" w:hAnsi="宋体" w:cs="宋体"/>
          <w:sz w:val="24"/>
          <w:szCs w:val="24"/>
          <w:highlight w:val="none"/>
          <w:u w:val="single"/>
          <w:lang w:val="zh-CN"/>
        </w:rPr>
        <w:t>需派驻1名专职人员负责此项工作。</w:t>
      </w:r>
    </w:p>
    <w:p w14:paraId="4F92EB3C">
      <w:pPr>
        <w:spacing w:line="5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5.平台合作与用户服务</w:t>
      </w:r>
    </w:p>
    <w:p w14:paraId="52572E3E">
      <w:pPr>
        <w:numPr>
          <w:ilvl w:val="0"/>
          <w:numId w:val="54"/>
        </w:numPr>
        <w:spacing w:line="520" w:lineRule="exact"/>
        <w:ind w:firstLine="480"/>
        <w:rPr>
          <w:rFonts w:ascii="宋体" w:hAnsi="宋体" w:cs="宋体"/>
          <w:sz w:val="24"/>
          <w:szCs w:val="24"/>
          <w:highlight w:val="none"/>
          <w:u w:val="single"/>
          <w:lang w:val="zh-CN"/>
        </w:rPr>
      </w:pPr>
      <w:r>
        <w:rPr>
          <w:rFonts w:hint="eastAsia" w:ascii="宋体" w:hAnsi="宋体" w:cs="宋体"/>
          <w:sz w:val="24"/>
          <w:szCs w:val="24"/>
          <w:highlight w:val="none"/>
          <w:u w:val="single"/>
        </w:rPr>
        <w:t>★供应商</w:t>
      </w:r>
      <w:r>
        <w:rPr>
          <w:rFonts w:hint="eastAsia" w:ascii="宋体" w:hAnsi="宋体" w:cs="宋体"/>
          <w:sz w:val="24"/>
          <w:szCs w:val="24"/>
          <w:highlight w:val="none"/>
          <w:u w:val="single"/>
          <w:lang w:val="zh-CN"/>
        </w:rPr>
        <w:t>提供的设备需满足并接受美团、饿了么、</w:t>
      </w:r>
      <w:r>
        <w:rPr>
          <w:rFonts w:hint="eastAsia" w:ascii="宋体" w:hAnsi="宋体" w:cs="宋体"/>
          <w:sz w:val="24"/>
          <w:szCs w:val="24"/>
          <w:highlight w:val="none"/>
          <w:u w:val="single"/>
        </w:rPr>
        <w:t>京东</w:t>
      </w:r>
      <w:r>
        <w:rPr>
          <w:rFonts w:hint="eastAsia" w:ascii="宋体" w:hAnsi="宋体" w:cs="宋体"/>
          <w:sz w:val="24"/>
          <w:szCs w:val="24"/>
          <w:highlight w:val="none"/>
          <w:u w:val="single"/>
          <w:lang w:val="zh-CN"/>
        </w:rPr>
        <w:t>等主流外卖平台的外卖投放需求，</w:t>
      </w:r>
      <w:r>
        <w:rPr>
          <w:rFonts w:hint="eastAsia" w:ascii="宋体" w:hAnsi="宋体" w:cs="宋体"/>
          <w:sz w:val="24"/>
          <w:szCs w:val="24"/>
          <w:highlight w:val="none"/>
          <w:u w:val="single"/>
        </w:rPr>
        <w:t>须按各标段外卖柜摆放位置及数量建设外卖柜，建设完成后，提供运营管理服务。</w:t>
      </w:r>
      <w:r>
        <w:rPr>
          <w:rFonts w:hint="eastAsia" w:ascii="宋体" w:hAnsi="宋体" w:cs="宋体"/>
          <w:bCs/>
          <w:sz w:val="24"/>
          <w:szCs w:val="24"/>
          <w:highlight w:val="none"/>
          <w:u w:val="single"/>
        </w:rPr>
        <w:t>无条件配合学校因学生人数变化而进行的点位新增、变更或缩减调整，供应商需提前充分评估投资风险。</w:t>
      </w:r>
    </w:p>
    <w:p w14:paraId="7595EB5E">
      <w:pPr>
        <w:spacing w:line="520" w:lineRule="exact"/>
        <w:ind w:firstLine="482" w:firstLineChars="200"/>
        <w:rPr>
          <w:rFonts w:ascii="宋体" w:hAnsi="宋体" w:cs="宋体"/>
          <w:b/>
          <w:bCs/>
          <w:sz w:val="24"/>
          <w:szCs w:val="24"/>
          <w:highlight w:val="none"/>
          <w:u w:val="single"/>
        </w:rPr>
      </w:pPr>
      <w:r>
        <w:rPr>
          <w:rFonts w:hint="eastAsia" w:ascii="宋体" w:hAnsi="宋体" w:cs="宋体"/>
          <w:b/>
          <w:bCs/>
          <w:sz w:val="24"/>
          <w:szCs w:val="24"/>
          <w:highlight w:val="none"/>
          <w:u w:val="single"/>
        </w:rPr>
        <w:t>6.</w:t>
      </w:r>
      <w:r>
        <w:rPr>
          <w:rFonts w:hint="eastAsia" w:ascii="宋体" w:hAnsi="宋体" w:cs="宋体"/>
          <w:sz w:val="24"/>
          <w:szCs w:val="24"/>
          <w:highlight w:val="none"/>
          <w:u w:val="single"/>
        </w:rPr>
        <w:t>★</w:t>
      </w:r>
      <w:r>
        <w:rPr>
          <w:rFonts w:hint="eastAsia" w:ascii="宋体" w:hAnsi="宋体" w:cs="宋体"/>
          <w:b/>
          <w:bCs/>
          <w:sz w:val="24"/>
          <w:szCs w:val="24"/>
          <w:highlight w:val="none"/>
          <w:u w:val="single"/>
        </w:rPr>
        <w:t>安全与追溯管理</w:t>
      </w:r>
    </w:p>
    <w:p w14:paraId="1373761A">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提供外卖投递全程可追溯解决方案，在服务区布设全天候无死角视频监控，监控资料保存时间不少于15日。</w:t>
      </w:r>
    </w:p>
    <w:p w14:paraId="4F868E26">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在柜体安放处配置消防设施，</w:t>
      </w:r>
      <w:r>
        <w:rPr>
          <w:rFonts w:hint="eastAsia" w:ascii="宋体" w:hAnsi="宋体" w:cs="宋体"/>
          <w:sz w:val="24"/>
          <w:szCs w:val="24"/>
          <w:highlight w:val="none"/>
        </w:rPr>
        <w:t>保障消防安全</w:t>
      </w:r>
      <w:r>
        <w:rPr>
          <w:rFonts w:hint="eastAsia" w:ascii="宋体" w:hAnsi="宋体" w:cs="宋体"/>
          <w:sz w:val="24"/>
          <w:szCs w:val="24"/>
          <w:highlight w:val="none"/>
          <w:lang w:val="zh-CN"/>
        </w:rPr>
        <w:t>。</w:t>
      </w:r>
    </w:p>
    <w:p w14:paraId="78082550">
      <w:pPr>
        <w:numPr>
          <w:ilvl w:val="0"/>
          <w:numId w:val="54"/>
        </w:numPr>
        <w:spacing w:line="520" w:lineRule="exact"/>
        <w:ind w:firstLine="480"/>
        <w:rPr>
          <w:rFonts w:ascii="宋体" w:hAnsi="宋体" w:cs="宋体"/>
          <w:sz w:val="24"/>
          <w:szCs w:val="24"/>
          <w:highlight w:val="none"/>
          <w:lang w:val="zh-CN"/>
        </w:rPr>
      </w:pPr>
      <w:r>
        <w:rPr>
          <w:rFonts w:hint="eastAsia" w:ascii="宋体" w:hAnsi="宋体" w:cs="宋体"/>
          <w:sz w:val="24"/>
          <w:szCs w:val="24"/>
          <w:highlight w:val="none"/>
          <w:lang w:val="zh-CN"/>
        </w:rPr>
        <w:t>严格做好所有数据存放安全，因配送系统涉及师生信息、相关财务信息未经许可不得泄露，并与学校签署保密协议。</w:t>
      </w:r>
    </w:p>
    <w:p w14:paraId="6B8C6246">
      <w:pPr>
        <w:spacing w:line="52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三、商务要求</w:t>
      </w:r>
    </w:p>
    <w:p w14:paraId="03A30D25">
      <w:pPr>
        <w:numPr>
          <w:ilvl w:val="0"/>
          <w:numId w:val="55"/>
        </w:numPr>
        <w:spacing w:line="520" w:lineRule="exact"/>
        <w:rPr>
          <w:rFonts w:ascii="宋体" w:hAnsi="宋体" w:cs="宋体"/>
          <w:b/>
          <w:bCs/>
          <w:sz w:val="24"/>
          <w:szCs w:val="24"/>
          <w:highlight w:val="none"/>
        </w:rPr>
      </w:pPr>
      <w:r>
        <w:rPr>
          <w:rFonts w:hint="eastAsia" w:ascii="宋体" w:hAnsi="宋体" w:cs="宋体"/>
          <w:b/>
          <w:bCs/>
          <w:sz w:val="24"/>
          <w:szCs w:val="24"/>
          <w:highlight w:val="none"/>
        </w:rPr>
        <w:t>标段划分</w:t>
      </w:r>
    </w:p>
    <w:p w14:paraId="213C05B5">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本项目共采购两个标段，自一标段至二标段依次进行评审，兼投不兼中。如果供应商在标段一被推荐为第一成交候选人，则供应商可以继续参加标段二的评审，但不得被推荐为标段二的成交候选人。</w:t>
      </w:r>
    </w:p>
    <w:p w14:paraId="16B3AC40">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一标段：仙林校区；二标段：三牌楼校区和锁金村校区。</w:t>
      </w:r>
    </w:p>
    <w:p w14:paraId="05E3CF45">
      <w:pPr>
        <w:numPr>
          <w:ilvl w:val="0"/>
          <w:numId w:val="55"/>
        </w:numPr>
        <w:spacing w:line="520" w:lineRule="exact"/>
        <w:rPr>
          <w:rFonts w:ascii="宋体" w:hAnsi="宋体" w:cs="宋体"/>
          <w:b/>
          <w:bCs/>
          <w:sz w:val="24"/>
          <w:szCs w:val="24"/>
          <w:highlight w:val="none"/>
        </w:rPr>
      </w:pPr>
      <w:r>
        <w:rPr>
          <w:rFonts w:hint="eastAsia" w:ascii="宋体" w:hAnsi="宋体" w:cs="宋体"/>
          <w:b/>
          <w:bCs/>
          <w:sz w:val="24"/>
          <w:szCs w:val="24"/>
          <w:highlight w:val="none"/>
        </w:rPr>
        <w:t>交付地点</w:t>
      </w:r>
    </w:p>
    <w:p w14:paraId="0F935081">
      <w:pPr>
        <w:spacing w:line="52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南京邮电大学仙林校区、三牌楼校区和锁金村校区，具体位置详见一标段、二标段建设点位。</w:t>
      </w:r>
    </w:p>
    <w:p w14:paraId="21840E73">
      <w:pPr>
        <w:numPr>
          <w:ilvl w:val="0"/>
          <w:numId w:val="55"/>
        </w:numPr>
        <w:spacing w:line="520" w:lineRule="exact"/>
        <w:rPr>
          <w:rFonts w:ascii="宋体" w:hAnsi="宋体" w:cs="宋体"/>
          <w:b/>
          <w:bCs/>
          <w:sz w:val="24"/>
          <w:szCs w:val="24"/>
          <w:highlight w:val="none"/>
        </w:rPr>
      </w:pPr>
      <w:r>
        <w:rPr>
          <w:rFonts w:hint="eastAsia" w:ascii="宋体" w:hAnsi="宋体" w:cs="宋体"/>
          <w:b/>
          <w:bCs/>
          <w:sz w:val="24"/>
          <w:szCs w:val="24"/>
          <w:highlight w:val="none"/>
        </w:rPr>
        <w:t>交付期限</w:t>
      </w:r>
    </w:p>
    <w:p w14:paraId="622B2459">
      <w:pPr>
        <w:spacing w:line="520" w:lineRule="exact"/>
        <w:ind w:firstLine="480" w:firstLineChars="200"/>
        <w:rPr>
          <w:rFonts w:ascii="宋体" w:hAnsi="宋体" w:cs="宋体"/>
          <w:b/>
          <w:bCs/>
          <w:sz w:val="24"/>
          <w:szCs w:val="24"/>
          <w:highlight w:val="none"/>
        </w:rPr>
      </w:pPr>
      <w:r>
        <w:rPr>
          <w:rFonts w:hint="eastAsia" w:ascii="宋体" w:hAnsi="宋体" w:cs="宋体"/>
          <w:sz w:val="24"/>
          <w:szCs w:val="24"/>
          <w:highlight w:val="none"/>
        </w:rPr>
        <w:t>自合同签订之日起7日内完工。</w:t>
      </w:r>
    </w:p>
    <w:p w14:paraId="2C1E4A9E">
      <w:pPr>
        <w:numPr>
          <w:ilvl w:val="0"/>
          <w:numId w:val="55"/>
        </w:numPr>
        <w:spacing w:line="520" w:lineRule="exact"/>
        <w:rPr>
          <w:rFonts w:ascii="宋体" w:hAnsi="宋体" w:cs="宋体"/>
          <w:b/>
          <w:bCs/>
          <w:sz w:val="24"/>
          <w:szCs w:val="24"/>
          <w:highlight w:val="none"/>
        </w:rPr>
      </w:pPr>
      <w:r>
        <w:rPr>
          <w:rFonts w:hint="eastAsia" w:ascii="宋体" w:hAnsi="宋体" w:cs="宋体"/>
          <w:b/>
          <w:bCs/>
          <w:sz w:val="24"/>
          <w:szCs w:val="24"/>
          <w:highlight w:val="none"/>
        </w:rPr>
        <w:t>交付条件</w:t>
      </w:r>
    </w:p>
    <w:p w14:paraId="21215289">
      <w:pPr>
        <w:spacing w:line="520" w:lineRule="exact"/>
        <w:ind w:left="420"/>
        <w:rPr>
          <w:rFonts w:ascii="宋体" w:hAnsi="宋体" w:cs="宋体"/>
          <w:sz w:val="24"/>
          <w:szCs w:val="24"/>
          <w:highlight w:val="none"/>
        </w:rPr>
      </w:pPr>
      <w:r>
        <w:rPr>
          <w:rFonts w:hint="eastAsia" w:ascii="宋体" w:hAnsi="宋体" w:cs="宋体"/>
          <w:sz w:val="24"/>
          <w:szCs w:val="24"/>
          <w:highlight w:val="none"/>
        </w:rPr>
        <w:t>按比选文件、合同及国家相关法律法规，智能外卖设备正常投入使用。</w:t>
      </w:r>
    </w:p>
    <w:p w14:paraId="16682205">
      <w:pPr>
        <w:numPr>
          <w:ilvl w:val="0"/>
          <w:numId w:val="55"/>
        </w:numPr>
        <w:spacing w:line="520" w:lineRule="exact"/>
        <w:rPr>
          <w:rFonts w:ascii="宋体" w:hAnsi="宋体" w:cs="宋体"/>
          <w:b/>
          <w:bCs/>
          <w:sz w:val="24"/>
          <w:szCs w:val="24"/>
          <w:highlight w:val="none"/>
        </w:rPr>
      </w:pPr>
      <w:r>
        <w:rPr>
          <w:rFonts w:hint="eastAsia" w:ascii="宋体" w:hAnsi="宋体" w:cs="宋体"/>
          <w:b/>
          <w:bCs/>
          <w:sz w:val="24"/>
          <w:szCs w:val="24"/>
          <w:highlight w:val="none"/>
        </w:rPr>
        <w:t>服务年限</w:t>
      </w:r>
    </w:p>
    <w:p w14:paraId="33EDE1E6">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一标段、二标段服务期限均为5年，合同采取年度续签方式，须经年度考核合格后方可签订次年合同。服务期满后，成交供应商须按规定拆除相关设备设施，并将场地恢复至原状。</w:t>
      </w:r>
    </w:p>
    <w:p w14:paraId="4800045A">
      <w:pPr>
        <w:numPr>
          <w:ilvl w:val="0"/>
          <w:numId w:val="55"/>
        </w:numPr>
        <w:spacing w:line="520" w:lineRule="exact"/>
        <w:rPr>
          <w:rFonts w:ascii="宋体" w:hAnsi="宋体" w:cs="宋体"/>
          <w:sz w:val="24"/>
          <w:szCs w:val="24"/>
          <w:highlight w:val="none"/>
        </w:rPr>
      </w:pPr>
      <w:r>
        <w:rPr>
          <w:rFonts w:hint="eastAsia" w:ascii="宋体" w:hAnsi="宋体" w:cs="宋体"/>
          <w:b/>
          <w:bCs/>
          <w:sz w:val="24"/>
          <w:szCs w:val="24"/>
          <w:highlight w:val="none"/>
        </w:rPr>
        <w:t>服务考核</w:t>
      </w:r>
    </w:p>
    <w:p w14:paraId="43B3DBB1">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成交供应商签订合同后，在经营过程中必须接受校方的监督、管理和考核。师生满意度不得低于85%，否则视为考核不合格，按违约处理，学校有权扣除相应履约保证金或提前终止合同。对发生重大责任事故实行一票否决制，校方有权单方面终止服务合同，并依法追究成交供应商的法律责任。</w:t>
      </w:r>
    </w:p>
    <w:p w14:paraId="65FFFDD3">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考核指标为（包括但不限于）：</w:t>
      </w:r>
    </w:p>
    <w:p w14:paraId="28B97067">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1.采用问卷调查方式，调查内容包含外卖投递设施、设备、使用的便利的满意度等；</w:t>
      </w:r>
    </w:p>
    <w:p w14:paraId="6D19F6B5">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2.履行合同，没有任何违约行为；</w:t>
      </w:r>
    </w:p>
    <w:p w14:paraId="181A6F0C">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3.管理规范有序，对各类服务有记录，有回访；</w:t>
      </w:r>
    </w:p>
    <w:p w14:paraId="4922EB69">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4.服务主动，每天对设备设施进行巡检和维护，防患未然；</w:t>
      </w:r>
    </w:p>
    <w:p w14:paraId="5BAE02FE">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5.维修响应迅速及时，师生投诉少，评价好；</w:t>
      </w:r>
    </w:p>
    <w:p w14:paraId="3DB5C109">
      <w:pPr>
        <w:numPr>
          <w:ilvl w:val="0"/>
          <w:numId w:val="55"/>
        </w:numPr>
        <w:spacing w:line="520" w:lineRule="exact"/>
        <w:rPr>
          <w:rFonts w:ascii="宋体" w:hAnsi="宋体" w:cs="宋体"/>
          <w:b/>
          <w:bCs/>
          <w:sz w:val="24"/>
          <w:szCs w:val="24"/>
          <w:highlight w:val="none"/>
        </w:rPr>
      </w:pPr>
      <w:r>
        <w:rPr>
          <w:rFonts w:ascii="宋体" w:hAnsi="宋体" w:cs="宋体"/>
          <w:b/>
          <w:bCs/>
          <w:sz w:val="24"/>
          <w:szCs w:val="24"/>
          <w:highlight w:val="none"/>
        </w:rPr>
        <w:drawing>
          <wp:anchor distT="0" distB="0" distL="114300" distR="114300" simplePos="0" relativeHeight="251660288" behindDoc="0" locked="0" layoutInCell="1" allowOverlap="1">
            <wp:simplePos x="0" y="0"/>
            <wp:positionH relativeFrom="column">
              <wp:posOffset>6296660</wp:posOffset>
            </wp:positionH>
            <wp:positionV relativeFrom="paragraph">
              <wp:posOffset>516890</wp:posOffset>
            </wp:positionV>
            <wp:extent cx="24130" cy="12700"/>
            <wp:effectExtent l="0" t="0" r="0" b="0"/>
            <wp:wrapNone/>
            <wp:docPr id="3" name="IM 12"/>
            <wp:cNvGraphicFramePr/>
            <a:graphic xmlns:a="http://schemas.openxmlformats.org/drawingml/2006/main">
              <a:graphicData uri="http://schemas.openxmlformats.org/drawingml/2006/picture">
                <pic:pic xmlns:pic="http://schemas.openxmlformats.org/drawingml/2006/picture">
                  <pic:nvPicPr>
                    <pic:cNvPr id="3" name="IM 12"/>
                    <pic:cNvPicPr/>
                  </pic:nvPicPr>
                  <pic:blipFill>
                    <a:blip r:embed="rId9"/>
                    <a:stretch>
                      <a:fillRect/>
                    </a:stretch>
                  </pic:blipFill>
                  <pic:spPr>
                    <a:xfrm>
                      <a:off x="0" y="0"/>
                      <a:ext cx="24130" cy="12700"/>
                    </a:xfrm>
                    <a:prstGeom prst="rect">
                      <a:avLst/>
                    </a:prstGeom>
                    <a:noFill/>
                    <a:ln>
                      <a:noFill/>
                    </a:ln>
                  </pic:spPr>
                </pic:pic>
              </a:graphicData>
            </a:graphic>
          </wp:anchor>
        </w:drawing>
      </w:r>
      <w:r>
        <w:rPr>
          <w:rFonts w:hint="eastAsia" w:ascii="宋体" w:hAnsi="宋体" w:cs="宋体"/>
          <w:b/>
          <w:bCs/>
          <w:sz w:val="24"/>
          <w:szCs w:val="24"/>
          <w:highlight w:val="none"/>
        </w:rPr>
        <w:t>履约保证金</w:t>
      </w:r>
    </w:p>
    <w:p w14:paraId="00BB4C4B">
      <w:pPr>
        <w:numPr>
          <w:ilvl w:val="0"/>
          <w:numId w:val="56"/>
        </w:numPr>
        <w:spacing w:line="52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履约保证金用以约束成交供应商在合同履行中的行为，弥补合同执行中由于自身行为可能给学校带来的各种损失。因成交供应商原因导致合同未能正常履行的，学校将扣除成交供应商的全部履约保证金。</w:t>
      </w:r>
    </w:p>
    <w:p w14:paraId="2C6A7A71">
      <w:pPr>
        <w:numPr>
          <w:ilvl w:val="0"/>
          <w:numId w:val="56"/>
        </w:numPr>
        <w:spacing w:line="52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签订合同前由成交供应商一次性向学校支付人民币</w:t>
      </w:r>
      <w:r>
        <w:rPr>
          <w:rFonts w:ascii="宋体" w:hAnsi="宋体" w:cs="宋体"/>
          <w:sz w:val="24"/>
          <w:szCs w:val="24"/>
          <w:highlight w:val="none"/>
        </w:rPr>
        <w:t>10</w:t>
      </w:r>
      <w:r>
        <w:rPr>
          <w:rFonts w:hint="eastAsia" w:ascii="宋体" w:hAnsi="宋体" w:cs="宋体"/>
          <w:sz w:val="24"/>
          <w:szCs w:val="24"/>
          <w:highlight w:val="none"/>
        </w:rPr>
        <w:t>0000元（壹拾万元）作为履约保证金，如供应商未支付的。学校有权拒绝签订合同，无需承担任何责任。</w:t>
      </w:r>
    </w:p>
    <w:p w14:paraId="0BE80670">
      <w:pPr>
        <w:numPr>
          <w:ilvl w:val="0"/>
          <w:numId w:val="56"/>
        </w:numPr>
        <w:spacing w:line="52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履约保证金的退还：如供应商在合同期间无违约行为，则在服务期满、学校验收场地后，在30个工作日内将履约保证金如数无息退还供应商。如在服务期间由于供应商过失或过错造成学校或师生、第三人损失的，损失部分从履约保证金中扣除，在扣除后，供应商应及时补足履约保证金，履约保证金不足以弥补学校损失的，供应商需另行支付相关损失费用。供应商须在学校扣除保证金后7日内及时补足。</w:t>
      </w:r>
    </w:p>
    <w:p w14:paraId="5F4BBD4E">
      <w:pPr>
        <w:numPr>
          <w:ilvl w:val="0"/>
          <w:numId w:val="56"/>
        </w:numPr>
        <w:spacing w:line="520" w:lineRule="exact"/>
        <w:ind w:left="0" w:firstLine="480" w:firstLineChars="200"/>
        <w:rPr>
          <w:sz w:val="24"/>
          <w:szCs w:val="24"/>
          <w:highlight w:val="none"/>
        </w:rPr>
      </w:pPr>
      <w:r>
        <w:rPr>
          <w:rFonts w:hint="eastAsia" w:ascii="宋体" w:hAnsi="宋体" w:cs="宋体"/>
          <w:sz w:val="24"/>
          <w:szCs w:val="24"/>
          <w:highlight w:val="none"/>
        </w:rPr>
        <w:t>履约保证金的扣除规定如下：若供应商出现以下行为，将按照对应的额度从履约保证金中予以扣除：</w:t>
      </w:r>
    </w:p>
    <w:p w14:paraId="77AA4DE2">
      <w:pPr>
        <w:spacing w:line="520" w:lineRule="exact"/>
        <w:ind w:firstLine="480" w:firstLineChars="200"/>
        <w:rPr>
          <w:sz w:val="24"/>
          <w:szCs w:val="24"/>
          <w:highlight w:val="none"/>
        </w:rPr>
      </w:pPr>
      <w:r>
        <w:rPr>
          <w:rFonts w:hint="eastAsia" w:ascii="宋体" w:hAnsi="宋体" w:cs="宋体"/>
          <w:sz w:val="24"/>
          <w:szCs w:val="24"/>
          <w:highlight w:val="none"/>
        </w:rPr>
        <w:t>（1）员工在上班期间未穿着工作服，每出现一次扣除 50 元；</w:t>
      </w:r>
    </w:p>
    <w:p w14:paraId="5B7AD8E0">
      <w:pPr>
        <w:spacing w:line="520" w:lineRule="exact"/>
        <w:ind w:firstLine="480" w:firstLineChars="200"/>
        <w:rPr>
          <w:sz w:val="24"/>
          <w:szCs w:val="24"/>
          <w:highlight w:val="none"/>
        </w:rPr>
      </w:pPr>
      <w:r>
        <w:rPr>
          <w:rFonts w:hint="eastAsia" w:ascii="宋体" w:hAnsi="宋体" w:cs="宋体"/>
          <w:sz w:val="24"/>
          <w:szCs w:val="24"/>
          <w:highlight w:val="none"/>
        </w:rPr>
        <w:t>（2）安全、卫生保洁、消毒工作落实不到位的，每出现一次扣除 100 元；</w:t>
      </w:r>
    </w:p>
    <w:p w14:paraId="12DEFA4C">
      <w:pPr>
        <w:spacing w:line="520" w:lineRule="exact"/>
        <w:ind w:firstLine="480" w:firstLineChars="200"/>
        <w:rPr>
          <w:sz w:val="24"/>
          <w:szCs w:val="24"/>
          <w:highlight w:val="none"/>
        </w:rPr>
      </w:pPr>
      <w:r>
        <w:rPr>
          <w:rFonts w:hint="eastAsia" w:ascii="宋体" w:hAnsi="宋体" w:cs="宋体"/>
          <w:sz w:val="24"/>
          <w:szCs w:val="24"/>
          <w:highlight w:val="none"/>
        </w:rPr>
        <w:t>（3）对师生服务态度欠佳、文明用语使用不规范的，每出现一次扣除 200 元；</w:t>
      </w:r>
    </w:p>
    <w:p w14:paraId="0F34DED3">
      <w:pPr>
        <w:spacing w:line="520" w:lineRule="exact"/>
        <w:ind w:firstLine="480" w:firstLineChars="200"/>
        <w:rPr>
          <w:sz w:val="24"/>
          <w:szCs w:val="24"/>
          <w:highlight w:val="none"/>
        </w:rPr>
      </w:pPr>
      <w:r>
        <w:rPr>
          <w:rFonts w:hint="eastAsia" w:ascii="宋体" w:hAnsi="宋体" w:cs="宋体"/>
          <w:sz w:val="24"/>
          <w:szCs w:val="24"/>
          <w:highlight w:val="none"/>
        </w:rPr>
        <w:t>（4）收到师生有效投诉的，每出现一次扣除 200 元；</w:t>
      </w:r>
    </w:p>
    <w:p w14:paraId="7A54F461">
      <w:pPr>
        <w:spacing w:line="520" w:lineRule="exact"/>
        <w:ind w:firstLine="480" w:firstLineChars="200"/>
        <w:rPr>
          <w:sz w:val="24"/>
          <w:szCs w:val="24"/>
          <w:highlight w:val="none"/>
        </w:rPr>
      </w:pPr>
      <w:r>
        <w:rPr>
          <w:rFonts w:hint="eastAsia" w:ascii="宋体" w:hAnsi="宋体" w:cs="宋体"/>
          <w:sz w:val="24"/>
          <w:szCs w:val="24"/>
          <w:highlight w:val="none"/>
        </w:rPr>
        <w:t>（5）对学校主管部门下达的任务落实不及时、不到位或不予理会的，每出现一次扣除 500 元；</w:t>
      </w:r>
    </w:p>
    <w:p w14:paraId="28302221">
      <w:pPr>
        <w:spacing w:line="520" w:lineRule="exact"/>
        <w:ind w:firstLine="480" w:firstLineChars="200"/>
        <w:rPr>
          <w:sz w:val="24"/>
          <w:szCs w:val="24"/>
          <w:highlight w:val="none"/>
        </w:rPr>
      </w:pPr>
      <w:r>
        <w:rPr>
          <w:rFonts w:hint="eastAsia" w:ascii="宋体" w:hAnsi="宋体" w:cs="宋体"/>
          <w:sz w:val="24"/>
          <w:szCs w:val="24"/>
          <w:highlight w:val="none"/>
        </w:rPr>
        <w:t>（6）发生重大失责行为并造成不良后果的，每出现一次扣除 2000 元；</w:t>
      </w:r>
    </w:p>
    <w:p w14:paraId="599A0D40">
      <w:pPr>
        <w:spacing w:line="520" w:lineRule="exact"/>
        <w:ind w:firstLine="480" w:firstLineChars="200"/>
        <w:rPr>
          <w:sz w:val="24"/>
          <w:szCs w:val="24"/>
          <w:highlight w:val="none"/>
        </w:rPr>
      </w:pPr>
      <w:r>
        <w:rPr>
          <w:rFonts w:hint="eastAsia" w:ascii="宋体" w:hAnsi="宋体" w:cs="宋体"/>
          <w:sz w:val="24"/>
          <w:szCs w:val="24"/>
          <w:highlight w:val="none"/>
        </w:rPr>
        <w:t xml:space="preserve">（7）在合同履行过程中，若出现供应商服务质量考评不合格、转包、分包、泄露学校师生相关个人信息等情形，或发生卫生、防疫、安全（含网络及系统安全）等事故，学校有权立即解除合同，且不退还履约保证金，并追究供应商相应法律责任，供应商需承担由此造成的一切损失。 </w:t>
      </w:r>
    </w:p>
    <w:p w14:paraId="05FB321C">
      <w:pPr>
        <w:numPr>
          <w:ilvl w:val="0"/>
          <w:numId w:val="55"/>
        </w:numPr>
        <w:spacing w:line="520" w:lineRule="exact"/>
        <w:rPr>
          <w:rFonts w:ascii="宋体" w:hAnsi="宋体" w:cs="宋体"/>
          <w:b/>
          <w:sz w:val="24"/>
          <w:szCs w:val="24"/>
          <w:highlight w:val="none"/>
        </w:rPr>
      </w:pPr>
      <w:r>
        <w:rPr>
          <w:rFonts w:ascii="宋体" w:hAnsi="宋体" w:cs="宋体"/>
          <w:b/>
          <w:bCs/>
          <w:sz w:val="24"/>
          <w:szCs w:val="24"/>
          <w:highlight w:val="none"/>
        </w:rPr>
        <w:drawing>
          <wp:anchor distT="0" distB="0" distL="114300" distR="114300" simplePos="0" relativeHeight="251662336" behindDoc="0" locked="0" layoutInCell="1" allowOverlap="1">
            <wp:simplePos x="0" y="0"/>
            <wp:positionH relativeFrom="column">
              <wp:posOffset>6296660</wp:posOffset>
            </wp:positionH>
            <wp:positionV relativeFrom="paragraph">
              <wp:posOffset>516890</wp:posOffset>
            </wp:positionV>
            <wp:extent cx="24130" cy="12700"/>
            <wp:effectExtent l="0" t="0" r="0" b="0"/>
            <wp:wrapNone/>
            <wp:docPr id="5" name="IM 12"/>
            <wp:cNvGraphicFramePr/>
            <a:graphic xmlns:a="http://schemas.openxmlformats.org/drawingml/2006/main">
              <a:graphicData uri="http://schemas.openxmlformats.org/drawingml/2006/picture">
                <pic:pic xmlns:pic="http://schemas.openxmlformats.org/drawingml/2006/picture">
                  <pic:nvPicPr>
                    <pic:cNvPr id="5" name="IM 12"/>
                    <pic:cNvPicPr/>
                  </pic:nvPicPr>
                  <pic:blipFill>
                    <a:blip r:embed="rId9"/>
                    <a:stretch>
                      <a:fillRect/>
                    </a:stretch>
                  </pic:blipFill>
                  <pic:spPr>
                    <a:xfrm>
                      <a:off x="0" y="0"/>
                      <a:ext cx="24130" cy="12700"/>
                    </a:xfrm>
                    <a:prstGeom prst="rect">
                      <a:avLst/>
                    </a:prstGeom>
                    <a:noFill/>
                    <a:ln>
                      <a:noFill/>
                    </a:ln>
                  </pic:spPr>
                </pic:pic>
              </a:graphicData>
            </a:graphic>
          </wp:anchor>
        </w:drawing>
      </w:r>
      <w:r>
        <w:rPr>
          <w:rFonts w:hint="eastAsia" w:ascii="宋体" w:hAnsi="宋体" w:cs="宋体"/>
          <w:b/>
          <w:bCs/>
          <w:sz w:val="24"/>
          <w:szCs w:val="24"/>
          <w:highlight w:val="none"/>
        </w:rPr>
        <w:t>项目验收</w:t>
      </w:r>
    </w:p>
    <w:p w14:paraId="10BE1831">
      <w:pPr>
        <w:numPr>
          <w:ilvl w:val="0"/>
          <w:numId w:val="57"/>
        </w:numPr>
        <w:spacing w:line="520" w:lineRule="exact"/>
        <w:ind w:left="0" w:firstLine="482" w:firstLineChars="200"/>
        <w:rPr>
          <w:rFonts w:ascii="宋体" w:hAnsi="宋体" w:cs="宋体"/>
          <w:b/>
          <w:bCs/>
          <w:sz w:val="24"/>
          <w:szCs w:val="24"/>
          <w:highlight w:val="none"/>
        </w:rPr>
      </w:pPr>
      <w:r>
        <w:rPr>
          <w:rFonts w:hint="eastAsia" w:ascii="宋体" w:hAnsi="宋体" w:cs="宋体"/>
          <w:b/>
          <w:bCs/>
          <w:sz w:val="24"/>
          <w:szCs w:val="24"/>
          <w:highlight w:val="none"/>
        </w:rPr>
        <w:t>施工管理</w:t>
      </w:r>
    </w:p>
    <w:p w14:paraId="67B2D63B">
      <w:pPr>
        <w:numPr>
          <w:ilvl w:val="0"/>
          <w:numId w:val="58"/>
        </w:num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成交供应商所派出项目经理必须是具有丰富管理经验的管理人员，不允许中途换人。</w:t>
      </w:r>
    </w:p>
    <w:p w14:paraId="52D18BBF">
      <w:pPr>
        <w:numPr>
          <w:ilvl w:val="0"/>
          <w:numId w:val="58"/>
        </w:num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必须符合安全施工的要求，合同期间发生的一切安全事故，由成交供应商负全部责任。</w:t>
      </w:r>
    </w:p>
    <w:p w14:paraId="4BEAF0F5">
      <w:pPr>
        <w:numPr>
          <w:ilvl w:val="0"/>
          <w:numId w:val="58"/>
        </w:num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建筑垃圾需按指定地点堆放并及时清运，竣工之前，成交供应商负有卫生清洁的义务。</w:t>
      </w:r>
    </w:p>
    <w:p w14:paraId="0F2AC74A">
      <w:pPr>
        <w:numPr>
          <w:ilvl w:val="0"/>
          <w:numId w:val="58"/>
        </w:num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施工过程中，成交供应商必须采取合理的措施，减少对学生日常生活的影响，每日施工时间符合学校相关要求。</w:t>
      </w:r>
    </w:p>
    <w:p w14:paraId="772C2504">
      <w:pPr>
        <w:numPr>
          <w:ilvl w:val="0"/>
          <w:numId w:val="58"/>
        </w:num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施工完成后，成交供应商必须将施工现场所有设施和环境恢复原状。</w:t>
      </w:r>
    </w:p>
    <w:p w14:paraId="73950110">
      <w:pPr>
        <w:numPr>
          <w:ilvl w:val="0"/>
          <w:numId w:val="57"/>
        </w:numPr>
        <w:spacing w:line="520" w:lineRule="exact"/>
        <w:ind w:left="0" w:firstLine="482" w:firstLineChars="200"/>
        <w:rPr>
          <w:rFonts w:ascii="宋体" w:hAnsi="宋体" w:cs="宋体"/>
          <w:b/>
          <w:bCs/>
          <w:sz w:val="24"/>
          <w:szCs w:val="24"/>
          <w:highlight w:val="none"/>
        </w:rPr>
      </w:pPr>
      <w:r>
        <w:rPr>
          <w:rFonts w:hint="eastAsia" w:ascii="宋体" w:hAnsi="宋体" w:cs="宋体"/>
          <w:b/>
          <w:bCs/>
          <w:sz w:val="24"/>
          <w:szCs w:val="24"/>
          <w:highlight w:val="none"/>
        </w:rPr>
        <w:t xml:space="preserve">验收标准  </w:t>
      </w:r>
    </w:p>
    <w:p w14:paraId="3656B155">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工程质量须严格符合比选文件、合同约定及承诺要求，工程质量与设备质量标准应严格执行国家相关标准及规范，并符合国家法律法规规定，确保智能外卖柜设备具备正常投入使用条件。</w:t>
      </w:r>
    </w:p>
    <w:p w14:paraId="36DDE0B9">
      <w:pPr>
        <w:numPr>
          <w:ilvl w:val="0"/>
          <w:numId w:val="55"/>
        </w:numPr>
        <w:spacing w:line="520" w:lineRule="exact"/>
        <w:rPr>
          <w:rFonts w:ascii="宋体" w:hAnsi="宋体" w:cs="宋体"/>
          <w:sz w:val="24"/>
          <w:szCs w:val="24"/>
          <w:highlight w:val="none"/>
        </w:rPr>
      </w:pPr>
      <w:r>
        <w:rPr>
          <w:rFonts w:ascii="宋体" w:hAnsi="宋体" w:cs="宋体"/>
          <w:b/>
          <w:bCs/>
          <w:sz w:val="24"/>
          <w:szCs w:val="24"/>
          <w:highlight w:val="none"/>
        </w:rPr>
        <w:drawing>
          <wp:anchor distT="0" distB="0" distL="114300" distR="114300" simplePos="0" relativeHeight="251661312" behindDoc="0" locked="0" layoutInCell="1" allowOverlap="1">
            <wp:simplePos x="0" y="0"/>
            <wp:positionH relativeFrom="column">
              <wp:posOffset>6296660</wp:posOffset>
            </wp:positionH>
            <wp:positionV relativeFrom="paragraph">
              <wp:posOffset>516890</wp:posOffset>
            </wp:positionV>
            <wp:extent cx="24130" cy="12700"/>
            <wp:effectExtent l="0" t="0" r="0" b="0"/>
            <wp:wrapNone/>
            <wp:docPr id="4" name="IM 12"/>
            <wp:cNvGraphicFramePr/>
            <a:graphic xmlns:a="http://schemas.openxmlformats.org/drawingml/2006/main">
              <a:graphicData uri="http://schemas.openxmlformats.org/drawingml/2006/picture">
                <pic:pic xmlns:pic="http://schemas.openxmlformats.org/drawingml/2006/picture">
                  <pic:nvPicPr>
                    <pic:cNvPr id="4" name="IM 12"/>
                    <pic:cNvPicPr/>
                  </pic:nvPicPr>
                  <pic:blipFill>
                    <a:blip r:embed="rId9"/>
                    <a:stretch>
                      <a:fillRect/>
                    </a:stretch>
                  </pic:blipFill>
                  <pic:spPr>
                    <a:xfrm>
                      <a:off x="0" y="0"/>
                      <a:ext cx="24130" cy="12700"/>
                    </a:xfrm>
                    <a:prstGeom prst="rect">
                      <a:avLst/>
                    </a:prstGeom>
                    <a:noFill/>
                    <a:ln>
                      <a:noFill/>
                    </a:ln>
                  </pic:spPr>
                </pic:pic>
              </a:graphicData>
            </a:graphic>
          </wp:anchor>
        </w:drawing>
      </w:r>
      <w:r>
        <w:rPr>
          <w:rFonts w:hint="eastAsia" w:ascii="宋体" w:hAnsi="宋体" w:cs="宋体"/>
          <w:b/>
          <w:bCs/>
          <w:sz w:val="24"/>
          <w:szCs w:val="24"/>
          <w:highlight w:val="none"/>
        </w:rPr>
        <w:t>费用缴纳方式</w:t>
      </w:r>
    </w:p>
    <w:p w14:paraId="7902E0AF">
      <w:pPr>
        <w:numPr>
          <w:ilvl w:val="0"/>
          <w:numId w:val="59"/>
        </w:numPr>
        <w:spacing w:line="52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甲方收款账户信息，户名：南京邮电大学，开户行：中国银行南京云锦路支行，账号：478058217116。</w:t>
      </w:r>
    </w:p>
    <w:p w14:paraId="7E72A4B6">
      <w:pPr>
        <w:numPr>
          <w:ilvl w:val="0"/>
          <w:numId w:val="59"/>
        </w:numPr>
        <w:spacing w:line="52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履约保证金，签订合同前5个工作日内</w:t>
      </w:r>
      <w:r>
        <w:rPr>
          <w:rFonts w:hint="eastAsia" w:ascii="宋体" w:hAnsi="宋体" w:cs="宋体"/>
          <w:sz w:val="24"/>
          <w:szCs w:val="24"/>
          <w:highlight w:val="none"/>
          <w:lang w:val="en-US" w:eastAsia="zh-CN"/>
        </w:rPr>
        <w:t>成交供应商</w:t>
      </w:r>
      <w:r>
        <w:rPr>
          <w:rFonts w:hint="eastAsia" w:ascii="宋体" w:hAnsi="宋体" w:cs="宋体"/>
          <w:sz w:val="24"/>
          <w:szCs w:val="24"/>
          <w:highlight w:val="none"/>
        </w:rPr>
        <w:t>一次性向学校支付人民币</w:t>
      </w:r>
      <w:r>
        <w:rPr>
          <w:rFonts w:ascii="宋体" w:hAnsi="宋体" w:cs="宋体"/>
          <w:sz w:val="24"/>
          <w:szCs w:val="24"/>
          <w:highlight w:val="none"/>
        </w:rPr>
        <w:t>10</w:t>
      </w:r>
      <w:r>
        <w:rPr>
          <w:rFonts w:hint="eastAsia" w:ascii="宋体" w:hAnsi="宋体" w:cs="宋体"/>
          <w:sz w:val="24"/>
          <w:szCs w:val="24"/>
          <w:highlight w:val="none"/>
        </w:rPr>
        <w:t>0000元（壹拾万元）作为履约保证金，如成交供应商未支付的，学校有权拒绝签订合同，无需承担任何责任。</w:t>
      </w:r>
    </w:p>
    <w:p w14:paraId="0F25E629">
      <w:pPr>
        <w:numPr>
          <w:ilvl w:val="0"/>
          <w:numId w:val="59"/>
        </w:numPr>
        <w:spacing w:line="52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电费：电费实行按表预付（电表由学校安装，相关安装费用由成交供应商支付）。</w:t>
      </w:r>
    </w:p>
    <w:p w14:paraId="3BFB791A">
      <w:pPr>
        <w:spacing w:line="520" w:lineRule="exact"/>
        <w:ind w:firstLine="480" w:firstLineChars="200"/>
        <w:rPr>
          <w:rFonts w:ascii="宋体" w:hAnsi="宋体" w:cs="宋体"/>
          <w:b/>
          <w:bCs/>
          <w:sz w:val="24"/>
          <w:szCs w:val="24"/>
          <w:highlight w:val="none"/>
        </w:rPr>
      </w:pPr>
      <w:r>
        <w:rPr>
          <w:rFonts w:hint="eastAsia" w:ascii="宋体" w:hAnsi="宋体" w:cs="宋体"/>
          <w:sz w:val="24"/>
          <w:szCs w:val="24"/>
          <w:highlight w:val="none"/>
        </w:rPr>
        <w:t>六</w:t>
      </w:r>
      <w:r>
        <w:rPr>
          <w:rFonts w:hint="eastAsia" w:ascii="宋体" w:hAnsi="宋体" w:cs="宋体"/>
          <w:b/>
          <w:bCs/>
          <w:sz w:val="24"/>
          <w:szCs w:val="24"/>
          <w:highlight w:val="none"/>
        </w:rPr>
        <w:t>、特别提醒</w:t>
      </w:r>
    </w:p>
    <w:p w14:paraId="3961BBDA">
      <w:pPr>
        <w:spacing w:line="52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以上标注“★”符号的条款为实质性要求条款，请在附件商务条款偏离表中注明响应情况</w:t>
      </w:r>
      <w:r>
        <w:rPr>
          <w:rFonts w:hint="eastAsia" w:ascii="宋体" w:hAnsi="宋体" w:cs="宋体"/>
          <w:sz w:val="24"/>
          <w:szCs w:val="24"/>
          <w:highlight w:val="none"/>
          <w:lang w:eastAsia="zh-CN"/>
        </w:rPr>
        <w:t>，</w:t>
      </w:r>
      <w:r>
        <w:rPr>
          <w:rFonts w:hint="eastAsia" w:ascii="宋体" w:hAnsi="宋体" w:cs="宋体"/>
          <w:sz w:val="24"/>
          <w:szCs w:val="24"/>
          <w:highlight w:val="none"/>
        </w:rPr>
        <w:t>对其中任何一条的负偏离，在评审时将视为未实质性响应</w:t>
      </w:r>
      <w:r>
        <w:rPr>
          <w:rFonts w:hint="eastAsia" w:ascii="宋体" w:hAnsi="宋体" w:cs="宋体"/>
          <w:sz w:val="24"/>
          <w:szCs w:val="24"/>
          <w:highlight w:val="none"/>
          <w:lang w:eastAsia="zh-CN"/>
        </w:rPr>
        <w:t>比选</w:t>
      </w:r>
      <w:r>
        <w:rPr>
          <w:rFonts w:hint="eastAsia" w:ascii="宋体" w:hAnsi="宋体" w:cs="宋体"/>
          <w:sz w:val="24"/>
          <w:szCs w:val="24"/>
          <w:highlight w:val="none"/>
        </w:rPr>
        <w:t>文件要求，作无效响应处理。</w:t>
      </w:r>
    </w:p>
    <w:p w14:paraId="4678ED25">
      <w:pPr>
        <w:spacing w:line="52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进校报备：</w:t>
      </w:r>
    </w:p>
    <w:p w14:paraId="6CEFECA6">
      <w:pPr>
        <w:spacing w:line="52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进校现场踏勘</w:t>
      </w:r>
      <w:r>
        <w:rPr>
          <w:rFonts w:hint="eastAsia" w:ascii="宋体" w:hAnsi="宋体" w:cs="宋体"/>
          <w:sz w:val="24"/>
          <w:szCs w:val="24"/>
          <w:highlight w:val="none"/>
          <w:lang w:eastAsia="zh-CN"/>
        </w:rPr>
        <w:t>及递交响应文件</w:t>
      </w:r>
      <w:r>
        <w:rPr>
          <w:rFonts w:hint="eastAsia" w:ascii="宋体" w:hAnsi="宋体" w:cs="宋体"/>
          <w:sz w:val="24"/>
          <w:szCs w:val="24"/>
          <w:highlight w:val="none"/>
        </w:rPr>
        <w:t>的人员，应提前2小时扫描下方二维码填写入校申请，审批通过后从指定校门当日入校。</w:t>
      </w:r>
    </w:p>
    <w:p w14:paraId="287EECD2">
      <w:pPr>
        <w:ind w:firstLine="480"/>
        <w:jc w:val="center"/>
        <w:rPr>
          <w:rFonts w:ascii="宋体" w:hAnsi="宋体" w:cs="宋体"/>
          <w:szCs w:val="21"/>
          <w:highlight w:val="none"/>
        </w:rPr>
      </w:pPr>
      <w:r>
        <w:rPr>
          <w:rFonts w:hint="eastAsia" w:ascii="宋体" w:hAnsi="宋体" w:cs="宋体"/>
          <w:szCs w:val="21"/>
          <w:highlight w:val="none"/>
        </w:rPr>
        <w:drawing>
          <wp:inline distT="0" distB="0" distL="114300" distR="114300">
            <wp:extent cx="3429000" cy="3429000"/>
            <wp:effectExtent l="0" t="0" r="0" b="0"/>
            <wp:docPr id="7" name="图片 7" descr="35b1064ca62460932b3b533ed559c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5b1064ca62460932b3b533ed559c14b"/>
                    <pic:cNvPicPr>
                      <a:picLocks noChangeAspect="1"/>
                    </pic:cNvPicPr>
                  </pic:nvPicPr>
                  <pic:blipFill>
                    <a:blip r:embed="rId10"/>
                    <a:stretch>
                      <a:fillRect/>
                    </a:stretch>
                  </pic:blipFill>
                  <pic:spPr>
                    <a:xfrm>
                      <a:off x="0" y="0"/>
                      <a:ext cx="3429000" cy="3429000"/>
                    </a:xfrm>
                    <a:prstGeom prst="rect">
                      <a:avLst/>
                    </a:prstGeom>
                  </pic:spPr>
                </pic:pic>
              </a:graphicData>
            </a:graphic>
          </wp:inline>
        </w:drawing>
      </w:r>
    </w:p>
    <w:p w14:paraId="1AAC5845">
      <w:pPr>
        <w:spacing w:line="520" w:lineRule="exact"/>
        <w:ind w:firstLine="480" w:firstLineChars="200"/>
        <w:rPr>
          <w:rFonts w:hint="eastAsia" w:ascii="宋体" w:hAnsi="宋体" w:cs="宋体"/>
          <w:sz w:val="24"/>
          <w:szCs w:val="24"/>
          <w:highlight w:val="none"/>
        </w:rPr>
      </w:pPr>
    </w:p>
    <w:p w14:paraId="75707920">
      <w:pPr>
        <w:autoSpaceDE w:val="0"/>
        <w:autoSpaceDN w:val="0"/>
        <w:adjustRightInd w:val="0"/>
        <w:snapToGrid w:val="0"/>
        <w:spacing w:line="360" w:lineRule="auto"/>
        <w:ind w:firstLine="420" w:firstLineChars="200"/>
        <w:jc w:val="center"/>
        <w:rPr>
          <w:highlight w:val="none"/>
        </w:rPr>
      </w:pPr>
    </w:p>
    <w:p w14:paraId="76E3C625">
      <w:pPr>
        <w:autoSpaceDE w:val="0"/>
        <w:autoSpaceDN w:val="0"/>
        <w:adjustRightInd w:val="0"/>
        <w:snapToGrid w:val="0"/>
        <w:spacing w:line="360" w:lineRule="auto"/>
        <w:ind w:firstLine="420" w:firstLineChars="200"/>
        <w:jc w:val="center"/>
        <w:rPr>
          <w:highlight w:val="none"/>
        </w:rPr>
      </w:pPr>
    </w:p>
    <w:p w14:paraId="1B356DA8">
      <w:pPr>
        <w:autoSpaceDE w:val="0"/>
        <w:autoSpaceDN w:val="0"/>
        <w:adjustRightInd w:val="0"/>
        <w:snapToGrid w:val="0"/>
        <w:spacing w:line="360" w:lineRule="auto"/>
        <w:ind w:firstLine="420" w:firstLineChars="200"/>
        <w:jc w:val="center"/>
        <w:rPr>
          <w:highlight w:val="none"/>
        </w:rPr>
      </w:pPr>
    </w:p>
    <w:p w14:paraId="6BBC9561">
      <w:pPr>
        <w:autoSpaceDE w:val="0"/>
        <w:autoSpaceDN w:val="0"/>
        <w:adjustRightInd w:val="0"/>
        <w:snapToGrid w:val="0"/>
        <w:spacing w:line="360" w:lineRule="auto"/>
        <w:ind w:firstLine="420" w:firstLineChars="200"/>
        <w:jc w:val="center"/>
        <w:rPr>
          <w:highlight w:val="none"/>
        </w:rPr>
      </w:pPr>
    </w:p>
    <w:p w14:paraId="3CBB91CA">
      <w:pPr>
        <w:autoSpaceDE w:val="0"/>
        <w:autoSpaceDN w:val="0"/>
        <w:adjustRightInd w:val="0"/>
        <w:snapToGrid w:val="0"/>
        <w:spacing w:line="360" w:lineRule="auto"/>
        <w:ind w:firstLine="420" w:firstLineChars="200"/>
        <w:jc w:val="center"/>
        <w:rPr>
          <w:highlight w:val="none"/>
        </w:rPr>
      </w:pPr>
    </w:p>
    <w:p w14:paraId="02D4CD6D">
      <w:pPr>
        <w:autoSpaceDE w:val="0"/>
        <w:autoSpaceDN w:val="0"/>
        <w:adjustRightInd w:val="0"/>
        <w:snapToGrid w:val="0"/>
        <w:spacing w:line="360" w:lineRule="auto"/>
        <w:ind w:firstLine="420" w:firstLineChars="200"/>
        <w:jc w:val="center"/>
        <w:rPr>
          <w:highlight w:val="none"/>
        </w:rPr>
      </w:pPr>
    </w:p>
    <w:p w14:paraId="38D9764F">
      <w:pPr>
        <w:autoSpaceDE w:val="0"/>
        <w:autoSpaceDN w:val="0"/>
        <w:adjustRightInd w:val="0"/>
        <w:snapToGrid w:val="0"/>
        <w:spacing w:line="360" w:lineRule="auto"/>
        <w:ind w:firstLine="420" w:firstLineChars="200"/>
        <w:jc w:val="center"/>
        <w:rPr>
          <w:highlight w:val="none"/>
        </w:rPr>
      </w:pPr>
    </w:p>
    <w:p w14:paraId="3248FAEC">
      <w:pPr>
        <w:autoSpaceDE w:val="0"/>
        <w:autoSpaceDN w:val="0"/>
        <w:adjustRightInd w:val="0"/>
        <w:snapToGrid w:val="0"/>
        <w:spacing w:line="360" w:lineRule="auto"/>
        <w:ind w:firstLine="420" w:firstLineChars="200"/>
        <w:jc w:val="center"/>
        <w:rPr>
          <w:highlight w:val="none"/>
        </w:rPr>
      </w:pPr>
    </w:p>
    <w:p w14:paraId="139151A9">
      <w:pPr>
        <w:autoSpaceDE w:val="0"/>
        <w:autoSpaceDN w:val="0"/>
        <w:adjustRightInd w:val="0"/>
        <w:snapToGrid w:val="0"/>
        <w:spacing w:line="360" w:lineRule="auto"/>
        <w:ind w:firstLine="420" w:firstLineChars="200"/>
        <w:jc w:val="center"/>
        <w:rPr>
          <w:highlight w:val="none"/>
        </w:rPr>
      </w:pPr>
    </w:p>
    <w:p w14:paraId="1F3D648C">
      <w:pPr>
        <w:autoSpaceDE w:val="0"/>
        <w:autoSpaceDN w:val="0"/>
        <w:adjustRightInd w:val="0"/>
        <w:snapToGrid w:val="0"/>
        <w:spacing w:line="360" w:lineRule="auto"/>
        <w:ind w:firstLine="420" w:firstLineChars="200"/>
        <w:jc w:val="center"/>
        <w:rPr>
          <w:highlight w:val="none"/>
        </w:rPr>
      </w:pPr>
    </w:p>
    <w:p w14:paraId="099C98E2">
      <w:pPr>
        <w:autoSpaceDE w:val="0"/>
        <w:autoSpaceDN w:val="0"/>
        <w:adjustRightInd w:val="0"/>
        <w:snapToGrid w:val="0"/>
        <w:spacing w:line="360" w:lineRule="auto"/>
        <w:ind w:firstLine="420" w:firstLineChars="200"/>
        <w:jc w:val="center"/>
        <w:rPr>
          <w:highlight w:val="none"/>
        </w:rPr>
      </w:pPr>
    </w:p>
    <w:p w14:paraId="57A1DAF6">
      <w:pPr>
        <w:autoSpaceDE w:val="0"/>
        <w:autoSpaceDN w:val="0"/>
        <w:adjustRightInd w:val="0"/>
        <w:snapToGrid w:val="0"/>
        <w:spacing w:line="360" w:lineRule="auto"/>
        <w:ind w:firstLine="420" w:firstLineChars="200"/>
        <w:jc w:val="center"/>
        <w:rPr>
          <w:highlight w:val="none"/>
        </w:rPr>
      </w:pPr>
    </w:p>
    <w:p w14:paraId="288DC43B">
      <w:pPr>
        <w:pStyle w:val="151"/>
        <w:rPr>
          <w:highlight w:val="none"/>
        </w:rPr>
      </w:pPr>
    </w:p>
    <w:p w14:paraId="3B4CE755">
      <w:pPr>
        <w:pStyle w:val="151"/>
        <w:rPr>
          <w:highlight w:val="none"/>
        </w:rPr>
      </w:pPr>
    </w:p>
    <w:p w14:paraId="4C96FA9C">
      <w:pPr>
        <w:pStyle w:val="151"/>
        <w:rPr>
          <w:highlight w:val="none"/>
        </w:rPr>
      </w:pPr>
    </w:p>
    <w:p w14:paraId="7DD394BC">
      <w:pPr>
        <w:pStyle w:val="151"/>
        <w:rPr>
          <w:highlight w:val="none"/>
        </w:rPr>
      </w:pPr>
      <w:r>
        <w:rPr>
          <w:highlight w:val="none"/>
        </w:rPr>
        <w:t>第五章  合同主要条款及格式</w:t>
      </w:r>
    </w:p>
    <w:p w14:paraId="38FDE09D">
      <w:pPr>
        <w:spacing w:line="360" w:lineRule="auto"/>
        <w:ind w:firstLine="420" w:firstLineChars="200"/>
        <w:rPr>
          <w:rFonts w:ascii="宋体" w:hAnsi="宋体" w:cs="宋体"/>
          <w:szCs w:val="21"/>
          <w:highlight w:val="none"/>
        </w:rPr>
      </w:pPr>
      <w:r>
        <w:rPr>
          <w:rFonts w:hint="eastAsia" w:ascii="宋体" w:hAnsi="宋体" w:cs="宋体"/>
          <w:szCs w:val="21"/>
          <w:highlight w:val="none"/>
        </w:rPr>
        <w:t>以下为中选后签定本项目合同的通用条款，中选供应商不得提出实质性的修改。关于专用条款将由比选人与中选供应商结合本项目具体情况协商后补充，但补充内容对比选文件和响应文件以及通用条款，不得作实质性修改。</w:t>
      </w:r>
    </w:p>
    <w:p w14:paraId="7E9ECBA9">
      <w:pPr>
        <w:widowControl/>
        <w:adjustRightInd w:val="0"/>
        <w:spacing w:line="360" w:lineRule="auto"/>
        <w:jc w:val="center"/>
        <w:rPr>
          <w:rFonts w:ascii="宋体" w:hAnsi="宋体" w:cs="宋体"/>
          <w:b/>
          <w:szCs w:val="21"/>
          <w:highlight w:val="none"/>
        </w:rPr>
      </w:pPr>
    </w:p>
    <w:p w14:paraId="2CF8106D">
      <w:pPr>
        <w:widowControl/>
        <w:adjustRightInd w:val="0"/>
        <w:spacing w:line="360" w:lineRule="auto"/>
        <w:jc w:val="center"/>
        <w:rPr>
          <w:rFonts w:ascii="宋体" w:hAnsi="宋体" w:cs="宋体"/>
          <w:b/>
          <w:szCs w:val="21"/>
          <w:highlight w:val="none"/>
        </w:rPr>
      </w:pPr>
    </w:p>
    <w:p w14:paraId="439AED27">
      <w:pPr>
        <w:spacing w:line="360" w:lineRule="auto"/>
        <w:ind w:firstLine="420"/>
        <w:jc w:val="center"/>
        <w:rPr>
          <w:rStyle w:val="50"/>
          <w:rFonts w:ascii="微软雅黑" w:hAnsi="微软雅黑" w:eastAsia="微软雅黑" w:cs="微软雅黑"/>
          <w:spacing w:val="-4"/>
          <w:sz w:val="28"/>
          <w:szCs w:val="28"/>
          <w:highlight w:val="none"/>
          <w:lang w:bidi="ar"/>
        </w:rPr>
      </w:pPr>
      <w:r>
        <w:rPr>
          <w:rStyle w:val="50"/>
          <w:rFonts w:hint="eastAsia" w:ascii="微软雅黑" w:hAnsi="微软雅黑" w:eastAsia="微软雅黑" w:cs="微软雅黑"/>
          <w:spacing w:val="-4"/>
          <w:sz w:val="28"/>
          <w:szCs w:val="28"/>
          <w:highlight w:val="none"/>
          <w:lang w:bidi="ar"/>
        </w:rPr>
        <w:t>南京邮电大学智能外卖柜运营服务项目合同</w:t>
      </w:r>
    </w:p>
    <w:p w14:paraId="2988DCEB">
      <w:pPr>
        <w:widowControl/>
        <w:spacing w:before="45" w:after="75"/>
        <w:ind w:firstLine="6264" w:firstLineChars="2700"/>
        <w:jc w:val="left"/>
        <w:rPr>
          <w:rFonts w:ascii="宋体" w:hAnsi="宋体" w:cs="宋体"/>
          <w:sz w:val="24"/>
          <w:szCs w:val="24"/>
          <w:highlight w:val="none"/>
        </w:rPr>
      </w:pPr>
      <w:r>
        <w:rPr>
          <w:rFonts w:hint="eastAsia" w:ascii="宋体" w:hAnsi="宋体" w:cs="宋体"/>
          <w:spacing w:val="-4"/>
          <w:sz w:val="24"/>
          <w:szCs w:val="24"/>
          <w:highlight w:val="none"/>
          <w:lang w:bidi="ar"/>
        </w:rPr>
        <w:t xml:space="preserve">合 同 编 号： </w:t>
      </w:r>
      <w:r>
        <w:rPr>
          <w:rFonts w:hint="eastAsia" w:ascii="宋体" w:hAnsi="宋体" w:cs="宋体"/>
          <w:spacing w:val="-4"/>
          <w:sz w:val="24"/>
          <w:szCs w:val="24"/>
          <w:highlight w:val="none"/>
          <w:u w:val="single"/>
          <w:lang w:bidi="ar"/>
        </w:rPr>
        <w:t xml:space="preserve">                       </w:t>
      </w:r>
    </w:p>
    <w:p w14:paraId="028FDE7E">
      <w:pPr>
        <w:spacing w:line="360" w:lineRule="auto"/>
        <w:rPr>
          <w:rFonts w:ascii="宋体" w:hAnsi="宋体" w:cs="宋体"/>
          <w:sz w:val="24"/>
          <w:szCs w:val="24"/>
          <w:highlight w:val="none"/>
          <w:u w:val="single"/>
        </w:rPr>
      </w:pPr>
      <w:r>
        <w:rPr>
          <w:rFonts w:ascii="宋体" w:hAnsi="宋体" w:cs="宋体"/>
          <w:b/>
          <w:sz w:val="24"/>
          <w:szCs w:val="24"/>
          <w:highlight w:val="none"/>
        </w:rPr>
        <w:t>甲方</w:t>
      </w:r>
      <w:r>
        <w:rPr>
          <w:rFonts w:ascii="宋体" w:hAnsi="宋体" w:cs="宋体"/>
          <w:sz w:val="24"/>
          <w:szCs w:val="24"/>
          <w:highlight w:val="none"/>
        </w:rPr>
        <w:t>：</w:t>
      </w:r>
      <w:r>
        <w:rPr>
          <w:rFonts w:hint="eastAsia" w:ascii="宋体" w:hAnsi="宋体" w:cs="宋体"/>
          <w:sz w:val="24"/>
          <w:szCs w:val="24"/>
          <w:highlight w:val="none"/>
        </w:rPr>
        <w:t xml:space="preserve"> </w:t>
      </w:r>
      <w:r>
        <w:rPr>
          <w:rFonts w:hint="eastAsia" w:ascii="宋体" w:hAnsi="宋体" w:cs="宋体"/>
          <w:b/>
          <w:sz w:val="24"/>
          <w:szCs w:val="24"/>
          <w:highlight w:val="none"/>
          <w:u w:val="single"/>
        </w:rPr>
        <w:t xml:space="preserve">南京邮电大学                   </w:t>
      </w:r>
      <w:r>
        <w:rPr>
          <w:rFonts w:ascii="宋体" w:hAnsi="宋体" w:cs="宋体"/>
          <w:b/>
          <w:sz w:val="24"/>
          <w:szCs w:val="24"/>
          <w:highlight w:val="none"/>
        </w:rPr>
        <w:t xml:space="preserve">     乙方</w:t>
      </w:r>
      <w:r>
        <w:rPr>
          <w:rFonts w:ascii="宋体" w:hAnsi="宋体" w:cs="宋体"/>
          <w:sz w:val="24"/>
          <w:szCs w:val="24"/>
          <w:highlight w:val="none"/>
        </w:rPr>
        <w:t>：</w:t>
      </w:r>
      <w:r>
        <w:rPr>
          <w:rFonts w:ascii="宋体" w:hAnsi="宋体" w:cs="宋体"/>
          <w:sz w:val="24"/>
          <w:szCs w:val="24"/>
          <w:highlight w:val="none"/>
          <w:u w:val="single"/>
        </w:rPr>
        <w:t xml:space="preserve">                                    </w:t>
      </w:r>
    </w:p>
    <w:p w14:paraId="64574750">
      <w:pPr>
        <w:spacing w:line="360" w:lineRule="auto"/>
        <w:rPr>
          <w:rFonts w:ascii="宋体" w:hAnsi="宋体" w:cs="宋体"/>
          <w:sz w:val="24"/>
          <w:szCs w:val="24"/>
          <w:highlight w:val="none"/>
          <w:u w:val="single"/>
        </w:rPr>
      </w:pPr>
      <w:r>
        <w:rPr>
          <w:rFonts w:ascii="宋体" w:hAnsi="宋体" w:cs="宋体"/>
          <w:b/>
          <w:sz w:val="24"/>
          <w:szCs w:val="24"/>
          <w:highlight w:val="none"/>
        </w:rPr>
        <w:t>地址</w:t>
      </w:r>
      <w:r>
        <w:rPr>
          <w:rFonts w:ascii="宋体" w:hAnsi="宋体" w:cs="宋体"/>
          <w:sz w:val="24"/>
          <w:szCs w:val="24"/>
          <w:highlight w:val="none"/>
        </w:rPr>
        <w:t>：</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ascii="宋体" w:hAnsi="宋体" w:cs="宋体"/>
          <w:b/>
          <w:sz w:val="24"/>
          <w:szCs w:val="24"/>
          <w:highlight w:val="none"/>
        </w:rPr>
        <w:t>地址</w:t>
      </w:r>
      <w:r>
        <w:rPr>
          <w:rFonts w:ascii="宋体" w:hAnsi="宋体" w:cs="宋体"/>
          <w:sz w:val="24"/>
          <w:szCs w:val="24"/>
          <w:highlight w:val="none"/>
        </w:rPr>
        <w:t>：</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p>
    <w:p w14:paraId="0357A31B">
      <w:pPr>
        <w:spacing w:line="360" w:lineRule="auto"/>
        <w:rPr>
          <w:rFonts w:ascii="宋体" w:hAnsi="宋体" w:cs="宋体"/>
          <w:sz w:val="24"/>
          <w:szCs w:val="24"/>
          <w:highlight w:val="none"/>
          <w:u w:val="single"/>
        </w:rPr>
      </w:pPr>
      <w:r>
        <w:rPr>
          <w:rFonts w:ascii="宋体" w:hAnsi="宋体" w:cs="宋体"/>
          <w:b/>
          <w:sz w:val="24"/>
          <w:szCs w:val="24"/>
          <w:highlight w:val="none"/>
        </w:rPr>
        <w:t>联系人</w:t>
      </w:r>
      <w:r>
        <w:rPr>
          <w:rFonts w:ascii="宋体" w:hAnsi="宋体" w:cs="宋体"/>
          <w:sz w:val="24"/>
          <w:szCs w:val="24"/>
          <w:highlight w:val="none"/>
        </w:rPr>
        <w:t>：</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ascii="宋体" w:hAnsi="宋体" w:cs="宋体"/>
          <w:sz w:val="24"/>
          <w:szCs w:val="24"/>
          <w:highlight w:val="none"/>
        </w:rPr>
        <w:t xml:space="preserve">    </w:t>
      </w:r>
      <w:r>
        <w:rPr>
          <w:rFonts w:ascii="宋体" w:hAnsi="宋体" w:cs="宋体"/>
          <w:b/>
          <w:sz w:val="24"/>
          <w:szCs w:val="24"/>
          <w:highlight w:val="none"/>
        </w:rPr>
        <w:t>联系人</w:t>
      </w:r>
      <w:r>
        <w:rPr>
          <w:rFonts w:ascii="宋体" w:hAnsi="宋体" w:cs="宋体"/>
          <w:sz w:val="24"/>
          <w:szCs w:val="24"/>
          <w:highlight w:val="none"/>
        </w:rPr>
        <w:t>：</w:t>
      </w:r>
      <w:r>
        <w:rPr>
          <w:rFonts w:ascii="宋体" w:hAnsi="宋体" w:cs="宋体"/>
          <w:sz w:val="24"/>
          <w:szCs w:val="24"/>
          <w:highlight w:val="none"/>
          <w:u w:val="single"/>
        </w:rPr>
        <w:t xml:space="preserve">                                   </w:t>
      </w:r>
    </w:p>
    <w:p w14:paraId="54190186">
      <w:pPr>
        <w:spacing w:line="360" w:lineRule="auto"/>
        <w:rPr>
          <w:rFonts w:ascii="宋体" w:hAnsi="宋体" w:cs="宋体"/>
          <w:sz w:val="24"/>
          <w:szCs w:val="24"/>
          <w:highlight w:val="none"/>
        </w:rPr>
      </w:pPr>
      <w:r>
        <w:rPr>
          <w:rFonts w:ascii="宋体" w:hAnsi="宋体" w:cs="宋体"/>
          <w:b/>
          <w:sz w:val="24"/>
          <w:szCs w:val="24"/>
          <w:highlight w:val="none"/>
        </w:rPr>
        <w:t>联系电话</w:t>
      </w:r>
      <w:r>
        <w:rPr>
          <w:rFonts w:ascii="宋体" w:hAnsi="宋体" w:cs="宋体"/>
          <w:sz w:val="24"/>
          <w:szCs w:val="24"/>
          <w:highlight w:val="none"/>
        </w:rPr>
        <w:t>：</w:t>
      </w:r>
      <w:r>
        <w:rPr>
          <w:rFonts w:ascii="宋体" w:hAnsi="宋体" w:cs="宋体"/>
          <w:sz w:val="24"/>
          <w:szCs w:val="24"/>
          <w:highlight w:val="none"/>
          <w:u w:val="single"/>
        </w:rPr>
        <w:t xml:space="preserve">                             </w:t>
      </w:r>
      <w:r>
        <w:rPr>
          <w:rFonts w:ascii="宋体" w:hAnsi="宋体" w:cs="宋体"/>
          <w:sz w:val="24"/>
          <w:szCs w:val="24"/>
          <w:highlight w:val="none"/>
        </w:rPr>
        <w:t xml:space="preserve">    </w:t>
      </w:r>
      <w:r>
        <w:rPr>
          <w:rFonts w:ascii="宋体" w:hAnsi="宋体" w:cs="宋体"/>
          <w:b/>
          <w:sz w:val="24"/>
          <w:szCs w:val="24"/>
          <w:highlight w:val="none"/>
        </w:rPr>
        <w:t>联系电话</w:t>
      </w:r>
      <w:r>
        <w:rPr>
          <w:rFonts w:ascii="宋体" w:hAnsi="宋体" w:cs="宋体"/>
          <w:sz w:val="24"/>
          <w:szCs w:val="24"/>
          <w:highlight w:val="none"/>
        </w:rPr>
        <w:t>：</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p>
    <w:p w14:paraId="5E5C4CCA">
      <w:pPr>
        <w:spacing w:line="360" w:lineRule="auto"/>
        <w:ind w:firstLine="480" w:firstLineChars="200"/>
        <w:rPr>
          <w:rFonts w:ascii="宋体" w:hAnsi="宋体" w:cs="宋体"/>
          <w:sz w:val="24"/>
          <w:szCs w:val="24"/>
          <w:highlight w:val="none"/>
        </w:rPr>
      </w:pPr>
      <w:r>
        <w:rPr>
          <w:rFonts w:ascii="宋体" w:hAnsi="宋体" w:cs="宋体"/>
          <w:sz w:val="24"/>
          <w:szCs w:val="24"/>
          <w:highlight w:val="none"/>
        </w:rPr>
        <w:t>甲乙双方本着平等互利、友好协商的原则，根据相关法律法规规定，就在甲方管理</w:t>
      </w:r>
      <w:r>
        <w:rPr>
          <w:rFonts w:hint="eastAsia" w:ascii="宋体" w:hAnsi="宋体" w:cs="宋体"/>
          <w:sz w:val="24"/>
          <w:szCs w:val="24"/>
          <w:highlight w:val="none"/>
        </w:rPr>
        <w:t>场地</w:t>
      </w:r>
      <w:r>
        <w:rPr>
          <w:rFonts w:ascii="宋体" w:hAnsi="宋体" w:cs="宋体"/>
          <w:sz w:val="24"/>
          <w:szCs w:val="24"/>
          <w:highlight w:val="none"/>
        </w:rPr>
        <w:t>范围内安装放置智能外卖柜有关事宜达成如下合同：</w:t>
      </w:r>
    </w:p>
    <w:p w14:paraId="15FADCCB">
      <w:pPr>
        <w:spacing w:line="360" w:lineRule="auto"/>
        <w:rPr>
          <w:rFonts w:ascii="宋体" w:hAnsi="宋体" w:cs="宋体"/>
          <w:b/>
          <w:sz w:val="24"/>
          <w:szCs w:val="24"/>
          <w:highlight w:val="none"/>
        </w:rPr>
      </w:pPr>
      <w:r>
        <w:rPr>
          <w:rFonts w:ascii="宋体" w:hAnsi="宋体" w:cs="宋体"/>
          <w:b/>
          <w:sz w:val="24"/>
          <w:szCs w:val="24"/>
          <w:highlight w:val="none"/>
        </w:rPr>
        <w:t>一、场地及安装放置的设备基本</w:t>
      </w:r>
      <w:r>
        <w:rPr>
          <w:rFonts w:hint="eastAsia" w:ascii="宋体" w:hAnsi="宋体" w:cs="宋体"/>
          <w:b/>
          <w:sz w:val="24"/>
          <w:szCs w:val="24"/>
          <w:highlight w:val="none"/>
        </w:rPr>
        <w:t>要求</w:t>
      </w:r>
    </w:p>
    <w:p w14:paraId="53F51171">
      <w:pPr>
        <w:numPr>
          <w:ilvl w:val="0"/>
          <w:numId w:val="60"/>
        </w:numPr>
        <w:spacing w:line="360" w:lineRule="auto"/>
        <w:ind w:left="0" w:firstLine="480" w:firstLineChars="200"/>
        <w:rPr>
          <w:rFonts w:ascii="宋体" w:hAnsi="宋体" w:cs="宋体"/>
          <w:sz w:val="24"/>
          <w:szCs w:val="24"/>
          <w:highlight w:val="none"/>
        </w:rPr>
      </w:pPr>
      <w:r>
        <w:rPr>
          <w:rFonts w:ascii="宋体" w:hAnsi="宋体" w:cs="宋体"/>
          <w:sz w:val="24"/>
          <w:szCs w:val="24"/>
          <w:highlight w:val="none"/>
        </w:rPr>
        <w:t>设备：</w:t>
      </w:r>
      <w:r>
        <w:rPr>
          <w:rFonts w:hint="eastAsia" w:ascii="宋体" w:hAnsi="宋体" w:cs="宋体"/>
          <w:sz w:val="24"/>
          <w:szCs w:val="24"/>
          <w:highlight w:val="none"/>
        </w:rPr>
        <w:t>无接触式双面</w:t>
      </w:r>
      <w:r>
        <w:rPr>
          <w:rFonts w:ascii="宋体" w:hAnsi="宋体" w:cs="宋体"/>
          <w:sz w:val="24"/>
          <w:szCs w:val="24"/>
          <w:highlight w:val="none"/>
        </w:rPr>
        <w:t>智能外卖柜（以下简称</w:t>
      </w:r>
      <w:r>
        <w:rPr>
          <w:rFonts w:hint="eastAsia" w:ascii="宋体" w:hAnsi="宋体" w:cs="宋体"/>
          <w:sz w:val="24"/>
          <w:szCs w:val="24"/>
          <w:highlight w:val="none"/>
        </w:rPr>
        <w:t>“智能外卖柜”或</w:t>
      </w:r>
      <w:r>
        <w:rPr>
          <w:rFonts w:ascii="宋体" w:hAnsi="宋体" w:cs="宋体"/>
          <w:sz w:val="24"/>
          <w:szCs w:val="24"/>
          <w:highlight w:val="none"/>
        </w:rPr>
        <w:t>“外卖柜”），</w:t>
      </w:r>
      <w:r>
        <w:rPr>
          <w:rFonts w:hint="eastAsia" w:ascii="宋体" w:hAnsi="宋体" w:cs="宋体"/>
          <w:sz w:val="24"/>
          <w:szCs w:val="24"/>
          <w:highlight w:val="none"/>
        </w:rPr>
        <w:t>是乙方拥有合法所有权或运维权的集智能柜操作系统及硬件设备于一体的自助终端配送服务设施，供从事配送业务的服务人员派送、供用户取外卖。</w:t>
      </w:r>
    </w:p>
    <w:p w14:paraId="7BAAF0A4">
      <w:pPr>
        <w:numPr>
          <w:ilvl w:val="0"/>
          <w:numId w:val="60"/>
        </w:numPr>
        <w:spacing w:line="360" w:lineRule="auto"/>
        <w:ind w:left="0" w:firstLine="480" w:firstLineChars="200"/>
        <w:rPr>
          <w:rFonts w:ascii="宋体" w:hAnsi="宋体" w:cs="宋体"/>
          <w:b/>
          <w:sz w:val="24"/>
          <w:szCs w:val="24"/>
          <w:highlight w:val="none"/>
        </w:rPr>
      </w:pPr>
      <w:r>
        <w:rPr>
          <w:rFonts w:ascii="宋体" w:hAnsi="宋体" w:cs="宋体"/>
          <w:sz w:val="24"/>
          <w:szCs w:val="24"/>
          <w:highlight w:val="none"/>
        </w:rPr>
        <w:t>放置位置：</w:t>
      </w:r>
    </w:p>
    <w:p w14:paraId="67DEC68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一标段：</w:t>
      </w:r>
      <w:r>
        <w:rPr>
          <w:rFonts w:hint="eastAsia" w:ascii="宋体" w:hAnsi="宋体" w:cs="宋体"/>
          <w:sz w:val="24"/>
          <w:szCs w:val="24"/>
          <w:highlight w:val="none"/>
          <w:u w:val="single"/>
        </w:rPr>
        <w:t xml:space="preserve"> 江苏</w:t>
      </w:r>
      <w:r>
        <w:rPr>
          <w:rFonts w:hint="eastAsia" w:ascii="宋体" w:hAnsi="宋体" w:cs="宋体"/>
          <w:sz w:val="24"/>
          <w:szCs w:val="24"/>
          <w:highlight w:val="none"/>
        </w:rPr>
        <w:t xml:space="preserve"> </w:t>
      </w:r>
      <w:r>
        <w:rPr>
          <w:rFonts w:ascii="宋体" w:hAnsi="宋体" w:cs="宋体"/>
          <w:sz w:val="24"/>
          <w:szCs w:val="24"/>
          <w:highlight w:val="none"/>
        </w:rPr>
        <w:t>省</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南京 </w:t>
      </w:r>
      <w:r>
        <w:rPr>
          <w:rFonts w:ascii="宋体" w:hAnsi="宋体" w:cs="宋体"/>
          <w:sz w:val="24"/>
          <w:szCs w:val="24"/>
          <w:highlight w:val="none"/>
        </w:rPr>
        <w:t>市</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栖霞 </w:t>
      </w:r>
      <w:r>
        <w:rPr>
          <w:rFonts w:ascii="宋体" w:hAnsi="宋体" w:cs="宋体"/>
          <w:sz w:val="24"/>
          <w:szCs w:val="24"/>
          <w:highlight w:val="none"/>
        </w:rPr>
        <w:t>区</w:t>
      </w:r>
      <w:r>
        <w:rPr>
          <w:rFonts w:ascii="宋体" w:hAnsi="宋体" w:cs="宋体"/>
          <w:sz w:val="24"/>
          <w:szCs w:val="24"/>
          <w:highlight w:val="none"/>
          <w:u w:val="single"/>
        </w:rPr>
        <w:t xml:space="preserve"> </w:t>
      </w:r>
      <w:r>
        <w:rPr>
          <w:rFonts w:hint="eastAsia" w:ascii="宋体" w:hAnsi="宋体" w:cs="宋体"/>
          <w:sz w:val="24"/>
          <w:szCs w:val="24"/>
          <w:highlight w:val="none"/>
          <w:u w:val="single"/>
        </w:rPr>
        <w:t>文苑路</w:t>
      </w:r>
      <w:r>
        <w:rPr>
          <w:rFonts w:ascii="宋体" w:hAnsi="宋体" w:cs="宋体"/>
          <w:sz w:val="24"/>
          <w:szCs w:val="24"/>
          <w:highlight w:val="none"/>
        </w:rPr>
        <w:t>（路/街道）</w:t>
      </w:r>
      <w:r>
        <w:rPr>
          <w:rFonts w:hint="eastAsia" w:ascii="宋体" w:hAnsi="宋体" w:cs="宋体"/>
          <w:sz w:val="24"/>
          <w:szCs w:val="24"/>
          <w:highlight w:val="none"/>
          <w:u w:val="single"/>
        </w:rPr>
        <w:t xml:space="preserve"> </w:t>
      </w:r>
      <w:r>
        <w:rPr>
          <w:rFonts w:ascii="宋体" w:hAnsi="宋体" w:cs="宋体"/>
          <w:sz w:val="24"/>
          <w:szCs w:val="24"/>
          <w:highlight w:val="none"/>
          <w:u w:val="single"/>
        </w:rPr>
        <w:t>9</w:t>
      </w:r>
      <w:r>
        <w:rPr>
          <w:rFonts w:hint="eastAsia" w:ascii="宋体" w:hAnsi="宋体" w:cs="宋体"/>
          <w:sz w:val="24"/>
          <w:szCs w:val="24"/>
          <w:highlight w:val="none"/>
          <w:u w:val="single"/>
        </w:rPr>
        <w:t>号</w:t>
      </w:r>
      <w:r>
        <w:rPr>
          <w:rFonts w:ascii="宋体" w:hAnsi="宋体" w:cs="宋体"/>
          <w:sz w:val="24"/>
          <w:szCs w:val="24"/>
          <w:highlight w:val="none"/>
        </w:rPr>
        <w:t>（门牌号）；具体摆放位置：</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东门、菊苑东南、竹苑东、南门出口、樱园西、青教北、青教西、兰苑东、北门</w:t>
      </w:r>
      <w:r>
        <w:rPr>
          <w:rFonts w:ascii="宋体" w:hAnsi="宋体" w:cs="宋体"/>
          <w:sz w:val="24"/>
          <w:szCs w:val="24"/>
          <w:highlight w:val="none"/>
        </w:rPr>
        <w:t>（摆放位置</w:t>
      </w:r>
      <w:r>
        <w:rPr>
          <w:rFonts w:hint="eastAsia" w:ascii="宋体" w:hAnsi="宋体" w:cs="宋体"/>
          <w:sz w:val="24"/>
          <w:szCs w:val="24"/>
          <w:highlight w:val="none"/>
        </w:rPr>
        <w:t>、数量见附件</w:t>
      </w:r>
      <w:r>
        <w:rPr>
          <w:rFonts w:ascii="宋体" w:hAnsi="宋体" w:cs="宋体"/>
          <w:sz w:val="24"/>
          <w:szCs w:val="24"/>
          <w:highlight w:val="none"/>
        </w:rPr>
        <w:t>）</w:t>
      </w:r>
      <w:r>
        <w:rPr>
          <w:rFonts w:hint="eastAsia" w:ascii="宋体" w:hAnsi="宋体" w:cs="宋体"/>
          <w:sz w:val="24"/>
          <w:szCs w:val="24"/>
          <w:highlight w:val="none"/>
        </w:rPr>
        <w:t>。</w:t>
      </w:r>
    </w:p>
    <w:p w14:paraId="6873FC8A">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rPr>
        <w:t>二标段：（1）</w:t>
      </w:r>
      <w:r>
        <w:rPr>
          <w:rFonts w:ascii="宋体" w:hAnsi="宋体" w:cs="宋体"/>
          <w:sz w:val="24"/>
          <w:szCs w:val="24"/>
          <w:highlight w:val="none"/>
          <w:u w:val="single"/>
        </w:rPr>
        <w:t xml:space="preserve"> </w:t>
      </w:r>
      <w:bookmarkStart w:id="12" w:name="_Hlk121922107"/>
      <w:r>
        <w:rPr>
          <w:rFonts w:hint="eastAsia" w:ascii="宋体" w:hAnsi="宋体" w:cs="宋体"/>
          <w:sz w:val="24"/>
          <w:szCs w:val="24"/>
          <w:highlight w:val="none"/>
          <w:u w:val="single"/>
        </w:rPr>
        <w:t>江苏</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ascii="宋体" w:hAnsi="宋体" w:cs="宋体"/>
          <w:sz w:val="24"/>
          <w:szCs w:val="24"/>
          <w:highlight w:val="none"/>
        </w:rPr>
        <w:t>省</w:t>
      </w:r>
      <w:r>
        <w:rPr>
          <w:rFonts w:hint="eastAsia" w:ascii="宋体" w:hAnsi="宋体" w:cs="宋体"/>
          <w:sz w:val="24"/>
          <w:szCs w:val="24"/>
          <w:highlight w:val="none"/>
          <w:u w:val="single"/>
        </w:rPr>
        <w:t xml:space="preserve"> 南京 </w:t>
      </w:r>
      <w:r>
        <w:rPr>
          <w:rFonts w:ascii="宋体" w:hAnsi="宋体" w:cs="宋体"/>
          <w:sz w:val="24"/>
          <w:szCs w:val="24"/>
          <w:highlight w:val="none"/>
        </w:rPr>
        <w:t>市</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鼓楼  </w:t>
      </w:r>
      <w:r>
        <w:rPr>
          <w:rFonts w:ascii="宋体" w:hAnsi="宋体" w:cs="宋体"/>
          <w:sz w:val="24"/>
          <w:szCs w:val="24"/>
          <w:highlight w:val="none"/>
        </w:rPr>
        <w:t>区</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新模范马路 </w:t>
      </w:r>
      <w:r>
        <w:rPr>
          <w:rFonts w:ascii="宋体" w:hAnsi="宋体" w:cs="宋体"/>
          <w:sz w:val="24"/>
          <w:szCs w:val="24"/>
          <w:highlight w:val="none"/>
        </w:rPr>
        <w:t>（路/街道）</w:t>
      </w:r>
      <w:r>
        <w:rPr>
          <w:rFonts w:hint="eastAsia" w:ascii="宋体" w:hAnsi="宋体" w:cs="宋体"/>
          <w:sz w:val="24"/>
          <w:szCs w:val="24"/>
          <w:highlight w:val="none"/>
          <w:u w:val="single"/>
        </w:rPr>
        <w:t xml:space="preserve"> </w:t>
      </w:r>
      <w:r>
        <w:rPr>
          <w:rFonts w:ascii="宋体" w:hAnsi="宋体" w:cs="宋体"/>
          <w:sz w:val="24"/>
          <w:szCs w:val="24"/>
          <w:highlight w:val="none"/>
          <w:u w:val="single"/>
        </w:rPr>
        <w:t>66</w:t>
      </w:r>
      <w:r>
        <w:rPr>
          <w:rFonts w:hint="eastAsia" w:ascii="宋体" w:hAnsi="宋体" w:cs="宋体"/>
          <w:sz w:val="24"/>
          <w:szCs w:val="24"/>
          <w:highlight w:val="none"/>
          <w:u w:val="single"/>
        </w:rPr>
        <w:t xml:space="preserve">号 </w:t>
      </w:r>
      <w:r>
        <w:rPr>
          <w:rFonts w:ascii="宋体" w:hAnsi="宋体" w:cs="宋体"/>
          <w:sz w:val="24"/>
          <w:szCs w:val="24"/>
          <w:highlight w:val="none"/>
        </w:rPr>
        <w:t>（门牌号）；具体摆放位置：</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东门、南门、学1楼东、博士楼5号东 </w:t>
      </w:r>
      <w:r>
        <w:rPr>
          <w:rFonts w:ascii="宋体" w:hAnsi="宋体" w:cs="宋体"/>
          <w:sz w:val="24"/>
          <w:szCs w:val="24"/>
          <w:highlight w:val="none"/>
        </w:rPr>
        <w:t>（摆放位置</w:t>
      </w:r>
      <w:r>
        <w:rPr>
          <w:rFonts w:hint="eastAsia" w:ascii="宋体" w:hAnsi="宋体" w:cs="宋体"/>
          <w:sz w:val="24"/>
          <w:szCs w:val="24"/>
          <w:highlight w:val="none"/>
        </w:rPr>
        <w:t>、数量见附件</w:t>
      </w:r>
      <w:r>
        <w:rPr>
          <w:rFonts w:ascii="宋体" w:hAnsi="宋体" w:cs="宋体"/>
          <w:sz w:val="24"/>
          <w:szCs w:val="24"/>
          <w:highlight w:val="none"/>
        </w:rPr>
        <w:t>）</w:t>
      </w:r>
      <w:r>
        <w:rPr>
          <w:rFonts w:hint="eastAsia" w:ascii="宋体" w:hAnsi="宋体" w:cs="宋体"/>
          <w:sz w:val="24"/>
          <w:szCs w:val="24"/>
          <w:highlight w:val="none"/>
        </w:rPr>
        <w:t>；</w:t>
      </w:r>
      <w:bookmarkEnd w:id="12"/>
      <w:r>
        <w:rPr>
          <w:rFonts w:hint="eastAsia" w:ascii="宋体" w:hAnsi="宋体" w:cs="宋体"/>
          <w:sz w:val="24"/>
          <w:szCs w:val="24"/>
          <w:highlight w:val="none"/>
        </w:rPr>
        <w:t>（2）</w:t>
      </w:r>
      <w:r>
        <w:rPr>
          <w:rFonts w:hint="eastAsia" w:ascii="宋体" w:hAnsi="宋体" w:cs="宋体"/>
          <w:sz w:val="24"/>
          <w:szCs w:val="24"/>
          <w:highlight w:val="none"/>
          <w:u w:val="single"/>
        </w:rPr>
        <w:t>江苏</w:t>
      </w:r>
      <w:r>
        <w:rPr>
          <w:rFonts w:hint="eastAsia" w:ascii="宋体" w:hAnsi="宋体" w:cs="宋体"/>
          <w:sz w:val="24"/>
          <w:szCs w:val="24"/>
          <w:highlight w:val="none"/>
        </w:rPr>
        <w:t xml:space="preserve"> </w:t>
      </w:r>
      <w:r>
        <w:rPr>
          <w:rFonts w:ascii="宋体" w:hAnsi="宋体" w:cs="宋体"/>
          <w:sz w:val="24"/>
          <w:szCs w:val="24"/>
          <w:highlight w:val="none"/>
        </w:rPr>
        <w:t>省</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南京 </w:t>
      </w:r>
      <w:r>
        <w:rPr>
          <w:rFonts w:ascii="宋体" w:hAnsi="宋体" w:cs="宋体"/>
          <w:sz w:val="24"/>
          <w:szCs w:val="24"/>
          <w:highlight w:val="none"/>
        </w:rPr>
        <w:t>市</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玄武  </w:t>
      </w:r>
      <w:r>
        <w:rPr>
          <w:rFonts w:ascii="宋体" w:hAnsi="宋体" w:cs="宋体"/>
          <w:sz w:val="24"/>
          <w:szCs w:val="24"/>
          <w:highlight w:val="none"/>
        </w:rPr>
        <w:t>区</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龙蟠路 </w:t>
      </w:r>
      <w:r>
        <w:rPr>
          <w:rFonts w:ascii="宋体" w:hAnsi="宋体" w:cs="宋体"/>
          <w:sz w:val="24"/>
          <w:szCs w:val="24"/>
          <w:highlight w:val="none"/>
        </w:rPr>
        <w:t>（路/街道）</w:t>
      </w:r>
      <w:r>
        <w:rPr>
          <w:rFonts w:hint="eastAsia" w:ascii="宋体" w:hAnsi="宋体" w:cs="宋体"/>
          <w:sz w:val="24"/>
          <w:szCs w:val="24"/>
          <w:highlight w:val="none"/>
          <w:u w:val="single"/>
        </w:rPr>
        <w:t xml:space="preserve"> </w:t>
      </w:r>
      <w:r>
        <w:rPr>
          <w:rFonts w:ascii="宋体" w:hAnsi="宋体" w:cs="宋体"/>
          <w:sz w:val="24"/>
          <w:szCs w:val="24"/>
          <w:highlight w:val="none"/>
          <w:u w:val="single"/>
        </w:rPr>
        <w:t>177</w:t>
      </w:r>
      <w:r>
        <w:rPr>
          <w:rFonts w:hint="eastAsia" w:ascii="宋体" w:hAnsi="宋体" w:cs="宋体"/>
          <w:sz w:val="24"/>
          <w:szCs w:val="24"/>
          <w:highlight w:val="none"/>
          <w:u w:val="single"/>
        </w:rPr>
        <w:t>号</w:t>
      </w:r>
      <w:r>
        <w:rPr>
          <w:rFonts w:ascii="宋体" w:hAnsi="宋体" w:cs="宋体"/>
          <w:sz w:val="24"/>
          <w:szCs w:val="24"/>
          <w:highlight w:val="none"/>
        </w:rPr>
        <w:t>（门牌号）；具体摆放位置：</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东北门 </w:t>
      </w:r>
      <w:r>
        <w:rPr>
          <w:rFonts w:ascii="宋体" w:hAnsi="宋体" w:cs="宋体"/>
          <w:sz w:val="24"/>
          <w:szCs w:val="24"/>
          <w:highlight w:val="none"/>
        </w:rPr>
        <w:t>（摆放位置</w:t>
      </w:r>
      <w:r>
        <w:rPr>
          <w:rFonts w:hint="eastAsia" w:ascii="宋体" w:hAnsi="宋体" w:cs="宋体"/>
          <w:sz w:val="24"/>
          <w:szCs w:val="24"/>
          <w:highlight w:val="none"/>
        </w:rPr>
        <w:t>、数量见附件</w:t>
      </w:r>
      <w:r>
        <w:rPr>
          <w:rFonts w:ascii="宋体" w:hAnsi="宋体" w:cs="宋体"/>
          <w:sz w:val="24"/>
          <w:szCs w:val="24"/>
          <w:highlight w:val="none"/>
        </w:rPr>
        <w:t>）</w:t>
      </w:r>
      <w:r>
        <w:rPr>
          <w:rFonts w:hint="eastAsia" w:ascii="宋体" w:hAnsi="宋体" w:cs="宋体"/>
          <w:sz w:val="24"/>
          <w:szCs w:val="24"/>
          <w:highlight w:val="none"/>
        </w:rPr>
        <w:t>。</w:t>
      </w:r>
    </w:p>
    <w:p w14:paraId="44AC3ADC">
      <w:pPr>
        <w:numPr>
          <w:ilvl w:val="0"/>
          <w:numId w:val="60"/>
        </w:numPr>
        <w:spacing w:line="360" w:lineRule="auto"/>
        <w:ind w:left="0" w:firstLine="480" w:firstLineChars="200"/>
        <w:rPr>
          <w:rFonts w:ascii="宋体" w:hAnsi="宋体" w:cs="宋体"/>
          <w:sz w:val="24"/>
          <w:szCs w:val="24"/>
          <w:highlight w:val="none"/>
        </w:rPr>
      </w:pPr>
      <w:r>
        <w:rPr>
          <w:rFonts w:ascii="宋体" w:hAnsi="宋体" w:cs="宋体"/>
          <w:sz w:val="24"/>
          <w:szCs w:val="24"/>
          <w:highlight w:val="none"/>
        </w:rPr>
        <w:t>铺设场地条件要求：铺设场地位于室外，有方便可接入的电源，电源符合标准电源220V/50</w:t>
      </w:r>
      <w:r>
        <w:rPr>
          <w:rFonts w:hint="eastAsia" w:ascii="宋体" w:hAnsi="宋体" w:cs="宋体"/>
          <w:sz w:val="24"/>
          <w:szCs w:val="24"/>
          <w:highlight w:val="none"/>
        </w:rPr>
        <w:t>Hz</w:t>
      </w:r>
      <w:r>
        <w:rPr>
          <w:rFonts w:ascii="宋体" w:hAnsi="宋体" w:cs="宋体"/>
          <w:sz w:val="24"/>
          <w:szCs w:val="24"/>
          <w:highlight w:val="none"/>
        </w:rPr>
        <w:t>，可靠接地。</w:t>
      </w:r>
      <w:r>
        <w:rPr>
          <w:rFonts w:hint="eastAsia" w:ascii="宋体" w:hAnsi="宋体" w:cs="宋体"/>
          <w:sz w:val="24"/>
          <w:szCs w:val="24"/>
          <w:highlight w:val="none"/>
        </w:rPr>
        <w:t>场地</w:t>
      </w:r>
      <w:r>
        <w:rPr>
          <w:rFonts w:ascii="宋体" w:hAnsi="宋体" w:cs="宋体"/>
          <w:sz w:val="24"/>
          <w:szCs w:val="24"/>
          <w:highlight w:val="none"/>
        </w:rPr>
        <w:t>手机信号覆盖良好，方便骑手及用户进入，且场地卫生条件较好</w:t>
      </w:r>
      <w:r>
        <w:rPr>
          <w:rFonts w:hint="eastAsia" w:ascii="宋体" w:hAnsi="宋体" w:cs="宋体"/>
          <w:sz w:val="24"/>
          <w:szCs w:val="24"/>
          <w:highlight w:val="none"/>
        </w:rPr>
        <w:t>。</w:t>
      </w:r>
    </w:p>
    <w:p w14:paraId="1E5AE603">
      <w:pPr>
        <w:spacing w:line="360" w:lineRule="auto"/>
        <w:rPr>
          <w:rFonts w:ascii="宋体" w:hAnsi="宋体" w:cs="宋体"/>
          <w:b/>
          <w:sz w:val="24"/>
          <w:szCs w:val="24"/>
          <w:highlight w:val="none"/>
        </w:rPr>
      </w:pPr>
      <w:r>
        <w:rPr>
          <w:rFonts w:ascii="宋体" w:hAnsi="宋体" w:cs="宋体"/>
          <w:b/>
          <w:sz w:val="24"/>
          <w:szCs w:val="24"/>
          <w:highlight w:val="none"/>
        </w:rPr>
        <w:t>二、合同期限</w:t>
      </w:r>
    </w:p>
    <w:p w14:paraId="2036BDA2">
      <w:pPr>
        <w:widowControl/>
        <w:spacing w:line="360" w:lineRule="auto"/>
        <w:ind w:firstLine="480" w:firstLineChars="200"/>
        <w:jc w:val="left"/>
        <w:outlineLvl w:val="0"/>
        <w:rPr>
          <w:rFonts w:ascii="宋体" w:hAnsi="宋体" w:cs="宋体"/>
          <w:sz w:val="24"/>
          <w:szCs w:val="24"/>
          <w:highlight w:val="none"/>
        </w:rPr>
      </w:pPr>
      <w:r>
        <w:rPr>
          <w:rFonts w:hint="eastAsia" w:ascii="宋体" w:hAnsi="宋体" w:cs="宋体"/>
          <w:sz w:val="24"/>
          <w:szCs w:val="24"/>
          <w:highlight w:val="none"/>
        </w:rPr>
        <w:t>本合同期限：合同服务期5年，合同一年一签，每年考核合格后签署下一年合同。本轮合同自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日开始执行至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日结束。</w:t>
      </w:r>
    </w:p>
    <w:p w14:paraId="6F15C0B2">
      <w:pPr>
        <w:spacing w:line="360" w:lineRule="auto"/>
        <w:rPr>
          <w:rFonts w:ascii="宋体" w:hAnsi="宋体" w:cs="宋体"/>
          <w:b/>
          <w:sz w:val="24"/>
          <w:szCs w:val="24"/>
          <w:highlight w:val="none"/>
        </w:rPr>
      </w:pPr>
      <w:r>
        <w:rPr>
          <w:rFonts w:ascii="宋体" w:hAnsi="宋体" w:cs="宋体"/>
          <w:b/>
          <w:sz w:val="24"/>
          <w:szCs w:val="24"/>
          <w:highlight w:val="none"/>
        </w:rPr>
        <w:t>三、费用标准</w:t>
      </w:r>
    </w:p>
    <w:p w14:paraId="308E6C7E">
      <w:pPr>
        <w:spacing w:line="360" w:lineRule="auto"/>
        <w:ind w:firstLine="480" w:firstLineChars="200"/>
        <w:rPr>
          <w:rFonts w:ascii="宋体" w:hAnsi="宋体" w:cs="宋体"/>
          <w:sz w:val="24"/>
          <w:szCs w:val="24"/>
          <w:highlight w:val="none"/>
        </w:rPr>
      </w:pPr>
      <w:bookmarkStart w:id="13" w:name="_Hlk122448728"/>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场地服务费：</w:t>
      </w:r>
      <w:r>
        <w:rPr>
          <w:rFonts w:hint="eastAsia" w:ascii="宋体" w:hAnsi="宋体" w:cs="宋体"/>
          <w:sz w:val="24"/>
          <w:szCs w:val="24"/>
          <w:highlight w:val="none"/>
          <w:u w:val="single"/>
        </w:rPr>
        <w:t>甲方免收场地服务费</w:t>
      </w:r>
      <w:r>
        <w:rPr>
          <w:rFonts w:ascii="宋体" w:hAnsi="宋体" w:cs="宋体"/>
          <w:sz w:val="24"/>
          <w:szCs w:val="24"/>
          <w:highlight w:val="none"/>
          <w:u w:val="single"/>
        </w:rPr>
        <w:t>。</w:t>
      </w:r>
    </w:p>
    <w:p w14:paraId="62E4F31D">
      <w:pPr>
        <w:spacing w:line="520" w:lineRule="exact"/>
        <w:ind w:left="420" w:leftChars="200"/>
        <w:rPr>
          <w:rFonts w:ascii="宋体" w:hAnsi="宋体" w:cs="宋体"/>
          <w:sz w:val="24"/>
          <w:szCs w:val="24"/>
          <w:highlight w:val="none"/>
          <w:u w:val="single"/>
        </w:rPr>
      </w:pPr>
      <w:r>
        <w:rPr>
          <w:rFonts w:hint="eastAsia" w:ascii="宋体" w:hAnsi="宋体" w:cs="宋体"/>
          <w:sz w:val="24"/>
          <w:szCs w:val="24"/>
          <w:highlight w:val="none"/>
        </w:rPr>
        <w:t>2</w:t>
      </w:r>
      <w:r>
        <w:rPr>
          <w:rFonts w:ascii="宋体" w:hAnsi="宋体" w:cs="宋体"/>
          <w:sz w:val="24"/>
          <w:szCs w:val="24"/>
          <w:highlight w:val="none"/>
        </w:rPr>
        <w:t>.</w:t>
      </w:r>
      <w:r>
        <w:rPr>
          <w:rFonts w:hint="eastAsia" w:ascii="宋体" w:hAnsi="宋体" w:cs="宋体"/>
          <w:sz w:val="24"/>
          <w:szCs w:val="24"/>
          <w:highlight w:val="none"/>
        </w:rPr>
        <w:t>电费：</w:t>
      </w:r>
      <w:r>
        <w:rPr>
          <w:rFonts w:hint="eastAsia" w:ascii="宋体" w:hAnsi="宋体" w:cs="宋体"/>
          <w:sz w:val="24"/>
          <w:szCs w:val="24"/>
          <w:highlight w:val="none"/>
          <w:u w:val="single"/>
        </w:rPr>
        <w:t>甲方安装可刷卡电表，乙方向甲方购买电卡使用（电表由甲方安装，相关安装费用由乙方支付）。</w:t>
      </w:r>
    </w:p>
    <w:p w14:paraId="044F9B78">
      <w:pPr>
        <w:widowControl/>
        <w:tabs>
          <w:tab w:val="left" w:pos="1200"/>
        </w:tabs>
        <w:spacing w:line="360" w:lineRule="auto"/>
        <w:ind w:firstLine="480" w:firstLineChars="200"/>
        <w:jc w:val="left"/>
        <w:outlineLvl w:val="0"/>
        <w:rPr>
          <w:rFonts w:ascii="宋体" w:hAnsi="宋体" w:cs="宋体"/>
          <w:sz w:val="24"/>
          <w:szCs w:val="24"/>
          <w:highlight w:val="none"/>
        </w:rPr>
      </w:pPr>
      <w:r>
        <w:rPr>
          <w:rFonts w:hint="eastAsia" w:ascii="宋体" w:hAnsi="宋体" w:cs="宋体"/>
          <w:sz w:val="24"/>
          <w:szCs w:val="24"/>
          <w:highlight w:val="none"/>
        </w:rPr>
        <w:t>3</w:t>
      </w:r>
      <w:r>
        <w:rPr>
          <w:rFonts w:ascii="宋体" w:hAnsi="宋体" w:cs="宋体"/>
          <w:sz w:val="24"/>
          <w:szCs w:val="24"/>
          <w:highlight w:val="none"/>
        </w:rPr>
        <w:t>.</w:t>
      </w:r>
      <w:r>
        <w:rPr>
          <w:rFonts w:hint="eastAsia" w:ascii="宋体" w:hAnsi="宋体" w:cs="宋体"/>
          <w:sz w:val="24"/>
          <w:szCs w:val="24"/>
          <w:highlight w:val="none"/>
        </w:rPr>
        <w:t>甲方收款账户信息：</w:t>
      </w:r>
    </w:p>
    <w:p w14:paraId="7D0C0EB3">
      <w:pPr>
        <w:widowControl/>
        <w:spacing w:line="360" w:lineRule="auto"/>
        <w:ind w:firstLine="480" w:firstLineChars="200"/>
        <w:jc w:val="left"/>
        <w:outlineLvl w:val="0"/>
        <w:rPr>
          <w:rFonts w:ascii="宋体" w:hAnsi="宋体" w:cs="宋体"/>
          <w:sz w:val="24"/>
          <w:szCs w:val="24"/>
          <w:highlight w:val="none"/>
        </w:rPr>
      </w:pPr>
      <w:r>
        <w:rPr>
          <w:rFonts w:hint="eastAsia" w:ascii="宋体" w:hAnsi="宋体" w:cs="宋体"/>
          <w:sz w:val="24"/>
          <w:szCs w:val="24"/>
          <w:highlight w:val="none"/>
        </w:rPr>
        <w:t>户名：南京邮电大学</w:t>
      </w:r>
    </w:p>
    <w:p w14:paraId="529CED80">
      <w:pPr>
        <w:widowControl/>
        <w:spacing w:line="360" w:lineRule="auto"/>
        <w:ind w:firstLine="480" w:firstLineChars="200"/>
        <w:jc w:val="left"/>
        <w:outlineLvl w:val="0"/>
        <w:rPr>
          <w:rFonts w:ascii="宋体" w:hAnsi="宋体" w:cs="宋体"/>
          <w:sz w:val="24"/>
          <w:szCs w:val="24"/>
          <w:highlight w:val="none"/>
        </w:rPr>
      </w:pPr>
      <w:r>
        <w:rPr>
          <w:rFonts w:hint="eastAsia" w:ascii="宋体" w:hAnsi="宋体" w:cs="宋体"/>
          <w:sz w:val="24"/>
          <w:szCs w:val="24"/>
          <w:highlight w:val="none"/>
        </w:rPr>
        <w:t>开户行：中国银行南京云锦路支行</w:t>
      </w:r>
    </w:p>
    <w:p w14:paraId="695026BB">
      <w:pPr>
        <w:widowControl/>
        <w:spacing w:line="360" w:lineRule="auto"/>
        <w:ind w:firstLine="480" w:firstLineChars="200"/>
        <w:jc w:val="left"/>
        <w:outlineLvl w:val="0"/>
        <w:rPr>
          <w:rFonts w:ascii="宋体" w:hAnsi="宋体" w:cs="宋体"/>
          <w:sz w:val="24"/>
          <w:szCs w:val="24"/>
          <w:highlight w:val="none"/>
        </w:rPr>
      </w:pPr>
      <w:r>
        <w:rPr>
          <w:rFonts w:hint="eastAsia" w:ascii="宋体" w:hAnsi="宋体" w:cs="宋体"/>
          <w:sz w:val="24"/>
          <w:szCs w:val="24"/>
          <w:highlight w:val="none"/>
        </w:rPr>
        <w:t>账号：478058217116</w:t>
      </w:r>
      <w:bookmarkEnd w:id="13"/>
    </w:p>
    <w:p w14:paraId="42EACEF7">
      <w:pPr>
        <w:spacing w:line="360" w:lineRule="auto"/>
        <w:rPr>
          <w:rFonts w:ascii="宋体" w:hAnsi="宋体" w:cs="宋体"/>
          <w:b/>
          <w:sz w:val="24"/>
          <w:szCs w:val="24"/>
          <w:highlight w:val="none"/>
        </w:rPr>
      </w:pPr>
      <w:r>
        <w:rPr>
          <w:rFonts w:hint="eastAsia" w:ascii="宋体" w:hAnsi="宋体" w:cs="宋体"/>
          <w:b/>
          <w:sz w:val="24"/>
          <w:szCs w:val="24"/>
          <w:highlight w:val="none"/>
        </w:rPr>
        <w:t>四</w:t>
      </w:r>
      <w:r>
        <w:rPr>
          <w:rFonts w:ascii="宋体" w:hAnsi="宋体" w:cs="宋体"/>
          <w:b/>
          <w:sz w:val="24"/>
          <w:szCs w:val="24"/>
          <w:highlight w:val="none"/>
        </w:rPr>
        <w:t>、甲方</w:t>
      </w:r>
      <w:r>
        <w:rPr>
          <w:rFonts w:hint="eastAsia" w:ascii="宋体" w:hAnsi="宋体" w:cs="宋体"/>
          <w:b/>
          <w:sz w:val="24"/>
          <w:szCs w:val="24"/>
          <w:highlight w:val="none"/>
        </w:rPr>
        <w:t>权利和义务</w:t>
      </w:r>
    </w:p>
    <w:p w14:paraId="4512BD4F">
      <w:pPr>
        <w:numPr>
          <w:ilvl w:val="0"/>
          <w:numId w:val="61"/>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甲方按照有关规章制度、行业规范和招标文件等，对乙方的合同执行情况进行监督、检查、测评和考核。</w:t>
      </w:r>
    </w:p>
    <w:p w14:paraId="7AF568E5">
      <w:pPr>
        <w:numPr>
          <w:ilvl w:val="0"/>
          <w:numId w:val="61"/>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甲方有权对外卖柜运营过程是否规范进行监管，必要时有权暂停外卖柜使用，乙方应当立即调整。</w:t>
      </w:r>
    </w:p>
    <w:p w14:paraId="33C61A4B">
      <w:pPr>
        <w:numPr>
          <w:ilvl w:val="0"/>
          <w:numId w:val="61"/>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甲方应确保提供的场地符合铺设条件，保障乙方设备正常运营所需的电。</w:t>
      </w:r>
    </w:p>
    <w:p w14:paraId="51EB87E3">
      <w:pPr>
        <w:numPr>
          <w:ilvl w:val="0"/>
          <w:numId w:val="61"/>
        </w:numPr>
        <w:spacing w:line="360" w:lineRule="auto"/>
        <w:ind w:left="0" w:firstLine="480" w:firstLineChars="200"/>
        <w:rPr>
          <w:rFonts w:ascii="宋体" w:hAnsi="宋体" w:cs="宋体"/>
          <w:sz w:val="24"/>
          <w:szCs w:val="24"/>
          <w:highlight w:val="none"/>
        </w:rPr>
      </w:pPr>
      <w:r>
        <w:rPr>
          <w:rFonts w:ascii="宋体" w:hAnsi="宋体" w:cs="宋体"/>
          <w:sz w:val="24"/>
          <w:szCs w:val="24"/>
          <w:highlight w:val="none"/>
        </w:rPr>
        <w:t>甲方为接电和设备安装提供便利，保证提供的场地合法，乙方可在合同期间正常使用该场地用于外卖柜放置和运营。</w:t>
      </w:r>
    </w:p>
    <w:p w14:paraId="53C8E4BB">
      <w:pPr>
        <w:numPr>
          <w:ilvl w:val="0"/>
          <w:numId w:val="61"/>
        </w:numPr>
        <w:spacing w:line="360" w:lineRule="auto"/>
        <w:ind w:left="0" w:firstLine="480" w:firstLineChars="200"/>
        <w:rPr>
          <w:rFonts w:ascii="宋体" w:hAnsi="宋体" w:cs="宋体"/>
          <w:sz w:val="24"/>
          <w:szCs w:val="24"/>
          <w:highlight w:val="none"/>
        </w:rPr>
      </w:pPr>
      <w:r>
        <w:rPr>
          <w:rFonts w:ascii="宋体" w:hAnsi="宋体" w:cs="宋体"/>
          <w:sz w:val="24"/>
          <w:szCs w:val="24"/>
          <w:highlight w:val="none"/>
        </w:rPr>
        <w:t>甲方应确保外卖柜放置在约定的地点不被随便迁移，如有特殊情况需要调整外卖柜放置的位置时，甲方应事先与乙方协商，位置确定进行调整的，甲方应当协助乙方完成设备迁移。</w:t>
      </w:r>
    </w:p>
    <w:p w14:paraId="5CFBCEE5">
      <w:pPr>
        <w:numPr>
          <w:ilvl w:val="0"/>
          <w:numId w:val="61"/>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合同到期结束时，如甲方要求乙方恢复场地，乙方应无条件满足甲方要求并承担恢复场地的相关费用。</w:t>
      </w:r>
    </w:p>
    <w:p w14:paraId="433D15C9">
      <w:pPr>
        <w:spacing w:line="360" w:lineRule="auto"/>
        <w:rPr>
          <w:rFonts w:ascii="宋体" w:hAnsi="宋体" w:cs="宋体"/>
          <w:b/>
          <w:sz w:val="24"/>
          <w:szCs w:val="24"/>
          <w:highlight w:val="none"/>
        </w:rPr>
      </w:pPr>
      <w:r>
        <w:rPr>
          <w:rFonts w:hint="eastAsia" w:ascii="宋体" w:hAnsi="宋体" w:cs="宋体"/>
          <w:b/>
          <w:sz w:val="24"/>
          <w:szCs w:val="24"/>
          <w:highlight w:val="none"/>
        </w:rPr>
        <w:t>五</w:t>
      </w:r>
      <w:r>
        <w:rPr>
          <w:rFonts w:ascii="宋体" w:hAnsi="宋体" w:cs="宋体"/>
          <w:b/>
          <w:sz w:val="24"/>
          <w:szCs w:val="24"/>
          <w:highlight w:val="none"/>
        </w:rPr>
        <w:t>、乙方</w:t>
      </w:r>
      <w:r>
        <w:rPr>
          <w:rFonts w:hint="eastAsia" w:ascii="宋体" w:hAnsi="宋体" w:cs="宋体"/>
          <w:b/>
          <w:sz w:val="24"/>
          <w:szCs w:val="24"/>
          <w:highlight w:val="none"/>
        </w:rPr>
        <w:t>权利和</w:t>
      </w:r>
      <w:r>
        <w:rPr>
          <w:rFonts w:ascii="宋体" w:hAnsi="宋体" w:cs="宋体"/>
          <w:b/>
          <w:sz w:val="24"/>
          <w:szCs w:val="24"/>
          <w:highlight w:val="none"/>
        </w:rPr>
        <w:t>义务</w:t>
      </w:r>
    </w:p>
    <w:p w14:paraId="19799DC2">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乙方拥有外卖柜的所有权。</w:t>
      </w:r>
    </w:p>
    <w:p w14:paraId="69A5D7DE">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乙方严格遵守法律法规和甲方相关规章制度，服从甲方的管理、监督和指导。</w:t>
      </w:r>
    </w:p>
    <w:p w14:paraId="1A5748ED">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乙方须制定并全面执行安全生产责任制度，确保无安全事故，若发生安全事故，所有经济及法律责任由乙方承担，并消除对甲方的不利影响，如甲方承担了任何责任，均可向乙方全额追偿。</w:t>
      </w:r>
    </w:p>
    <w:p w14:paraId="21956771">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乙方在工作中因自身过错而发生任何错误或遗漏，乙方应无条件更正，如受到地方政府部门处罚，乙方承担一切责任，并消除对甲方的不利影响。</w:t>
      </w:r>
    </w:p>
    <w:p w14:paraId="7BAE2E7E">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乙方自行处理涉及乙方的债权债务、财产损失、人身伤害、劳动纠纷等一切问题，甲方不承担责任，如对甲方产生不利影响，由乙方负责消除。</w:t>
      </w:r>
    </w:p>
    <w:p w14:paraId="643A8CCF">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乙方负责外卖柜的日常运营管理，包括但不限于对异常订单的处理及赔付、处理骑手或用户投诉、外卖柜使用方法的现场培训等。</w:t>
      </w:r>
    </w:p>
    <w:p w14:paraId="3538D6E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（1）乙方投放的外卖柜相关设备必须符合国家相关质检安全标准和行业安全标准，如发生产品质量问题、安全问题，由乙方完全承担责任。</w:t>
      </w:r>
    </w:p>
    <w:p w14:paraId="6099903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（2）乙方安装放置的智能外卖柜应固定、平稳、结实，并定期检查其牢固性、安全性。</w:t>
      </w:r>
    </w:p>
    <w:p w14:paraId="7E3DA90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（3）乙方不得使用柜体投放广告。</w:t>
      </w:r>
    </w:p>
    <w:p w14:paraId="1E8B3E3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（4）乙方在校园端设定日常管理人员，负责对柜体及周边环境卫生清洁消杀、滞留外卖处理、现场软硬件等问题排查、处置。</w:t>
      </w:r>
    </w:p>
    <w:p w14:paraId="5EDEFD2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（5）乙方在校内外的外卖柜场地上配备带盖垃圾桶，垃圾桶日产日清，相关费用由乙方承担。</w:t>
      </w:r>
    </w:p>
    <w:p w14:paraId="2BA1AE7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（6）乙方应严格做好所有数据存放安全，不得泄露相关数据，否则由此产生的一切责任、损失由乙方承担。</w:t>
      </w:r>
    </w:p>
    <w:p w14:paraId="74AEA5A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（7）乙方智能外卖柜应当支持多种方式（微信、支付宝等APP）为甲方师生员工免费使用。</w:t>
      </w:r>
    </w:p>
    <w:p w14:paraId="6B16E29E">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须制定应急处理预案，以便应对智能外卖柜出现问题故障造成师生不能正常使用等情况，保证外卖柜正常运行。运营过程中出现一切包括但不限于食品安全的投诉、赔偿等纠纷，均由乙方负责解释、处理及承担相应责任。</w:t>
      </w:r>
    </w:p>
    <w:p w14:paraId="6800C281">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项目运营的服务人员和电力、基础建设和改造、设备购置和安装等费用均由乙方自行承担。</w:t>
      </w:r>
    </w:p>
    <w:p w14:paraId="0032B97E">
      <w:pPr>
        <w:numPr>
          <w:ilvl w:val="0"/>
          <w:numId w:val="62"/>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乙方提供的设备均能满足并接受包括但不限于美团、饿了么等外卖平台外卖投放。</w:t>
      </w:r>
    </w:p>
    <w:p w14:paraId="3502B618">
      <w:pPr>
        <w:widowControl/>
        <w:spacing w:line="360" w:lineRule="auto"/>
        <w:jc w:val="left"/>
        <w:outlineLvl w:val="0"/>
        <w:rPr>
          <w:rFonts w:ascii="宋体" w:hAnsi="宋体" w:cs="宋体"/>
          <w:b/>
          <w:bCs/>
          <w:sz w:val="24"/>
          <w:szCs w:val="24"/>
          <w:highlight w:val="none"/>
        </w:rPr>
      </w:pPr>
      <w:r>
        <w:rPr>
          <w:rFonts w:hint="eastAsia" w:ascii="宋体" w:hAnsi="宋体" w:cs="宋体"/>
          <w:b/>
          <w:bCs/>
          <w:sz w:val="24"/>
          <w:szCs w:val="24"/>
          <w:highlight w:val="none"/>
        </w:rPr>
        <w:t>六、履约保证金</w:t>
      </w:r>
    </w:p>
    <w:p w14:paraId="44108DB6">
      <w:pPr>
        <w:numPr>
          <w:ilvl w:val="0"/>
          <w:numId w:val="63"/>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履约保证金用以约束乙方在合同履行中的行为，弥补合同执行中由于自身行为可能给甲方带来的各种损失。因乙方原因导致合同未能正常履行的，甲方将扣除乙方的全部履约保证金。</w:t>
      </w:r>
    </w:p>
    <w:p w14:paraId="4A1962EC">
      <w:pPr>
        <w:numPr>
          <w:ilvl w:val="0"/>
          <w:numId w:val="63"/>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签订合同前5个工作日内乙方一次性向甲方支付人民币</w:t>
      </w:r>
      <w:r>
        <w:rPr>
          <w:rFonts w:ascii="宋体" w:hAnsi="宋体" w:cs="宋体"/>
          <w:sz w:val="24"/>
          <w:szCs w:val="24"/>
          <w:highlight w:val="none"/>
        </w:rPr>
        <w:t>10</w:t>
      </w:r>
      <w:r>
        <w:rPr>
          <w:rFonts w:hint="eastAsia" w:ascii="宋体" w:hAnsi="宋体" w:cs="宋体"/>
          <w:sz w:val="24"/>
          <w:szCs w:val="24"/>
          <w:highlight w:val="none"/>
        </w:rPr>
        <w:t>0000元（壹拾万元）作为履约保证金，如乙方未支付的。甲方有权拒绝签订合同，无需承担任何责任。</w:t>
      </w:r>
    </w:p>
    <w:p w14:paraId="4AF4CF7A">
      <w:pPr>
        <w:numPr>
          <w:ilvl w:val="0"/>
          <w:numId w:val="63"/>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履约保证金的退还：如乙方在合同期间无违约行为，则在服务期满、甲方验收场地后，甲方在30个工作日内将履约保证金如数无息退还乙方。如在服务期间由于乙方过失或过错造成甲方或甲方师生、第三人损失的，损失部分从履约保证金中扣除，在扣除后，乙方应及时补足履约保证金，履约保证金不足以弥补甲方损失的，乙方需另行支付相关损失费用。乙方须在甲方扣除保证金后7日内及时补足。</w:t>
      </w:r>
    </w:p>
    <w:p w14:paraId="2CC849B2">
      <w:pPr>
        <w:numPr>
          <w:ilvl w:val="0"/>
          <w:numId w:val="63"/>
        </w:numPr>
        <w:spacing w:line="360" w:lineRule="auto"/>
        <w:ind w:left="0" w:firstLine="480" w:firstLineChars="200"/>
        <w:rPr>
          <w:highlight w:val="none"/>
        </w:rPr>
      </w:pPr>
      <w:r>
        <w:rPr>
          <w:rFonts w:hint="eastAsia" w:ascii="宋体" w:hAnsi="宋体" w:cs="宋体"/>
          <w:sz w:val="24"/>
          <w:szCs w:val="24"/>
          <w:highlight w:val="none"/>
        </w:rPr>
        <w:t>履约保证金的</w:t>
      </w:r>
      <w:r>
        <w:rPr>
          <w:rFonts w:hint="eastAsia" w:ascii="宋体" w:hAnsi="宋体" w:cs="宋体"/>
          <w:sz w:val="24"/>
          <w:szCs w:val="24"/>
          <w:highlight w:val="none"/>
          <w:lang w:val="en-US" w:eastAsia="zh-CN"/>
        </w:rPr>
        <w:t>扣除</w:t>
      </w:r>
      <w:r>
        <w:rPr>
          <w:rFonts w:hint="eastAsia" w:ascii="宋体" w:hAnsi="宋体" w:cs="宋体"/>
          <w:sz w:val="24"/>
          <w:szCs w:val="24"/>
          <w:highlight w:val="none"/>
        </w:rPr>
        <w:t>规定如下：若乙方出现以下行为，将按照对应的额度从履约保证金中予以扣除：</w:t>
      </w:r>
    </w:p>
    <w:p w14:paraId="1AC00B5B">
      <w:pPr>
        <w:spacing w:line="360" w:lineRule="auto"/>
        <w:ind w:firstLine="480" w:firstLineChars="200"/>
        <w:rPr>
          <w:highlight w:val="none"/>
        </w:rPr>
      </w:pPr>
      <w:r>
        <w:rPr>
          <w:rFonts w:hint="eastAsia" w:ascii="宋体" w:hAnsi="宋体" w:cs="宋体"/>
          <w:sz w:val="24"/>
          <w:szCs w:val="24"/>
          <w:highlight w:val="none"/>
        </w:rPr>
        <w:t>（1）员工在上班期间未穿着工作服，每出现一次扣除 50 元；</w:t>
      </w:r>
    </w:p>
    <w:p w14:paraId="548065CB">
      <w:pPr>
        <w:spacing w:line="360" w:lineRule="auto"/>
        <w:ind w:firstLine="480" w:firstLineChars="200"/>
        <w:rPr>
          <w:highlight w:val="none"/>
        </w:rPr>
      </w:pPr>
      <w:r>
        <w:rPr>
          <w:rFonts w:hint="eastAsia" w:ascii="宋体" w:hAnsi="宋体" w:cs="宋体"/>
          <w:sz w:val="24"/>
          <w:szCs w:val="24"/>
          <w:highlight w:val="none"/>
        </w:rPr>
        <w:t>（2）安全、卫生保洁、消毒工作落实不到位的，每发现一次扣除 100 元；</w:t>
      </w:r>
    </w:p>
    <w:p w14:paraId="5CCDFE60">
      <w:pPr>
        <w:spacing w:line="360" w:lineRule="auto"/>
        <w:ind w:firstLine="480" w:firstLineChars="200"/>
        <w:rPr>
          <w:highlight w:val="none"/>
        </w:rPr>
      </w:pPr>
      <w:r>
        <w:rPr>
          <w:rFonts w:hint="eastAsia" w:ascii="宋体" w:hAnsi="宋体" w:cs="宋体"/>
          <w:sz w:val="24"/>
          <w:szCs w:val="24"/>
          <w:highlight w:val="none"/>
        </w:rPr>
        <w:t>（3）对师生服务态度欠佳、文明用语使用不规范的，每出现一次扣除 200 元；</w:t>
      </w:r>
    </w:p>
    <w:p w14:paraId="65A49CB6">
      <w:pPr>
        <w:spacing w:line="360" w:lineRule="auto"/>
        <w:ind w:firstLine="480" w:firstLineChars="200"/>
        <w:rPr>
          <w:highlight w:val="none"/>
        </w:rPr>
      </w:pPr>
      <w:r>
        <w:rPr>
          <w:rFonts w:hint="eastAsia" w:ascii="宋体" w:hAnsi="宋体" w:cs="宋体"/>
          <w:sz w:val="24"/>
          <w:szCs w:val="24"/>
          <w:highlight w:val="none"/>
        </w:rPr>
        <w:t>（4）收到师生有效投诉的，每出现一次扣除 200 元；</w:t>
      </w:r>
    </w:p>
    <w:p w14:paraId="771CEB46">
      <w:pPr>
        <w:spacing w:line="360" w:lineRule="auto"/>
        <w:ind w:firstLine="480" w:firstLineChars="200"/>
        <w:rPr>
          <w:highlight w:val="none"/>
        </w:rPr>
      </w:pPr>
      <w:r>
        <w:rPr>
          <w:rFonts w:hint="eastAsia" w:ascii="宋体" w:hAnsi="宋体" w:cs="宋体"/>
          <w:sz w:val="24"/>
          <w:szCs w:val="24"/>
          <w:highlight w:val="none"/>
        </w:rPr>
        <w:t>（5）对学校主管部门下达的任务落实不及时、不到位或不予理会的，每出现一次扣除 500 元；</w:t>
      </w:r>
    </w:p>
    <w:p w14:paraId="2B7AD19E">
      <w:pPr>
        <w:spacing w:line="360" w:lineRule="auto"/>
        <w:ind w:firstLine="480" w:firstLineChars="200"/>
        <w:rPr>
          <w:highlight w:val="none"/>
        </w:rPr>
      </w:pPr>
      <w:r>
        <w:rPr>
          <w:rFonts w:hint="eastAsia" w:ascii="宋体" w:hAnsi="宋体" w:cs="宋体"/>
          <w:sz w:val="24"/>
          <w:szCs w:val="24"/>
          <w:highlight w:val="none"/>
        </w:rPr>
        <w:t>（6）发生重大失责行为并造成不良后果的，每出现一次视情节扣除 2000 元直至全部扣除；</w:t>
      </w:r>
    </w:p>
    <w:p w14:paraId="21C87789">
      <w:pPr>
        <w:spacing w:line="360" w:lineRule="auto"/>
        <w:ind w:firstLine="480" w:firstLineChars="200"/>
        <w:rPr>
          <w:highlight w:val="none"/>
        </w:rPr>
      </w:pPr>
      <w:r>
        <w:rPr>
          <w:rFonts w:hint="eastAsia" w:ascii="宋体" w:hAnsi="宋体" w:cs="宋体"/>
          <w:sz w:val="24"/>
          <w:szCs w:val="24"/>
          <w:highlight w:val="none"/>
        </w:rPr>
        <w:t>（7）在合同履行过程中，若出现乙方服务质量考评不合格、转包、分包、泄露甲方师生相关个人信息等情形，或发生卫生、防疫、安全（含网络及系统安全）等事故，甲方有权立即解除合同，且不退还履约保证金，并追究乙方相应法律责任，乙方需承担由此造成的一切损失。</w:t>
      </w:r>
    </w:p>
    <w:p w14:paraId="229E9425">
      <w:pPr>
        <w:spacing w:line="360" w:lineRule="auto"/>
        <w:rPr>
          <w:rFonts w:ascii="宋体" w:hAnsi="宋体" w:cs="宋体"/>
          <w:b/>
          <w:sz w:val="24"/>
          <w:szCs w:val="24"/>
          <w:highlight w:val="none"/>
        </w:rPr>
      </w:pPr>
      <w:r>
        <w:rPr>
          <w:rFonts w:hint="eastAsia" w:ascii="宋体" w:hAnsi="宋体" w:cs="宋体"/>
          <w:b/>
          <w:sz w:val="24"/>
          <w:szCs w:val="24"/>
          <w:highlight w:val="none"/>
        </w:rPr>
        <w:t>七、违约责任</w:t>
      </w:r>
    </w:p>
    <w:p w14:paraId="38A60CF5">
      <w:pPr>
        <w:numPr>
          <w:ilvl w:val="0"/>
          <w:numId w:val="64"/>
        </w:numPr>
        <w:spacing w:line="360" w:lineRule="auto"/>
        <w:ind w:left="0" w:firstLine="480" w:firstLineChars="200"/>
        <w:rPr>
          <w:highlight w:val="none"/>
        </w:rPr>
      </w:pPr>
      <w:r>
        <w:rPr>
          <w:rFonts w:hint="eastAsia" w:ascii="宋体" w:hAnsi="宋体" w:cs="宋体"/>
          <w:sz w:val="24"/>
          <w:szCs w:val="24"/>
          <w:highlight w:val="none"/>
        </w:rPr>
        <w:t>若乙方所提供的服务不符合本合同或招标文件的相关条款，甲方有权发出整改通知书。乙方自收到甲方通知之日起，应即刻按照甲方要求进行整改。若逾期未完成整改，每逾期一日，乙方需向甲方支付相当于履约保证金1%的违约金。</w:t>
      </w:r>
    </w:p>
    <w:p w14:paraId="554BF1B6">
      <w:pPr>
        <w:numPr>
          <w:ilvl w:val="0"/>
          <w:numId w:val="64"/>
        </w:numPr>
        <w:spacing w:line="360" w:lineRule="auto"/>
        <w:ind w:left="0" w:firstLine="480" w:firstLineChars="200"/>
        <w:rPr>
          <w:highlight w:val="none"/>
        </w:rPr>
      </w:pPr>
      <w:r>
        <w:rPr>
          <w:rFonts w:hint="eastAsia" w:ascii="宋体" w:hAnsi="宋体" w:cs="宋体"/>
          <w:sz w:val="24"/>
          <w:szCs w:val="24"/>
          <w:highlight w:val="none"/>
        </w:rPr>
        <w:t>在运营过程中，若因乙方过错而受到地方政府部门的处罚，乙方除需承担全部责任外，还应赔偿由此给甲方带来的损失。</w:t>
      </w:r>
    </w:p>
    <w:p w14:paraId="5D84C3BC">
      <w:pPr>
        <w:numPr>
          <w:ilvl w:val="0"/>
          <w:numId w:val="64"/>
        </w:numPr>
        <w:spacing w:line="360" w:lineRule="auto"/>
        <w:ind w:left="0" w:firstLine="480" w:firstLineChars="200"/>
        <w:rPr>
          <w:highlight w:val="none"/>
        </w:rPr>
      </w:pPr>
      <w:r>
        <w:rPr>
          <w:rFonts w:hint="eastAsia" w:ascii="宋体" w:hAnsi="宋体" w:cs="宋体"/>
          <w:sz w:val="24"/>
          <w:szCs w:val="24"/>
          <w:highlight w:val="none"/>
        </w:rPr>
        <w:t>合同到期终止时，乙方应按照甲方要求恢复场地。若乙方未能满足甲方要求，甲方将不予退还履约保证金，并且有权向乙方另行追索恢复场地的相关费用。</w:t>
      </w:r>
    </w:p>
    <w:p w14:paraId="4955DD5C">
      <w:pPr>
        <w:spacing w:line="360" w:lineRule="auto"/>
        <w:ind w:left="472" w:hanging="472" w:hangingChars="196"/>
        <w:rPr>
          <w:rFonts w:ascii="宋体" w:hAnsi="宋体" w:cs="宋体"/>
          <w:b/>
          <w:sz w:val="24"/>
          <w:szCs w:val="24"/>
          <w:highlight w:val="none"/>
        </w:rPr>
      </w:pPr>
      <w:r>
        <w:rPr>
          <w:rFonts w:hint="eastAsia" w:ascii="宋体" w:hAnsi="宋体" w:cs="宋体"/>
          <w:b/>
          <w:sz w:val="24"/>
          <w:szCs w:val="24"/>
          <w:highlight w:val="none"/>
        </w:rPr>
        <w:t>八</w:t>
      </w:r>
      <w:r>
        <w:rPr>
          <w:rFonts w:ascii="宋体" w:hAnsi="宋体" w:cs="宋体"/>
          <w:b/>
          <w:sz w:val="24"/>
          <w:szCs w:val="24"/>
          <w:highlight w:val="none"/>
        </w:rPr>
        <w:t>、</w:t>
      </w:r>
      <w:r>
        <w:rPr>
          <w:rFonts w:hint="eastAsia" w:ascii="宋体" w:hAnsi="宋体" w:cs="宋体"/>
          <w:b/>
          <w:sz w:val="24"/>
          <w:szCs w:val="24"/>
          <w:highlight w:val="none"/>
        </w:rPr>
        <w:t>合同解除</w:t>
      </w:r>
    </w:p>
    <w:p w14:paraId="7E19F8FF">
      <w:pPr>
        <w:numPr>
          <w:ilvl w:val="0"/>
          <w:numId w:val="65"/>
        </w:numPr>
        <w:spacing w:line="360" w:lineRule="auto"/>
        <w:ind w:left="0" w:firstLine="480" w:firstLineChars="200"/>
        <w:rPr>
          <w:highlight w:val="none"/>
        </w:rPr>
      </w:pPr>
      <w:r>
        <w:rPr>
          <w:rFonts w:hint="eastAsia" w:ascii="宋体" w:hAnsi="宋体" w:cs="宋体"/>
          <w:sz w:val="24"/>
          <w:szCs w:val="24"/>
          <w:highlight w:val="none"/>
        </w:rPr>
        <w:t>在合同约定或法定情形下，可解除合同。本合同到期前，若不存在约定或法定情形，任何一方提出提前解约，均应提前六十日以书面形式通知对方，待征得对方书面同意并承担对方实际损失后，合同即行解除。</w:t>
      </w:r>
    </w:p>
    <w:p w14:paraId="45724207">
      <w:pPr>
        <w:numPr>
          <w:ilvl w:val="0"/>
          <w:numId w:val="65"/>
        </w:numPr>
        <w:spacing w:line="360" w:lineRule="auto"/>
        <w:ind w:left="0" w:firstLine="480" w:firstLineChars="200"/>
        <w:rPr>
          <w:highlight w:val="none"/>
        </w:rPr>
      </w:pPr>
      <w:r>
        <w:rPr>
          <w:rFonts w:hint="eastAsia" w:ascii="宋体" w:hAnsi="宋体" w:cs="宋体"/>
          <w:sz w:val="24"/>
          <w:szCs w:val="24"/>
          <w:highlight w:val="none"/>
        </w:rPr>
        <w:t>若乙方服务质量考评不合格，甲方有权解除合同，且不予退还履约保证金。</w:t>
      </w:r>
    </w:p>
    <w:p w14:paraId="4B5BD5E4">
      <w:pPr>
        <w:numPr>
          <w:ilvl w:val="0"/>
          <w:numId w:val="65"/>
        </w:numPr>
        <w:spacing w:line="360" w:lineRule="auto"/>
        <w:ind w:left="0" w:firstLine="480" w:firstLineChars="200"/>
        <w:rPr>
          <w:highlight w:val="none"/>
        </w:rPr>
      </w:pPr>
      <w:r>
        <w:rPr>
          <w:rFonts w:hint="eastAsia" w:ascii="宋体" w:hAnsi="宋体" w:cs="宋体"/>
          <w:sz w:val="24"/>
          <w:szCs w:val="24"/>
          <w:highlight w:val="none"/>
        </w:rPr>
        <w:t>未经甲方书面同意，乙方不得将服务内容所列项目转包、分包。若乙方擅自转包、分包，甲方有权解除合同，且不予退还履约保证金。</w:t>
      </w:r>
    </w:p>
    <w:p w14:paraId="1D297362">
      <w:pPr>
        <w:numPr>
          <w:ilvl w:val="0"/>
          <w:numId w:val="65"/>
        </w:numPr>
        <w:spacing w:line="360" w:lineRule="auto"/>
        <w:ind w:left="0" w:firstLine="480" w:firstLineChars="200"/>
        <w:rPr>
          <w:highlight w:val="none"/>
        </w:rPr>
      </w:pPr>
      <w:r>
        <w:rPr>
          <w:rFonts w:hint="eastAsia" w:ascii="宋体" w:hAnsi="宋体" w:cs="宋体"/>
          <w:sz w:val="24"/>
          <w:szCs w:val="24"/>
          <w:highlight w:val="none"/>
        </w:rPr>
        <w:t>在运营过程中，若因乙方过错发生重大责任事故，甲方有权解除合同，已收取的履约保证金不予退还，乙方需承担一切责任。</w:t>
      </w:r>
    </w:p>
    <w:p w14:paraId="5A3C2B20">
      <w:pPr>
        <w:numPr>
          <w:ilvl w:val="0"/>
          <w:numId w:val="65"/>
        </w:numPr>
        <w:spacing w:line="360" w:lineRule="auto"/>
        <w:ind w:left="0" w:firstLine="480" w:firstLineChars="200"/>
        <w:rPr>
          <w:highlight w:val="none"/>
        </w:rPr>
      </w:pPr>
      <w:r>
        <w:rPr>
          <w:rFonts w:hint="eastAsia" w:ascii="宋体" w:hAnsi="宋体" w:cs="宋体"/>
          <w:sz w:val="24"/>
          <w:szCs w:val="24"/>
          <w:highlight w:val="none"/>
        </w:rPr>
        <w:t>若乙方发生甲方个人信息泄露情况，甲方有权解除合同，不退还履约保证金，乙方需承担一切责任，并消除对甲方的不利影响。</w:t>
      </w:r>
    </w:p>
    <w:p w14:paraId="514F5120">
      <w:pPr>
        <w:numPr>
          <w:ilvl w:val="0"/>
          <w:numId w:val="65"/>
        </w:numPr>
        <w:spacing w:line="360" w:lineRule="auto"/>
        <w:ind w:left="0" w:firstLine="480" w:firstLineChars="200"/>
        <w:rPr>
          <w:highlight w:val="none"/>
        </w:rPr>
      </w:pPr>
      <w:r>
        <w:rPr>
          <w:rFonts w:hint="eastAsia" w:ascii="宋体" w:hAnsi="宋体" w:cs="宋体"/>
          <w:sz w:val="24"/>
          <w:szCs w:val="24"/>
          <w:highlight w:val="none"/>
        </w:rPr>
        <w:t xml:space="preserve">若乙方逾期五日未完成整改，甲方有权解除合同，甲方解除合同的通知自到达乙方时生效，且不予退还履约保证金。 </w:t>
      </w:r>
    </w:p>
    <w:p w14:paraId="6AE8250B">
      <w:pPr>
        <w:spacing w:line="360" w:lineRule="auto"/>
        <w:rPr>
          <w:rFonts w:ascii="宋体" w:hAnsi="宋体" w:cs="宋体"/>
          <w:b/>
          <w:sz w:val="24"/>
          <w:szCs w:val="24"/>
          <w:highlight w:val="none"/>
        </w:rPr>
      </w:pPr>
      <w:r>
        <w:rPr>
          <w:rFonts w:hint="eastAsia" w:ascii="宋体" w:hAnsi="宋体" w:cs="宋体"/>
          <w:b/>
          <w:sz w:val="24"/>
          <w:szCs w:val="24"/>
          <w:highlight w:val="none"/>
        </w:rPr>
        <w:t>九、不可抗力</w:t>
      </w:r>
    </w:p>
    <w:p w14:paraId="09AC7C5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合同履约相关事宜双方协商解决。</w:t>
      </w:r>
    </w:p>
    <w:p w14:paraId="392B01F4">
      <w:pPr>
        <w:spacing w:line="360" w:lineRule="auto"/>
        <w:rPr>
          <w:rFonts w:ascii="宋体" w:hAnsi="宋体" w:cs="宋体"/>
          <w:b/>
          <w:sz w:val="24"/>
          <w:szCs w:val="24"/>
          <w:highlight w:val="none"/>
        </w:rPr>
      </w:pPr>
      <w:r>
        <w:rPr>
          <w:rFonts w:hint="eastAsia" w:ascii="宋体" w:hAnsi="宋体" w:cs="宋体"/>
          <w:b/>
          <w:sz w:val="24"/>
          <w:szCs w:val="24"/>
          <w:highlight w:val="none"/>
        </w:rPr>
        <w:t>十、争议解决方式</w:t>
      </w:r>
    </w:p>
    <w:p w14:paraId="41F6BA2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本合同在履行中产生争议的，由双方友好协商，协商不成，可诉请甲方所在地法院裁决，守约方因诉讼产生的包括但不仅限于公证费、鉴定费、诉讼费、保全费、保全担保费、律师费、差旅费等由违约方承担。</w:t>
      </w:r>
    </w:p>
    <w:p w14:paraId="314FE260">
      <w:pPr>
        <w:spacing w:line="360" w:lineRule="auto"/>
        <w:rPr>
          <w:rFonts w:ascii="宋体" w:hAnsi="宋体" w:cs="宋体"/>
          <w:b/>
          <w:sz w:val="24"/>
          <w:szCs w:val="24"/>
          <w:highlight w:val="none"/>
        </w:rPr>
      </w:pPr>
      <w:r>
        <w:rPr>
          <w:rFonts w:hint="eastAsia" w:ascii="宋体" w:hAnsi="宋体" w:cs="宋体"/>
          <w:b/>
          <w:sz w:val="24"/>
          <w:szCs w:val="24"/>
          <w:highlight w:val="none"/>
        </w:rPr>
        <w:t>十一</w:t>
      </w:r>
      <w:r>
        <w:rPr>
          <w:rFonts w:ascii="宋体" w:hAnsi="宋体" w:cs="宋体"/>
          <w:b/>
          <w:sz w:val="24"/>
          <w:szCs w:val="24"/>
          <w:highlight w:val="none"/>
        </w:rPr>
        <w:t>、其他</w:t>
      </w:r>
    </w:p>
    <w:p w14:paraId="60AC5AE9">
      <w:pPr>
        <w:numPr>
          <w:ilvl w:val="0"/>
          <w:numId w:val="66"/>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本合同自双方盖章之日起生效，壹式陆份，甲方叁份，乙方叁份，具有同等法律效力。</w:t>
      </w:r>
    </w:p>
    <w:p w14:paraId="4F2874E9">
      <w:pPr>
        <w:numPr>
          <w:ilvl w:val="0"/>
          <w:numId w:val="66"/>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本合同未尽事宜，甲乙双方协商签署补充协议，补充协议与本合同具有同等法律效力。</w:t>
      </w:r>
    </w:p>
    <w:p w14:paraId="5E19E76F">
      <w:pPr>
        <w:numPr>
          <w:ilvl w:val="0"/>
          <w:numId w:val="66"/>
        </w:numPr>
        <w:spacing w:line="360" w:lineRule="auto"/>
        <w:ind w:left="0" w:firstLine="480" w:firstLineChars="200"/>
        <w:rPr>
          <w:rFonts w:ascii="宋体" w:hAnsi="宋体" w:cs="宋体"/>
          <w:sz w:val="24"/>
          <w:szCs w:val="24"/>
          <w:highlight w:val="none"/>
        </w:rPr>
      </w:pPr>
      <w:r>
        <w:rPr>
          <w:rFonts w:hint="eastAsia" w:ascii="宋体" w:hAnsi="宋体" w:cs="宋体"/>
          <w:sz w:val="24"/>
          <w:szCs w:val="24"/>
          <w:highlight w:val="none"/>
        </w:rPr>
        <w:t>本合同附件是本合同不可分割的组成部分，与本合同具有同等法律效力。</w:t>
      </w:r>
    </w:p>
    <w:p w14:paraId="22D07088">
      <w:pPr>
        <w:jc w:val="left"/>
        <w:rPr>
          <w:rFonts w:ascii="宋体" w:hAnsi="宋体" w:cs="宋体"/>
          <w:b/>
          <w:sz w:val="24"/>
          <w:szCs w:val="24"/>
          <w:highlight w:val="none"/>
        </w:rPr>
      </w:pPr>
    </w:p>
    <w:p w14:paraId="3179D7C4">
      <w:pPr>
        <w:jc w:val="left"/>
        <w:rPr>
          <w:rFonts w:ascii="宋体" w:hAnsi="宋体" w:cs="宋体"/>
          <w:b/>
          <w:sz w:val="24"/>
          <w:szCs w:val="24"/>
          <w:highlight w:val="none"/>
        </w:rPr>
      </w:pPr>
      <w:r>
        <w:rPr>
          <w:rFonts w:ascii="宋体" w:hAnsi="宋体" w:cs="宋体"/>
          <w:b/>
          <w:sz w:val="24"/>
          <w:szCs w:val="24"/>
          <w:highlight w:val="none"/>
        </w:rPr>
        <w:t>附件：</w:t>
      </w:r>
      <w:r>
        <w:rPr>
          <w:rFonts w:hint="eastAsia"/>
          <w:sz w:val="24"/>
          <w:szCs w:val="24"/>
          <w:highlight w:val="none"/>
        </w:rPr>
        <w:t>外卖柜摆放位置及数量</w:t>
      </w:r>
    </w:p>
    <w:p w14:paraId="2A57432F">
      <w:pPr>
        <w:spacing w:line="360" w:lineRule="auto"/>
        <w:rPr>
          <w:rFonts w:ascii="宋体" w:hAnsi="宋体" w:cs="宋体"/>
          <w:sz w:val="24"/>
          <w:szCs w:val="24"/>
          <w:highlight w:val="none"/>
        </w:rPr>
      </w:pPr>
    </w:p>
    <w:p w14:paraId="70B938C3">
      <w:pPr>
        <w:spacing w:line="360" w:lineRule="auto"/>
        <w:rPr>
          <w:rFonts w:ascii="宋体" w:hAnsi="宋体" w:cs="宋体"/>
          <w:sz w:val="24"/>
          <w:szCs w:val="24"/>
          <w:highlight w:val="none"/>
        </w:rPr>
      </w:pPr>
    </w:p>
    <w:p w14:paraId="0CC3971D">
      <w:pPr>
        <w:spacing w:line="360" w:lineRule="auto"/>
        <w:rPr>
          <w:rFonts w:ascii="宋体" w:hAnsi="宋体" w:cs="宋体"/>
          <w:sz w:val="24"/>
          <w:szCs w:val="24"/>
          <w:highlight w:val="none"/>
        </w:rPr>
      </w:pPr>
    </w:p>
    <w:p w14:paraId="4688FA31">
      <w:pPr>
        <w:spacing w:line="360" w:lineRule="auto"/>
        <w:rPr>
          <w:rFonts w:ascii="宋体" w:hAnsi="宋体" w:cs="宋体"/>
          <w:sz w:val="24"/>
          <w:szCs w:val="24"/>
          <w:highlight w:val="none"/>
        </w:rPr>
      </w:pPr>
      <w:r>
        <w:rPr>
          <w:rFonts w:ascii="宋体" w:hAnsi="宋体" w:cs="宋体"/>
          <w:sz w:val="24"/>
          <w:szCs w:val="24"/>
          <w:highlight w:val="none"/>
        </w:rPr>
        <w:t xml:space="preserve">甲  方（盖章）：                           乙  方（盖章）： </w:t>
      </w:r>
    </w:p>
    <w:p w14:paraId="0FF30EA8">
      <w:pPr>
        <w:tabs>
          <w:tab w:val="left" w:pos="3305"/>
        </w:tabs>
        <w:spacing w:line="360" w:lineRule="auto"/>
        <w:rPr>
          <w:rFonts w:ascii="宋体" w:hAnsi="宋体" w:cs="宋体"/>
          <w:sz w:val="24"/>
          <w:szCs w:val="24"/>
          <w:highlight w:val="none"/>
        </w:rPr>
      </w:pPr>
      <w:r>
        <w:rPr>
          <w:rFonts w:ascii="宋体" w:hAnsi="宋体" w:cs="宋体"/>
          <w:sz w:val="24"/>
          <w:szCs w:val="24"/>
          <w:highlight w:val="none"/>
        </w:rPr>
        <w:t xml:space="preserve">日  期：                                   日  期：                     </w:t>
      </w:r>
    </w:p>
    <w:p w14:paraId="7A86093C">
      <w:pPr>
        <w:jc w:val="left"/>
        <w:rPr>
          <w:rFonts w:ascii="宋体" w:hAnsi="宋体" w:cs="宋体"/>
          <w:b/>
          <w:sz w:val="24"/>
          <w:szCs w:val="24"/>
          <w:highlight w:val="none"/>
        </w:rPr>
      </w:pPr>
    </w:p>
    <w:p w14:paraId="031D4A92">
      <w:pPr>
        <w:rPr>
          <w:sz w:val="24"/>
          <w:szCs w:val="24"/>
          <w:highlight w:val="none"/>
        </w:rPr>
      </w:pPr>
    </w:p>
    <w:p w14:paraId="15C27B9D">
      <w:pPr>
        <w:rPr>
          <w:sz w:val="24"/>
          <w:szCs w:val="24"/>
          <w:highlight w:val="none"/>
        </w:rPr>
      </w:pPr>
    </w:p>
    <w:p w14:paraId="610CEED5">
      <w:pPr>
        <w:rPr>
          <w:sz w:val="24"/>
          <w:szCs w:val="24"/>
          <w:highlight w:val="none"/>
        </w:rPr>
      </w:pPr>
    </w:p>
    <w:p w14:paraId="48334615">
      <w:pPr>
        <w:rPr>
          <w:sz w:val="24"/>
          <w:szCs w:val="24"/>
          <w:highlight w:val="none"/>
        </w:rPr>
      </w:pPr>
    </w:p>
    <w:p w14:paraId="72147243">
      <w:pPr>
        <w:rPr>
          <w:highlight w:val="none"/>
        </w:rPr>
      </w:pPr>
      <w:r>
        <w:rPr>
          <w:rFonts w:hint="eastAsia"/>
          <w:sz w:val="24"/>
          <w:szCs w:val="24"/>
          <w:highlight w:val="none"/>
        </w:rPr>
        <w:t xml:space="preserve">附件  </w:t>
      </w:r>
      <w:r>
        <w:rPr>
          <w:rFonts w:hint="eastAsia"/>
          <w:highlight w:val="none"/>
        </w:rPr>
        <w:t xml:space="preserve">    </w:t>
      </w:r>
    </w:p>
    <w:p w14:paraId="15705DFE">
      <w:pPr>
        <w:jc w:val="center"/>
        <w:rPr>
          <w:b/>
          <w:bCs/>
          <w:sz w:val="28"/>
          <w:szCs w:val="28"/>
          <w:highlight w:val="none"/>
        </w:rPr>
      </w:pPr>
      <w:r>
        <w:rPr>
          <w:rFonts w:hint="eastAsia"/>
          <w:b/>
          <w:bCs/>
          <w:sz w:val="28"/>
          <w:szCs w:val="28"/>
          <w:highlight w:val="none"/>
        </w:rPr>
        <w:t>各标段外卖柜摆放位置及数量</w:t>
      </w:r>
    </w:p>
    <w:tbl>
      <w:tblPr>
        <w:tblStyle w:val="47"/>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1184"/>
        <w:gridCol w:w="1200"/>
        <w:gridCol w:w="811"/>
        <w:gridCol w:w="878"/>
        <w:gridCol w:w="1217"/>
        <w:gridCol w:w="1289"/>
        <w:gridCol w:w="1096"/>
      </w:tblGrid>
      <w:tr w14:paraId="2CE3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vAlign w:val="center"/>
          </w:tcPr>
          <w:p w14:paraId="12D2913F">
            <w:pPr>
              <w:spacing w:line="560" w:lineRule="exact"/>
              <w:jc w:val="center"/>
              <w:rPr>
                <w:rFonts w:ascii="宋体" w:hAnsi="宋体" w:cs="宋体"/>
                <w:b/>
                <w:bCs/>
                <w:highlight w:val="none"/>
              </w:rPr>
            </w:pPr>
            <w:r>
              <w:rPr>
                <w:rFonts w:hint="eastAsia" w:ascii="宋体" w:hAnsi="宋体" w:cs="宋体"/>
                <w:b/>
                <w:bCs/>
                <w:highlight w:val="none"/>
              </w:rPr>
              <w:t>标段</w:t>
            </w:r>
          </w:p>
        </w:tc>
        <w:tc>
          <w:tcPr>
            <w:tcW w:w="1184" w:type="dxa"/>
            <w:vAlign w:val="center"/>
          </w:tcPr>
          <w:p w14:paraId="331AEBAA">
            <w:pPr>
              <w:spacing w:line="560" w:lineRule="exact"/>
              <w:jc w:val="center"/>
              <w:rPr>
                <w:rFonts w:ascii="宋体" w:hAnsi="宋体" w:cs="宋体"/>
                <w:b/>
                <w:bCs/>
                <w:highlight w:val="none"/>
              </w:rPr>
            </w:pPr>
            <w:r>
              <w:rPr>
                <w:rFonts w:hint="eastAsia" w:ascii="宋体" w:hAnsi="宋体" w:cs="宋体"/>
                <w:b/>
                <w:bCs/>
                <w:highlight w:val="none"/>
              </w:rPr>
              <w:t>校区</w:t>
            </w:r>
          </w:p>
        </w:tc>
        <w:tc>
          <w:tcPr>
            <w:tcW w:w="1200" w:type="dxa"/>
            <w:vAlign w:val="center"/>
          </w:tcPr>
          <w:p w14:paraId="2ACFA111">
            <w:pPr>
              <w:spacing w:line="560" w:lineRule="exact"/>
              <w:jc w:val="center"/>
              <w:rPr>
                <w:rFonts w:ascii="宋体" w:hAnsi="宋体" w:cs="宋体"/>
                <w:b/>
                <w:bCs/>
                <w:highlight w:val="none"/>
              </w:rPr>
            </w:pPr>
            <w:r>
              <w:rPr>
                <w:rFonts w:hint="eastAsia" w:ascii="宋体" w:hAnsi="宋体" w:cs="宋体"/>
                <w:b/>
                <w:bCs/>
                <w:highlight w:val="none"/>
              </w:rPr>
              <w:t>位置</w:t>
            </w:r>
          </w:p>
        </w:tc>
        <w:tc>
          <w:tcPr>
            <w:tcW w:w="811" w:type="dxa"/>
            <w:vAlign w:val="center"/>
          </w:tcPr>
          <w:p w14:paraId="7A62C783">
            <w:pPr>
              <w:spacing w:line="560" w:lineRule="exact"/>
              <w:jc w:val="center"/>
              <w:rPr>
                <w:rFonts w:ascii="宋体" w:hAnsi="宋体" w:cs="宋体"/>
                <w:b/>
                <w:bCs/>
                <w:highlight w:val="none"/>
              </w:rPr>
            </w:pPr>
            <w:r>
              <w:rPr>
                <w:rFonts w:hint="eastAsia" w:ascii="宋体" w:hAnsi="宋体" w:cs="宋体"/>
                <w:b/>
                <w:bCs/>
                <w:highlight w:val="none"/>
              </w:rPr>
              <w:t>数量（组）</w:t>
            </w:r>
          </w:p>
        </w:tc>
        <w:tc>
          <w:tcPr>
            <w:tcW w:w="878" w:type="dxa"/>
            <w:vAlign w:val="center"/>
          </w:tcPr>
          <w:p w14:paraId="3A8CF197">
            <w:pPr>
              <w:spacing w:line="560" w:lineRule="exact"/>
              <w:jc w:val="center"/>
              <w:rPr>
                <w:rFonts w:ascii="宋体" w:hAnsi="宋体" w:cs="宋体"/>
                <w:b/>
                <w:bCs/>
                <w:highlight w:val="none"/>
              </w:rPr>
            </w:pPr>
            <w:r>
              <w:rPr>
                <w:rFonts w:hint="eastAsia" w:ascii="宋体" w:hAnsi="宋体" w:cs="宋体"/>
                <w:b/>
                <w:bCs/>
                <w:highlight w:val="none"/>
              </w:rPr>
              <w:t>格口总数（个）</w:t>
            </w:r>
          </w:p>
        </w:tc>
        <w:tc>
          <w:tcPr>
            <w:tcW w:w="1217" w:type="dxa"/>
            <w:vAlign w:val="center"/>
          </w:tcPr>
          <w:p w14:paraId="4C1CF137">
            <w:pPr>
              <w:spacing w:line="560" w:lineRule="exact"/>
              <w:jc w:val="center"/>
              <w:rPr>
                <w:rFonts w:ascii="宋体" w:hAnsi="宋体" w:cs="宋体"/>
                <w:b/>
                <w:bCs/>
                <w:highlight w:val="none"/>
              </w:rPr>
            </w:pPr>
            <w:r>
              <w:rPr>
                <w:rFonts w:hint="eastAsia" w:ascii="宋体" w:hAnsi="宋体" w:cs="宋体"/>
                <w:b/>
                <w:bCs/>
                <w:highlight w:val="none"/>
              </w:rPr>
              <w:t>占地面积</w:t>
            </w:r>
          </w:p>
          <w:p w14:paraId="0D5EB023">
            <w:pPr>
              <w:spacing w:line="560" w:lineRule="exact"/>
              <w:jc w:val="center"/>
              <w:rPr>
                <w:rFonts w:ascii="宋体" w:hAnsi="宋体" w:cs="宋体"/>
                <w:b/>
                <w:bCs/>
                <w:highlight w:val="none"/>
              </w:rPr>
            </w:pPr>
            <w:r>
              <w:rPr>
                <w:rFonts w:hint="eastAsia" w:ascii="宋体" w:hAnsi="宋体" w:cs="宋体"/>
                <w:b/>
                <w:bCs/>
                <w:highlight w:val="none"/>
              </w:rPr>
              <w:t>(</w:t>
            </w:r>
            <w:r>
              <w:rPr>
                <w:rFonts w:hint="eastAsia" w:ascii="宋体" w:hAnsi="宋体" w:cs="宋体"/>
                <w:b/>
                <w:bCs/>
                <w:spacing w:val="-5"/>
                <w:highlight w:val="none"/>
              </w:rPr>
              <w:t>m²)</w:t>
            </w:r>
          </w:p>
        </w:tc>
        <w:tc>
          <w:tcPr>
            <w:tcW w:w="1289" w:type="dxa"/>
            <w:vAlign w:val="center"/>
          </w:tcPr>
          <w:p w14:paraId="0497EA70">
            <w:pPr>
              <w:spacing w:line="560" w:lineRule="exact"/>
              <w:jc w:val="center"/>
              <w:rPr>
                <w:rFonts w:ascii="宋体" w:hAnsi="宋体" w:cs="宋体"/>
                <w:b/>
                <w:bCs/>
                <w:highlight w:val="none"/>
              </w:rPr>
            </w:pPr>
            <w:r>
              <w:rPr>
                <w:rFonts w:hint="eastAsia" w:ascii="宋体" w:hAnsi="宋体" w:cs="宋体"/>
                <w:b/>
                <w:bCs/>
                <w:highlight w:val="none"/>
              </w:rPr>
              <w:t>款式</w:t>
            </w:r>
          </w:p>
        </w:tc>
        <w:tc>
          <w:tcPr>
            <w:tcW w:w="1096" w:type="dxa"/>
            <w:vAlign w:val="center"/>
          </w:tcPr>
          <w:p w14:paraId="5309753F">
            <w:pPr>
              <w:spacing w:line="560" w:lineRule="exact"/>
              <w:jc w:val="center"/>
              <w:rPr>
                <w:rFonts w:ascii="宋体" w:hAnsi="宋体" w:cs="宋体"/>
                <w:b/>
                <w:bCs/>
                <w:highlight w:val="none"/>
              </w:rPr>
            </w:pPr>
            <w:r>
              <w:rPr>
                <w:rFonts w:hint="eastAsia" w:ascii="宋体" w:hAnsi="宋体" w:cs="宋体"/>
                <w:b/>
                <w:bCs/>
                <w:highlight w:val="none"/>
              </w:rPr>
              <w:t>参考尺寸</w:t>
            </w:r>
          </w:p>
        </w:tc>
      </w:tr>
      <w:tr w14:paraId="3903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restart"/>
            <w:vAlign w:val="center"/>
          </w:tcPr>
          <w:p w14:paraId="3B0864DD">
            <w:pPr>
              <w:spacing w:line="560" w:lineRule="exact"/>
              <w:jc w:val="center"/>
              <w:rPr>
                <w:rFonts w:ascii="宋体" w:hAnsi="宋体" w:cs="宋体"/>
                <w:highlight w:val="none"/>
              </w:rPr>
            </w:pPr>
            <w:r>
              <w:rPr>
                <w:rFonts w:hint="eastAsia" w:ascii="宋体" w:hAnsi="宋体" w:cs="宋体"/>
                <w:highlight w:val="none"/>
              </w:rPr>
              <w:t>一标段</w:t>
            </w:r>
          </w:p>
        </w:tc>
        <w:tc>
          <w:tcPr>
            <w:tcW w:w="1184" w:type="dxa"/>
            <w:vMerge w:val="restart"/>
            <w:vAlign w:val="center"/>
          </w:tcPr>
          <w:p w14:paraId="4C123A4A">
            <w:pPr>
              <w:spacing w:line="560" w:lineRule="exact"/>
              <w:jc w:val="center"/>
              <w:rPr>
                <w:rFonts w:ascii="宋体" w:hAnsi="宋体" w:cs="宋体"/>
                <w:highlight w:val="none"/>
              </w:rPr>
            </w:pPr>
            <w:r>
              <w:rPr>
                <w:rFonts w:hint="eastAsia" w:ascii="宋体" w:hAnsi="宋体" w:cs="宋体"/>
                <w:highlight w:val="none"/>
              </w:rPr>
              <w:t>仙林</w:t>
            </w:r>
          </w:p>
        </w:tc>
        <w:tc>
          <w:tcPr>
            <w:tcW w:w="1200" w:type="dxa"/>
            <w:vAlign w:val="center"/>
          </w:tcPr>
          <w:p w14:paraId="72531813">
            <w:pPr>
              <w:spacing w:line="560" w:lineRule="exact"/>
              <w:jc w:val="center"/>
              <w:rPr>
                <w:rFonts w:ascii="宋体" w:hAnsi="宋体" w:cs="宋体"/>
                <w:highlight w:val="none"/>
              </w:rPr>
            </w:pPr>
            <w:r>
              <w:rPr>
                <w:rFonts w:hint="eastAsia" w:ascii="宋体" w:hAnsi="宋体" w:cs="宋体"/>
                <w:highlight w:val="none"/>
              </w:rPr>
              <w:t>东门</w:t>
            </w:r>
          </w:p>
        </w:tc>
        <w:tc>
          <w:tcPr>
            <w:tcW w:w="811" w:type="dxa"/>
            <w:vAlign w:val="center"/>
          </w:tcPr>
          <w:p w14:paraId="78CF8005">
            <w:pPr>
              <w:spacing w:line="560" w:lineRule="exact"/>
              <w:jc w:val="center"/>
              <w:rPr>
                <w:rFonts w:ascii="宋体" w:hAnsi="宋体" w:cs="宋体"/>
                <w:highlight w:val="none"/>
              </w:rPr>
            </w:pPr>
            <w:r>
              <w:rPr>
                <w:rFonts w:hint="eastAsia" w:ascii="宋体" w:hAnsi="宋体" w:cs="宋体"/>
                <w:highlight w:val="none"/>
              </w:rPr>
              <w:t>13</w:t>
            </w:r>
          </w:p>
        </w:tc>
        <w:tc>
          <w:tcPr>
            <w:tcW w:w="878" w:type="dxa"/>
            <w:vAlign w:val="center"/>
          </w:tcPr>
          <w:p w14:paraId="4B6F280B">
            <w:pPr>
              <w:spacing w:line="560" w:lineRule="exact"/>
              <w:jc w:val="center"/>
              <w:rPr>
                <w:rFonts w:ascii="宋体" w:hAnsi="宋体" w:cs="宋体"/>
                <w:highlight w:val="none"/>
              </w:rPr>
            </w:pPr>
            <w:r>
              <w:rPr>
                <w:rFonts w:hint="eastAsia" w:ascii="宋体" w:hAnsi="宋体" w:cs="宋体"/>
                <w:highlight w:val="none"/>
              </w:rPr>
              <w:t>271</w:t>
            </w:r>
          </w:p>
        </w:tc>
        <w:tc>
          <w:tcPr>
            <w:tcW w:w="1217" w:type="dxa"/>
            <w:vAlign w:val="center"/>
          </w:tcPr>
          <w:p w14:paraId="025FFAF4">
            <w:pPr>
              <w:widowControl/>
              <w:jc w:val="center"/>
              <w:textAlignment w:val="center"/>
              <w:rPr>
                <w:rFonts w:ascii="宋体" w:hAnsi="宋体" w:cs="宋体"/>
                <w:highlight w:val="none"/>
              </w:rPr>
            </w:pPr>
            <w:r>
              <w:rPr>
                <w:rFonts w:hint="eastAsia" w:ascii="宋体" w:hAnsi="宋体" w:cs="宋体"/>
                <w:highlight w:val="none"/>
                <w:lang w:bidi="ar"/>
              </w:rPr>
              <w:t>5.36</w:t>
            </w:r>
          </w:p>
        </w:tc>
        <w:tc>
          <w:tcPr>
            <w:tcW w:w="1289" w:type="dxa"/>
            <w:vAlign w:val="center"/>
          </w:tcPr>
          <w:p w14:paraId="372B04A9">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restart"/>
            <w:vAlign w:val="center"/>
          </w:tcPr>
          <w:p w14:paraId="085E8CB6">
            <w:pPr>
              <w:pStyle w:val="168"/>
              <w:spacing w:line="560" w:lineRule="exact"/>
              <w:jc w:val="center"/>
              <w:rPr>
                <w:rFonts w:ascii="宋体" w:hAnsi="宋体" w:cs="宋体"/>
                <w:spacing w:val="13"/>
                <w:highlight w:val="none"/>
              </w:rPr>
            </w:pPr>
            <w:r>
              <w:rPr>
                <w:rFonts w:hint="eastAsia" w:ascii="宋体" w:hAnsi="宋体" w:cs="宋体"/>
                <w:spacing w:val="13"/>
                <w:highlight w:val="none"/>
              </w:rPr>
              <w:t>每组尺寸</w:t>
            </w:r>
          </w:p>
          <w:p w14:paraId="2E48C6E9">
            <w:pPr>
              <w:pStyle w:val="168"/>
              <w:spacing w:line="560" w:lineRule="exact"/>
              <w:jc w:val="center"/>
              <w:rPr>
                <w:rFonts w:ascii="宋体" w:hAnsi="宋体" w:cs="宋体"/>
                <w:highlight w:val="none"/>
              </w:rPr>
            </w:pPr>
            <w:r>
              <w:rPr>
                <w:rFonts w:hint="eastAsia" w:ascii="宋体" w:hAnsi="宋体" w:cs="宋体"/>
                <w:spacing w:val="-3"/>
                <w:highlight w:val="none"/>
              </w:rPr>
              <w:t>1.03m*0.4m*2m</w:t>
            </w:r>
          </w:p>
        </w:tc>
      </w:tr>
      <w:tr w14:paraId="7232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593466A5">
            <w:pPr>
              <w:spacing w:line="560" w:lineRule="exact"/>
              <w:jc w:val="center"/>
              <w:rPr>
                <w:rFonts w:ascii="宋体" w:hAnsi="宋体" w:cs="宋体"/>
                <w:highlight w:val="none"/>
              </w:rPr>
            </w:pPr>
          </w:p>
        </w:tc>
        <w:tc>
          <w:tcPr>
            <w:tcW w:w="1184" w:type="dxa"/>
            <w:vMerge w:val="continue"/>
            <w:vAlign w:val="center"/>
          </w:tcPr>
          <w:p w14:paraId="4A52BFD4">
            <w:pPr>
              <w:spacing w:line="560" w:lineRule="exact"/>
              <w:jc w:val="center"/>
              <w:rPr>
                <w:rFonts w:ascii="宋体" w:hAnsi="宋体" w:cs="宋体"/>
                <w:highlight w:val="none"/>
              </w:rPr>
            </w:pPr>
          </w:p>
        </w:tc>
        <w:tc>
          <w:tcPr>
            <w:tcW w:w="1200" w:type="dxa"/>
            <w:vAlign w:val="center"/>
          </w:tcPr>
          <w:p w14:paraId="6395F377">
            <w:pPr>
              <w:spacing w:line="560" w:lineRule="exact"/>
              <w:jc w:val="center"/>
              <w:rPr>
                <w:rFonts w:ascii="宋体" w:hAnsi="宋体" w:cs="宋体"/>
                <w:highlight w:val="none"/>
              </w:rPr>
            </w:pPr>
            <w:r>
              <w:rPr>
                <w:rFonts w:hint="eastAsia" w:ascii="宋体" w:hAnsi="宋体" w:cs="宋体"/>
                <w:highlight w:val="none"/>
              </w:rPr>
              <w:t>菊苑东南</w:t>
            </w:r>
          </w:p>
        </w:tc>
        <w:tc>
          <w:tcPr>
            <w:tcW w:w="811" w:type="dxa"/>
            <w:vAlign w:val="center"/>
          </w:tcPr>
          <w:p w14:paraId="0AAA1911">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3A9045D1">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4BD335F2">
            <w:pPr>
              <w:widowControl/>
              <w:jc w:val="center"/>
              <w:textAlignment w:val="center"/>
              <w:rPr>
                <w:rFonts w:ascii="宋体" w:hAnsi="宋体" w:cs="宋体"/>
                <w:highlight w:val="none"/>
                <w:lang w:bidi="ar"/>
              </w:rPr>
            </w:pPr>
            <w:r>
              <w:rPr>
                <w:rFonts w:hint="eastAsia" w:ascii="宋体" w:hAnsi="宋体" w:cs="宋体"/>
                <w:highlight w:val="none"/>
                <w:lang w:bidi="ar"/>
              </w:rPr>
              <w:t>1.24</w:t>
            </w:r>
          </w:p>
        </w:tc>
        <w:tc>
          <w:tcPr>
            <w:tcW w:w="1289" w:type="dxa"/>
            <w:vAlign w:val="center"/>
          </w:tcPr>
          <w:p w14:paraId="00C968A6">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49C052B7">
            <w:pPr>
              <w:spacing w:line="560" w:lineRule="exact"/>
              <w:jc w:val="center"/>
              <w:rPr>
                <w:rFonts w:ascii="宋体" w:hAnsi="宋体" w:cs="宋体"/>
                <w:highlight w:val="none"/>
              </w:rPr>
            </w:pPr>
          </w:p>
        </w:tc>
      </w:tr>
      <w:tr w14:paraId="7DB7C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048F439A">
            <w:pPr>
              <w:spacing w:line="560" w:lineRule="exact"/>
              <w:jc w:val="center"/>
              <w:rPr>
                <w:rFonts w:ascii="宋体" w:hAnsi="宋体" w:cs="宋体"/>
                <w:highlight w:val="none"/>
              </w:rPr>
            </w:pPr>
          </w:p>
        </w:tc>
        <w:tc>
          <w:tcPr>
            <w:tcW w:w="1184" w:type="dxa"/>
            <w:vMerge w:val="continue"/>
            <w:vAlign w:val="center"/>
          </w:tcPr>
          <w:p w14:paraId="07212A43">
            <w:pPr>
              <w:spacing w:line="560" w:lineRule="exact"/>
              <w:jc w:val="center"/>
              <w:rPr>
                <w:rFonts w:ascii="宋体" w:hAnsi="宋体" w:cs="宋体"/>
                <w:highlight w:val="none"/>
              </w:rPr>
            </w:pPr>
          </w:p>
        </w:tc>
        <w:tc>
          <w:tcPr>
            <w:tcW w:w="1200" w:type="dxa"/>
            <w:vAlign w:val="center"/>
          </w:tcPr>
          <w:p w14:paraId="1E5F127A">
            <w:pPr>
              <w:spacing w:line="560" w:lineRule="exact"/>
              <w:jc w:val="center"/>
              <w:rPr>
                <w:rFonts w:ascii="宋体" w:hAnsi="宋体" w:cs="宋体"/>
                <w:highlight w:val="none"/>
              </w:rPr>
            </w:pPr>
            <w:r>
              <w:rPr>
                <w:rFonts w:hint="eastAsia" w:ascii="宋体" w:hAnsi="宋体" w:cs="宋体"/>
                <w:highlight w:val="none"/>
              </w:rPr>
              <w:t>竹苑东</w:t>
            </w:r>
          </w:p>
        </w:tc>
        <w:tc>
          <w:tcPr>
            <w:tcW w:w="811" w:type="dxa"/>
            <w:vAlign w:val="center"/>
          </w:tcPr>
          <w:p w14:paraId="40548665">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05B4B3C0">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0060852D">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11E1BA36">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1BB15933">
            <w:pPr>
              <w:spacing w:line="560" w:lineRule="exact"/>
              <w:jc w:val="center"/>
              <w:rPr>
                <w:rFonts w:ascii="宋体" w:hAnsi="宋体" w:cs="宋体"/>
                <w:highlight w:val="none"/>
              </w:rPr>
            </w:pPr>
          </w:p>
        </w:tc>
      </w:tr>
      <w:tr w14:paraId="63AB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0E9309A0">
            <w:pPr>
              <w:spacing w:line="560" w:lineRule="exact"/>
              <w:jc w:val="center"/>
              <w:rPr>
                <w:rFonts w:ascii="宋体" w:hAnsi="宋体" w:cs="宋体"/>
                <w:highlight w:val="none"/>
              </w:rPr>
            </w:pPr>
          </w:p>
        </w:tc>
        <w:tc>
          <w:tcPr>
            <w:tcW w:w="1184" w:type="dxa"/>
            <w:vMerge w:val="continue"/>
            <w:vAlign w:val="center"/>
          </w:tcPr>
          <w:p w14:paraId="39E50B2E">
            <w:pPr>
              <w:spacing w:line="560" w:lineRule="exact"/>
              <w:jc w:val="center"/>
              <w:rPr>
                <w:rFonts w:ascii="宋体" w:hAnsi="宋体" w:cs="宋体"/>
                <w:highlight w:val="none"/>
              </w:rPr>
            </w:pPr>
          </w:p>
        </w:tc>
        <w:tc>
          <w:tcPr>
            <w:tcW w:w="1200" w:type="dxa"/>
            <w:vAlign w:val="center"/>
          </w:tcPr>
          <w:p w14:paraId="22EAA533">
            <w:pPr>
              <w:spacing w:line="560" w:lineRule="exact"/>
              <w:jc w:val="center"/>
              <w:rPr>
                <w:rFonts w:ascii="宋体" w:hAnsi="宋体" w:cs="宋体"/>
                <w:highlight w:val="none"/>
              </w:rPr>
            </w:pPr>
            <w:r>
              <w:rPr>
                <w:rFonts w:hint="eastAsia" w:ascii="宋体" w:hAnsi="宋体" w:cs="宋体"/>
                <w:highlight w:val="none"/>
              </w:rPr>
              <w:t>南门出口</w:t>
            </w:r>
          </w:p>
        </w:tc>
        <w:tc>
          <w:tcPr>
            <w:tcW w:w="811" w:type="dxa"/>
            <w:vAlign w:val="center"/>
          </w:tcPr>
          <w:p w14:paraId="1ED065EE">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3BE30B1E">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102E4575">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5A2B5EE3">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4CE40BF2">
            <w:pPr>
              <w:spacing w:line="560" w:lineRule="exact"/>
              <w:jc w:val="center"/>
              <w:rPr>
                <w:rFonts w:ascii="宋体" w:hAnsi="宋体" w:cs="宋体"/>
                <w:highlight w:val="none"/>
              </w:rPr>
            </w:pPr>
          </w:p>
        </w:tc>
      </w:tr>
      <w:tr w14:paraId="0D6A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3849B4F7">
            <w:pPr>
              <w:spacing w:line="560" w:lineRule="exact"/>
              <w:jc w:val="center"/>
              <w:rPr>
                <w:rFonts w:ascii="宋体" w:hAnsi="宋体" w:cs="宋体"/>
                <w:highlight w:val="none"/>
              </w:rPr>
            </w:pPr>
          </w:p>
        </w:tc>
        <w:tc>
          <w:tcPr>
            <w:tcW w:w="1184" w:type="dxa"/>
            <w:vMerge w:val="continue"/>
            <w:vAlign w:val="center"/>
          </w:tcPr>
          <w:p w14:paraId="7EB035CD">
            <w:pPr>
              <w:spacing w:line="560" w:lineRule="exact"/>
              <w:jc w:val="center"/>
              <w:rPr>
                <w:rFonts w:ascii="宋体" w:hAnsi="宋体" w:cs="宋体"/>
                <w:highlight w:val="none"/>
              </w:rPr>
            </w:pPr>
          </w:p>
        </w:tc>
        <w:tc>
          <w:tcPr>
            <w:tcW w:w="1200" w:type="dxa"/>
            <w:vAlign w:val="center"/>
          </w:tcPr>
          <w:p w14:paraId="490D0404">
            <w:pPr>
              <w:spacing w:line="560" w:lineRule="exact"/>
              <w:jc w:val="center"/>
              <w:rPr>
                <w:rFonts w:ascii="宋体" w:hAnsi="宋体" w:cs="宋体"/>
                <w:highlight w:val="none"/>
              </w:rPr>
            </w:pPr>
            <w:r>
              <w:rPr>
                <w:rFonts w:hint="eastAsia" w:ascii="宋体" w:hAnsi="宋体" w:cs="宋体"/>
                <w:highlight w:val="none"/>
              </w:rPr>
              <w:t>樱苑西</w:t>
            </w:r>
          </w:p>
        </w:tc>
        <w:tc>
          <w:tcPr>
            <w:tcW w:w="811" w:type="dxa"/>
            <w:vAlign w:val="center"/>
          </w:tcPr>
          <w:p w14:paraId="135FE1C0">
            <w:pPr>
              <w:spacing w:line="560" w:lineRule="exact"/>
              <w:jc w:val="center"/>
              <w:rPr>
                <w:rFonts w:ascii="宋体" w:hAnsi="宋体" w:cs="宋体"/>
                <w:highlight w:val="none"/>
              </w:rPr>
            </w:pPr>
            <w:r>
              <w:rPr>
                <w:rFonts w:hint="eastAsia" w:ascii="宋体" w:hAnsi="宋体" w:cs="宋体"/>
                <w:highlight w:val="none"/>
              </w:rPr>
              <w:t>4</w:t>
            </w:r>
          </w:p>
        </w:tc>
        <w:tc>
          <w:tcPr>
            <w:tcW w:w="878" w:type="dxa"/>
            <w:vAlign w:val="center"/>
          </w:tcPr>
          <w:p w14:paraId="6064437D">
            <w:pPr>
              <w:spacing w:line="560" w:lineRule="exact"/>
              <w:jc w:val="center"/>
              <w:rPr>
                <w:rFonts w:ascii="宋体" w:hAnsi="宋体" w:cs="宋体"/>
                <w:highlight w:val="none"/>
              </w:rPr>
            </w:pPr>
            <w:r>
              <w:rPr>
                <w:rFonts w:hint="eastAsia" w:ascii="宋体" w:hAnsi="宋体" w:cs="宋体"/>
                <w:highlight w:val="none"/>
              </w:rPr>
              <w:t>83</w:t>
            </w:r>
          </w:p>
        </w:tc>
        <w:tc>
          <w:tcPr>
            <w:tcW w:w="1217" w:type="dxa"/>
            <w:vAlign w:val="center"/>
          </w:tcPr>
          <w:p w14:paraId="017DE9DB">
            <w:pPr>
              <w:widowControl/>
              <w:jc w:val="center"/>
              <w:textAlignment w:val="center"/>
              <w:rPr>
                <w:rFonts w:ascii="宋体" w:hAnsi="宋体" w:cs="宋体"/>
                <w:highlight w:val="none"/>
              </w:rPr>
            </w:pPr>
            <w:r>
              <w:rPr>
                <w:rFonts w:hint="eastAsia" w:ascii="宋体" w:hAnsi="宋体" w:cs="宋体"/>
                <w:highlight w:val="none"/>
                <w:lang w:bidi="ar"/>
              </w:rPr>
              <w:t>1.65</w:t>
            </w:r>
          </w:p>
        </w:tc>
        <w:tc>
          <w:tcPr>
            <w:tcW w:w="1289" w:type="dxa"/>
            <w:vAlign w:val="center"/>
          </w:tcPr>
          <w:p w14:paraId="5681290F">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34110EA0">
            <w:pPr>
              <w:spacing w:line="560" w:lineRule="exact"/>
              <w:jc w:val="center"/>
              <w:rPr>
                <w:rFonts w:ascii="宋体" w:hAnsi="宋体" w:cs="宋体"/>
                <w:highlight w:val="none"/>
              </w:rPr>
            </w:pPr>
          </w:p>
        </w:tc>
      </w:tr>
      <w:tr w14:paraId="11A3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57CCCF5A">
            <w:pPr>
              <w:spacing w:line="560" w:lineRule="exact"/>
              <w:jc w:val="center"/>
              <w:rPr>
                <w:rFonts w:ascii="宋体" w:hAnsi="宋体" w:cs="宋体"/>
                <w:highlight w:val="none"/>
              </w:rPr>
            </w:pPr>
          </w:p>
        </w:tc>
        <w:tc>
          <w:tcPr>
            <w:tcW w:w="1184" w:type="dxa"/>
            <w:vMerge w:val="continue"/>
            <w:vAlign w:val="center"/>
          </w:tcPr>
          <w:p w14:paraId="673B9885">
            <w:pPr>
              <w:spacing w:line="560" w:lineRule="exact"/>
              <w:jc w:val="center"/>
              <w:rPr>
                <w:rFonts w:ascii="宋体" w:hAnsi="宋体" w:cs="宋体"/>
                <w:highlight w:val="none"/>
              </w:rPr>
            </w:pPr>
          </w:p>
        </w:tc>
        <w:tc>
          <w:tcPr>
            <w:tcW w:w="1200" w:type="dxa"/>
            <w:vAlign w:val="center"/>
          </w:tcPr>
          <w:p w14:paraId="74570493">
            <w:pPr>
              <w:spacing w:line="560" w:lineRule="exact"/>
              <w:jc w:val="center"/>
              <w:rPr>
                <w:rFonts w:ascii="宋体" w:hAnsi="宋体" w:cs="宋体"/>
                <w:highlight w:val="none"/>
              </w:rPr>
            </w:pPr>
            <w:r>
              <w:rPr>
                <w:rFonts w:hint="eastAsia" w:ascii="宋体" w:hAnsi="宋体" w:cs="宋体"/>
                <w:highlight w:val="none"/>
              </w:rPr>
              <w:t>青教北</w:t>
            </w:r>
          </w:p>
        </w:tc>
        <w:tc>
          <w:tcPr>
            <w:tcW w:w="811" w:type="dxa"/>
            <w:vAlign w:val="center"/>
          </w:tcPr>
          <w:p w14:paraId="49576893">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39539BE8">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5790D837">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6AC39403">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6C1235B7">
            <w:pPr>
              <w:spacing w:line="560" w:lineRule="exact"/>
              <w:jc w:val="center"/>
              <w:rPr>
                <w:rFonts w:ascii="宋体" w:hAnsi="宋体" w:cs="宋体"/>
                <w:highlight w:val="none"/>
              </w:rPr>
            </w:pPr>
          </w:p>
        </w:tc>
      </w:tr>
      <w:tr w14:paraId="0A8C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4F22A622">
            <w:pPr>
              <w:spacing w:line="560" w:lineRule="exact"/>
              <w:jc w:val="center"/>
              <w:rPr>
                <w:rFonts w:ascii="宋体" w:hAnsi="宋体" w:cs="宋体"/>
                <w:highlight w:val="none"/>
              </w:rPr>
            </w:pPr>
          </w:p>
        </w:tc>
        <w:tc>
          <w:tcPr>
            <w:tcW w:w="1184" w:type="dxa"/>
            <w:vMerge w:val="continue"/>
            <w:vAlign w:val="center"/>
          </w:tcPr>
          <w:p w14:paraId="7F4C33AD">
            <w:pPr>
              <w:spacing w:line="560" w:lineRule="exact"/>
              <w:jc w:val="center"/>
              <w:rPr>
                <w:rFonts w:ascii="宋体" w:hAnsi="宋体" w:cs="宋体"/>
                <w:highlight w:val="none"/>
              </w:rPr>
            </w:pPr>
          </w:p>
        </w:tc>
        <w:tc>
          <w:tcPr>
            <w:tcW w:w="1200" w:type="dxa"/>
            <w:vAlign w:val="center"/>
          </w:tcPr>
          <w:p w14:paraId="29675F12">
            <w:pPr>
              <w:spacing w:line="560" w:lineRule="exact"/>
              <w:jc w:val="center"/>
              <w:rPr>
                <w:rFonts w:ascii="宋体" w:hAnsi="宋体" w:cs="宋体"/>
                <w:highlight w:val="none"/>
              </w:rPr>
            </w:pPr>
            <w:r>
              <w:rPr>
                <w:rFonts w:hint="eastAsia" w:ascii="宋体" w:hAnsi="宋体" w:cs="宋体"/>
                <w:highlight w:val="none"/>
              </w:rPr>
              <w:t>青教西</w:t>
            </w:r>
          </w:p>
        </w:tc>
        <w:tc>
          <w:tcPr>
            <w:tcW w:w="811" w:type="dxa"/>
            <w:vAlign w:val="center"/>
          </w:tcPr>
          <w:p w14:paraId="7DB70CAD">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726E5290">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0D625920">
            <w:pPr>
              <w:widowControl/>
              <w:jc w:val="center"/>
              <w:textAlignment w:val="center"/>
              <w:rPr>
                <w:rFonts w:ascii="宋体" w:hAnsi="宋体" w:cs="宋体"/>
                <w:highlight w:val="none"/>
                <w:lang w:bidi="ar"/>
              </w:rPr>
            </w:pPr>
            <w:r>
              <w:rPr>
                <w:rFonts w:hint="eastAsia" w:ascii="宋体" w:hAnsi="宋体" w:cs="宋体"/>
                <w:highlight w:val="none"/>
                <w:lang w:bidi="ar"/>
              </w:rPr>
              <w:t>1.24</w:t>
            </w:r>
          </w:p>
        </w:tc>
        <w:tc>
          <w:tcPr>
            <w:tcW w:w="1289" w:type="dxa"/>
            <w:vAlign w:val="center"/>
          </w:tcPr>
          <w:p w14:paraId="1101C904">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0C894E43">
            <w:pPr>
              <w:spacing w:line="560" w:lineRule="exact"/>
              <w:jc w:val="center"/>
              <w:rPr>
                <w:rFonts w:ascii="宋体" w:hAnsi="宋体" w:cs="宋体"/>
                <w:highlight w:val="none"/>
              </w:rPr>
            </w:pPr>
          </w:p>
        </w:tc>
      </w:tr>
      <w:tr w14:paraId="203C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3A3A5219">
            <w:pPr>
              <w:spacing w:line="560" w:lineRule="exact"/>
              <w:jc w:val="center"/>
              <w:rPr>
                <w:rFonts w:ascii="宋体" w:hAnsi="宋体" w:cs="宋体"/>
                <w:highlight w:val="none"/>
              </w:rPr>
            </w:pPr>
          </w:p>
        </w:tc>
        <w:tc>
          <w:tcPr>
            <w:tcW w:w="1184" w:type="dxa"/>
            <w:vMerge w:val="continue"/>
            <w:vAlign w:val="center"/>
          </w:tcPr>
          <w:p w14:paraId="6A6C6B50">
            <w:pPr>
              <w:spacing w:line="560" w:lineRule="exact"/>
              <w:jc w:val="center"/>
              <w:rPr>
                <w:rFonts w:ascii="宋体" w:hAnsi="宋体" w:cs="宋体"/>
                <w:highlight w:val="none"/>
              </w:rPr>
            </w:pPr>
          </w:p>
        </w:tc>
        <w:tc>
          <w:tcPr>
            <w:tcW w:w="1200" w:type="dxa"/>
            <w:vAlign w:val="center"/>
          </w:tcPr>
          <w:p w14:paraId="5C5DBAEC">
            <w:pPr>
              <w:spacing w:line="560" w:lineRule="exact"/>
              <w:jc w:val="center"/>
              <w:rPr>
                <w:rFonts w:ascii="宋体" w:hAnsi="宋体" w:cs="宋体"/>
                <w:highlight w:val="none"/>
              </w:rPr>
            </w:pPr>
            <w:r>
              <w:rPr>
                <w:rFonts w:hint="eastAsia" w:ascii="宋体" w:hAnsi="宋体" w:cs="宋体"/>
                <w:highlight w:val="none"/>
              </w:rPr>
              <w:t>兰苑东</w:t>
            </w:r>
          </w:p>
        </w:tc>
        <w:tc>
          <w:tcPr>
            <w:tcW w:w="811" w:type="dxa"/>
            <w:vAlign w:val="center"/>
          </w:tcPr>
          <w:p w14:paraId="12D8C7EE">
            <w:pPr>
              <w:spacing w:line="560" w:lineRule="exact"/>
              <w:jc w:val="center"/>
              <w:rPr>
                <w:rFonts w:ascii="宋体" w:hAnsi="宋体" w:cs="宋体"/>
                <w:highlight w:val="none"/>
              </w:rPr>
            </w:pPr>
            <w:r>
              <w:rPr>
                <w:rFonts w:hint="eastAsia" w:ascii="宋体" w:hAnsi="宋体" w:cs="宋体"/>
                <w:highlight w:val="none"/>
              </w:rPr>
              <w:t>6</w:t>
            </w:r>
          </w:p>
        </w:tc>
        <w:tc>
          <w:tcPr>
            <w:tcW w:w="878" w:type="dxa"/>
            <w:vAlign w:val="center"/>
          </w:tcPr>
          <w:p w14:paraId="217AA0EC">
            <w:pPr>
              <w:spacing w:line="560" w:lineRule="exact"/>
              <w:jc w:val="center"/>
              <w:rPr>
                <w:rFonts w:ascii="宋体" w:hAnsi="宋体" w:cs="宋体"/>
                <w:highlight w:val="none"/>
              </w:rPr>
            </w:pPr>
            <w:r>
              <w:rPr>
                <w:rFonts w:hint="eastAsia" w:ascii="宋体" w:hAnsi="宋体" w:cs="宋体"/>
                <w:highlight w:val="none"/>
              </w:rPr>
              <w:t>125</w:t>
            </w:r>
          </w:p>
        </w:tc>
        <w:tc>
          <w:tcPr>
            <w:tcW w:w="1217" w:type="dxa"/>
            <w:vAlign w:val="center"/>
          </w:tcPr>
          <w:p w14:paraId="787C3EB2">
            <w:pPr>
              <w:widowControl/>
              <w:jc w:val="center"/>
              <w:textAlignment w:val="center"/>
              <w:rPr>
                <w:rFonts w:ascii="宋体" w:hAnsi="宋体" w:cs="宋体"/>
                <w:highlight w:val="none"/>
              </w:rPr>
            </w:pPr>
            <w:r>
              <w:rPr>
                <w:rFonts w:hint="eastAsia" w:ascii="宋体" w:hAnsi="宋体" w:cs="宋体"/>
                <w:highlight w:val="none"/>
                <w:lang w:bidi="ar"/>
              </w:rPr>
              <w:t>2.47</w:t>
            </w:r>
          </w:p>
        </w:tc>
        <w:tc>
          <w:tcPr>
            <w:tcW w:w="1289" w:type="dxa"/>
            <w:vAlign w:val="center"/>
          </w:tcPr>
          <w:p w14:paraId="517E1F02">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6E7882BD">
            <w:pPr>
              <w:spacing w:line="560" w:lineRule="exact"/>
              <w:jc w:val="center"/>
              <w:rPr>
                <w:rFonts w:ascii="宋体" w:hAnsi="宋体" w:cs="宋体"/>
                <w:highlight w:val="none"/>
              </w:rPr>
            </w:pPr>
          </w:p>
        </w:tc>
      </w:tr>
      <w:tr w14:paraId="7171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184" w:type="dxa"/>
            <w:vMerge w:val="continue"/>
            <w:vAlign w:val="center"/>
          </w:tcPr>
          <w:p w14:paraId="4CE97822">
            <w:pPr>
              <w:spacing w:line="560" w:lineRule="exact"/>
              <w:jc w:val="center"/>
              <w:rPr>
                <w:rFonts w:ascii="宋体" w:hAnsi="宋体" w:cs="宋体"/>
                <w:highlight w:val="none"/>
              </w:rPr>
            </w:pPr>
          </w:p>
        </w:tc>
        <w:tc>
          <w:tcPr>
            <w:tcW w:w="1184" w:type="dxa"/>
            <w:vMerge w:val="continue"/>
            <w:vAlign w:val="center"/>
          </w:tcPr>
          <w:p w14:paraId="33B2974E">
            <w:pPr>
              <w:spacing w:line="560" w:lineRule="exact"/>
              <w:jc w:val="center"/>
              <w:rPr>
                <w:rFonts w:ascii="宋体" w:hAnsi="宋体" w:cs="宋体"/>
                <w:highlight w:val="none"/>
              </w:rPr>
            </w:pPr>
          </w:p>
        </w:tc>
        <w:tc>
          <w:tcPr>
            <w:tcW w:w="1200" w:type="dxa"/>
            <w:vAlign w:val="center"/>
          </w:tcPr>
          <w:p w14:paraId="656354D7">
            <w:pPr>
              <w:spacing w:line="560" w:lineRule="exact"/>
              <w:jc w:val="center"/>
              <w:rPr>
                <w:rFonts w:ascii="宋体" w:hAnsi="宋体" w:cs="宋体"/>
                <w:highlight w:val="none"/>
              </w:rPr>
            </w:pPr>
            <w:r>
              <w:rPr>
                <w:rFonts w:hint="eastAsia" w:ascii="宋体" w:hAnsi="宋体" w:cs="宋体"/>
                <w:highlight w:val="none"/>
              </w:rPr>
              <w:t>北门</w:t>
            </w:r>
          </w:p>
        </w:tc>
        <w:tc>
          <w:tcPr>
            <w:tcW w:w="811" w:type="dxa"/>
            <w:vAlign w:val="center"/>
          </w:tcPr>
          <w:p w14:paraId="2EBA9D37">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482E0A0B">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29441147">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33579CFF">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432EB210">
            <w:pPr>
              <w:spacing w:line="560" w:lineRule="exact"/>
              <w:jc w:val="center"/>
              <w:rPr>
                <w:rFonts w:ascii="宋体" w:hAnsi="宋体" w:cs="宋体"/>
                <w:highlight w:val="none"/>
              </w:rPr>
            </w:pPr>
          </w:p>
        </w:tc>
      </w:tr>
      <w:tr w14:paraId="383A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68" w:type="dxa"/>
            <w:gridSpan w:val="3"/>
            <w:vAlign w:val="center"/>
          </w:tcPr>
          <w:p w14:paraId="37771BDD">
            <w:pPr>
              <w:spacing w:line="560" w:lineRule="exact"/>
              <w:jc w:val="center"/>
              <w:rPr>
                <w:rFonts w:ascii="宋体" w:hAnsi="宋体" w:cs="宋体"/>
                <w:b/>
                <w:bCs/>
                <w:highlight w:val="none"/>
              </w:rPr>
            </w:pPr>
            <w:r>
              <w:rPr>
                <w:rFonts w:hint="eastAsia" w:ascii="宋体" w:hAnsi="宋体" w:cs="宋体"/>
                <w:b/>
                <w:bCs/>
                <w:highlight w:val="none"/>
              </w:rPr>
              <w:t>合计</w:t>
            </w:r>
          </w:p>
        </w:tc>
        <w:tc>
          <w:tcPr>
            <w:tcW w:w="811" w:type="dxa"/>
            <w:shd w:val="clear" w:color="auto" w:fill="auto"/>
            <w:vAlign w:val="center"/>
          </w:tcPr>
          <w:p w14:paraId="6F74ADF2">
            <w:pPr>
              <w:widowControl/>
              <w:jc w:val="center"/>
              <w:textAlignment w:val="center"/>
              <w:rPr>
                <w:rFonts w:ascii="宋体" w:hAnsi="宋体" w:cs="宋体"/>
                <w:b/>
                <w:bCs/>
                <w:sz w:val="22"/>
                <w:highlight w:val="none"/>
              </w:rPr>
            </w:pPr>
            <w:r>
              <w:rPr>
                <w:rFonts w:hint="eastAsia" w:ascii="宋体" w:hAnsi="宋体" w:cs="宋体"/>
                <w:b/>
                <w:bCs/>
                <w:sz w:val="22"/>
                <w:highlight w:val="none"/>
                <w:lang w:bidi="ar"/>
              </w:rPr>
              <w:t>41</w:t>
            </w:r>
          </w:p>
        </w:tc>
        <w:tc>
          <w:tcPr>
            <w:tcW w:w="878" w:type="dxa"/>
            <w:shd w:val="clear" w:color="auto" w:fill="auto"/>
            <w:vAlign w:val="center"/>
          </w:tcPr>
          <w:p w14:paraId="6A4213C0">
            <w:pPr>
              <w:widowControl/>
              <w:jc w:val="center"/>
              <w:textAlignment w:val="center"/>
              <w:rPr>
                <w:rFonts w:ascii="宋体" w:hAnsi="宋体" w:cs="宋体"/>
                <w:b/>
                <w:bCs/>
                <w:sz w:val="22"/>
                <w:highlight w:val="none"/>
              </w:rPr>
            </w:pPr>
            <w:r>
              <w:rPr>
                <w:rFonts w:hint="eastAsia" w:ascii="宋体" w:hAnsi="宋体" w:cs="宋体"/>
                <w:b/>
                <w:bCs/>
                <w:sz w:val="22"/>
                <w:highlight w:val="none"/>
                <w:lang w:bidi="ar"/>
              </w:rPr>
              <w:t>851</w:t>
            </w:r>
          </w:p>
        </w:tc>
        <w:tc>
          <w:tcPr>
            <w:tcW w:w="1217" w:type="dxa"/>
            <w:shd w:val="clear" w:color="auto" w:fill="auto"/>
            <w:vAlign w:val="center"/>
          </w:tcPr>
          <w:p w14:paraId="03FC89E4">
            <w:pPr>
              <w:widowControl/>
              <w:jc w:val="center"/>
              <w:textAlignment w:val="center"/>
              <w:rPr>
                <w:rFonts w:ascii="宋体" w:hAnsi="宋体" w:cs="宋体"/>
                <w:b/>
                <w:bCs/>
                <w:sz w:val="22"/>
                <w:highlight w:val="none"/>
              </w:rPr>
            </w:pPr>
            <w:r>
              <w:rPr>
                <w:rFonts w:hint="eastAsia" w:ascii="宋体" w:hAnsi="宋体" w:cs="宋体"/>
                <w:b/>
                <w:bCs/>
                <w:sz w:val="22"/>
                <w:highlight w:val="none"/>
                <w:lang w:bidi="ar"/>
              </w:rPr>
              <w:t>16.92</w:t>
            </w:r>
          </w:p>
        </w:tc>
        <w:tc>
          <w:tcPr>
            <w:tcW w:w="2385" w:type="dxa"/>
            <w:gridSpan w:val="2"/>
            <w:vAlign w:val="center"/>
          </w:tcPr>
          <w:p w14:paraId="0A429AD7">
            <w:pPr>
              <w:spacing w:line="560" w:lineRule="exact"/>
              <w:jc w:val="center"/>
              <w:rPr>
                <w:rFonts w:ascii="宋体" w:hAnsi="宋体" w:cs="宋体"/>
                <w:highlight w:val="none"/>
              </w:rPr>
            </w:pPr>
          </w:p>
        </w:tc>
      </w:tr>
      <w:tr w14:paraId="68C1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restart"/>
            <w:vAlign w:val="center"/>
          </w:tcPr>
          <w:p w14:paraId="46D49D79">
            <w:pPr>
              <w:spacing w:line="560" w:lineRule="exact"/>
              <w:jc w:val="center"/>
              <w:rPr>
                <w:rFonts w:ascii="宋体" w:hAnsi="宋体" w:cs="宋体"/>
                <w:highlight w:val="none"/>
              </w:rPr>
            </w:pPr>
            <w:r>
              <w:rPr>
                <w:rFonts w:hint="eastAsia" w:ascii="宋体" w:hAnsi="宋体" w:cs="宋体"/>
                <w:highlight w:val="none"/>
              </w:rPr>
              <w:t>二标段</w:t>
            </w:r>
          </w:p>
        </w:tc>
        <w:tc>
          <w:tcPr>
            <w:tcW w:w="1184" w:type="dxa"/>
            <w:vMerge w:val="restart"/>
            <w:vAlign w:val="center"/>
          </w:tcPr>
          <w:p w14:paraId="65A9F536">
            <w:pPr>
              <w:spacing w:line="560" w:lineRule="exact"/>
              <w:jc w:val="center"/>
              <w:rPr>
                <w:rFonts w:ascii="宋体" w:hAnsi="宋体" w:cs="宋体"/>
                <w:highlight w:val="none"/>
              </w:rPr>
            </w:pPr>
            <w:r>
              <w:rPr>
                <w:rFonts w:hint="eastAsia" w:ascii="宋体" w:hAnsi="宋体" w:cs="宋体"/>
                <w:highlight w:val="none"/>
              </w:rPr>
              <w:t>三牌楼</w:t>
            </w:r>
          </w:p>
        </w:tc>
        <w:tc>
          <w:tcPr>
            <w:tcW w:w="1200" w:type="dxa"/>
            <w:vAlign w:val="center"/>
          </w:tcPr>
          <w:p w14:paraId="4430F2AE">
            <w:pPr>
              <w:spacing w:line="560" w:lineRule="exact"/>
              <w:jc w:val="center"/>
              <w:rPr>
                <w:rFonts w:ascii="宋体" w:hAnsi="宋体" w:cs="宋体"/>
                <w:highlight w:val="none"/>
              </w:rPr>
            </w:pPr>
            <w:r>
              <w:rPr>
                <w:rFonts w:hint="eastAsia" w:ascii="宋体" w:hAnsi="宋体" w:cs="宋体"/>
                <w:highlight w:val="none"/>
              </w:rPr>
              <w:t>东门</w:t>
            </w:r>
          </w:p>
        </w:tc>
        <w:tc>
          <w:tcPr>
            <w:tcW w:w="811" w:type="dxa"/>
            <w:vAlign w:val="center"/>
          </w:tcPr>
          <w:p w14:paraId="24DAE3CA">
            <w:pPr>
              <w:spacing w:line="560" w:lineRule="exact"/>
              <w:jc w:val="center"/>
              <w:rPr>
                <w:rFonts w:ascii="宋体" w:hAnsi="宋体" w:cs="宋体"/>
                <w:highlight w:val="none"/>
              </w:rPr>
            </w:pPr>
            <w:r>
              <w:rPr>
                <w:rFonts w:hint="eastAsia" w:ascii="宋体" w:hAnsi="宋体" w:cs="宋体"/>
                <w:highlight w:val="none"/>
              </w:rPr>
              <w:t>12</w:t>
            </w:r>
          </w:p>
        </w:tc>
        <w:tc>
          <w:tcPr>
            <w:tcW w:w="878" w:type="dxa"/>
            <w:vAlign w:val="center"/>
          </w:tcPr>
          <w:p w14:paraId="7C618968">
            <w:pPr>
              <w:spacing w:line="560" w:lineRule="exact"/>
              <w:jc w:val="center"/>
              <w:rPr>
                <w:rFonts w:ascii="宋体" w:hAnsi="宋体" w:cs="宋体"/>
                <w:highlight w:val="none"/>
              </w:rPr>
            </w:pPr>
            <w:r>
              <w:rPr>
                <w:rFonts w:hint="eastAsia" w:ascii="宋体" w:hAnsi="宋体" w:cs="宋体"/>
                <w:highlight w:val="none"/>
              </w:rPr>
              <w:t>250</w:t>
            </w:r>
          </w:p>
        </w:tc>
        <w:tc>
          <w:tcPr>
            <w:tcW w:w="1217" w:type="dxa"/>
            <w:vAlign w:val="center"/>
          </w:tcPr>
          <w:p w14:paraId="44E1507E">
            <w:pPr>
              <w:widowControl/>
              <w:jc w:val="center"/>
              <w:textAlignment w:val="center"/>
              <w:rPr>
                <w:rFonts w:ascii="宋体" w:hAnsi="宋体" w:cs="宋体"/>
                <w:highlight w:val="none"/>
              </w:rPr>
            </w:pPr>
            <w:r>
              <w:rPr>
                <w:rFonts w:hint="eastAsia" w:ascii="宋体" w:hAnsi="宋体" w:cs="宋体"/>
                <w:highlight w:val="none"/>
                <w:lang w:bidi="ar"/>
              </w:rPr>
              <w:t>4.94</w:t>
            </w:r>
          </w:p>
        </w:tc>
        <w:tc>
          <w:tcPr>
            <w:tcW w:w="1289" w:type="dxa"/>
            <w:vAlign w:val="center"/>
          </w:tcPr>
          <w:p w14:paraId="12D9D967">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restart"/>
            <w:vAlign w:val="center"/>
          </w:tcPr>
          <w:p w14:paraId="4A75FFE9">
            <w:pPr>
              <w:pStyle w:val="168"/>
              <w:spacing w:line="560" w:lineRule="exact"/>
              <w:jc w:val="center"/>
              <w:rPr>
                <w:rFonts w:ascii="宋体" w:hAnsi="宋体" w:cs="宋体"/>
                <w:spacing w:val="13"/>
                <w:highlight w:val="none"/>
              </w:rPr>
            </w:pPr>
            <w:r>
              <w:rPr>
                <w:rFonts w:hint="eastAsia" w:ascii="宋体" w:hAnsi="宋体" w:cs="宋体"/>
                <w:spacing w:val="13"/>
                <w:highlight w:val="none"/>
              </w:rPr>
              <w:t>每组尺寸</w:t>
            </w:r>
          </w:p>
          <w:p w14:paraId="2BE77007">
            <w:pPr>
              <w:spacing w:line="560" w:lineRule="exact"/>
              <w:jc w:val="center"/>
              <w:rPr>
                <w:rFonts w:ascii="宋体" w:hAnsi="宋体" w:cs="宋体"/>
                <w:highlight w:val="none"/>
              </w:rPr>
            </w:pPr>
            <w:r>
              <w:rPr>
                <w:rFonts w:hint="eastAsia" w:ascii="宋体" w:hAnsi="宋体" w:cs="宋体"/>
                <w:spacing w:val="-3"/>
                <w:highlight w:val="none"/>
              </w:rPr>
              <w:t>1.03m*0.4m*2m</w:t>
            </w:r>
          </w:p>
        </w:tc>
      </w:tr>
      <w:tr w14:paraId="4EB6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62CA80C4">
            <w:pPr>
              <w:spacing w:line="560" w:lineRule="exact"/>
              <w:jc w:val="center"/>
              <w:rPr>
                <w:rFonts w:ascii="宋体" w:hAnsi="宋体" w:cs="宋体"/>
                <w:highlight w:val="none"/>
              </w:rPr>
            </w:pPr>
          </w:p>
        </w:tc>
        <w:tc>
          <w:tcPr>
            <w:tcW w:w="1184" w:type="dxa"/>
            <w:vMerge w:val="continue"/>
            <w:vAlign w:val="center"/>
          </w:tcPr>
          <w:p w14:paraId="0DBAD824">
            <w:pPr>
              <w:spacing w:line="560" w:lineRule="exact"/>
              <w:jc w:val="center"/>
              <w:rPr>
                <w:rFonts w:ascii="宋体" w:hAnsi="宋体" w:cs="宋体"/>
                <w:highlight w:val="none"/>
              </w:rPr>
            </w:pPr>
          </w:p>
        </w:tc>
        <w:tc>
          <w:tcPr>
            <w:tcW w:w="1200" w:type="dxa"/>
            <w:vAlign w:val="center"/>
          </w:tcPr>
          <w:p w14:paraId="540296FF">
            <w:pPr>
              <w:spacing w:line="560" w:lineRule="exact"/>
              <w:jc w:val="center"/>
              <w:rPr>
                <w:rFonts w:ascii="宋体" w:hAnsi="宋体" w:cs="宋体"/>
                <w:highlight w:val="none"/>
              </w:rPr>
            </w:pPr>
            <w:r>
              <w:rPr>
                <w:rFonts w:hint="eastAsia" w:ascii="宋体" w:hAnsi="宋体" w:cs="宋体"/>
                <w:highlight w:val="none"/>
              </w:rPr>
              <w:t>南门</w:t>
            </w:r>
          </w:p>
        </w:tc>
        <w:tc>
          <w:tcPr>
            <w:tcW w:w="811" w:type="dxa"/>
            <w:vAlign w:val="center"/>
          </w:tcPr>
          <w:p w14:paraId="02679E24">
            <w:pPr>
              <w:spacing w:line="560" w:lineRule="exact"/>
              <w:jc w:val="center"/>
              <w:rPr>
                <w:rFonts w:ascii="宋体" w:hAnsi="宋体" w:cs="宋体"/>
                <w:highlight w:val="none"/>
              </w:rPr>
            </w:pPr>
            <w:r>
              <w:rPr>
                <w:rFonts w:hint="eastAsia" w:ascii="宋体" w:hAnsi="宋体" w:cs="宋体"/>
                <w:highlight w:val="none"/>
              </w:rPr>
              <w:t>2</w:t>
            </w:r>
          </w:p>
        </w:tc>
        <w:tc>
          <w:tcPr>
            <w:tcW w:w="878" w:type="dxa"/>
            <w:vAlign w:val="center"/>
          </w:tcPr>
          <w:p w14:paraId="5C2A74F6">
            <w:pPr>
              <w:spacing w:line="560" w:lineRule="exact"/>
              <w:jc w:val="center"/>
              <w:rPr>
                <w:rFonts w:ascii="宋体" w:hAnsi="宋体" w:cs="宋体"/>
                <w:highlight w:val="none"/>
              </w:rPr>
            </w:pPr>
            <w:r>
              <w:rPr>
                <w:rFonts w:hint="eastAsia" w:ascii="宋体" w:hAnsi="宋体" w:cs="宋体"/>
                <w:highlight w:val="none"/>
              </w:rPr>
              <w:t>41</w:t>
            </w:r>
          </w:p>
        </w:tc>
        <w:tc>
          <w:tcPr>
            <w:tcW w:w="1217" w:type="dxa"/>
            <w:vAlign w:val="center"/>
          </w:tcPr>
          <w:p w14:paraId="63D5EFD0">
            <w:pPr>
              <w:widowControl/>
              <w:jc w:val="center"/>
              <w:textAlignment w:val="center"/>
              <w:rPr>
                <w:rFonts w:ascii="宋体" w:hAnsi="宋体" w:cs="宋体"/>
                <w:highlight w:val="none"/>
              </w:rPr>
            </w:pPr>
            <w:r>
              <w:rPr>
                <w:rFonts w:hint="eastAsia" w:ascii="宋体" w:hAnsi="宋体" w:cs="宋体"/>
                <w:highlight w:val="none"/>
                <w:lang w:bidi="ar"/>
              </w:rPr>
              <w:t>0.82</w:t>
            </w:r>
          </w:p>
        </w:tc>
        <w:tc>
          <w:tcPr>
            <w:tcW w:w="1289" w:type="dxa"/>
            <w:vAlign w:val="center"/>
          </w:tcPr>
          <w:p w14:paraId="215DE55E">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2A3502B8">
            <w:pPr>
              <w:spacing w:line="560" w:lineRule="exact"/>
              <w:jc w:val="center"/>
              <w:rPr>
                <w:rFonts w:ascii="宋体" w:hAnsi="宋体" w:cs="宋体"/>
                <w:highlight w:val="none"/>
              </w:rPr>
            </w:pPr>
          </w:p>
        </w:tc>
      </w:tr>
      <w:tr w14:paraId="10163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398A20B1">
            <w:pPr>
              <w:spacing w:line="560" w:lineRule="exact"/>
              <w:jc w:val="center"/>
              <w:rPr>
                <w:rFonts w:ascii="宋体" w:hAnsi="宋体" w:cs="宋体"/>
                <w:highlight w:val="none"/>
              </w:rPr>
            </w:pPr>
          </w:p>
        </w:tc>
        <w:tc>
          <w:tcPr>
            <w:tcW w:w="1184" w:type="dxa"/>
            <w:vMerge w:val="continue"/>
            <w:vAlign w:val="center"/>
          </w:tcPr>
          <w:p w14:paraId="0314F6A1">
            <w:pPr>
              <w:spacing w:line="560" w:lineRule="exact"/>
              <w:jc w:val="center"/>
              <w:rPr>
                <w:rFonts w:ascii="宋体" w:hAnsi="宋体" w:cs="宋体"/>
                <w:highlight w:val="none"/>
              </w:rPr>
            </w:pPr>
          </w:p>
        </w:tc>
        <w:tc>
          <w:tcPr>
            <w:tcW w:w="1200" w:type="dxa"/>
            <w:vAlign w:val="center"/>
          </w:tcPr>
          <w:p w14:paraId="5646272C">
            <w:pPr>
              <w:spacing w:line="560" w:lineRule="exact"/>
              <w:jc w:val="center"/>
              <w:rPr>
                <w:rFonts w:ascii="宋体" w:hAnsi="宋体" w:cs="宋体"/>
                <w:highlight w:val="none"/>
              </w:rPr>
            </w:pPr>
            <w:r>
              <w:rPr>
                <w:rFonts w:hint="eastAsia" w:ascii="宋体" w:hAnsi="宋体" w:cs="宋体"/>
                <w:highlight w:val="none"/>
              </w:rPr>
              <w:t>学1楼东</w:t>
            </w:r>
          </w:p>
        </w:tc>
        <w:tc>
          <w:tcPr>
            <w:tcW w:w="811" w:type="dxa"/>
            <w:vAlign w:val="center"/>
          </w:tcPr>
          <w:p w14:paraId="5C59B507">
            <w:pPr>
              <w:spacing w:line="560" w:lineRule="exact"/>
              <w:jc w:val="center"/>
              <w:rPr>
                <w:rFonts w:ascii="宋体" w:hAnsi="宋体" w:cs="宋体"/>
                <w:highlight w:val="none"/>
              </w:rPr>
            </w:pPr>
            <w:r>
              <w:rPr>
                <w:rFonts w:hint="eastAsia" w:ascii="宋体" w:hAnsi="宋体" w:cs="宋体"/>
                <w:highlight w:val="none"/>
              </w:rPr>
              <w:t>12</w:t>
            </w:r>
          </w:p>
        </w:tc>
        <w:tc>
          <w:tcPr>
            <w:tcW w:w="878" w:type="dxa"/>
            <w:vAlign w:val="center"/>
          </w:tcPr>
          <w:p w14:paraId="7882A98D">
            <w:pPr>
              <w:spacing w:line="560" w:lineRule="exact"/>
              <w:jc w:val="center"/>
              <w:rPr>
                <w:rFonts w:ascii="宋体" w:hAnsi="宋体" w:cs="宋体"/>
                <w:highlight w:val="none"/>
              </w:rPr>
            </w:pPr>
            <w:r>
              <w:rPr>
                <w:rFonts w:hint="eastAsia" w:ascii="宋体" w:hAnsi="宋体" w:cs="宋体"/>
                <w:highlight w:val="none"/>
              </w:rPr>
              <w:t>250</w:t>
            </w:r>
          </w:p>
        </w:tc>
        <w:tc>
          <w:tcPr>
            <w:tcW w:w="1217" w:type="dxa"/>
            <w:vAlign w:val="center"/>
          </w:tcPr>
          <w:p w14:paraId="47AF8886">
            <w:pPr>
              <w:widowControl/>
              <w:jc w:val="center"/>
              <w:textAlignment w:val="center"/>
              <w:rPr>
                <w:rFonts w:ascii="宋体" w:hAnsi="宋体" w:cs="宋体"/>
                <w:highlight w:val="none"/>
              </w:rPr>
            </w:pPr>
            <w:r>
              <w:rPr>
                <w:rFonts w:hint="eastAsia" w:ascii="宋体" w:hAnsi="宋体" w:cs="宋体"/>
                <w:highlight w:val="none"/>
                <w:lang w:bidi="ar"/>
              </w:rPr>
              <w:t>4.94</w:t>
            </w:r>
          </w:p>
        </w:tc>
        <w:tc>
          <w:tcPr>
            <w:tcW w:w="1289" w:type="dxa"/>
            <w:vAlign w:val="center"/>
          </w:tcPr>
          <w:p w14:paraId="341551B9">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30ED0644">
            <w:pPr>
              <w:spacing w:line="560" w:lineRule="exact"/>
              <w:jc w:val="center"/>
              <w:rPr>
                <w:rFonts w:ascii="宋体" w:hAnsi="宋体" w:cs="宋体"/>
                <w:highlight w:val="none"/>
              </w:rPr>
            </w:pPr>
          </w:p>
        </w:tc>
      </w:tr>
      <w:tr w14:paraId="37615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184" w:type="dxa"/>
            <w:vMerge w:val="continue"/>
            <w:vAlign w:val="center"/>
          </w:tcPr>
          <w:p w14:paraId="3EBAC739">
            <w:pPr>
              <w:spacing w:line="560" w:lineRule="exact"/>
              <w:jc w:val="center"/>
              <w:rPr>
                <w:rFonts w:ascii="宋体" w:hAnsi="宋体" w:cs="宋体"/>
                <w:highlight w:val="none"/>
              </w:rPr>
            </w:pPr>
          </w:p>
        </w:tc>
        <w:tc>
          <w:tcPr>
            <w:tcW w:w="1184" w:type="dxa"/>
            <w:vMerge w:val="continue"/>
            <w:vAlign w:val="center"/>
          </w:tcPr>
          <w:p w14:paraId="1E799CAB">
            <w:pPr>
              <w:spacing w:line="560" w:lineRule="exact"/>
              <w:jc w:val="center"/>
              <w:rPr>
                <w:rFonts w:ascii="宋体" w:hAnsi="宋体" w:cs="宋体"/>
                <w:highlight w:val="none"/>
              </w:rPr>
            </w:pPr>
          </w:p>
        </w:tc>
        <w:tc>
          <w:tcPr>
            <w:tcW w:w="1200" w:type="dxa"/>
            <w:vAlign w:val="center"/>
          </w:tcPr>
          <w:p w14:paraId="3A7C001F">
            <w:pPr>
              <w:spacing w:line="560" w:lineRule="exact"/>
              <w:jc w:val="center"/>
              <w:rPr>
                <w:rFonts w:ascii="宋体" w:hAnsi="宋体" w:cs="宋体"/>
                <w:highlight w:val="none"/>
              </w:rPr>
            </w:pPr>
            <w:r>
              <w:rPr>
                <w:rFonts w:hint="eastAsia" w:ascii="宋体" w:hAnsi="宋体" w:cs="宋体"/>
                <w:highlight w:val="none"/>
              </w:rPr>
              <w:t>博士楼5号东</w:t>
            </w:r>
          </w:p>
        </w:tc>
        <w:tc>
          <w:tcPr>
            <w:tcW w:w="811" w:type="dxa"/>
            <w:vAlign w:val="center"/>
          </w:tcPr>
          <w:p w14:paraId="421D8159">
            <w:pPr>
              <w:spacing w:line="560" w:lineRule="exact"/>
              <w:jc w:val="center"/>
              <w:rPr>
                <w:rFonts w:ascii="宋体" w:hAnsi="宋体" w:cs="宋体"/>
                <w:highlight w:val="none"/>
              </w:rPr>
            </w:pPr>
            <w:r>
              <w:rPr>
                <w:rFonts w:hint="eastAsia" w:ascii="宋体" w:hAnsi="宋体" w:cs="宋体"/>
                <w:highlight w:val="none"/>
              </w:rPr>
              <w:t>3</w:t>
            </w:r>
          </w:p>
        </w:tc>
        <w:tc>
          <w:tcPr>
            <w:tcW w:w="878" w:type="dxa"/>
            <w:vAlign w:val="center"/>
          </w:tcPr>
          <w:p w14:paraId="00F8163E">
            <w:pPr>
              <w:spacing w:line="560" w:lineRule="exact"/>
              <w:jc w:val="center"/>
              <w:rPr>
                <w:rFonts w:ascii="宋体" w:hAnsi="宋体" w:cs="宋体"/>
                <w:highlight w:val="none"/>
              </w:rPr>
            </w:pPr>
            <w:r>
              <w:rPr>
                <w:rFonts w:hint="eastAsia" w:ascii="宋体" w:hAnsi="宋体" w:cs="宋体"/>
                <w:highlight w:val="none"/>
              </w:rPr>
              <w:t>62</w:t>
            </w:r>
          </w:p>
        </w:tc>
        <w:tc>
          <w:tcPr>
            <w:tcW w:w="1217" w:type="dxa"/>
            <w:vAlign w:val="center"/>
          </w:tcPr>
          <w:p w14:paraId="4879F302">
            <w:pPr>
              <w:widowControl/>
              <w:jc w:val="center"/>
              <w:textAlignment w:val="center"/>
              <w:rPr>
                <w:rFonts w:ascii="宋体" w:hAnsi="宋体" w:cs="宋体"/>
                <w:highlight w:val="none"/>
              </w:rPr>
            </w:pPr>
            <w:r>
              <w:rPr>
                <w:rFonts w:hint="eastAsia" w:ascii="宋体" w:hAnsi="宋体" w:cs="宋体"/>
                <w:highlight w:val="none"/>
                <w:lang w:bidi="ar"/>
              </w:rPr>
              <w:t>1.24</w:t>
            </w:r>
          </w:p>
        </w:tc>
        <w:tc>
          <w:tcPr>
            <w:tcW w:w="1289" w:type="dxa"/>
            <w:vAlign w:val="center"/>
          </w:tcPr>
          <w:p w14:paraId="096C6D32">
            <w:pPr>
              <w:spacing w:line="560" w:lineRule="exact"/>
              <w:jc w:val="center"/>
              <w:rPr>
                <w:rFonts w:ascii="宋体" w:hAnsi="宋体" w:cs="宋体"/>
                <w:highlight w:val="none"/>
              </w:rPr>
            </w:pPr>
            <w:r>
              <w:rPr>
                <w:rFonts w:hint="eastAsia" w:ascii="宋体" w:hAnsi="宋体" w:cs="宋体"/>
                <w:highlight w:val="none"/>
              </w:rPr>
              <w:t>单面外卖柜</w:t>
            </w:r>
          </w:p>
        </w:tc>
        <w:tc>
          <w:tcPr>
            <w:tcW w:w="1096" w:type="dxa"/>
            <w:vMerge w:val="continue"/>
            <w:vAlign w:val="center"/>
          </w:tcPr>
          <w:p w14:paraId="1FA5D176">
            <w:pPr>
              <w:spacing w:line="560" w:lineRule="exact"/>
              <w:jc w:val="center"/>
              <w:rPr>
                <w:rFonts w:ascii="宋体" w:hAnsi="宋体" w:cs="宋体"/>
                <w:highlight w:val="none"/>
              </w:rPr>
            </w:pPr>
          </w:p>
        </w:tc>
      </w:tr>
      <w:tr w14:paraId="339D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84" w:type="dxa"/>
            <w:vMerge w:val="continue"/>
            <w:vAlign w:val="center"/>
          </w:tcPr>
          <w:p w14:paraId="2CFF5FB1">
            <w:pPr>
              <w:spacing w:line="560" w:lineRule="exact"/>
              <w:jc w:val="center"/>
              <w:rPr>
                <w:rFonts w:ascii="宋体" w:hAnsi="宋体" w:cs="宋体"/>
                <w:highlight w:val="none"/>
              </w:rPr>
            </w:pPr>
          </w:p>
        </w:tc>
        <w:tc>
          <w:tcPr>
            <w:tcW w:w="1184" w:type="dxa"/>
            <w:vAlign w:val="center"/>
          </w:tcPr>
          <w:p w14:paraId="5C06D341">
            <w:pPr>
              <w:spacing w:line="560" w:lineRule="exact"/>
              <w:jc w:val="center"/>
              <w:rPr>
                <w:rFonts w:ascii="宋体" w:hAnsi="宋体" w:cs="宋体"/>
                <w:highlight w:val="none"/>
              </w:rPr>
            </w:pPr>
            <w:r>
              <w:rPr>
                <w:rFonts w:hint="eastAsia" w:ascii="宋体" w:hAnsi="宋体" w:cs="宋体"/>
                <w:highlight w:val="none"/>
              </w:rPr>
              <w:t>锁金村</w:t>
            </w:r>
          </w:p>
        </w:tc>
        <w:tc>
          <w:tcPr>
            <w:tcW w:w="1200" w:type="dxa"/>
            <w:vAlign w:val="center"/>
          </w:tcPr>
          <w:p w14:paraId="0CE3492C">
            <w:pPr>
              <w:spacing w:line="560" w:lineRule="exact"/>
              <w:jc w:val="center"/>
              <w:rPr>
                <w:rFonts w:ascii="宋体" w:hAnsi="宋体" w:cs="宋体"/>
                <w:highlight w:val="none"/>
              </w:rPr>
            </w:pPr>
            <w:r>
              <w:rPr>
                <w:rFonts w:hint="eastAsia" w:ascii="宋体" w:hAnsi="宋体" w:cs="宋体"/>
                <w:highlight w:val="none"/>
              </w:rPr>
              <w:t>东北门</w:t>
            </w:r>
          </w:p>
        </w:tc>
        <w:tc>
          <w:tcPr>
            <w:tcW w:w="811" w:type="dxa"/>
            <w:vAlign w:val="center"/>
          </w:tcPr>
          <w:p w14:paraId="067AC753">
            <w:pPr>
              <w:spacing w:line="560" w:lineRule="exact"/>
              <w:jc w:val="center"/>
              <w:rPr>
                <w:rFonts w:ascii="宋体" w:hAnsi="宋体" w:cs="宋体"/>
                <w:highlight w:val="none"/>
              </w:rPr>
            </w:pPr>
            <w:r>
              <w:rPr>
                <w:rFonts w:hint="eastAsia" w:ascii="宋体" w:hAnsi="宋体" w:cs="宋体"/>
                <w:highlight w:val="none"/>
              </w:rPr>
              <w:t>6</w:t>
            </w:r>
          </w:p>
        </w:tc>
        <w:tc>
          <w:tcPr>
            <w:tcW w:w="878" w:type="dxa"/>
            <w:vAlign w:val="center"/>
          </w:tcPr>
          <w:p w14:paraId="2F3D6051">
            <w:pPr>
              <w:spacing w:line="560" w:lineRule="exact"/>
              <w:jc w:val="center"/>
              <w:rPr>
                <w:rFonts w:ascii="宋体" w:hAnsi="宋体" w:cs="宋体"/>
                <w:highlight w:val="none"/>
              </w:rPr>
            </w:pPr>
            <w:r>
              <w:rPr>
                <w:rFonts w:hint="eastAsia" w:ascii="宋体" w:hAnsi="宋体" w:cs="宋体"/>
                <w:highlight w:val="none"/>
              </w:rPr>
              <w:t>125</w:t>
            </w:r>
          </w:p>
        </w:tc>
        <w:tc>
          <w:tcPr>
            <w:tcW w:w="1217" w:type="dxa"/>
            <w:vAlign w:val="center"/>
          </w:tcPr>
          <w:p w14:paraId="60A4E0DC">
            <w:pPr>
              <w:widowControl/>
              <w:jc w:val="center"/>
              <w:textAlignment w:val="center"/>
              <w:rPr>
                <w:rFonts w:ascii="宋体" w:hAnsi="宋体" w:cs="宋体"/>
                <w:highlight w:val="none"/>
              </w:rPr>
            </w:pPr>
            <w:r>
              <w:rPr>
                <w:rFonts w:hint="eastAsia" w:ascii="宋体" w:hAnsi="宋体" w:cs="宋体"/>
                <w:highlight w:val="none"/>
                <w:lang w:bidi="ar"/>
              </w:rPr>
              <w:t>2.47</w:t>
            </w:r>
          </w:p>
        </w:tc>
        <w:tc>
          <w:tcPr>
            <w:tcW w:w="1289" w:type="dxa"/>
            <w:vAlign w:val="center"/>
          </w:tcPr>
          <w:p w14:paraId="3053452B">
            <w:pPr>
              <w:spacing w:line="560" w:lineRule="exact"/>
              <w:jc w:val="center"/>
              <w:rPr>
                <w:rFonts w:ascii="宋体" w:hAnsi="宋体" w:cs="宋体"/>
                <w:highlight w:val="none"/>
              </w:rPr>
            </w:pPr>
            <w:r>
              <w:rPr>
                <w:rFonts w:hint="eastAsia" w:ascii="宋体" w:hAnsi="宋体" w:cs="宋体"/>
                <w:highlight w:val="none"/>
              </w:rPr>
              <w:t>双面外卖柜</w:t>
            </w:r>
          </w:p>
        </w:tc>
        <w:tc>
          <w:tcPr>
            <w:tcW w:w="1096" w:type="dxa"/>
            <w:vMerge w:val="continue"/>
            <w:vAlign w:val="center"/>
          </w:tcPr>
          <w:p w14:paraId="05915605">
            <w:pPr>
              <w:spacing w:line="560" w:lineRule="exact"/>
              <w:jc w:val="center"/>
              <w:rPr>
                <w:rFonts w:ascii="宋体" w:hAnsi="宋体" w:cs="宋体"/>
                <w:highlight w:val="none"/>
              </w:rPr>
            </w:pPr>
          </w:p>
        </w:tc>
      </w:tr>
      <w:tr w14:paraId="1421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568" w:type="dxa"/>
            <w:gridSpan w:val="3"/>
            <w:vAlign w:val="center"/>
          </w:tcPr>
          <w:p w14:paraId="449BB0ED">
            <w:pPr>
              <w:widowControl/>
              <w:jc w:val="center"/>
              <w:textAlignment w:val="center"/>
              <w:rPr>
                <w:rFonts w:ascii="宋体" w:hAnsi="宋体" w:cs="宋体"/>
                <w:b/>
                <w:bCs/>
                <w:highlight w:val="none"/>
                <w:lang w:bidi="ar"/>
              </w:rPr>
            </w:pPr>
            <w:r>
              <w:rPr>
                <w:rFonts w:hint="eastAsia" w:ascii="宋体" w:hAnsi="宋体" w:cs="宋体"/>
                <w:b/>
                <w:bCs/>
                <w:highlight w:val="none"/>
                <w:lang w:bidi="ar"/>
              </w:rPr>
              <w:t>合计</w:t>
            </w:r>
          </w:p>
        </w:tc>
        <w:tc>
          <w:tcPr>
            <w:tcW w:w="811" w:type="dxa"/>
            <w:vAlign w:val="center"/>
          </w:tcPr>
          <w:p w14:paraId="23DF4878">
            <w:pPr>
              <w:widowControl/>
              <w:jc w:val="center"/>
              <w:textAlignment w:val="center"/>
              <w:rPr>
                <w:rFonts w:ascii="宋体" w:hAnsi="宋体" w:cs="宋体"/>
                <w:b/>
                <w:bCs/>
                <w:highlight w:val="none"/>
                <w:lang w:bidi="ar"/>
              </w:rPr>
            </w:pPr>
            <w:r>
              <w:rPr>
                <w:rFonts w:hint="eastAsia" w:ascii="宋体" w:hAnsi="宋体" w:cs="宋体"/>
                <w:b/>
                <w:bCs/>
                <w:sz w:val="22"/>
                <w:highlight w:val="none"/>
                <w:lang w:bidi="ar"/>
              </w:rPr>
              <w:t>35</w:t>
            </w:r>
          </w:p>
        </w:tc>
        <w:tc>
          <w:tcPr>
            <w:tcW w:w="878" w:type="dxa"/>
            <w:vAlign w:val="center"/>
          </w:tcPr>
          <w:p w14:paraId="47EBEB4D">
            <w:pPr>
              <w:widowControl/>
              <w:jc w:val="center"/>
              <w:textAlignment w:val="center"/>
              <w:rPr>
                <w:rFonts w:ascii="宋体" w:hAnsi="宋体" w:cs="宋体"/>
                <w:b/>
                <w:bCs/>
                <w:highlight w:val="none"/>
                <w:lang w:bidi="ar"/>
              </w:rPr>
            </w:pPr>
            <w:r>
              <w:rPr>
                <w:rFonts w:hint="eastAsia" w:ascii="宋体" w:hAnsi="宋体" w:cs="宋体"/>
                <w:b/>
                <w:bCs/>
                <w:sz w:val="22"/>
                <w:highlight w:val="none"/>
                <w:lang w:bidi="ar"/>
              </w:rPr>
              <w:t>728</w:t>
            </w:r>
          </w:p>
        </w:tc>
        <w:tc>
          <w:tcPr>
            <w:tcW w:w="1217" w:type="dxa"/>
            <w:vAlign w:val="center"/>
          </w:tcPr>
          <w:p w14:paraId="40AEBC4B">
            <w:pPr>
              <w:widowControl/>
              <w:jc w:val="center"/>
              <w:textAlignment w:val="center"/>
              <w:rPr>
                <w:rFonts w:ascii="宋体" w:hAnsi="宋体" w:cs="宋体"/>
                <w:b/>
                <w:bCs/>
                <w:highlight w:val="none"/>
              </w:rPr>
            </w:pPr>
            <w:r>
              <w:rPr>
                <w:rFonts w:hint="eastAsia" w:ascii="宋体" w:hAnsi="宋体" w:cs="宋体"/>
                <w:b/>
                <w:bCs/>
                <w:sz w:val="22"/>
                <w:highlight w:val="none"/>
                <w:lang w:bidi="ar"/>
              </w:rPr>
              <w:t>14.41</w:t>
            </w:r>
          </w:p>
        </w:tc>
        <w:tc>
          <w:tcPr>
            <w:tcW w:w="2385" w:type="dxa"/>
            <w:gridSpan w:val="2"/>
            <w:vAlign w:val="center"/>
          </w:tcPr>
          <w:p w14:paraId="0A7A627D">
            <w:pPr>
              <w:spacing w:line="560" w:lineRule="exact"/>
              <w:jc w:val="center"/>
              <w:rPr>
                <w:rFonts w:ascii="宋体" w:hAnsi="宋体" w:cs="宋体"/>
                <w:b/>
                <w:bCs/>
                <w:highlight w:val="none"/>
                <w:lang w:bidi="ar"/>
              </w:rPr>
            </w:pPr>
          </w:p>
        </w:tc>
      </w:tr>
    </w:tbl>
    <w:p w14:paraId="544A4805">
      <w:pPr>
        <w:widowControl/>
        <w:outlineLvl w:val="0"/>
        <w:rPr>
          <w:rFonts w:ascii="微软雅黑" w:hAnsi="微软雅黑" w:eastAsia="微软雅黑" w:cs="Courier New"/>
          <w:b/>
          <w:sz w:val="32"/>
          <w:highlight w:val="none"/>
        </w:rPr>
      </w:pPr>
    </w:p>
    <w:p w14:paraId="40B9D968">
      <w:pPr>
        <w:rPr>
          <w:highlight w:val="none"/>
        </w:rPr>
      </w:pPr>
    </w:p>
    <w:p w14:paraId="34D652B5">
      <w:pPr>
        <w:pStyle w:val="4"/>
        <w:rPr>
          <w:highlight w:val="none"/>
        </w:rPr>
        <w:sectPr>
          <w:footerReference r:id="rId5" w:type="first"/>
          <w:footerReference r:id="rId3" w:type="default"/>
          <w:footerReference r:id="rId4" w:type="even"/>
          <w:pgSz w:w="11906" w:h="16838"/>
          <w:pgMar w:top="1417" w:right="1417" w:bottom="1417" w:left="1417" w:header="851" w:footer="992" w:gutter="0"/>
          <w:pgNumType w:start="1"/>
          <w:cols w:space="720" w:num="1"/>
          <w:docGrid w:type="lines" w:linePitch="312" w:charSpace="0"/>
        </w:sectPr>
      </w:pPr>
    </w:p>
    <w:p w14:paraId="1D2FC11F">
      <w:pPr>
        <w:pStyle w:val="21"/>
        <w:numPr>
          <w:ilvl w:val="0"/>
          <w:numId w:val="0"/>
        </w:numPr>
        <w:rPr>
          <w:highlight w:val="none"/>
        </w:rPr>
      </w:pPr>
    </w:p>
    <w:p w14:paraId="4C109428">
      <w:pPr>
        <w:pStyle w:val="151"/>
        <w:rPr>
          <w:highlight w:val="none"/>
        </w:rPr>
      </w:pPr>
      <w:r>
        <w:rPr>
          <w:rFonts w:hint="eastAsia"/>
          <w:highlight w:val="none"/>
        </w:rPr>
        <w:t>第</w:t>
      </w:r>
      <w:r>
        <w:rPr>
          <w:highlight w:val="none"/>
        </w:rPr>
        <w:t>六章  响应文件格式及附件</w:t>
      </w:r>
    </w:p>
    <w:p w14:paraId="3310B0D4">
      <w:pPr>
        <w:jc w:val="center"/>
        <w:rPr>
          <w:rFonts w:ascii="宋体" w:hAnsi="宋体"/>
          <w:b/>
          <w:sz w:val="72"/>
          <w:highlight w:val="none"/>
        </w:rPr>
      </w:pPr>
    </w:p>
    <w:p w14:paraId="225C76E1">
      <w:pPr>
        <w:jc w:val="center"/>
        <w:rPr>
          <w:rFonts w:ascii="宋体" w:hAnsi="宋体"/>
          <w:b/>
          <w:sz w:val="72"/>
          <w:szCs w:val="72"/>
          <w:highlight w:val="none"/>
        </w:rPr>
      </w:pPr>
      <w:r>
        <w:rPr>
          <w:rFonts w:hint="eastAsia" w:ascii="宋体" w:hAnsi="宋体"/>
          <w:b/>
          <w:sz w:val="72"/>
          <w:szCs w:val="72"/>
          <w:highlight w:val="none"/>
        </w:rPr>
        <w:t>响应文件</w:t>
      </w:r>
    </w:p>
    <w:p w14:paraId="5049629D">
      <w:pPr>
        <w:ind w:firstLine="2472" w:firstLineChars="1026"/>
        <w:rPr>
          <w:rFonts w:ascii="宋体" w:hAnsi="宋体"/>
          <w:b/>
          <w:sz w:val="24"/>
          <w:highlight w:val="none"/>
        </w:rPr>
      </w:pPr>
    </w:p>
    <w:p w14:paraId="2A5908D0">
      <w:pPr>
        <w:jc w:val="center"/>
        <w:rPr>
          <w:rFonts w:ascii="宋体" w:hAnsi="宋体"/>
          <w:b/>
          <w:sz w:val="24"/>
          <w:highlight w:val="none"/>
        </w:rPr>
      </w:pPr>
    </w:p>
    <w:p w14:paraId="34B3DCFE">
      <w:pPr>
        <w:jc w:val="center"/>
        <w:rPr>
          <w:rFonts w:ascii="宋体" w:hAnsi="宋体"/>
          <w:b/>
          <w:sz w:val="24"/>
          <w:highlight w:val="none"/>
        </w:rPr>
      </w:pPr>
    </w:p>
    <w:p w14:paraId="7331D669">
      <w:pPr>
        <w:jc w:val="center"/>
        <w:rPr>
          <w:rFonts w:ascii="宋体" w:hAnsi="宋体"/>
          <w:b/>
          <w:sz w:val="24"/>
          <w:highlight w:val="none"/>
        </w:rPr>
      </w:pPr>
    </w:p>
    <w:p w14:paraId="59FB67B0">
      <w:pPr>
        <w:spacing w:before="480" w:beforeLines="200"/>
        <w:jc w:val="center"/>
        <w:rPr>
          <w:rFonts w:ascii="宋体" w:hAnsi="宋体" w:cs="宋体"/>
          <w:b/>
          <w:sz w:val="36"/>
          <w:highlight w:val="none"/>
        </w:rPr>
      </w:pPr>
      <w:r>
        <w:rPr>
          <w:rFonts w:hint="eastAsia" w:ascii="宋体" w:hAnsi="宋体" w:cs="宋体"/>
          <w:b/>
          <w:sz w:val="36"/>
          <w:highlight w:val="none"/>
        </w:rPr>
        <w:t>（正或副本）</w:t>
      </w:r>
    </w:p>
    <w:p w14:paraId="1CC5BA5C">
      <w:pPr>
        <w:jc w:val="center"/>
        <w:rPr>
          <w:rFonts w:ascii="宋体" w:hAnsi="宋体"/>
          <w:b/>
          <w:sz w:val="24"/>
          <w:highlight w:val="none"/>
        </w:rPr>
      </w:pPr>
    </w:p>
    <w:p w14:paraId="688B12B8">
      <w:pPr>
        <w:jc w:val="center"/>
        <w:rPr>
          <w:rFonts w:ascii="宋体" w:hAnsi="宋体"/>
          <w:b/>
          <w:sz w:val="24"/>
          <w:highlight w:val="none"/>
        </w:rPr>
      </w:pPr>
    </w:p>
    <w:p w14:paraId="3A59F8A2">
      <w:pPr>
        <w:jc w:val="center"/>
        <w:rPr>
          <w:rFonts w:ascii="宋体" w:hAnsi="宋体"/>
          <w:b/>
          <w:sz w:val="24"/>
          <w:highlight w:val="none"/>
        </w:rPr>
      </w:pPr>
    </w:p>
    <w:p w14:paraId="28A425E3">
      <w:pPr>
        <w:jc w:val="center"/>
        <w:rPr>
          <w:rFonts w:ascii="宋体" w:hAnsi="宋体"/>
          <w:b/>
          <w:sz w:val="24"/>
          <w:highlight w:val="none"/>
        </w:rPr>
      </w:pPr>
    </w:p>
    <w:p w14:paraId="3C4E306F">
      <w:pPr>
        <w:jc w:val="center"/>
        <w:rPr>
          <w:rFonts w:ascii="宋体" w:hAnsi="宋体"/>
          <w:b/>
          <w:sz w:val="24"/>
          <w:highlight w:val="none"/>
        </w:rPr>
      </w:pPr>
    </w:p>
    <w:p w14:paraId="1EA4EA4B">
      <w:pPr>
        <w:jc w:val="center"/>
        <w:rPr>
          <w:rFonts w:ascii="宋体" w:hAnsi="宋体"/>
          <w:b/>
          <w:sz w:val="24"/>
          <w:highlight w:val="none"/>
        </w:rPr>
      </w:pPr>
    </w:p>
    <w:p w14:paraId="37BCFC2A">
      <w:pPr>
        <w:jc w:val="center"/>
        <w:rPr>
          <w:rFonts w:ascii="宋体" w:hAnsi="宋体"/>
          <w:b/>
          <w:sz w:val="24"/>
          <w:highlight w:val="none"/>
        </w:rPr>
      </w:pPr>
    </w:p>
    <w:p w14:paraId="6822A495">
      <w:pPr>
        <w:ind w:firstLine="843" w:firstLineChars="300"/>
        <w:rPr>
          <w:rFonts w:ascii="宋体" w:hAnsi="宋体"/>
          <w:b/>
          <w:sz w:val="28"/>
          <w:szCs w:val="28"/>
          <w:highlight w:val="none"/>
        </w:rPr>
      </w:pPr>
      <w:r>
        <w:rPr>
          <w:rFonts w:hint="eastAsia" w:ascii="宋体" w:hAnsi="宋体"/>
          <w:b/>
          <w:sz w:val="28"/>
          <w:szCs w:val="28"/>
          <w:highlight w:val="none"/>
        </w:rPr>
        <w:t>项目编号：</w:t>
      </w:r>
    </w:p>
    <w:p w14:paraId="1410D35B">
      <w:pPr>
        <w:ind w:firstLine="843" w:firstLineChars="300"/>
        <w:rPr>
          <w:rFonts w:ascii="宋体" w:hAnsi="宋体"/>
          <w:b/>
          <w:sz w:val="28"/>
          <w:szCs w:val="28"/>
          <w:highlight w:val="none"/>
          <w:u w:val="single"/>
        </w:rPr>
      </w:pPr>
      <w:r>
        <w:rPr>
          <w:rFonts w:hint="eastAsia" w:ascii="宋体" w:hAnsi="宋体"/>
          <w:b/>
          <w:sz w:val="28"/>
          <w:szCs w:val="28"/>
          <w:highlight w:val="none"/>
        </w:rPr>
        <w:t>项目名称：</w:t>
      </w:r>
    </w:p>
    <w:p w14:paraId="6488FAC3">
      <w:pPr>
        <w:rPr>
          <w:rFonts w:ascii="宋体" w:hAnsi="宋体"/>
          <w:b/>
          <w:sz w:val="28"/>
          <w:szCs w:val="28"/>
          <w:highlight w:val="none"/>
        </w:rPr>
      </w:pPr>
    </w:p>
    <w:p w14:paraId="7608E739">
      <w:pPr>
        <w:rPr>
          <w:rFonts w:ascii="宋体" w:hAnsi="宋体"/>
          <w:b/>
          <w:sz w:val="28"/>
          <w:szCs w:val="28"/>
          <w:highlight w:val="none"/>
        </w:rPr>
      </w:pPr>
    </w:p>
    <w:p w14:paraId="4E9B747C">
      <w:pPr>
        <w:rPr>
          <w:rFonts w:ascii="宋体" w:hAnsi="宋体"/>
          <w:b/>
          <w:sz w:val="28"/>
          <w:szCs w:val="28"/>
          <w:highlight w:val="none"/>
        </w:rPr>
      </w:pPr>
    </w:p>
    <w:p w14:paraId="3CD09FC6">
      <w:pPr>
        <w:rPr>
          <w:rFonts w:ascii="宋体" w:hAnsi="宋体"/>
          <w:b/>
          <w:sz w:val="28"/>
          <w:szCs w:val="28"/>
          <w:highlight w:val="none"/>
        </w:rPr>
      </w:pPr>
    </w:p>
    <w:p w14:paraId="2A8E49E5">
      <w:pPr>
        <w:rPr>
          <w:rFonts w:ascii="宋体" w:hAnsi="宋体"/>
          <w:b/>
          <w:sz w:val="28"/>
          <w:szCs w:val="28"/>
          <w:highlight w:val="none"/>
        </w:rPr>
      </w:pPr>
    </w:p>
    <w:p w14:paraId="2FB59D4D">
      <w:pPr>
        <w:rPr>
          <w:rFonts w:ascii="宋体" w:hAnsi="宋体"/>
          <w:b/>
          <w:sz w:val="28"/>
          <w:szCs w:val="28"/>
          <w:highlight w:val="none"/>
        </w:rPr>
      </w:pPr>
    </w:p>
    <w:p w14:paraId="656054E8">
      <w:pPr>
        <w:rPr>
          <w:rFonts w:ascii="宋体" w:hAnsi="宋体"/>
          <w:b/>
          <w:sz w:val="28"/>
          <w:szCs w:val="28"/>
          <w:highlight w:val="none"/>
          <w:u w:val="single"/>
        </w:rPr>
      </w:pPr>
      <w:r>
        <w:rPr>
          <w:rFonts w:hint="eastAsia" w:ascii="宋体" w:hAnsi="宋体"/>
          <w:b/>
          <w:sz w:val="28"/>
          <w:szCs w:val="28"/>
          <w:highlight w:val="none"/>
        </w:rPr>
        <w:t>供应商名称：</w:t>
      </w:r>
    </w:p>
    <w:p w14:paraId="3BA6427D">
      <w:pPr>
        <w:rPr>
          <w:rFonts w:ascii="宋体" w:hAnsi="宋体"/>
          <w:b/>
          <w:sz w:val="28"/>
          <w:szCs w:val="28"/>
          <w:highlight w:val="none"/>
        </w:rPr>
      </w:pPr>
      <w:r>
        <w:rPr>
          <w:rFonts w:hint="eastAsia" w:ascii="宋体" w:hAnsi="宋体"/>
          <w:b/>
          <w:sz w:val="28"/>
          <w:szCs w:val="28"/>
          <w:highlight w:val="none"/>
        </w:rPr>
        <w:t>日期：</w:t>
      </w:r>
    </w:p>
    <w:p w14:paraId="74519910">
      <w:pPr>
        <w:jc w:val="center"/>
        <w:rPr>
          <w:rFonts w:ascii="宋体" w:hAnsi="宋体"/>
          <w:b/>
          <w:bCs/>
          <w:sz w:val="24"/>
          <w:highlight w:val="none"/>
        </w:rPr>
      </w:pPr>
    </w:p>
    <w:p w14:paraId="7969EAFA">
      <w:pPr>
        <w:jc w:val="center"/>
        <w:rPr>
          <w:rFonts w:ascii="宋体" w:hAnsi="宋体"/>
          <w:b/>
          <w:sz w:val="30"/>
          <w:szCs w:val="30"/>
          <w:highlight w:val="none"/>
        </w:rPr>
      </w:pPr>
      <w:r>
        <w:rPr>
          <w:rFonts w:ascii="宋体" w:hAnsi="宋体"/>
          <w:b/>
          <w:bCs/>
          <w:sz w:val="36"/>
          <w:highlight w:val="none"/>
        </w:rPr>
        <w:br w:type="page"/>
      </w:r>
      <w:bookmarkStart w:id="14" w:name="_Toc405408732"/>
      <w:r>
        <w:rPr>
          <w:rFonts w:hint="eastAsia" w:ascii="宋体" w:hAnsi="宋体"/>
          <w:b/>
          <w:sz w:val="30"/>
          <w:szCs w:val="30"/>
          <w:highlight w:val="none"/>
        </w:rPr>
        <w:t>评分索引表</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7"/>
        <w:gridCol w:w="3455"/>
      </w:tblGrid>
      <w:tr w14:paraId="4224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6F6875E0">
            <w:pPr>
              <w:jc w:val="center"/>
              <w:rPr>
                <w:rFonts w:ascii="宋体" w:hAnsi="宋体"/>
                <w:b/>
                <w:highlight w:val="none"/>
              </w:rPr>
            </w:pPr>
            <w:r>
              <w:rPr>
                <w:rFonts w:hint="eastAsia" w:ascii="宋体" w:hAnsi="宋体"/>
                <w:b/>
                <w:highlight w:val="none"/>
              </w:rPr>
              <w:t>评分项目</w:t>
            </w:r>
          </w:p>
        </w:tc>
        <w:tc>
          <w:tcPr>
            <w:tcW w:w="3455" w:type="dxa"/>
          </w:tcPr>
          <w:p w14:paraId="157EF25C">
            <w:pPr>
              <w:jc w:val="center"/>
              <w:rPr>
                <w:rFonts w:ascii="宋体" w:hAnsi="宋体"/>
                <w:b/>
                <w:highlight w:val="none"/>
              </w:rPr>
            </w:pPr>
            <w:r>
              <w:rPr>
                <w:rFonts w:hint="eastAsia" w:ascii="宋体" w:hAnsi="宋体"/>
                <w:b/>
                <w:highlight w:val="none"/>
              </w:rPr>
              <w:t>在响应文件中的页码位置</w:t>
            </w:r>
          </w:p>
        </w:tc>
      </w:tr>
      <w:tr w14:paraId="2B2E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0D7A69F7">
            <w:pPr>
              <w:rPr>
                <w:rFonts w:ascii="宋体" w:hAnsi="宋体"/>
                <w:b/>
                <w:highlight w:val="none"/>
              </w:rPr>
            </w:pPr>
          </w:p>
        </w:tc>
        <w:tc>
          <w:tcPr>
            <w:tcW w:w="3455" w:type="dxa"/>
          </w:tcPr>
          <w:p w14:paraId="2C3FEB32">
            <w:pPr>
              <w:rPr>
                <w:rFonts w:ascii="宋体" w:hAnsi="宋体"/>
                <w:b/>
                <w:highlight w:val="none"/>
              </w:rPr>
            </w:pPr>
          </w:p>
        </w:tc>
      </w:tr>
      <w:tr w14:paraId="26C39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35194D9F">
            <w:pPr>
              <w:rPr>
                <w:rFonts w:ascii="宋体" w:hAnsi="宋体"/>
                <w:b/>
                <w:highlight w:val="none"/>
              </w:rPr>
            </w:pPr>
          </w:p>
        </w:tc>
      </w:tr>
      <w:tr w14:paraId="2CB9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38D8AAC4">
            <w:pPr>
              <w:rPr>
                <w:rFonts w:ascii="宋体" w:hAnsi="宋体"/>
                <w:b/>
                <w:highlight w:val="none"/>
              </w:rPr>
            </w:pPr>
          </w:p>
        </w:tc>
        <w:tc>
          <w:tcPr>
            <w:tcW w:w="3455" w:type="dxa"/>
          </w:tcPr>
          <w:p w14:paraId="6B1C035B">
            <w:pPr>
              <w:rPr>
                <w:rFonts w:ascii="宋体" w:hAnsi="宋体"/>
                <w:b/>
                <w:highlight w:val="none"/>
              </w:rPr>
            </w:pPr>
          </w:p>
        </w:tc>
      </w:tr>
      <w:tr w14:paraId="1111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6BE0B172">
            <w:pPr>
              <w:rPr>
                <w:rFonts w:ascii="宋体" w:hAnsi="宋体"/>
                <w:b/>
                <w:highlight w:val="none"/>
              </w:rPr>
            </w:pPr>
          </w:p>
        </w:tc>
        <w:tc>
          <w:tcPr>
            <w:tcW w:w="3455" w:type="dxa"/>
          </w:tcPr>
          <w:p w14:paraId="26046132">
            <w:pPr>
              <w:rPr>
                <w:rFonts w:ascii="宋体" w:hAnsi="宋体"/>
                <w:b/>
                <w:highlight w:val="none"/>
              </w:rPr>
            </w:pPr>
          </w:p>
        </w:tc>
      </w:tr>
      <w:tr w14:paraId="62666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66BCC501">
            <w:pPr>
              <w:rPr>
                <w:rFonts w:ascii="宋体" w:hAnsi="宋体"/>
                <w:b/>
                <w:highlight w:val="none"/>
              </w:rPr>
            </w:pPr>
          </w:p>
        </w:tc>
        <w:tc>
          <w:tcPr>
            <w:tcW w:w="3455" w:type="dxa"/>
          </w:tcPr>
          <w:p w14:paraId="72DEA4D5">
            <w:pPr>
              <w:rPr>
                <w:rFonts w:ascii="宋体" w:hAnsi="宋体"/>
                <w:b/>
                <w:highlight w:val="none"/>
              </w:rPr>
            </w:pPr>
          </w:p>
        </w:tc>
      </w:tr>
      <w:tr w14:paraId="5D913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0DA4520F">
            <w:pPr>
              <w:rPr>
                <w:rFonts w:ascii="宋体" w:hAnsi="宋体"/>
                <w:b/>
                <w:highlight w:val="none"/>
              </w:rPr>
            </w:pPr>
          </w:p>
        </w:tc>
        <w:tc>
          <w:tcPr>
            <w:tcW w:w="3455" w:type="dxa"/>
          </w:tcPr>
          <w:p w14:paraId="73ECC6BD">
            <w:pPr>
              <w:rPr>
                <w:rFonts w:ascii="宋体" w:hAnsi="宋体"/>
                <w:b/>
                <w:highlight w:val="none"/>
              </w:rPr>
            </w:pPr>
          </w:p>
        </w:tc>
      </w:tr>
      <w:tr w14:paraId="2352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260B0BB6">
            <w:pPr>
              <w:rPr>
                <w:rFonts w:ascii="宋体" w:hAnsi="宋体"/>
                <w:b/>
                <w:highlight w:val="none"/>
              </w:rPr>
            </w:pPr>
          </w:p>
        </w:tc>
        <w:tc>
          <w:tcPr>
            <w:tcW w:w="3455" w:type="dxa"/>
          </w:tcPr>
          <w:p w14:paraId="10CCFEAA">
            <w:pPr>
              <w:rPr>
                <w:rFonts w:ascii="宋体" w:hAnsi="宋体"/>
                <w:b/>
                <w:highlight w:val="none"/>
              </w:rPr>
            </w:pPr>
          </w:p>
        </w:tc>
      </w:tr>
      <w:tr w14:paraId="5CD23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2FFB755D">
            <w:pPr>
              <w:rPr>
                <w:rFonts w:ascii="宋体" w:hAnsi="宋体"/>
                <w:b/>
                <w:highlight w:val="none"/>
              </w:rPr>
            </w:pPr>
          </w:p>
        </w:tc>
      </w:tr>
      <w:tr w14:paraId="125B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07948FAF">
            <w:pPr>
              <w:rPr>
                <w:rFonts w:ascii="宋体" w:hAnsi="宋体"/>
                <w:b/>
                <w:highlight w:val="none"/>
              </w:rPr>
            </w:pPr>
          </w:p>
        </w:tc>
        <w:tc>
          <w:tcPr>
            <w:tcW w:w="3455" w:type="dxa"/>
          </w:tcPr>
          <w:p w14:paraId="6958E525">
            <w:pPr>
              <w:rPr>
                <w:rFonts w:ascii="宋体" w:hAnsi="宋体"/>
                <w:b/>
                <w:highlight w:val="none"/>
              </w:rPr>
            </w:pPr>
          </w:p>
        </w:tc>
      </w:tr>
      <w:tr w14:paraId="66E1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5F6D30A5">
            <w:pPr>
              <w:rPr>
                <w:rFonts w:ascii="宋体" w:hAnsi="宋体"/>
                <w:b/>
                <w:highlight w:val="none"/>
              </w:rPr>
            </w:pPr>
          </w:p>
        </w:tc>
        <w:tc>
          <w:tcPr>
            <w:tcW w:w="3455" w:type="dxa"/>
          </w:tcPr>
          <w:p w14:paraId="7AF011A4">
            <w:pPr>
              <w:rPr>
                <w:rFonts w:ascii="宋体" w:hAnsi="宋体"/>
                <w:b/>
                <w:highlight w:val="none"/>
              </w:rPr>
            </w:pPr>
          </w:p>
        </w:tc>
      </w:tr>
      <w:tr w14:paraId="654E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7A2CB2C0">
            <w:pPr>
              <w:rPr>
                <w:rFonts w:ascii="宋体" w:hAnsi="宋体"/>
                <w:b/>
                <w:highlight w:val="none"/>
              </w:rPr>
            </w:pPr>
          </w:p>
        </w:tc>
        <w:tc>
          <w:tcPr>
            <w:tcW w:w="3455" w:type="dxa"/>
          </w:tcPr>
          <w:p w14:paraId="1FD263E4">
            <w:pPr>
              <w:rPr>
                <w:rFonts w:ascii="宋体" w:hAnsi="宋体"/>
                <w:b/>
                <w:highlight w:val="none"/>
              </w:rPr>
            </w:pPr>
          </w:p>
        </w:tc>
      </w:tr>
      <w:tr w14:paraId="7A1E0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1F7EBECD">
            <w:pPr>
              <w:rPr>
                <w:rFonts w:ascii="宋体" w:hAnsi="宋体"/>
                <w:b/>
                <w:highlight w:val="none"/>
              </w:rPr>
            </w:pPr>
          </w:p>
        </w:tc>
        <w:tc>
          <w:tcPr>
            <w:tcW w:w="3455" w:type="dxa"/>
          </w:tcPr>
          <w:p w14:paraId="5C6A6E80">
            <w:pPr>
              <w:rPr>
                <w:rFonts w:ascii="宋体" w:hAnsi="宋体"/>
                <w:b/>
                <w:highlight w:val="none"/>
              </w:rPr>
            </w:pPr>
          </w:p>
        </w:tc>
      </w:tr>
      <w:tr w14:paraId="3610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6E2E64B2">
            <w:pPr>
              <w:rPr>
                <w:rFonts w:ascii="宋体" w:hAnsi="宋体"/>
                <w:b/>
                <w:highlight w:val="none"/>
              </w:rPr>
            </w:pPr>
          </w:p>
        </w:tc>
        <w:tc>
          <w:tcPr>
            <w:tcW w:w="3455" w:type="dxa"/>
          </w:tcPr>
          <w:p w14:paraId="04D9E419">
            <w:pPr>
              <w:rPr>
                <w:rFonts w:ascii="宋体" w:hAnsi="宋体"/>
                <w:b/>
                <w:highlight w:val="none"/>
              </w:rPr>
            </w:pPr>
          </w:p>
        </w:tc>
      </w:tr>
      <w:tr w14:paraId="59E4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29A92B09">
            <w:pPr>
              <w:rPr>
                <w:rFonts w:ascii="宋体" w:hAnsi="宋体"/>
                <w:b/>
                <w:highlight w:val="none"/>
              </w:rPr>
            </w:pPr>
          </w:p>
        </w:tc>
      </w:tr>
      <w:tr w14:paraId="4A6D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39719873">
            <w:pPr>
              <w:rPr>
                <w:rFonts w:ascii="宋体" w:hAnsi="宋体"/>
                <w:b/>
                <w:highlight w:val="none"/>
              </w:rPr>
            </w:pPr>
          </w:p>
        </w:tc>
        <w:tc>
          <w:tcPr>
            <w:tcW w:w="3455" w:type="dxa"/>
          </w:tcPr>
          <w:p w14:paraId="55F245D3">
            <w:pPr>
              <w:rPr>
                <w:rFonts w:ascii="宋体" w:hAnsi="宋体"/>
                <w:b/>
                <w:highlight w:val="none"/>
              </w:rPr>
            </w:pPr>
          </w:p>
        </w:tc>
      </w:tr>
      <w:tr w14:paraId="69C8C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66A81F4C">
            <w:pPr>
              <w:rPr>
                <w:rFonts w:ascii="宋体" w:hAnsi="宋体"/>
                <w:b/>
                <w:highlight w:val="none"/>
              </w:rPr>
            </w:pPr>
          </w:p>
        </w:tc>
        <w:tc>
          <w:tcPr>
            <w:tcW w:w="3455" w:type="dxa"/>
          </w:tcPr>
          <w:p w14:paraId="5AC59A99">
            <w:pPr>
              <w:rPr>
                <w:rFonts w:ascii="宋体" w:hAnsi="宋体"/>
                <w:b/>
                <w:highlight w:val="none"/>
              </w:rPr>
            </w:pPr>
          </w:p>
        </w:tc>
      </w:tr>
      <w:tr w14:paraId="4B66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5586AA02">
            <w:pPr>
              <w:rPr>
                <w:rFonts w:ascii="宋体" w:hAnsi="宋体"/>
                <w:b/>
                <w:highlight w:val="none"/>
              </w:rPr>
            </w:pPr>
          </w:p>
        </w:tc>
        <w:tc>
          <w:tcPr>
            <w:tcW w:w="3455" w:type="dxa"/>
          </w:tcPr>
          <w:p w14:paraId="2A34EC9D">
            <w:pPr>
              <w:rPr>
                <w:rFonts w:ascii="宋体" w:hAnsi="宋体"/>
                <w:b/>
                <w:highlight w:val="none"/>
              </w:rPr>
            </w:pPr>
          </w:p>
        </w:tc>
      </w:tr>
      <w:tr w14:paraId="2C82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251B89D2">
            <w:pPr>
              <w:rPr>
                <w:rFonts w:ascii="宋体" w:hAnsi="宋体"/>
                <w:b/>
                <w:highlight w:val="none"/>
              </w:rPr>
            </w:pPr>
          </w:p>
        </w:tc>
      </w:tr>
      <w:tr w14:paraId="1DA9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37A5F201">
            <w:pPr>
              <w:rPr>
                <w:rFonts w:ascii="宋体" w:hAnsi="宋体"/>
                <w:b/>
                <w:highlight w:val="none"/>
              </w:rPr>
            </w:pPr>
          </w:p>
        </w:tc>
        <w:tc>
          <w:tcPr>
            <w:tcW w:w="3455" w:type="dxa"/>
          </w:tcPr>
          <w:p w14:paraId="7441DC30">
            <w:pPr>
              <w:rPr>
                <w:rFonts w:ascii="宋体" w:hAnsi="宋体"/>
                <w:b/>
                <w:highlight w:val="none"/>
              </w:rPr>
            </w:pPr>
          </w:p>
        </w:tc>
      </w:tr>
      <w:tr w14:paraId="66A88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7ADA7A38">
            <w:pPr>
              <w:rPr>
                <w:rFonts w:ascii="宋体" w:hAnsi="宋体"/>
                <w:b/>
                <w:highlight w:val="none"/>
              </w:rPr>
            </w:pPr>
          </w:p>
        </w:tc>
        <w:tc>
          <w:tcPr>
            <w:tcW w:w="3455" w:type="dxa"/>
          </w:tcPr>
          <w:p w14:paraId="2A8FB892">
            <w:pPr>
              <w:rPr>
                <w:rFonts w:ascii="宋体" w:hAnsi="宋体"/>
                <w:b/>
                <w:highlight w:val="none"/>
              </w:rPr>
            </w:pPr>
          </w:p>
        </w:tc>
      </w:tr>
    </w:tbl>
    <w:p w14:paraId="6A572795">
      <w:pPr>
        <w:rPr>
          <w:rFonts w:ascii="宋体" w:hAnsi="宋体"/>
          <w:highlight w:val="none"/>
        </w:rPr>
      </w:pPr>
    </w:p>
    <w:p w14:paraId="2C967598">
      <w:pPr>
        <w:jc w:val="center"/>
        <w:rPr>
          <w:rFonts w:ascii="宋体" w:hAnsi="宋体"/>
          <w:b/>
          <w:bCs/>
          <w:sz w:val="36"/>
          <w:highlight w:val="none"/>
        </w:rPr>
      </w:pPr>
      <w:r>
        <w:rPr>
          <w:rFonts w:ascii="宋体" w:hAnsi="宋体"/>
          <w:b/>
          <w:bCs/>
          <w:sz w:val="36"/>
          <w:highlight w:val="none"/>
        </w:rPr>
        <w:br w:type="page"/>
      </w:r>
      <w:bookmarkStart w:id="15" w:name="_Toc489655320"/>
    </w:p>
    <w:p w14:paraId="232A025D">
      <w:pPr>
        <w:pStyle w:val="268"/>
        <w:rPr>
          <w:highlight w:val="none"/>
        </w:rPr>
      </w:pPr>
      <w:r>
        <w:rPr>
          <w:highlight w:val="none"/>
        </w:rPr>
        <w:t>响应文件主要目录</w:t>
      </w:r>
      <w:bookmarkEnd w:id="14"/>
      <w:bookmarkEnd w:id="15"/>
      <w:r>
        <w:rPr>
          <w:highlight w:val="none"/>
        </w:rPr>
        <w:t>及相关证明材料格式、附件</w:t>
      </w:r>
    </w:p>
    <w:p w14:paraId="1DA981D4">
      <w:pPr>
        <w:rPr>
          <w:rFonts w:ascii="宋体" w:hAnsi="宋体"/>
          <w:sz w:val="28"/>
          <w:szCs w:val="28"/>
          <w:highlight w:val="none"/>
        </w:rPr>
      </w:pPr>
    </w:p>
    <w:p w14:paraId="0AE665E7">
      <w:pPr>
        <w:spacing w:line="360" w:lineRule="auto"/>
        <w:ind w:left="2280" w:hanging="720"/>
        <w:rPr>
          <w:rFonts w:ascii="宋体" w:hAnsi="宋体"/>
          <w:sz w:val="28"/>
          <w:szCs w:val="28"/>
          <w:highlight w:val="none"/>
        </w:rPr>
      </w:pPr>
      <w:r>
        <w:rPr>
          <w:rFonts w:hint="eastAsia" w:ascii="宋体" w:hAnsi="宋体"/>
          <w:sz w:val="28"/>
          <w:szCs w:val="28"/>
          <w:highlight w:val="none"/>
        </w:rPr>
        <w:t>一、响应申请及声明</w:t>
      </w:r>
    </w:p>
    <w:p w14:paraId="43E0181F">
      <w:pPr>
        <w:spacing w:line="360" w:lineRule="auto"/>
        <w:ind w:left="2280" w:hanging="720"/>
        <w:rPr>
          <w:rFonts w:ascii="宋体" w:hAnsi="宋体"/>
          <w:sz w:val="28"/>
          <w:szCs w:val="28"/>
          <w:highlight w:val="none"/>
        </w:rPr>
      </w:pPr>
      <w:r>
        <w:rPr>
          <w:rFonts w:hint="eastAsia" w:ascii="宋体" w:hAnsi="宋体"/>
          <w:sz w:val="28"/>
          <w:szCs w:val="28"/>
          <w:highlight w:val="none"/>
        </w:rPr>
        <w:t>二、法定代表人授权书</w:t>
      </w:r>
    </w:p>
    <w:p w14:paraId="070A48DD">
      <w:pPr>
        <w:spacing w:line="360" w:lineRule="auto"/>
        <w:ind w:left="2280" w:hanging="720"/>
        <w:rPr>
          <w:rFonts w:ascii="宋体" w:hAnsi="宋体"/>
          <w:sz w:val="28"/>
          <w:szCs w:val="28"/>
          <w:highlight w:val="none"/>
        </w:rPr>
      </w:pPr>
      <w:r>
        <w:rPr>
          <w:rFonts w:hint="eastAsia" w:ascii="宋体" w:hAnsi="宋体"/>
          <w:sz w:val="28"/>
          <w:szCs w:val="28"/>
          <w:highlight w:val="none"/>
        </w:rPr>
        <w:t>三、响应一览表</w:t>
      </w:r>
    </w:p>
    <w:p w14:paraId="3099F378">
      <w:pPr>
        <w:spacing w:line="360" w:lineRule="auto"/>
        <w:ind w:left="2280" w:hanging="720"/>
        <w:rPr>
          <w:rFonts w:ascii="宋体" w:hAnsi="宋体"/>
          <w:sz w:val="28"/>
          <w:szCs w:val="28"/>
          <w:highlight w:val="none"/>
        </w:rPr>
      </w:pPr>
      <w:r>
        <w:rPr>
          <w:rFonts w:hint="eastAsia" w:ascii="宋体" w:hAnsi="宋体"/>
          <w:sz w:val="28"/>
          <w:szCs w:val="28"/>
          <w:highlight w:val="none"/>
        </w:rPr>
        <w:t>四、资格证明文件</w:t>
      </w:r>
    </w:p>
    <w:p w14:paraId="1D1E0A61">
      <w:pPr>
        <w:spacing w:line="360" w:lineRule="auto"/>
        <w:ind w:left="2280" w:hanging="720"/>
        <w:rPr>
          <w:rFonts w:ascii="宋体" w:hAnsi="宋体"/>
          <w:sz w:val="28"/>
          <w:szCs w:val="28"/>
          <w:highlight w:val="none"/>
        </w:rPr>
      </w:pPr>
      <w:r>
        <w:rPr>
          <w:rFonts w:hint="eastAsia" w:ascii="宋体" w:hAnsi="宋体"/>
          <w:sz w:val="28"/>
          <w:szCs w:val="28"/>
          <w:highlight w:val="none"/>
        </w:rPr>
        <w:t>五、技术条款偏离表</w:t>
      </w:r>
    </w:p>
    <w:p w14:paraId="2480DF2A">
      <w:pPr>
        <w:spacing w:line="360" w:lineRule="auto"/>
        <w:ind w:left="2280" w:hanging="720"/>
        <w:rPr>
          <w:rFonts w:ascii="宋体" w:hAnsi="宋体"/>
          <w:sz w:val="28"/>
          <w:szCs w:val="28"/>
          <w:highlight w:val="none"/>
        </w:rPr>
      </w:pPr>
      <w:r>
        <w:rPr>
          <w:rFonts w:hint="eastAsia" w:ascii="宋体" w:hAnsi="宋体"/>
          <w:sz w:val="28"/>
          <w:szCs w:val="28"/>
          <w:highlight w:val="none"/>
        </w:rPr>
        <w:t>六、商务条款偏离表</w:t>
      </w:r>
    </w:p>
    <w:p w14:paraId="7EFE235F">
      <w:pPr>
        <w:spacing w:line="360" w:lineRule="auto"/>
        <w:ind w:left="2280" w:hanging="720"/>
        <w:rPr>
          <w:rFonts w:ascii="宋体" w:hAnsi="宋体"/>
          <w:sz w:val="28"/>
          <w:szCs w:val="28"/>
          <w:highlight w:val="none"/>
        </w:rPr>
      </w:pPr>
      <w:r>
        <w:rPr>
          <w:rFonts w:hint="eastAsia" w:ascii="宋体" w:hAnsi="宋体"/>
          <w:sz w:val="28"/>
          <w:szCs w:val="28"/>
          <w:highlight w:val="none"/>
        </w:rPr>
        <w:t>七、服务方案</w:t>
      </w:r>
    </w:p>
    <w:p w14:paraId="76A000E6">
      <w:pPr>
        <w:spacing w:line="360" w:lineRule="auto"/>
        <w:ind w:left="2280" w:hanging="720"/>
        <w:rPr>
          <w:rFonts w:ascii="宋体" w:hAnsi="宋体"/>
          <w:sz w:val="28"/>
          <w:szCs w:val="28"/>
          <w:highlight w:val="none"/>
        </w:rPr>
      </w:pPr>
      <w:r>
        <w:rPr>
          <w:rFonts w:hint="eastAsia" w:ascii="宋体" w:hAnsi="宋体"/>
          <w:sz w:val="28"/>
          <w:szCs w:val="28"/>
          <w:highlight w:val="none"/>
        </w:rPr>
        <w:t>八、响应需要的其他证明文件及材料（若有）</w:t>
      </w:r>
    </w:p>
    <w:p w14:paraId="734F6E77">
      <w:pPr>
        <w:spacing w:line="360" w:lineRule="auto"/>
        <w:rPr>
          <w:rFonts w:ascii="宋体" w:hAnsi="宋体"/>
          <w:sz w:val="28"/>
          <w:szCs w:val="28"/>
          <w:highlight w:val="none"/>
        </w:rPr>
      </w:pPr>
    </w:p>
    <w:p w14:paraId="494DAF42">
      <w:pPr>
        <w:spacing w:line="360" w:lineRule="auto"/>
        <w:ind w:firstLine="560" w:firstLineChars="200"/>
        <w:jc w:val="left"/>
        <w:rPr>
          <w:rFonts w:ascii="宋体" w:hAnsi="宋体"/>
          <w:sz w:val="28"/>
          <w:szCs w:val="28"/>
          <w:highlight w:val="none"/>
        </w:rPr>
      </w:pPr>
      <w:r>
        <w:rPr>
          <w:rFonts w:hint="eastAsia" w:ascii="宋体" w:hAnsi="宋体"/>
          <w:sz w:val="28"/>
          <w:szCs w:val="28"/>
          <w:highlight w:val="none"/>
        </w:rPr>
        <w:t>附件一、无重大违法记录声明格式；</w:t>
      </w:r>
    </w:p>
    <w:p w14:paraId="444963B3">
      <w:pPr>
        <w:spacing w:line="360" w:lineRule="auto"/>
        <w:ind w:left="2941" w:leftChars="267" w:hanging="2380" w:hangingChars="850"/>
        <w:jc w:val="left"/>
        <w:rPr>
          <w:rFonts w:ascii="宋体" w:hAnsi="宋体"/>
          <w:sz w:val="28"/>
          <w:szCs w:val="28"/>
          <w:highlight w:val="none"/>
        </w:rPr>
      </w:pPr>
      <w:r>
        <w:rPr>
          <w:rFonts w:hint="eastAsia" w:ascii="宋体" w:hAnsi="宋体"/>
          <w:sz w:val="28"/>
          <w:szCs w:val="28"/>
          <w:highlight w:val="none"/>
        </w:rPr>
        <w:t>附件二、具备履行合同所必需的设备和专业技术能力的声明格式及证明材料。</w:t>
      </w:r>
    </w:p>
    <w:p w14:paraId="4E829302">
      <w:pPr>
        <w:spacing w:line="360" w:lineRule="auto"/>
        <w:ind w:left="2941" w:leftChars="267" w:hanging="2380" w:hangingChars="850"/>
        <w:jc w:val="left"/>
        <w:rPr>
          <w:rFonts w:ascii="宋体" w:hAnsi="宋体"/>
          <w:sz w:val="28"/>
          <w:szCs w:val="28"/>
          <w:highlight w:val="none"/>
        </w:rPr>
      </w:pPr>
      <w:r>
        <w:rPr>
          <w:rFonts w:hint="eastAsia" w:ascii="宋体" w:hAnsi="宋体"/>
          <w:sz w:val="28"/>
          <w:szCs w:val="28"/>
          <w:highlight w:val="none"/>
        </w:rPr>
        <w:t>附件三、承诺书</w:t>
      </w:r>
    </w:p>
    <w:p w14:paraId="024E8A6C">
      <w:pPr>
        <w:rPr>
          <w:rFonts w:ascii="宋体" w:hAnsi="宋体"/>
          <w:b/>
          <w:szCs w:val="21"/>
          <w:highlight w:val="none"/>
          <w:lang w:val="zh-CN"/>
        </w:rPr>
      </w:pPr>
      <w:r>
        <w:rPr>
          <w:rFonts w:hint="eastAsia" w:ascii="宋体" w:hAnsi="宋体"/>
          <w:b/>
          <w:szCs w:val="21"/>
          <w:highlight w:val="none"/>
          <w:lang w:val="zh-CN"/>
        </w:rPr>
        <w:br w:type="page"/>
      </w:r>
    </w:p>
    <w:p w14:paraId="1A210AC8">
      <w:pPr>
        <w:pStyle w:val="5"/>
        <w:ind w:firstLine="482"/>
        <w:rPr>
          <w:b/>
          <w:highlight w:val="none"/>
        </w:rPr>
      </w:pPr>
      <w:r>
        <w:rPr>
          <w:b/>
          <w:highlight w:val="none"/>
        </w:rPr>
        <w:t>目录一、响应申请及声明格式</w:t>
      </w:r>
    </w:p>
    <w:p w14:paraId="00A76152">
      <w:pPr>
        <w:pStyle w:val="226"/>
        <w:outlineLvl w:val="9"/>
        <w:rPr>
          <w:highlight w:val="none"/>
        </w:rPr>
      </w:pPr>
      <w:r>
        <w:rPr>
          <w:highlight w:val="none"/>
        </w:rPr>
        <w:t>响应申请及声明</w:t>
      </w:r>
    </w:p>
    <w:p w14:paraId="304D35EC">
      <w:pPr>
        <w:pStyle w:val="5"/>
        <w:ind w:firstLine="0" w:firstLineChars="0"/>
        <w:rPr>
          <w:highlight w:val="none"/>
        </w:rPr>
      </w:pPr>
      <w:r>
        <w:rPr>
          <w:highlight w:val="none"/>
        </w:rPr>
        <w:t>致：（</w:t>
      </w:r>
      <w:r>
        <w:rPr>
          <w:rFonts w:hint="eastAsia"/>
          <w:highlight w:val="none"/>
        </w:rPr>
        <w:t>比选人</w:t>
      </w:r>
      <w:r>
        <w:rPr>
          <w:highlight w:val="none"/>
        </w:rPr>
        <w:t>）</w:t>
      </w:r>
    </w:p>
    <w:p w14:paraId="1D1A5BE1">
      <w:pPr>
        <w:pStyle w:val="5"/>
        <w:ind w:firstLine="480"/>
        <w:rPr>
          <w:highlight w:val="none"/>
        </w:rPr>
      </w:pPr>
      <w:r>
        <w:rPr>
          <w:highlight w:val="none"/>
        </w:rPr>
        <w:t>根据贵方</w:t>
      </w:r>
      <w:r>
        <w:rPr>
          <w:rFonts w:hint="eastAsia"/>
          <w:highlight w:val="none"/>
          <w:u w:val="single"/>
        </w:rPr>
        <w:t xml:space="preserve">                                 </w:t>
      </w:r>
      <w:r>
        <w:rPr>
          <w:highlight w:val="none"/>
        </w:rPr>
        <w:t>（项目编号：</w:t>
      </w:r>
      <w:r>
        <w:rPr>
          <w:highlight w:val="none"/>
          <w:u w:val="single"/>
        </w:rPr>
        <w:t xml:space="preserve">       </w:t>
      </w:r>
      <w:r>
        <w:rPr>
          <w:highlight w:val="none"/>
        </w:rPr>
        <w:t>）响应邀请，正式授权下述签字人（姓名和职务）</w:t>
      </w:r>
      <w:r>
        <w:rPr>
          <w:b/>
          <w:highlight w:val="none"/>
          <w:u w:val="single"/>
        </w:rPr>
        <w:t xml:space="preserve">        </w:t>
      </w:r>
      <w:r>
        <w:rPr>
          <w:b/>
          <w:highlight w:val="none"/>
        </w:rPr>
        <w:t xml:space="preserve"> </w:t>
      </w:r>
      <w:r>
        <w:rPr>
          <w:highlight w:val="none"/>
        </w:rPr>
        <w:t>代表供应商（供应商名称）</w:t>
      </w:r>
      <w:r>
        <w:rPr>
          <w:b/>
          <w:highlight w:val="none"/>
          <w:u w:val="single"/>
        </w:rPr>
        <w:t xml:space="preserve">        </w:t>
      </w:r>
      <w:r>
        <w:rPr>
          <w:b/>
          <w:highlight w:val="none"/>
        </w:rPr>
        <w:t xml:space="preserve"> </w:t>
      </w:r>
      <w:r>
        <w:rPr>
          <w:highlight w:val="none"/>
        </w:rPr>
        <w:t>，提交响应文件。</w:t>
      </w:r>
    </w:p>
    <w:p w14:paraId="17438E1C">
      <w:pPr>
        <w:pStyle w:val="5"/>
        <w:ind w:firstLine="480"/>
        <w:rPr>
          <w:highlight w:val="none"/>
        </w:rPr>
      </w:pPr>
      <w:r>
        <w:rPr>
          <w:highlight w:val="none"/>
        </w:rPr>
        <w:t>据此函，签字人兹宣布声明和承诺如下：</w:t>
      </w:r>
    </w:p>
    <w:p w14:paraId="15AF8F52">
      <w:pPr>
        <w:pStyle w:val="5"/>
        <w:numPr>
          <w:ilvl w:val="0"/>
          <w:numId w:val="67"/>
        </w:numPr>
        <w:ind w:firstLineChars="0"/>
        <w:rPr>
          <w:highlight w:val="none"/>
        </w:rPr>
      </w:pPr>
      <w:r>
        <w:rPr>
          <w:b/>
          <w:highlight w:val="none"/>
        </w:rPr>
        <w:t>我们的资格条件完全符合本次</w:t>
      </w:r>
      <w:r>
        <w:rPr>
          <w:rFonts w:hint="eastAsia"/>
          <w:highlight w:val="none"/>
        </w:rPr>
        <w:t>比选</w:t>
      </w:r>
      <w:r>
        <w:rPr>
          <w:b/>
          <w:highlight w:val="none"/>
        </w:rPr>
        <w:t>要求</w:t>
      </w:r>
      <w:r>
        <w:rPr>
          <w:highlight w:val="none"/>
        </w:rPr>
        <w:t>，我们同意并向贵方提供了与响应有关的所有证据和资料。</w:t>
      </w:r>
    </w:p>
    <w:p w14:paraId="0B19EF08">
      <w:pPr>
        <w:pStyle w:val="5"/>
        <w:numPr>
          <w:ilvl w:val="0"/>
          <w:numId w:val="67"/>
        </w:numPr>
        <w:ind w:firstLineChars="0"/>
        <w:rPr>
          <w:rFonts w:eastAsiaTheme="minorEastAsia"/>
          <w:b/>
          <w:highlight w:val="none"/>
        </w:rPr>
      </w:pPr>
      <w:r>
        <w:rPr>
          <w:b/>
          <w:highlight w:val="none"/>
        </w:rPr>
        <w:t>按</w:t>
      </w:r>
      <w:r>
        <w:rPr>
          <w:rFonts w:hint="eastAsia"/>
          <w:highlight w:val="none"/>
        </w:rPr>
        <w:t>比选</w:t>
      </w:r>
      <w:r>
        <w:rPr>
          <w:b/>
          <w:highlight w:val="none"/>
        </w:rPr>
        <w:t>要求，我们</w:t>
      </w:r>
      <w:r>
        <w:rPr>
          <w:rFonts w:hint="eastAsia" w:asciiTheme="minorEastAsia" w:hAnsiTheme="minorEastAsia" w:eastAsiaTheme="minorEastAsia" w:cstheme="minorEastAsia"/>
          <w:highlight w:val="none"/>
        </w:rPr>
        <w:t>对所有平台骑手收费标准不高于</w:t>
      </w:r>
      <w:r>
        <w:rPr>
          <w:rFonts w:hint="eastAsia" w:asciiTheme="minorEastAsia" w:hAnsiTheme="minorEastAsia" w:eastAsiaTheme="minorEastAsia" w:cstheme="minorEastAsia"/>
          <w:highlight w:val="none"/>
          <w:u w:val="single"/>
        </w:rPr>
        <w:t xml:space="preserve"> </w:t>
      </w:r>
      <w:r>
        <w:rPr>
          <w:rFonts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元/单。</w:t>
      </w:r>
    </w:p>
    <w:p w14:paraId="7CF3C481">
      <w:pPr>
        <w:pStyle w:val="5"/>
        <w:numPr>
          <w:ilvl w:val="0"/>
          <w:numId w:val="67"/>
        </w:numPr>
        <w:ind w:firstLineChars="0"/>
        <w:rPr>
          <w:highlight w:val="none"/>
        </w:rPr>
      </w:pPr>
      <w:r>
        <w:rPr>
          <w:highlight w:val="none"/>
        </w:rPr>
        <w:t>我们已详细审核全部</w:t>
      </w:r>
      <w:r>
        <w:rPr>
          <w:rFonts w:hint="eastAsia"/>
          <w:b/>
          <w:highlight w:val="none"/>
        </w:rPr>
        <w:t>比选</w:t>
      </w:r>
      <w:r>
        <w:rPr>
          <w:highlight w:val="none"/>
        </w:rPr>
        <w:t>文件及其有效补充文件，我们放弃对</w:t>
      </w:r>
      <w:r>
        <w:rPr>
          <w:rFonts w:hint="eastAsia"/>
          <w:highlight w:val="none"/>
        </w:rPr>
        <w:t>比选文件</w:t>
      </w:r>
      <w:r>
        <w:rPr>
          <w:highlight w:val="none"/>
        </w:rPr>
        <w:t>任何误解的权利，提交响应文件后，</w:t>
      </w:r>
      <w:r>
        <w:rPr>
          <w:b/>
          <w:highlight w:val="none"/>
        </w:rPr>
        <w:t>不对</w:t>
      </w:r>
      <w:r>
        <w:rPr>
          <w:rFonts w:hint="eastAsia"/>
          <w:b/>
          <w:highlight w:val="none"/>
        </w:rPr>
        <w:t>比选文件</w:t>
      </w:r>
      <w:r>
        <w:rPr>
          <w:b/>
          <w:highlight w:val="none"/>
        </w:rPr>
        <w:t>本身提出质疑</w:t>
      </w:r>
      <w:r>
        <w:rPr>
          <w:highlight w:val="none"/>
        </w:rPr>
        <w:t>。</w:t>
      </w:r>
    </w:p>
    <w:p w14:paraId="2EC69312">
      <w:pPr>
        <w:pStyle w:val="5"/>
        <w:numPr>
          <w:ilvl w:val="0"/>
          <w:numId w:val="67"/>
        </w:numPr>
        <w:ind w:firstLineChars="0"/>
        <w:rPr>
          <w:highlight w:val="none"/>
        </w:rPr>
      </w:pPr>
      <w:r>
        <w:rPr>
          <w:highlight w:val="none"/>
        </w:rPr>
        <w:t>我们同意从规定的</w:t>
      </w:r>
      <w:r>
        <w:rPr>
          <w:rFonts w:hint="eastAsia"/>
          <w:highlight w:val="none"/>
        </w:rPr>
        <w:t>响应文件开启</w:t>
      </w:r>
      <w:r>
        <w:rPr>
          <w:highlight w:val="none"/>
        </w:rPr>
        <w:t>日期起遵循本响应文件，并在规定的响应有效期期满之前均具有约束力。</w:t>
      </w:r>
    </w:p>
    <w:p w14:paraId="1304E1B3">
      <w:pPr>
        <w:pStyle w:val="5"/>
        <w:numPr>
          <w:ilvl w:val="0"/>
          <w:numId w:val="67"/>
        </w:numPr>
        <w:ind w:firstLineChars="0"/>
        <w:rPr>
          <w:highlight w:val="none"/>
        </w:rPr>
      </w:pPr>
      <w:r>
        <w:rPr>
          <w:highlight w:val="none"/>
        </w:rPr>
        <w:t>一旦我方成交，我方将根据</w:t>
      </w:r>
      <w:r>
        <w:rPr>
          <w:rFonts w:hint="eastAsia"/>
          <w:highlight w:val="none"/>
        </w:rPr>
        <w:t>比选文件</w:t>
      </w:r>
      <w:r>
        <w:rPr>
          <w:highlight w:val="none"/>
        </w:rPr>
        <w:t>的规定严格履行合同，并保证于承诺的时间完成项目的启动等服务，交付</w:t>
      </w:r>
      <w:r>
        <w:rPr>
          <w:rFonts w:hint="eastAsia"/>
          <w:highlight w:val="none"/>
        </w:rPr>
        <w:t>比选人</w:t>
      </w:r>
      <w:r>
        <w:rPr>
          <w:highlight w:val="none"/>
        </w:rPr>
        <w:t>验收。</w:t>
      </w:r>
    </w:p>
    <w:p w14:paraId="3D53406E">
      <w:pPr>
        <w:pStyle w:val="5"/>
        <w:numPr>
          <w:ilvl w:val="0"/>
          <w:numId w:val="67"/>
        </w:numPr>
        <w:ind w:firstLineChars="0"/>
        <w:rPr>
          <w:highlight w:val="none"/>
        </w:rPr>
      </w:pPr>
      <w:r>
        <w:rPr>
          <w:highlight w:val="none"/>
        </w:rPr>
        <w:t>我方决不提供虚假材料谋取成交、决不采取不正当手段诋毁、排挤其他供应商、决不与</w:t>
      </w:r>
      <w:r>
        <w:rPr>
          <w:rFonts w:hint="eastAsia"/>
          <w:highlight w:val="none"/>
        </w:rPr>
        <w:t>比选人</w:t>
      </w:r>
      <w:r>
        <w:rPr>
          <w:highlight w:val="none"/>
        </w:rPr>
        <w:t>、其他供应商恶意串通、决不向</w:t>
      </w:r>
      <w:r>
        <w:rPr>
          <w:rFonts w:hint="eastAsia"/>
          <w:highlight w:val="none"/>
        </w:rPr>
        <w:t>比选人</w:t>
      </w:r>
      <w:r>
        <w:rPr>
          <w:highlight w:val="none"/>
        </w:rPr>
        <w:t>和评委进行商业贿赂、决不在</w:t>
      </w:r>
      <w:r>
        <w:rPr>
          <w:rFonts w:hint="eastAsia"/>
          <w:highlight w:val="none"/>
        </w:rPr>
        <w:t>比选</w:t>
      </w:r>
      <w:r>
        <w:rPr>
          <w:highlight w:val="none"/>
        </w:rPr>
        <w:t>过程中与</w:t>
      </w:r>
      <w:r>
        <w:rPr>
          <w:rFonts w:hint="eastAsia"/>
          <w:highlight w:val="none"/>
        </w:rPr>
        <w:t>比选人</w:t>
      </w:r>
      <w:r>
        <w:rPr>
          <w:highlight w:val="none"/>
        </w:rPr>
        <w:t>进行协商谈判、决不拒绝有关部门监督检查或提供虚假情况，如有违反，无条件接受贵方及相关管理部门的处罚。</w:t>
      </w:r>
    </w:p>
    <w:p w14:paraId="3DDBA2D7">
      <w:pPr>
        <w:pStyle w:val="5"/>
        <w:numPr>
          <w:ilvl w:val="0"/>
          <w:numId w:val="67"/>
        </w:numPr>
        <w:ind w:firstLineChars="0"/>
        <w:rPr>
          <w:highlight w:val="none"/>
        </w:rPr>
      </w:pPr>
      <w:r>
        <w:rPr>
          <w:highlight w:val="none"/>
        </w:rPr>
        <w:t>与本次响应有关的正式联系方式为：</w:t>
      </w:r>
    </w:p>
    <w:p w14:paraId="2E02D4A5">
      <w:pPr>
        <w:pStyle w:val="5"/>
        <w:ind w:firstLine="480"/>
        <w:rPr>
          <w:highlight w:val="none"/>
          <w:u w:val="single"/>
        </w:rPr>
      </w:pPr>
      <w:r>
        <w:rPr>
          <w:highlight w:val="none"/>
        </w:rPr>
        <w:t>地址：</w:t>
      </w:r>
    </w:p>
    <w:p w14:paraId="3DA47CCF">
      <w:pPr>
        <w:pStyle w:val="5"/>
        <w:ind w:firstLine="480"/>
        <w:rPr>
          <w:highlight w:val="none"/>
          <w:u w:val="single"/>
        </w:rPr>
      </w:pPr>
      <w:r>
        <w:rPr>
          <w:highlight w:val="none"/>
        </w:rPr>
        <w:t>电话：</w:t>
      </w:r>
    </w:p>
    <w:p w14:paraId="6A54D3E2">
      <w:pPr>
        <w:pStyle w:val="5"/>
        <w:ind w:firstLine="480"/>
        <w:rPr>
          <w:highlight w:val="none"/>
          <w:u w:val="single"/>
        </w:rPr>
      </w:pPr>
      <w:r>
        <w:rPr>
          <w:highlight w:val="none"/>
        </w:rPr>
        <w:t>传真：</w:t>
      </w:r>
    </w:p>
    <w:p w14:paraId="53517844">
      <w:pPr>
        <w:pStyle w:val="5"/>
        <w:ind w:firstLine="480"/>
        <w:rPr>
          <w:highlight w:val="none"/>
        </w:rPr>
      </w:pPr>
      <w:r>
        <w:rPr>
          <w:highlight w:val="none"/>
        </w:rPr>
        <w:t>开户银行：</w:t>
      </w:r>
    </w:p>
    <w:p w14:paraId="777FA982">
      <w:pPr>
        <w:pStyle w:val="5"/>
        <w:ind w:firstLine="480"/>
        <w:rPr>
          <w:highlight w:val="none"/>
        </w:rPr>
      </w:pPr>
      <w:r>
        <w:rPr>
          <w:highlight w:val="none"/>
        </w:rPr>
        <w:t>银行账号：</w:t>
      </w:r>
    </w:p>
    <w:p w14:paraId="7796D423">
      <w:pPr>
        <w:autoSpaceDE w:val="0"/>
        <w:autoSpaceDN w:val="0"/>
        <w:adjustRightInd w:val="0"/>
        <w:spacing w:line="360" w:lineRule="auto"/>
        <w:ind w:firstLine="420"/>
        <w:rPr>
          <w:rFonts w:ascii="Times New Roman" w:hAnsi="Times New Roman"/>
          <w:sz w:val="24"/>
          <w:szCs w:val="21"/>
          <w:highlight w:val="none"/>
          <w:u w:val="single"/>
          <w:lang w:val="zh-CN"/>
        </w:rPr>
      </w:pPr>
      <w:r>
        <w:rPr>
          <w:rFonts w:hint="eastAsia" w:ascii="Times New Roman" w:hAnsi="Times New Roman"/>
          <w:sz w:val="24"/>
          <w:szCs w:val="21"/>
          <w:highlight w:val="none"/>
          <w:lang w:val="zh-CN"/>
        </w:rPr>
        <w:t>供应商授权代表姓名（签字）：</w:t>
      </w:r>
    </w:p>
    <w:p w14:paraId="705542EA">
      <w:pPr>
        <w:autoSpaceDE w:val="0"/>
        <w:autoSpaceDN w:val="0"/>
        <w:adjustRightInd w:val="0"/>
        <w:spacing w:line="360" w:lineRule="auto"/>
        <w:ind w:firstLine="420"/>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11F5031F">
      <w:pPr>
        <w:autoSpaceDE w:val="0"/>
        <w:autoSpaceDN w:val="0"/>
        <w:adjustRightInd w:val="0"/>
        <w:spacing w:line="360" w:lineRule="auto"/>
        <w:ind w:firstLine="420"/>
        <w:rPr>
          <w:rFonts w:ascii="Times New Roman" w:hAnsi="Times New Roman"/>
          <w:b/>
          <w:sz w:val="24"/>
          <w:szCs w:val="21"/>
          <w:highlight w:val="none"/>
          <w:lang w:val="zh-CN"/>
        </w:rPr>
      </w:pPr>
      <w:r>
        <w:rPr>
          <w:rFonts w:hint="eastAsia" w:ascii="Times New Roman" w:hAnsi="Times New Roman"/>
          <w:sz w:val="24"/>
          <w:szCs w:val="21"/>
          <w:highlight w:val="none"/>
          <w:lang w:val="zh-CN"/>
        </w:rPr>
        <w:t>日期：</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年</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月</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日</w:t>
      </w:r>
    </w:p>
    <w:p w14:paraId="7F857654">
      <w:pPr>
        <w:jc w:val="left"/>
        <w:rPr>
          <w:rFonts w:ascii="宋体" w:hAnsi="宋体" w:cs="宋体"/>
          <w:b/>
          <w:szCs w:val="21"/>
          <w:highlight w:val="none"/>
          <w:lang w:val="zh-CN"/>
        </w:rPr>
      </w:pPr>
      <w:r>
        <w:rPr>
          <w:rFonts w:hint="eastAsia" w:ascii="宋体" w:hAnsi="宋体" w:cs="宋体"/>
          <w:b/>
          <w:szCs w:val="21"/>
          <w:highlight w:val="none"/>
          <w:lang w:val="zh-CN"/>
        </w:rPr>
        <w:br w:type="page"/>
      </w:r>
    </w:p>
    <w:p w14:paraId="3E196BF4">
      <w:pPr>
        <w:pStyle w:val="5"/>
        <w:ind w:firstLine="482"/>
        <w:rPr>
          <w:b/>
          <w:highlight w:val="none"/>
        </w:rPr>
      </w:pPr>
      <w:r>
        <w:rPr>
          <w:b/>
          <w:highlight w:val="none"/>
        </w:rPr>
        <w:t>目录二、法定代表人授权书格式</w:t>
      </w:r>
    </w:p>
    <w:p w14:paraId="704F37CB">
      <w:pPr>
        <w:pStyle w:val="226"/>
        <w:outlineLvl w:val="9"/>
        <w:rPr>
          <w:highlight w:val="none"/>
        </w:rPr>
      </w:pPr>
      <w:r>
        <w:rPr>
          <w:highlight w:val="none"/>
        </w:rPr>
        <w:t>法定代表人授权委托书</w:t>
      </w:r>
    </w:p>
    <w:p w14:paraId="2A1C63E1">
      <w:pPr>
        <w:pStyle w:val="5"/>
        <w:ind w:firstLine="0" w:firstLineChars="0"/>
        <w:rPr>
          <w:highlight w:val="none"/>
        </w:rPr>
      </w:pPr>
      <w:r>
        <w:rPr>
          <w:highlight w:val="none"/>
        </w:rPr>
        <w:t>致：（</w:t>
      </w:r>
      <w:r>
        <w:rPr>
          <w:rFonts w:hint="eastAsia"/>
          <w:highlight w:val="none"/>
        </w:rPr>
        <w:t>比选人</w:t>
      </w:r>
      <w:r>
        <w:rPr>
          <w:highlight w:val="none"/>
        </w:rPr>
        <w:t>）</w:t>
      </w:r>
    </w:p>
    <w:p w14:paraId="1E306F67">
      <w:pPr>
        <w:pStyle w:val="5"/>
        <w:ind w:firstLine="480"/>
        <w:rPr>
          <w:highlight w:val="none"/>
        </w:rPr>
      </w:pPr>
      <w:r>
        <w:rPr>
          <w:highlight w:val="none"/>
        </w:rPr>
        <w:t>本授权书声明：注册于（供应商住址）</w:t>
      </w:r>
      <w:r>
        <w:rPr>
          <w:b/>
          <w:highlight w:val="none"/>
          <w:u w:val="single"/>
        </w:rPr>
        <w:t xml:space="preserve">        </w:t>
      </w:r>
      <w:r>
        <w:rPr>
          <w:b/>
          <w:highlight w:val="none"/>
        </w:rPr>
        <w:t xml:space="preserve"> </w:t>
      </w:r>
      <w:r>
        <w:rPr>
          <w:highlight w:val="none"/>
        </w:rPr>
        <w:t>的（供应商名称）</w:t>
      </w:r>
      <w:r>
        <w:rPr>
          <w:b/>
          <w:highlight w:val="none"/>
          <w:u w:val="single"/>
        </w:rPr>
        <w:t xml:space="preserve">        </w:t>
      </w:r>
      <w:r>
        <w:rPr>
          <w:b/>
          <w:highlight w:val="none"/>
        </w:rPr>
        <w:t xml:space="preserve"> </w:t>
      </w:r>
      <w:r>
        <w:rPr>
          <w:highlight w:val="none"/>
        </w:rPr>
        <w:t>法定代表人（法定代表人姓名、职务）</w:t>
      </w:r>
      <w:r>
        <w:rPr>
          <w:b/>
          <w:highlight w:val="none"/>
          <w:u w:val="single"/>
        </w:rPr>
        <w:t xml:space="preserve">        </w:t>
      </w:r>
      <w:r>
        <w:rPr>
          <w:b/>
          <w:highlight w:val="none"/>
        </w:rPr>
        <w:t xml:space="preserve"> </w:t>
      </w:r>
      <w:r>
        <w:rPr>
          <w:highlight w:val="none"/>
        </w:rPr>
        <w:t>代表本公司授权在下面签字的（供应商代表姓名、职务）</w:t>
      </w:r>
      <w:r>
        <w:rPr>
          <w:b/>
          <w:highlight w:val="none"/>
          <w:u w:val="single"/>
        </w:rPr>
        <w:t xml:space="preserve">        </w:t>
      </w:r>
      <w:r>
        <w:rPr>
          <w:b/>
          <w:highlight w:val="none"/>
        </w:rPr>
        <w:t xml:space="preserve"> </w:t>
      </w:r>
      <w:r>
        <w:rPr>
          <w:highlight w:val="none"/>
        </w:rPr>
        <w:t>为本公司的合法代理人，就贵方组织的</w:t>
      </w:r>
      <w:r>
        <w:rPr>
          <w:rFonts w:hint="eastAsia"/>
          <w:highlight w:val="none"/>
        </w:rPr>
        <w:t xml:space="preserve">  </w:t>
      </w:r>
      <w:r>
        <w:rPr>
          <w:rFonts w:hint="eastAsia"/>
          <w:highlight w:val="none"/>
          <w:u w:val="single"/>
        </w:rPr>
        <w:t xml:space="preserve">                                          </w:t>
      </w:r>
      <w:r>
        <w:rPr>
          <w:highlight w:val="none"/>
        </w:rPr>
        <w:t>，</w:t>
      </w:r>
      <w:r>
        <w:rPr>
          <w:b/>
          <w:highlight w:val="none"/>
          <w:u w:val="single"/>
        </w:rPr>
        <w:t xml:space="preserve">        </w:t>
      </w:r>
      <w:r>
        <w:rPr>
          <w:b/>
          <w:highlight w:val="none"/>
        </w:rPr>
        <w:t xml:space="preserve"> </w:t>
      </w:r>
      <w:r>
        <w:rPr>
          <w:highlight w:val="none"/>
        </w:rPr>
        <w:t>（项目编号）进行响应，以本公司名义处理一切与之有关的事务。</w:t>
      </w:r>
    </w:p>
    <w:p w14:paraId="432E92E4">
      <w:pPr>
        <w:pStyle w:val="5"/>
        <w:ind w:firstLine="480"/>
        <w:rPr>
          <w:highlight w:val="none"/>
        </w:rPr>
      </w:pPr>
      <w:r>
        <w:rPr>
          <w:highlight w:val="none"/>
        </w:rPr>
        <w:t>本授权书于</w:t>
      </w:r>
      <w:r>
        <w:rPr>
          <w:highlight w:val="none"/>
          <w:u w:val="single"/>
        </w:rPr>
        <w:t xml:space="preserve">      年    月    日</w:t>
      </w:r>
      <w:r>
        <w:rPr>
          <w:highlight w:val="none"/>
        </w:rPr>
        <w:t>签字生效，特此声明。</w:t>
      </w:r>
    </w:p>
    <w:p w14:paraId="6CC611D0">
      <w:pPr>
        <w:adjustRightInd w:val="0"/>
        <w:spacing w:line="360" w:lineRule="auto"/>
        <w:ind w:firstLine="408"/>
        <w:jc w:val="left"/>
        <w:rPr>
          <w:rFonts w:ascii="宋体" w:hAnsi="宋体" w:cs="宋体"/>
          <w:szCs w:val="21"/>
          <w:highlight w:val="none"/>
          <w:lang w:val="zh-CN"/>
        </w:rPr>
      </w:pPr>
    </w:p>
    <w:p w14:paraId="05A6425D">
      <w:pPr>
        <w:adjustRightInd w:val="0"/>
        <w:spacing w:line="360" w:lineRule="auto"/>
        <w:ind w:firstLine="480" w:firstLineChars="20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法定代表人（签字）：</w:t>
      </w:r>
    </w:p>
    <w:p w14:paraId="564CAF8B">
      <w:pPr>
        <w:adjustRightInd w:val="0"/>
        <w:spacing w:line="360" w:lineRule="auto"/>
        <w:ind w:firstLine="480" w:firstLineChars="20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授权委托人（签字）：</w:t>
      </w:r>
    </w:p>
    <w:p w14:paraId="56F74575">
      <w:pPr>
        <w:tabs>
          <w:tab w:val="left" w:pos="1440"/>
        </w:tabs>
        <w:adjustRightInd w:val="0"/>
        <w:spacing w:line="360" w:lineRule="auto"/>
        <w:ind w:firstLine="42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日期：年 月 日</w:t>
      </w:r>
    </w:p>
    <w:p w14:paraId="67306ACD">
      <w:pPr>
        <w:tabs>
          <w:tab w:val="left" w:pos="1440"/>
        </w:tabs>
        <w:adjustRightInd w:val="0"/>
        <w:spacing w:line="360" w:lineRule="auto"/>
        <w:ind w:firstLine="420"/>
        <w:jc w:val="left"/>
        <w:rPr>
          <w:rFonts w:ascii="宋体" w:hAnsi="宋体" w:cs="宋体"/>
          <w:szCs w:val="21"/>
          <w:highlight w:val="none"/>
          <w:lang w:val="zh-CN"/>
        </w:rPr>
      </w:pPr>
    </w:p>
    <w:p w14:paraId="477E1762">
      <w:pPr>
        <w:tabs>
          <w:tab w:val="left" w:pos="1440"/>
        </w:tabs>
        <w:adjustRightInd w:val="0"/>
        <w:spacing w:line="360" w:lineRule="auto"/>
        <w:ind w:firstLine="420"/>
        <w:jc w:val="left"/>
        <w:rPr>
          <w:rFonts w:ascii="Times New Roman" w:hAnsi="Times New Roman"/>
          <w:sz w:val="24"/>
          <w:szCs w:val="21"/>
          <w:highlight w:val="none"/>
        </w:rPr>
      </w:pPr>
      <w:r>
        <w:rPr>
          <w:rFonts w:hint="eastAsia" w:ascii="Times New Roman" w:hAnsi="Times New Roman"/>
          <w:sz w:val="24"/>
          <w:szCs w:val="21"/>
          <w:highlight w:val="none"/>
          <w:lang w:val="zh-CN"/>
        </w:rPr>
        <w:t>授权委托人</w:t>
      </w:r>
      <w:r>
        <w:rPr>
          <w:rFonts w:hint="eastAsia" w:ascii="Times New Roman" w:hAnsi="Times New Roman"/>
          <w:sz w:val="24"/>
          <w:szCs w:val="21"/>
          <w:highlight w:val="none"/>
        </w:rPr>
        <w:t>身份证复印件：</w:t>
      </w:r>
    </w:p>
    <w:p w14:paraId="4B53ED6E">
      <w:pPr>
        <w:tabs>
          <w:tab w:val="left" w:pos="1440"/>
        </w:tabs>
        <w:adjustRightInd w:val="0"/>
        <w:spacing w:line="360" w:lineRule="auto"/>
        <w:ind w:firstLine="420"/>
        <w:jc w:val="left"/>
        <w:rPr>
          <w:rFonts w:ascii="宋体" w:hAnsi="宋体" w:cs="宋体"/>
          <w:szCs w:val="21"/>
          <w:highlight w:val="none"/>
        </w:rPr>
      </w:pPr>
    </w:p>
    <w:p w14:paraId="6DC88533">
      <w:pPr>
        <w:tabs>
          <w:tab w:val="left" w:pos="1440"/>
        </w:tabs>
        <w:adjustRightInd w:val="0"/>
        <w:spacing w:line="360" w:lineRule="auto"/>
        <w:ind w:firstLine="420"/>
        <w:jc w:val="left"/>
        <w:rPr>
          <w:rFonts w:ascii="宋体" w:hAnsi="宋体" w:cs="宋体"/>
          <w:szCs w:val="21"/>
          <w:highlight w:val="none"/>
        </w:rPr>
      </w:pPr>
    </w:p>
    <w:p w14:paraId="40AAF97A">
      <w:pPr>
        <w:tabs>
          <w:tab w:val="left" w:pos="1440"/>
        </w:tabs>
        <w:adjustRightInd w:val="0"/>
        <w:spacing w:line="360" w:lineRule="auto"/>
        <w:ind w:firstLine="420"/>
        <w:jc w:val="left"/>
        <w:rPr>
          <w:rFonts w:ascii="Times New Roman" w:hAnsi="Times New Roman"/>
          <w:sz w:val="24"/>
          <w:szCs w:val="21"/>
          <w:highlight w:val="none"/>
        </w:rPr>
      </w:pPr>
      <w:r>
        <w:rPr>
          <w:rFonts w:hint="eastAsia" w:ascii="Times New Roman" w:hAnsi="Times New Roman"/>
          <w:sz w:val="24"/>
          <w:szCs w:val="21"/>
          <w:highlight w:val="none"/>
        </w:rPr>
        <w:t>供应商或分支机构近半年内任意一个月为</w:t>
      </w:r>
      <w:r>
        <w:rPr>
          <w:rFonts w:hint="eastAsia" w:ascii="Times New Roman" w:hAnsi="Times New Roman"/>
          <w:sz w:val="24"/>
          <w:szCs w:val="21"/>
          <w:highlight w:val="none"/>
          <w:lang w:val="zh-CN"/>
        </w:rPr>
        <w:t>授权委托人</w:t>
      </w:r>
      <w:r>
        <w:rPr>
          <w:rFonts w:hint="eastAsia" w:ascii="Times New Roman" w:hAnsi="Times New Roman"/>
          <w:sz w:val="24"/>
          <w:szCs w:val="21"/>
          <w:highlight w:val="none"/>
        </w:rPr>
        <w:t>缴纳社保的证明：</w:t>
      </w:r>
    </w:p>
    <w:p w14:paraId="7A319236">
      <w:pPr>
        <w:tabs>
          <w:tab w:val="left" w:pos="1440"/>
        </w:tabs>
        <w:adjustRightInd w:val="0"/>
        <w:spacing w:line="360" w:lineRule="auto"/>
        <w:ind w:firstLine="420"/>
        <w:jc w:val="left"/>
        <w:rPr>
          <w:rFonts w:ascii="宋体" w:hAnsi="宋体" w:cs="宋体"/>
          <w:szCs w:val="21"/>
          <w:highlight w:val="none"/>
          <w:lang w:val="zh-CN"/>
        </w:rPr>
      </w:pPr>
    </w:p>
    <w:p w14:paraId="5AC31A1A">
      <w:pPr>
        <w:tabs>
          <w:tab w:val="left" w:pos="1440"/>
        </w:tabs>
        <w:adjustRightInd w:val="0"/>
        <w:spacing w:line="360" w:lineRule="auto"/>
        <w:ind w:firstLine="420"/>
        <w:jc w:val="left"/>
        <w:rPr>
          <w:rFonts w:ascii="宋体" w:hAnsi="宋体" w:cs="宋体"/>
          <w:szCs w:val="21"/>
          <w:highlight w:val="none"/>
          <w:lang w:val="zh-CN"/>
        </w:rPr>
      </w:pPr>
    </w:p>
    <w:p w14:paraId="09CD3449">
      <w:pPr>
        <w:rPr>
          <w:rFonts w:ascii="宋体" w:hAnsi="宋体" w:cs="宋体"/>
          <w:b/>
          <w:szCs w:val="21"/>
          <w:highlight w:val="none"/>
          <w:lang w:val="zh-CN"/>
        </w:rPr>
      </w:pPr>
      <w:r>
        <w:rPr>
          <w:rFonts w:hint="eastAsia" w:ascii="宋体" w:hAnsi="宋体" w:cs="宋体"/>
          <w:b/>
          <w:szCs w:val="21"/>
          <w:highlight w:val="none"/>
          <w:lang w:val="zh-CN"/>
        </w:rPr>
        <w:br w:type="page"/>
      </w:r>
    </w:p>
    <w:p w14:paraId="205B8A05">
      <w:pPr>
        <w:pStyle w:val="268"/>
        <w:rPr>
          <w:highlight w:val="none"/>
        </w:rPr>
      </w:pPr>
      <w:r>
        <w:rPr>
          <w:highlight w:val="none"/>
        </w:rPr>
        <w:t>目录三、</w:t>
      </w:r>
      <w:r>
        <w:rPr>
          <w:rFonts w:hint="eastAsia"/>
          <w:highlight w:val="none"/>
        </w:rPr>
        <w:t>响应</w:t>
      </w:r>
      <w:r>
        <w:rPr>
          <w:highlight w:val="none"/>
        </w:rPr>
        <w:t>一览表格式</w:t>
      </w:r>
    </w:p>
    <w:p w14:paraId="72CAAFD0">
      <w:pPr>
        <w:pStyle w:val="226"/>
        <w:outlineLvl w:val="9"/>
        <w:rPr>
          <w:highlight w:val="none"/>
        </w:rPr>
      </w:pPr>
      <w:r>
        <w:rPr>
          <w:rFonts w:hint="eastAsia"/>
          <w:highlight w:val="none"/>
        </w:rPr>
        <w:t>响应</w:t>
      </w:r>
      <w:r>
        <w:rPr>
          <w:highlight w:val="none"/>
        </w:rPr>
        <w:t>一览表</w:t>
      </w:r>
    </w:p>
    <w:p w14:paraId="64C7C222">
      <w:pPr>
        <w:pStyle w:val="35"/>
        <w:rPr>
          <w:highlight w:val="none"/>
        </w:rPr>
      </w:pPr>
      <w:r>
        <w:rPr>
          <w:highlight w:val="none"/>
        </w:rPr>
        <w:t>（请将</w:t>
      </w:r>
      <w:r>
        <w:rPr>
          <w:rFonts w:hint="eastAsia"/>
          <w:highlight w:val="none"/>
        </w:rPr>
        <w:t>响应</w:t>
      </w:r>
      <w:r>
        <w:rPr>
          <w:highlight w:val="none"/>
        </w:rPr>
        <w:t>一览表放置于响应文件首页）</w:t>
      </w:r>
    </w:p>
    <w:p w14:paraId="5E6F910E">
      <w:pPr>
        <w:pStyle w:val="14"/>
        <w:spacing w:line="440" w:lineRule="exact"/>
        <w:ind w:firstLine="472" w:firstLineChars="225"/>
        <w:rPr>
          <w:rFonts w:ascii="宋体" w:hAnsi="宋体" w:cs="宋体"/>
          <w:szCs w:val="21"/>
          <w:highlight w:val="none"/>
        </w:rPr>
      </w:pPr>
      <w:r>
        <w:rPr>
          <w:rFonts w:hint="eastAsia" w:ascii="宋体" w:hAnsi="宋体" w:cs="宋体"/>
          <w:szCs w:val="21"/>
          <w:highlight w:val="none"/>
        </w:rPr>
        <w:t>项目名称：                              项目编号：</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2"/>
        <w:gridCol w:w="6237"/>
      </w:tblGrid>
      <w:tr w14:paraId="09EDC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jc w:val="center"/>
        </w:trPr>
        <w:tc>
          <w:tcPr>
            <w:tcW w:w="562" w:type="dxa"/>
            <w:vAlign w:val="center"/>
          </w:tcPr>
          <w:p w14:paraId="791CA5D7">
            <w:pPr>
              <w:tabs>
                <w:tab w:val="left" w:pos="5580"/>
              </w:tabs>
              <w:spacing w:line="240" w:lineRule="atLeast"/>
              <w:jc w:val="center"/>
              <w:rPr>
                <w:rFonts w:ascii="宋体" w:hAnsi="宋体" w:cs="宋体"/>
                <w:szCs w:val="21"/>
                <w:highlight w:val="none"/>
              </w:rPr>
            </w:pPr>
            <w:r>
              <w:rPr>
                <w:rFonts w:hint="eastAsia" w:ascii="宋体" w:hAnsi="宋体" w:cs="宋体"/>
                <w:szCs w:val="21"/>
                <w:highlight w:val="none"/>
              </w:rPr>
              <w:t>序号</w:t>
            </w:r>
          </w:p>
        </w:tc>
        <w:tc>
          <w:tcPr>
            <w:tcW w:w="6237" w:type="dxa"/>
            <w:vAlign w:val="center"/>
          </w:tcPr>
          <w:p w14:paraId="5B132E8D">
            <w:pPr>
              <w:tabs>
                <w:tab w:val="left" w:pos="5580"/>
              </w:tabs>
              <w:spacing w:line="240" w:lineRule="atLeast"/>
              <w:jc w:val="center"/>
              <w:rPr>
                <w:rFonts w:ascii="宋体" w:hAnsi="宋体" w:cs="宋体"/>
                <w:szCs w:val="21"/>
                <w:highlight w:val="none"/>
              </w:rPr>
            </w:pPr>
            <w:r>
              <w:rPr>
                <w:rFonts w:hint="eastAsia" w:ascii="宋体" w:hAnsi="宋体" w:cs="宋体"/>
                <w:szCs w:val="21"/>
                <w:highlight w:val="none"/>
              </w:rPr>
              <w:t>供应商报价</w:t>
            </w:r>
          </w:p>
        </w:tc>
      </w:tr>
      <w:tr w14:paraId="3D3F0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7" w:hRule="atLeast"/>
          <w:jc w:val="center"/>
        </w:trPr>
        <w:tc>
          <w:tcPr>
            <w:tcW w:w="562" w:type="dxa"/>
            <w:vAlign w:val="center"/>
          </w:tcPr>
          <w:p w14:paraId="0194231F">
            <w:pPr>
              <w:pStyle w:val="240"/>
              <w:jc w:val="center"/>
              <w:outlineLvl w:val="0"/>
              <w:rPr>
                <w:rFonts w:ascii="宋体" w:hAnsi="宋体" w:cs="宋体"/>
                <w:sz w:val="21"/>
                <w:szCs w:val="21"/>
                <w:highlight w:val="none"/>
              </w:rPr>
            </w:pPr>
            <w:bookmarkStart w:id="16" w:name="_Toc29966"/>
            <w:bookmarkStart w:id="17" w:name="_Toc3815"/>
            <w:r>
              <w:rPr>
                <w:rFonts w:hint="eastAsia" w:ascii="宋体" w:hAnsi="宋体" w:cs="宋体"/>
                <w:sz w:val="21"/>
                <w:szCs w:val="21"/>
                <w:highlight w:val="none"/>
              </w:rPr>
              <w:t>1</w:t>
            </w:r>
            <w:bookmarkEnd w:id="16"/>
            <w:bookmarkEnd w:id="17"/>
          </w:p>
        </w:tc>
        <w:tc>
          <w:tcPr>
            <w:tcW w:w="6237" w:type="dxa"/>
            <w:vAlign w:val="center"/>
          </w:tcPr>
          <w:p w14:paraId="2B141A3B">
            <w:pPr>
              <w:tabs>
                <w:tab w:val="left" w:pos="5580"/>
              </w:tabs>
              <w:spacing w:line="240" w:lineRule="atLeast"/>
              <w:jc w:val="center"/>
              <w:rPr>
                <w:rFonts w:ascii="宋体" w:hAnsi="宋体" w:cs="宋体"/>
                <w:szCs w:val="21"/>
                <w:highlight w:val="none"/>
              </w:rPr>
            </w:pP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元/单</w:t>
            </w:r>
          </w:p>
        </w:tc>
      </w:tr>
    </w:tbl>
    <w:p w14:paraId="35B86577">
      <w:pPr>
        <w:widowControl/>
        <w:shd w:val="clear" w:color="auto" w:fill="FFFFFF"/>
        <w:spacing w:line="360" w:lineRule="auto"/>
        <w:jc w:val="left"/>
        <w:rPr>
          <w:rFonts w:ascii="仿宋" w:hAnsi="仿宋" w:eastAsia="仿宋" w:cs="仿宋"/>
          <w:szCs w:val="21"/>
          <w:highlight w:val="none"/>
        </w:rPr>
      </w:pPr>
    </w:p>
    <w:p w14:paraId="7E194ADC">
      <w:pPr>
        <w:pStyle w:val="17"/>
        <w:rPr>
          <w:b/>
          <w:bCs/>
          <w:highlight w:val="none"/>
        </w:rPr>
      </w:pPr>
    </w:p>
    <w:p w14:paraId="2B59E8D0">
      <w:pPr>
        <w:pStyle w:val="17"/>
        <w:rPr>
          <w:b/>
          <w:bCs/>
          <w:highlight w:val="none"/>
        </w:rPr>
      </w:pPr>
    </w:p>
    <w:p w14:paraId="33453606">
      <w:pPr>
        <w:pStyle w:val="17"/>
        <w:rPr>
          <w:b/>
          <w:bCs/>
          <w:highlight w:val="none"/>
        </w:rPr>
      </w:pPr>
    </w:p>
    <w:p w14:paraId="01366272">
      <w:pPr>
        <w:widowControl/>
        <w:spacing w:line="360" w:lineRule="auto"/>
        <w:jc w:val="left"/>
        <w:rPr>
          <w:rFonts w:ascii="Times New Roman" w:hAnsi="Times New Roman"/>
          <w:sz w:val="24"/>
          <w:highlight w:val="none"/>
          <w:lang w:val="zh-CN"/>
        </w:rPr>
      </w:pPr>
      <w:r>
        <w:rPr>
          <w:rFonts w:hint="eastAsia" w:ascii="Times New Roman" w:hAnsi="Times New Roman"/>
          <w:sz w:val="24"/>
          <w:szCs w:val="21"/>
          <w:highlight w:val="none"/>
          <w:lang w:val="zh-CN"/>
        </w:rPr>
        <w:t>供应商名称：</w:t>
      </w:r>
      <w:r>
        <w:rPr>
          <w:rFonts w:hint="eastAsia" w:ascii="Times New Roman" w:hAnsi="Times New Roman"/>
          <w:sz w:val="24"/>
          <w:szCs w:val="21"/>
          <w:highlight w:val="none"/>
          <w:u w:val="single"/>
          <w:lang w:val="zh-CN"/>
        </w:rPr>
        <w:t xml:space="preserve">                                                  </w:t>
      </w:r>
      <w:r>
        <w:rPr>
          <w:rFonts w:hint="eastAsia" w:ascii="Times New Roman" w:hAnsi="Times New Roman"/>
          <w:sz w:val="24"/>
          <w:szCs w:val="21"/>
          <w:highlight w:val="none"/>
          <w:lang w:val="zh-CN"/>
        </w:rPr>
        <w:t>（盖章）</w:t>
      </w:r>
    </w:p>
    <w:p w14:paraId="1E6B4FDC">
      <w:pPr>
        <w:jc w:val="left"/>
        <w:rPr>
          <w:rFonts w:ascii="宋体" w:hAnsi="宋体" w:cs="宋体"/>
          <w:b/>
          <w:szCs w:val="21"/>
          <w:highlight w:val="none"/>
          <w:lang w:val="zh-CN"/>
        </w:rPr>
      </w:pPr>
      <w:r>
        <w:rPr>
          <w:rFonts w:hint="eastAsia" w:ascii="宋体" w:hAnsi="宋体" w:cs="宋体"/>
          <w:b/>
          <w:szCs w:val="21"/>
          <w:highlight w:val="none"/>
          <w:lang w:val="zh-CN"/>
        </w:rPr>
        <w:br w:type="page"/>
      </w:r>
    </w:p>
    <w:p w14:paraId="15E3775A">
      <w:pPr>
        <w:pStyle w:val="5"/>
        <w:ind w:firstLine="482"/>
        <w:rPr>
          <w:b/>
          <w:highlight w:val="none"/>
        </w:rPr>
      </w:pPr>
      <w:r>
        <w:rPr>
          <w:b/>
          <w:highlight w:val="none"/>
        </w:rPr>
        <w:t>目录四、资格证明文件</w:t>
      </w:r>
    </w:p>
    <w:p w14:paraId="52668129">
      <w:pPr>
        <w:pStyle w:val="236"/>
        <w:rPr>
          <w:highlight w:val="none"/>
        </w:rPr>
      </w:pPr>
      <w:bookmarkStart w:id="18" w:name="_Toc489655335"/>
      <w:r>
        <w:rPr>
          <w:highlight w:val="none"/>
        </w:rPr>
        <w:t>资格证明文件</w:t>
      </w:r>
      <w:bookmarkEnd w:id="18"/>
    </w:p>
    <w:p w14:paraId="4175F2B3">
      <w:pPr>
        <w:pStyle w:val="5"/>
        <w:numPr>
          <w:ilvl w:val="255"/>
          <w:numId w:val="0"/>
        </w:numPr>
        <w:ind w:firstLine="480"/>
        <w:rPr>
          <w:highlight w:val="none"/>
        </w:rPr>
      </w:pPr>
      <w:r>
        <w:rPr>
          <w:highlight w:val="none"/>
        </w:rPr>
        <w:t>1</w:t>
      </w:r>
      <w:r>
        <w:rPr>
          <w:rFonts w:hint="eastAsia"/>
          <w:highlight w:val="none"/>
        </w:rPr>
        <w:t>、</w:t>
      </w:r>
      <w:r>
        <w:rPr>
          <w:highlight w:val="none"/>
        </w:rPr>
        <w:t>具有独立承担民事责任的能力（提供法人或者其他组织的营业执照</w:t>
      </w:r>
      <w:r>
        <w:rPr>
          <w:rFonts w:hint="eastAsia"/>
          <w:highlight w:val="none"/>
        </w:rPr>
        <w:t>等证明材料</w:t>
      </w:r>
      <w:r>
        <w:rPr>
          <w:highlight w:val="none"/>
        </w:rPr>
        <w:t>复印件加盖公章，自然人的身份证复印件加盖公章）；</w:t>
      </w:r>
    </w:p>
    <w:p w14:paraId="64EC954A">
      <w:pPr>
        <w:pStyle w:val="5"/>
        <w:numPr>
          <w:ilvl w:val="255"/>
          <w:numId w:val="0"/>
        </w:numPr>
        <w:ind w:firstLine="480"/>
        <w:rPr>
          <w:highlight w:val="none"/>
        </w:rPr>
      </w:pPr>
      <w:r>
        <w:rPr>
          <w:rFonts w:hint="eastAsia"/>
          <w:highlight w:val="none"/>
        </w:rPr>
        <w:t>2、</w:t>
      </w:r>
      <w:r>
        <w:rPr>
          <w:highlight w:val="none"/>
        </w:rPr>
        <w:t>具有良好的商业信誉和健全的财务会计制度（提供</w:t>
      </w:r>
      <w:r>
        <w:rPr>
          <w:rFonts w:hint="eastAsia"/>
          <w:highlight w:val="none"/>
        </w:rPr>
        <w:t>2024年度</w:t>
      </w:r>
      <w:r>
        <w:rPr>
          <w:highlight w:val="none"/>
        </w:rPr>
        <w:t>的审计报告复印件加盖公章或</w:t>
      </w:r>
      <w:r>
        <w:rPr>
          <w:rFonts w:hint="eastAsia"/>
          <w:highlight w:val="none"/>
        </w:rPr>
        <w:t>响应截止时间前半年内（2025年7月至2025年12月）至少一个月的财务状况报告（至少包括资产负债表和利润表）复印件加盖公章</w:t>
      </w:r>
      <w:r>
        <w:rPr>
          <w:highlight w:val="none"/>
        </w:rPr>
        <w:t>，或响应截止时间前六个月内</w:t>
      </w:r>
      <w:r>
        <w:rPr>
          <w:rFonts w:hint="eastAsia"/>
          <w:highlight w:val="none"/>
        </w:rPr>
        <w:t>（2025年7月至2025年12月）</w:t>
      </w:r>
      <w:r>
        <w:rPr>
          <w:highlight w:val="none"/>
        </w:rPr>
        <w:t>银行出具的资信证明复印件加盖公章，或财政部门认可的专业担保机构出具的响应担保函复印件加盖公章，成立不满一</w:t>
      </w:r>
      <w:r>
        <w:rPr>
          <w:rFonts w:hint="eastAsia"/>
          <w:highlight w:val="none"/>
        </w:rPr>
        <w:t>个月</w:t>
      </w:r>
      <w:r>
        <w:rPr>
          <w:highlight w:val="none"/>
        </w:rPr>
        <w:t>的无须提供）；</w:t>
      </w:r>
    </w:p>
    <w:p w14:paraId="63283709">
      <w:pPr>
        <w:pStyle w:val="5"/>
        <w:numPr>
          <w:ilvl w:val="255"/>
          <w:numId w:val="0"/>
        </w:numPr>
        <w:ind w:firstLine="480"/>
        <w:rPr>
          <w:highlight w:val="none"/>
        </w:rPr>
      </w:pPr>
      <w:r>
        <w:rPr>
          <w:rFonts w:hint="eastAsia"/>
          <w:highlight w:val="none"/>
        </w:rPr>
        <w:t>3、</w:t>
      </w:r>
      <w:r>
        <w:rPr>
          <w:highlight w:val="none"/>
        </w:rPr>
        <w:t>具有履行合同所必需的设备和专业技术能力（根据项目需求提供履行合同所必需的设备和专业技术能力的</w:t>
      </w:r>
      <w:r>
        <w:rPr>
          <w:rFonts w:hint="eastAsia"/>
          <w:highlight w:val="none"/>
        </w:rPr>
        <w:t>声明函</w:t>
      </w:r>
      <w:r>
        <w:rPr>
          <w:highlight w:val="none"/>
        </w:rPr>
        <w:t>或证明材料）（格式见后附件）；</w:t>
      </w:r>
    </w:p>
    <w:p w14:paraId="18D4377A">
      <w:pPr>
        <w:pStyle w:val="5"/>
        <w:numPr>
          <w:ilvl w:val="255"/>
          <w:numId w:val="0"/>
        </w:numPr>
        <w:ind w:firstLine="480"/>
        <w:rPr>
          <w:highlight w:val="none"/>
        </w:rPr>
      </w:pPr>
      <w:r>
        <w:rPr>
          <w:rFonts w:hint="eastAsia"/>
          <w:highlight w:val="none"/>
        </w:rPr>
        <w:t>4、</w:t>
      </w:r>
      <w:r>
        <w:rPr>
          <w:highlight w:val="none"/>
        </w:rPr>
        <w:t>有依法缴纳税收和社会保障资金的良好记录（提供响应截止时间前</w:t>
      </w:r>
      <w:r>
        <w:rPr>
          <w:rFonts w:hint="eastAsia"/>
          <w:highlight w:val="none"/>
        </w:rPr>
        <w:t>半年</w:t>
      </w:r>
      <w:r>
        <w:rPr>
          <w:highlight w:val="none"/>
        </w:rPr>
        <w:t>内</w:t>
      </w:r>
      <w:r>
        <w:rPr>
          <w:rFonts w:hint="eastAsia"/>
          <w:highlight w:val="none"/>
        </w:rPr>
        <w:t>（2025年7月至2025年12月）</w:t>
      </w:r>
      <w:r>
        <w:rPr>
          <w:highlight w:val="none"/>
        </w:rPr>
        <w:t>至少一个月</w:t>
      </w:r>
      <w:r>
        <w:rPr>
          <w:rFonts w:hint="eastAsia"/>
          <w:highlight w:val="none"/>
        </w:rPr>
        <w:t>缴纳税收（企业代缴的个人所得税除外）的凭据复印件加盖公章</w:t>
      </w:r>
      <w:r>
        <w:rPr>
          <w:highlight w:val="none"/>
        </w:rPr>
        <w:t>，并提供缴纳</w:t>
      </w:r>
      <w:r>
        <w:rPr>
          <w:rFonts w:hint="eastAsia"/>
          <w:highlight w:val="none"/>
        </w:rPr>
        <w:t>社会保险的凭据</w:t>
      </w:r>
      <w:r>
        <w:rPr>
          <w:highlight w:val="none"/>
        </w:rPr>
        <w:t>（专用收据或社会保险缴纳清单）复印件加盖公章，根据国家相关政策免缴或迟缴的需提供相关证明材料）；</w:t>
      </w:r>
    </w:p>
    <w:p w14:paraId="206109AE">
      <w:pPr>
        <w:pStyle w:val="5"/>
        <w:numPr>
          <w:ilvl w:val="255"/>
          <w:numId w:val="0"/>
        </w:numPr>
        <w:ind w:firstLine="480"/>
        <w:rPr>
          <w:highlight w:val="none"/>
        </w:rPr>
      </w:pPr>
      <w:r>
        <w:rPr>
          <w:highlight w:val="none"/>
        </w:rPr>
        <w:t>5</w:t>
      </w:r>
      <w:r>
        <w:rPr>
          <w:rFonts w:hint="eastAsia"/>
          <w:highlight w:val="none"/>
        </w:rPr>
        <w:t>、</w:t>
      </w:r>
      <w:r>
        <w:rPr>
          <w:highlight w:val="none"/>
        </w:rPr>
        <w:t>参加</w:t>
      </w:r>
      <w:r>
        <w:rPr>
          <w:rFonts w:hint="eastAsia"/>
          <w:highlight w:val="none"/>
        </w:rPr>
        <w:t>比选</w:t>
      </w:r>
      <w:r>
        <w:rPr>
          <w:highlight w:val="none"/>
        </w:rPr>
        <w:t>前三年内，在经营活动中没有重大违法记录（提供参加本次</w:t>
      </w:r>
      <w:r>
        <w:rPr>
          <w:rFonts w:hint="eastAsia"/>
          <w:highlight w:val="none"/>
        </w:rPr>
        <w:t>比选</w:t>
      </w:r>
      <w:r>
        <w:rPr>
          <w:highlight w:val="none"/>
        </w:rPr>
        <w:t>活动前三年内在经营活动中没有重大违法记录的</w:t>
      </w:r>
      <w:r>
        <w:rPr>
          <w:rFonts w:hint="eastAsia"/>
          <w:highlight w:val="none"/>
        </w:rPr>
        <w:t>书面声明</w:t>
      </w:r>
      <w:r>
        <w:rPr>
          <w:highlight w:val="none"/>
        </w:rPr>
        <w:t>）（格式见后附件）；</w:t>
      </w:r>
    </w:p>
    <w:p w14:paraId="45BD2131">
      <w:pPr>
        <w:pStyle w:val="5"/>
        <w:numPr>
          <w:ilvl w:val="255"/>
          <w:numId w:val="0"/>
        </w:numPr>
        <w:ind w:firstLine="480"/>
        <w:rPr>
          <w:highlight w:val="none"/>
        </w:rPr>
      </w:pPr>
      <w:r>
        <w:rPr>
          <w:highlight w:val="none"/>
        </w:rPr>
        <w:t>6</w:t>
      </w:r>
      <w:r>
        <w:rPr>
          <w:rFonts w:hint="eastAsia"/>
          <w:highlight w:val="none"/>
        </w:rPr>
        <w:t>、</w:t>
      </w:r>
      <w:r>
        <w:rPr>
          <w:highlight w:val="none"/>
        </w:rPr>
        <w:t>法律、行政法规规定的其他条件：无。</w:t>
      </w:r>
    </w:p>
    <w:p w14:paraId="03AF2B7F">
      <w:pPr>
        <w:pStyle w:val="5"/>
        <w:numPr>
          <w:ilvl w:val="255"/>
          <w:numId w:val="0"/>
        </w:numPr>
        <w:ind w:firstLine="480"/>
        <w:rPr>
          <w:highlight w:val="none"/>
        </w:rPr>
      </w:pPr>
      <w:r>
        <w:rPr>
          <w:rFonts w:hint="eastAsia"/>
          <w:highlight w:val="none"/>
        </w:rPr>
        <w:t>7、</w:t>
      </w:r>
      <w:r>
        <w:rPr>
          <w:highlight w:val="none"/>
        </w:rPr>
        <w:t>拒绝下述供应商参加本次</w:t>
      </w:r>
      <w:r>
        <w:rPr>
          <w:rFonts w:hint="eastAsia"/>
          <w:highlight w:val="none"/>
        </w:rPr>
        <w:t>比选</w:t>
      </w:r>
      <w:r>
        <w:rPr>
          <w:highlight w:val="none"/>
        </w:rPr>
        <w:t>：</w:t>
      </w:r>
    </w:p>
    <w:p w14:paraId="722460AE">
      <w:pPr>
        <w:pStyle w:val="5"/>
        <w:ind w:firstLine="480" w:firstLineChars="0"/>
        <w:rPr>
          <w:highlight w:val="none"/>
        </w:rPr>
      </w:pPr>
      <w:r>
        <w:rPr>
          <w:rFonts w:hint="eastAsia"/>
          <w:highlight w:val="none"/>
        </w:rPr>
        <w:t>①</w:t>
      </w:r>
      <w:r>
        <w:rPr>
          <w:highlight w:val="none"/>
        </w:rPr>
        <w:t>供应商单位负责人为同一人或者存在直接控股、管理关系的不同供应商，不得参加同一合同项下的</w:t>
      </w:r>
      <w:r>
        <w:rPr>
          <w:rFonts w:hint="eastAsia"/>
          <w:highlight w:val="none"/>
        </w:rPr>
        <w:t>比选</w:t>
      </w:r>
      <w:r>
        <w:rPr>
          <w:highlight w:val="none"/>
        </w:rPr>
        <w:t>活动；</w:t>
      </w:r>
    </w:p>
    <w:p w14:paraId="789DE03A">
      <w:pPr>
        <w:pStyle w:val="5"/>
        <w:ind w:firstLine="480" w:firstLineChars="0"/>
        <w:rPr>
          <w:highlight w:val="none"/>
        </w:rPr>
      </w:pPr>
      <w:r>
        <w:rPr>
          <w:rFonts w:hint="eastAsia"/>
          <w:highlight w:val="none"/>
        </w:rPr>
        <w:t>②</w:t>
      </w:r>
      <w:r>
        <w:rPr>
          <w:highlight w:val="none"/>
        </w:rPr>
        <w:t>凡为本项目提供整体设计、规范编制或者项目管理、检测等服务的供应商，不得再参加本项目的</w:t>
      </w:r>
      <w:r>
        <w:rPr>
          <w:rFonts w:hint="eastAsia"/>
          <w:highlight w:val="none"/>
        </w:rPr>
        <w:t>比选</w:t>
      </w:r>
      <w:r>
        <w:rPr>
          <w:highlight w:val="none"/>
        </w:rPr>
        <w:t>活动；</w:t>
      </w:r>
    </w:p>
    <w:p w14:paraId="5BB01C5C">
      <w:pPr>
        <w:pStyle w:val="5"/>
        <w:ind w:firstLine="480"/>
        <w:rPr>
          <w:b/>
          <w:highlight w:val="none"/>
        </w:rPr>
      </w:pPr>
      <w:r>
        <w:rPr>
          <w:rFonts w:hint="eastAsia"/>
          <w:highlight w:val="none"/>
        </w:rPr>
        <w:t>③</w:t>
      </w: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w:t>
      </w:r>
    </w:p>
    <w:p w14:paraId="0E3CE90A">
      <w:pPr>
        <w:adjustRightInd w:val="0"/>
        <w:spacing w:line="360" w:lineRule="auto"/>
        <w:jc w:val="left"/>
        <w:rPr>
          <w:rFonts w:ascii="Times New Roman" w:hAnsi="Times New Roman"/>
          <w:sz w:val="24"/>
          <w:szCs w:val="21"/>
          <w:highlight w:val="none"/>
        </w:rPr>
      </w:pPr>
      <w:r>
        <w:rPr>
          <w:b/>
          <w:highlight w:val="none"/>
        </w:rPr>
        <w:br w:type="page"/>
      </w:r>
    </w:p>
    <w:p w14:paraId="060E65AA">
      <w:pPr>
        <w:rPr>
          <w:rFonts w:ascii="宋体" w:hAnsi="宋体" w:cs="宋体"/>
          <w:b/>
          <w:szCs w:val="21"/>
          <w:highlight w:val="none"/>
        </w:rPr>
      </w:pPr>
    </w:p>
    <w:p w14:paraId="715EE054">
      <w:pPr>
        <w:pStyle w:val="5"/>
        <w:ind w:firstLine="482"/>
        <w:rPr>
          <w:b/>
          <w:highlight w:val="none"/>
        </w:rPr>
      </w:pPr>
      <w:r>
        <w:rPr>
          <w:b/>
          <w:highlight w:val="none"/>
        </w:rPr>
        <w:t>目录</w:t>
      </w:r>
      <w:r>
        <w:rPr>
          <w:rFonts w:hint="eastAsia"/>
          <w:b/>
          <w:highlight w:val="none"/>
        </w:rPr>
        <w:t>五</w:t>
      </w:r>
      <w:r>
        <w:rPr>
          <w:b/>
          <w:highlight w:val="none"/>
        </w:rPr>
        <w:t>、技术条款偏离表格式</w:t>
      </w:r>
    </w:p>
    <w:p w14:paraId="5FD0F1D9">
      <w:pPr>
        <w:pStyle w:val="226"/>
        <w:outlineLvl w:val="9"/>
        <w:rPr>
          <w:highlight w:val="none"/>
        </w:rPr>
      </w:pPr>
      <w:r>
        <w:rPr>
          <w:highlight w:val="none"/>
        </w:rPr>
        <w:t>技术条款偏离表</w:t>
      </w:r>
    </w:p>
    <w:tbl>
      <w:tblPr>
        <w:tblStyle w:val="47"/>
        <w:tblW w:w="0" w:type="auto"/>
        <w:jc w:val="center"/>
        <w:tblLayout w:type="fixed"/>
        <w:tblCellMar>
          <w:top w:w="0" w:type="dxa"/>
          <w:left w:w="0" w:type="dxa"/>
          <w:bottom w:w="0" w:type="dxa"/>
          <w:right w:w="0" w:type="dxa"/>
        </w:tblCellMar>
      </w:tblPr>
      <w:tblGrid>
        <w:gridCol w:w="685"/>
        <w:gridCol w:w="1878"/>
        <w:gridCol w:w="2642"/>
        <w:gridCol w:w="1384"/>
        <w:gridCol w:w="1786"/>
        <w:gridCol w:w="1091"/>
      </w:tblGrid>
      <w:tr w14:paraId="75D643F1">
        <w:tblPrEx>
          <w:tblCellMar>
            <w:top w:w="0" w:type="dxa"/>
            <w:left w:w="0" w:type="dxa"/>
            <w:bottom w:w="0" w:type="dxa"/>
            <w:right w:w="0" w:type="dxa"/>
          </w:tblCellMar>
        </w:tblPrEx>
        <w:trPr>
          <w:trHeight w:val="510" w:hRule="atLeast"/>
          <w:jc w:val="center"/>
        </w:trPr>
        <w:tc>
          <w:tcPr>
            <w:tcW w:w="6589" w:type="dxa"/>
            <w:gridSpan w:val="4"/>
            <w:tcBorders>
              <w:top w:val="nil"/>
              <w:left w:val="nil"/>
              <w:bottom w:val="single" w:color="auto" w:sz="6" w:space="0"/>
              <w:right w:val="nil"/>
            </w:tcBorders>
            <w:vAlign w:val="center"/>
          </w:tcPr>
          <w:p w14:paraId="6DDAEB12">
            <w:pP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2877" w:type="dxa"/>
            <w:gridSpan w:val="2"/>
            <w:tcBorders>
              <w:top w:val="nil"/>
              <w:left w:val="nil"/>
              <w:bottom w:val="single" w:color="auto" w:sz="6" w:space="0"/>
              <w:right w:val="nil"/>
            </w:tcBorders>
            <w:vAlign w:val="center"/>
          </w:tcPr>
          <w:p w14:paraId="0278F832">
            <w:pP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2B266B0C">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7F97415">
            <w:pP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1878" w:type="dxa"/>
            <w:tcBorders>
              <w:top w:val="single" w:color="auto" w:sz="6" w:space="0"/>
              <w:left w:val="single" w:color="auto" w:sz="6" w:space="0"/>
              <w:bottom w:val="single" w:color="auto" w:sz="6" w:space="0"/>
              <w:right w:val="single" w:color="auto" w:sz="6" w:space="0"/>
            </w:tcBorders>
            <w:vAlign w:val="center"/>
          </w:tcPr>
          <w:p w14:paraId="77E71A06">
            <w:pPr>
              <w:adjustRightInd w:val="0"/>
              <w:jc w:val="center"/>
              <w:rPr>
                <w:rFonts w:ascii="宋体" w:hAnsi="宋体" w:cs="宋体"/>
                <w:b/>
                <w:szCs w:val="21"/>
                <w:highlight w:val="none"/>
                <w:lang w:val="zh-CN"/>
              </w:rPr>
            </w:pPr>
            <w:r>
              <w:rPr>
                <w:rFonts w:hint="eastAsia" w:ascii="宋体" w:hAnsi="宋体" w:cs="宋体"/>
                <w:b/>
                <w:szCs w:val="21"/>
                <w:highlight w:val="none"/>
              </w:rPr>
              <w:t>比选文件</w:t>
            </w:r>
            <w:r>
              <w:rPr>
                <w:rFonts w:hint="eastAsia" w:ascii="宋体" w:hAnsi="宋体" w:cs="宋体"/>
                <w:b/>
                <w:szCs w:val="21"/>
                <w:highlight w:val="none"/>
                <w:lang w:val="zh-CN"/>
              </w:rPr>
              <w:t>条目号</w:t>
            </w:r>
          </w:p>
        </w:tc>
        <w:tc>
          <w:tcPr>
            <w:tcW w:w="2642" w:type="dxa"/>
            <w:tcBorders>
              <w:top w:val="single" w:color="auto" w:sz="6" w:space="0"/>
              <w:left w:val="single" w:color="auto" w:sz="6" w:space="0"/>
              <w:bottom w:val="single" w:color="auto" w:sz="6" w:space="0"/>
              <w:right w:val="single" w:color="auto" w:sz="6" w:space="0"/>
            </w:tcBorders>
            <w:vAlign w:val="center"/>
          </w:tcPr>
          <w:p w14:paraId="77DE548F">
            <w:pPr>
              <w:adjustRightInd w:val="0"/>
              <w:jc w:val="center"/>
              <w:rPr>
                <w:rFonts w:ascii="宋体" w:hAnsi="宋体" w:cs="宋体"/>
                <w:b/>
                <w:szCs w:val="21"/>
                <w:highlight w:val="none"/>
                <w:lang w:val="zh-CN"/>
              </w:rPr>
            </w:pPr>
            <w:r>
              <w:rPr>
                <w:rFonts w:hint="eastAsia" w:ascii="宋体" w:hAnsi="宋体" w:cs="宋体"/>
                <w:b/>
                <w:szCs w:val="21"/>
                <w:highlight w:val="none"/>
              </w:rPr>
              <w:t>比选文件</w:t>
            </w:r>
            <w:r>
              <w:rPr>
                <w:rFonts w:hint="eastAsia" w:ascii="宋体" w:hAnsi="宋体" w:cs="宋体"/>
                <w:b/>
                <w:szCs w:val="21"/>
                <w:highlight w:val="none"/>
                <w:lang w:val="zh-CN"/>
              </w:rPr>
              <w:t>要求的技术</w:t>
            </w:r>
            <w:r>
              <w:rPr>
                <w:rFonts w:hint="eastAsia" w:ascii="宋体" w:hAnsi="宋体" w:cs="宋体"/>
                <w:b/>
                <w:szCs w:val="21"/>
                <w:highlight w:val="none"/>
              </w:rPr>
              <w:t>条款</w:t>
            </w: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275EDFDF">
            <w:pPr>
              <w:adjustRightInd w:val="0"/>
              <w:jc w:val="center"/>
              <w:rPr>
                <w:rFonts w:ascii="宋体" w:hAnsi="宋体" w:cs="宋体"/>
                <w:b/>
                <w:szCs w:val="21"/>
                <w:highlight w:val="none"/>
                <w:lang w:val="zh-CN"/>
              </w:rPr>
            </w:pPr>
            <w:r>
              <w:rPr>
                <w:rFonts w:hint="eastAsia" w:ascii="宋体" w:hAnsi="宋体" w:cs="宋体"/>
                <w:b/>
                <w:szCs w:val="21"/>
                <w:highlight w:val="none"/>
                <w:lang w:val="zh-CN"/>
              </w:rPr>
              <w:t>响应响应</w:t>
            </w:r>
          </w:p>
        </w:tc>
        <w:tc>
          <w:tcPr>
            <w:tcW w:w="1091" w:type="dxa"/>
            <w:tcBorders>
              <w:top w:val="single" w:color="auto" w:sz="6" w:space="0"/>
              <w:left w:val="single" w:color="auto" w:sz="6" w:space="0"/>
              <w:bottom w:val="single" w:color="auto" w:sz="6" w:space="0"/>
              <w:right w:val="single" w:color="auto" w:sz="6" w:space="0"/>
            </w:tcBorders>
            <w:vAlign w:val="center"/>
          </w:tcPr>
          <w:p w14:paraId="7DBF3378">
            <w:pP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5F8AC36C">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7BE566ED">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2AAA7B73">
            <w:pPr>
              <w:adjustRightInd w:val="0"/>
              <w:jc w:val="center"/>
              <w:rPr>
                <w:rFonts w:ascii="宋体" w:hAnsi="宋体" w:cs="宋体"/>
                <w:szCs w:val="21"/>
                <w:highlight w:val="none"/>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694EAD3D">
            <w:pPr>
              <w:adjustRightInd w:val="0"/>
              <w:jc w:val="center"/>
              <w:rPr>
                <w:rFonts w:ascii="宋体" w:hAnsi="宋体" w:cs="宋体"/>
                <w:szCs w:val="21"/>
                <w:highlight w:val="none"/>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0A58DB6C">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0DE6850C">
            <w:pPr>
              <w:adjustRightInd w:val="0"/>
              <w:jc w:val="center"/>
              <w:rPr>
                <w:rFonts w:ascii="宋体" w:hAnsi="宋体" w:cs="宋体"/>
                <w:szCs w:val="21"/>
                <w:highlight w:val="none"/>
                <w:lang w:val="zh-CN"/>
              </w:rPr>
            </w:pPr>
          </w:p>
        </w:tc>
      </w:tr>
      <w:tr w14:paraId="41BAFD1C">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6977EA90">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386E7878">
            <w:pPr>
              <w:adjustRightInd w:val="0"/>
              <w:jc w:val="center"/>
              <w:rPr>
                <w:rFonts w:ascii="宋体" w:hAnsi="宋体" w:cs="宋体"/>
                <w:szCs w:val="21"/>
                <w:highlight w:val="none"/>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01106B7D">
            <w:pPr>
              <w:adjustRightInd w:val="0"/>
              <w:jc w:val="center"/>
              <w:rPr>
                <w:rFonts w:ascii="宋体" w:hAnsi="宋体" w:cs="宋体"/>
                <w:szCs w:val="21"/>
                <w:highlight w:val="none"/>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6DF8505B">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6A2FAADE">
            <w:pPr>
              <w:adjustRightInd w:val="0"/>
              <w:jc w:val="center"/>
              <w:rPr>
                <w:rFonts w:ascii="宋体" w:hAnsi="宋体" w:cs="宋体"/>
                <w:szCs w:val="21"/>
                <w:highlight w:val="none"/>
                <w:lang w:val="zh-CN"/>
              </w:rPr>
            </w:pPr>
          </w:p>
        </w:tc>
      </w:tr>
      <w:tr w14:paraId="53631F53">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D8CFBAE">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64A01A40">
            <w:pPr>
              <w:adjustRightInd w:val="0"/>
              <w:jc w:val="center"/>
              <w:rPr>
                <w:rFonts w:ascii="宋体" w:hAnsi="宋体" w:cs="宋体"/>
                <w:szCs w:val="21"/>
                <w:highlight w:val="none"/>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6D1BF37F">
            <w:pPr>
              <w:adjustRightInd w:val="0"/>
              <w:jc w:val="center"/>
              <w:rPr>
                <w:rFonts w:ascii="宋体" w:hAnsi="宋体" w:cs="宋体"/>
                <w:szCs w:val="21"/>
                <w:highlight w:val="none"/>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64593EB4">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4EC76B10">
            <w:pPr>
              <w:adjustRightInd w:val="0"/>
              <w:jc w:val="center"/>
              <w:rPr>
                <w:rFonts w:ascii="宋体" w:hAnsi="宋体" w:cs="宋体"/>
                <w:szCs w:val="21"/>
                <w:highlight w:val="none"/>
                <w:lang w:val="zh-CN"/>
              </w:rPr>
            </w:pPr>
          </w:p>
        </w:tc>
      </w:tr>
      <w:tr w14:paraId="1C2CE1D6">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CB59D2E">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7E5BA202">
            <w:pPr>
              <w:adjustRightInd w:val="0"/>
              <w:jc w:val="center"/>
              <w:rPr>
                <w:rFonts w:ascii="宋体" w:hAnsi="宋体" w:cs="宋体"/>
                <w:szCs w:val="21"/>
                <w:highlight w:val="none"/>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1C631EB0">
            <w:pPr>
              <w:adjustRightInd w:val="0"/>
              <w:jc w:val="center"/>
              <w:rPr>
                <w:rFonts w:ascii="宋体" w:hAnsi="宋体" w:cs="宋体"/>
                <w:szCs w:val="21"/>
                <w:highlight w:val="none"/>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219D1870">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2BF33A4">
            <w:pPr>
              <w:adjustRightInd w:val="0"/>
              <w:jc w:val="center"/>
              <w:rPr>
                <w:rFonts w:ascii="宋体" w:hAnsi="宋体" w:cs="宋体"/>
                <w:szCs w:val="21"/>
                <w:highlight w:val="none"/>
                <w:lang w:val="zh-CN"/>
              </w:rPr>
            </w:pPr>
          </w:p>
        </w:tc>
      </w:tr>
      <w:tr w14:paraId="5E5FF9A9">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0E09E9F">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4431DF00">
            <w:pPr>
              <w:adjustRightInd w:val="0"/>
              <w:jc w:val="center"/>
              <w:rPr>
                <w:rFonts w:ascii="宋体" w:hAnsi="宋体" w:cs="宋体"/>
                <w:szCs w:val="21"/>
                <w:highlight w:val="none"/>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4844E768">
            <w:pPr>
              <w:adjustRightInd w:val="0"/>
              <w:jc w:val="center"/>
              <w:rPr>
                <w:rFonts w:ascii="宋体" w:hAnsi="宋体" w:cs="宋体"/>
                <w:szCs w:val="21"/>
                <w:highlight w:val="none"/>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166E4F02">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0D9CB7B">
            <w:pPr>
              <w:adjustRightInd w:val="0"/>
              <w:jc w:val="center"/>
              <w:rPr>
                <w:rFonts w:ascii="宋体" w:hAnsi="宋体" w:cs="宋体"/>
                <w:szCs w:val="21"/>
                <w:highlight w:val="none"/>
                <w:lang w:val="zh-CN"/>
              </w:rPr>
            </w:pPr>
          </w:p>
        </w:tc>
      </w:tr>
      <w:tr w14:paraId="27EFC7C2">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22F9A947">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5EDFDD4F">
            <w:pPr>
              <w:adjustRightInd w:val="0"/>
              <w:jc w:val="center"/>
              <w:rPr>
                <w:rFonts w:ascii="宋体" w:hAnsi="宋体" w:cs="宋体"/>
                <w:szCs w:val="21"/>
                <w:highlight w:val="none"/>
                <w:lang w:val="zh-CN"/>
              </w:rPr>
            </w:pPr>
          </w:p>
        </w:tc>
        <w:tc>
          <w:tcPr>
            <w:tcW w:w="2642" w:type="dxa"/>
            <w:tcBorders>
              <w:top w:val="single" w:color="auto" w:sz="6" w:space="0"/>
              <w:left w:val="single" w:color="auto" w:sz="6" w:space="0"/>
              <w:bottom w:val="single" w:color="auto" w:sz="6" w:space="0"/>
              <w:right w:val="single" w:color="auto" w:sz="6" w:space="0"/>
            </w:tcBorders>
            <w:vAlign w:val="center"/>
          </w:tcPr>
          <w:p w14:paraId="4D3A1BB4">
            <w:pPr>
              <w:adjustRightInd w:val="0"/>
              <w:jc w:val="center"/>
              <w:rPr>
                <w:rFonts w:ascii="宋体" w:hAnsi="宋体" w:cs="宋体"/>
                <w:szCs w:val="21"/>
                <w:highlight w:val="none"/>
                <w:lang w:val="zh-CN"/>
              </w:rPr>
            </w:pPr>
          </w:p>
        </w:tc>
        <w:tc>
          <w:tcPr>
            <w:tcW w:w="3170" w:type="dxa"/>
            <w:gridSpan w:val="2"/>
            <w:tcBorders>
              <w:top w:val="single" w:color="auto" w:sz="6" w:space="0"/>
              <w:left w:val="single" w:color="auto" w:sz="6" w:space="0"/>
              <w:bottom w:val="single" w:color="auto" w:sz="6" w:space="0"/>
              <w:right w:val="single" w:color="auto" w:sz="6" w:space="0"/>
            </w:tcBorders>
            <w:vAlign w:val="center"/>
          </w:tcPr>
          <w:p w14:paraId="4945B9D5">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12F6FA5F">
            <w:pPr>
              <w:adjustRightInd w:val="0"/>
              <w:jc w:val="center"/>
              <w:rPr>
                <w:rFonts w:ascii="宋体" w:hAnsi="宋体" w:cs="宋体"/>
                <w:szCs w:val="21"/>
                <w:highlight w:val="none"/>
                <w:lang w:val="zh-CN"/>
              </w:rPr>
            </w:pPr>
          </w:p>
        </w:tc>
      </w:tr>
    </w:tbl>
    <w:p w14:paraId="34CF2EA0">
      <w:pPr>
        <w:adjustRightInd w:val="0"/>
        <w:spacing w:line="360" w:lineRule="auto"/>
        <w:jc w:val="left"/>
        <w:rPr>
          <w:rFonts w:ascii="宋体" w:hAnsi="宋体" w:cs="宋体"/>
          <w:szCs w:val="21"/>
          <w:highlight w:val="none"/>
          <w:lang w:val="zh-CN"/>
        </w:rPr>
      </w:pPr>
    </w:p>
    <w:p w14:paraId="0B3C7F1A">
      <w:pPr>
        <w:adjustRightInd w:val="0"/>
        <w:spacing w:line="360" w:lineRule="auto"/>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2AE4CD28">
      <w:pPr>
        <w:widowControl/>
        <w:spacing w:line="360" w:lineRule="auto"/>
        <w:jc w:val="left"/>
        <w:rPr>
          <w:rFonts w:ascii="宋体" w:hAnsi="宋体" w:cs="宋体"/>
          <w:szCs w:val="21"/>
          <w:highlight w:val="none"/>
          <w:lang w:val="zh-CN"/>
        </w:rPr>
      </w:pPr>
    </w:p>
    <w:p w14:paraId="269F40AA">
      <w:pPr>
        <w:pStyle w:val="5"/>
        <w:widowControl/>
        <w:ind w:firstLine="480"/>
        <w:rPr>
          <w:highlight w:val="none"/>
        </w:rPr>
      </w:pPr>
      <w:r>
        <w:rPr>
          <w:highlight w:val="none"/>
        </w:rPr>
        <w:t>说明：</w:t>
      </w:r>
    </w:p>
    <w:p w14:paraId="46807806">
      <w:pPr>
        <w:pStyle w:val="5"/>
        <w:widowControl/>
        <w:numPr>
          <w:ilvl w:val="0"/>
          <w:numId w:val="68"/>
        </w:numPr>
        <w:ind w:firstLineChars="0"/>
        <w:rPr>
          <w:highlight w:val="none"/>
        </w:rPr>
      </w:pPr>
      <w:r>
        <w:rPr>
          <w:highlight w:val="none"/>
        </w:rPr>
        <w:t>如果行数不够，请自行增加；</w:t>
      </w:r>
    </w:p>
    <w:p w14:paraId="498955D8">
      <w:pPr>
        <w:pStyle w:val="5"/>
        <w:widowControl/>
        <w:numPr>
          <w:ilvl w:val="0"/>
          <w:numId w:val="68"/>
        </w:numPr>
        <w:ind w:firstLineChars="0"/>
        <w:rPr>
          <w:highlight w:val="none"/>
        </w:rPr>
      </w:pPr>
      <w:r>
        <w:rPr>
          <w:highlight w:val="none"/>
        </w:rPr>
        <w:t>无偏离指供应商的响应等于</w:t>
      </w:r>
      <w:r>
        <w:rPr>
          <w:rFonts w:hint="eastAsia"/>
          <w:highlight w:val="none"/>
        </w:rPr>
        <w:t>比选文件</w:t>
      </w:r>
      <w:r>
        <w:rPr>
          <w:highlight w:val="none"/>
        </w:rPr>
        <w:t>要求，正偏离指供应商的响应高于</w:t>
      </w:r>
      <w:r>
        <w:rPr>
          <w:rFonts w:hint="eastAsia"/>
          <w:highlight w:val="none"/>
        </w:rPr>
        <w:t>比选文件</w:t>
      </w:r>
      <w:r>
        <w:rPr>
          <w:highlight w:val="none"/>
        </w:rPr>
        <w:t>要求，负偏离指供应商的响应低于</w:t>
      </w:r>
      <w:r>
        <w:rPr>
          <w:rFonts w:hint="eastAsia"/>
          <w:highlight w:val="none"/>
        </w:rPr>
        <w:t>比选文件</w:t>
      </w:r>
      <w:r>
        <w:rPr>
          <w:highlight w:val="none"/>
        </w:rPr>
        <w:t>要求。</w:t>
      </w:r>
    </w:p>
    <w:p w14:paraId="34AF2D3D">
      <w:pPr>
        <w:rPr>
          <w:rFonts w:ascii="宋体" w:hAnsi="宋体" w:cs="宋体"/>
          <w:b/>
          <w:szCs w:val="21"/>
          <w:highlight w:val="none"/>
          <w:lang w:val="zh-CN"/>
        </w:rPr>
      </w:pPr>
      <w:r>
        <w:rPr>
          <w:rFonts w:hint="eastAsia" w:ascii="宋体" w:hAnsi="宋体" w:cs="宋体"/>
          <w:b/>
          <w:szCs w:val="21"/>
          <w:highlight w:val="none"/>
          <w:lang w:val="zh-CN"/>
        </w:rPr>
        <w:br w:type="page"/>
      </w:r>
    </w:p>
    <w:p w14:paraId="3F675AF9">
      <w:pPr>
        <w:pStyle w:val="5"/>
        <w:ind w:firstLine="482"/>
        <w:rPr>
          <w:b/>
          <w:highlight w:val="none"/>
        </w:rPr>
      </w:pPr>
      <w:r>
        <w:rPr>
          <w:b/>
          <w:highlight w:val="none"/>
        </w:rPr>
        <w:t>目录</w:t>
      </w:r>
      <w:r>
        <w:rPr>
          <w:rFonts w:hint="eastAsia"/>
          <w:b/>
          <w:highlight w:val="none"/>
        </w:rPr>
        <w:t>六</w:t>
      </w:r>
      <w:r>
        <w:rPr>
          <w:b/>
          <w:highlight w:val="none"/>
        </w:rPr>
        <w:t>、商务条款偏离表格式</w:t>
      </w:r>
    </w:p>
    <w:p w14:paraId="7B19C5D0">
      <w:pPr>
        <w:pStyle w:val="226"/>
        <w:outlineLvl w:val="9"/>
        <w:rPr>
          <w:highlight w:val="none"/>
        </w:rPr>
      </w:pPr>
      <w:r>
        <w:rPr>
          <w:highlight w:val="none"/>
        </w:rPr>
        <w:t>商务条款偏离表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6"/>
        <w:gridCol w:w="1029"/>
        <w:gridCol w:w="6377"/>
        <w:gridCol w:w="1087"/>
      </w:tblGrid>
      <w:tr w14:paraId="3705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087" w:type="dxa"/>
          <w:trHeight w:val="252" w:hRule="atLeast"/>
          <w:tblHeader/>
          <w:jc w:val="center"/>
        </w:trPr>
        <w:tc>
          <w:tcPr>
            <w:tcW w:w="8132" w:type="dxa"/>
            <w:gridSpan w:val="3"/>
            <w:tcBorders>
              <w:top w:val="nil"/>
              <w:left w:val="nil"/>
              <w:right w:val="nil"/>
            </w:tcBorders>
            <w:vAlign w:val="center"/>
          </w:tcPr>
          <w:p w14:paraId="26C6C815">
            <w:pPr>
              <w:adjustRightInd w:val="0"/>
              <w:jc w:val="left"/>
              <w:rPr>
                <w:rFonts w:ascii="宋体" w:hAnsi="宋体" w:cs="宋体"/>
                <w:sz w:val="21"/>
                <w:szCs w:val="21"/>
                <w:highlight w:val="none"/>
                <w:lang w:val="zh-CN"/>
              </w:rPr>
            </w:pPr>
            <w:r>
              <w:rPr>
                <w:rFonts w:hint="eastAsia" w:ascii="宋体" w:hAnsi="宋体" w:cs="宋体"/>
                <w:sz w:val="21"/>
                <w:szCs w:val="21"/>
                <w:highlight w:val="none"/>
                <w:lang w:val="zh-CN"/>
              </w:rPr>
              <w:t>项目名称：</w:t>
            </w:r>
          </w:p>
        </w:tc>
      </w:tr>
      <w:tr w14:paraId="515BC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726" w:type="dxa"/>
            <w:vAlign w:val="center"/>
          </w:tcPr>
          <w:p w14:paraId="6FA42DD3">
            <w:pPr>
              <w:adjustRightInd w:val="0"/>
              <w:jc w:val="center"/>
              <w:rPr>
                <w:rFonts w:ascii="宋体" w:hAnsi="宋体" w:cs="宋体"/>
                <w:b/>
                <w:sz w:val="21"/>
                <w:szCs w:val="21"/>
                <w:highlight w:val="none"/>
                <w:lang w:val="zh-CN"/>
              </w:rPr>
            </w:pPr>
            <w:r>
              <w:rPr>
                <w:rFonts w:hint="eastAsia" w:ascii="宋体" w:hAnsi="宋体" w:cs="宋体"/>
                <w:b/>
                <w:sz w:val="21"/>
                <w:szCs w:val="21"/>
                <w:highlight w:val="none"/>
                <w:lang w:val="zh-CN"/>
              </w:rPr>
              <w:t>序号</w:t>
            </w:r>
          </w:p>
        </w:tc>
        <w:tc>
          <w:tcPr>
            <w:tcW w:w="1029" w:type="dxa"/>
            <w:vAlign w:val="center"/>
          </w:tcPr>
          <w:p w14:paraId="087EEFD7">
            <w:pPr>
              <w:adjustRightInd w:val="0"/>
              <w:jc w:val="center"/>
              <w:rPr>
                <w:rFonts w:ascii="宋体" w:hAnsi="宋体" w:cs="宋体"/>
                <w:b/>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zh-CN"/>
              </w:rPr>
              <w:t>条目号</w:t>
            </w:r>
          </w:p>
        </w:tc>
        <w:tc>
          <w:tcPr>
            <w:tcW w:w="6377" w:type="dxa"/>
            <w:vAlign w:val="center"/>
          </w:tcPr>
          <w:p w14:paraId="08C3CC12">
            <w:pPr>
              <w:adjustRightInd w:val="0"/>
              <w:jc w:val="center"/>
              <w:rPr>
                <w:rFonts w:ascii="宋体" w:hAnsi="宋体" w:cs="宋体"/>
                <w:b/>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zh-CN"/>
              </w:rPr>
              <w:t>要求的商务条款</w:t>
            </w:r>
          </w:p>
        </w:tc>
        <w:tc>
          <w:tcPr>
            <w:tcW w:w="1087" w:type="dxa"/>
            <w:vAlign w:val="center"/>
          </w:tcPr>
          <w:p w14:paraId="5EE6A52E">
            <w:pPr>
              <w:adjustRightInd w:val="0"/>
              <w:jc w:val="center"/>
              <w:rPr>
                <w:rFonts w:ascii="宋体" w:hAnsi="宋体" w:cs="宋体"/>
                <w:b/>
                <w:sz w:val="21"/>
                <w:szCs w:val="21"/>
                <w:highlight w:val="none"/>
                <w:lang w:val="zh-CN"/>
              </w:rPr>
            </w:pPr>
            <w:r>
              <w:rPr>
                <w:rFonts w:hint="eastAsia" w:ascii="宋体" w:hAnsi="宋体" w:cs="宋体"/>
                <w:b/>
                <w:sz w:val="21"/>
                <w:szCs w:val="21"/>
                <w:highlight w:val="none"/>
                <w:lang w:val="zh-CN"/>
              </w:rPr>
              <w:t>偏离情况（正偏离，无偏离，负偏离）</w:t>
            </w:r>
          </w:p>
        </w:tc>
      </w:tr>
      <w:tr w14:paraId="3445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726" w:type="dxa"/>
            <w:vAlign w:val="center"/>
          </w:tcPr>
          <w:p w14:paraId="480847C3">
            <w:pPr>
              <w:adjustRightInd w:val="0"/>
              <w:jc w:val="center"/>
              <w:rPr>
                <w:rFonts w:ascii="宋体" w:hAnsi="宋体" w:cs="宋体"/>
                <w:sz w:val="21"/>
                <w:szCs w:val="21"/>
                <w:highlight w:val="none"/>
              </w:rPr>
            </w:pPr>
            <w:r>
              <w:rPr>
                <w:rFonts w:hint="eastAsia" w:ascii="宋体" w:hAnsi="宋体" w:cs="宋体"/>
                <w:sz w:val="21"/>
                <w:szCs w:val="21"/>
                <w:highlight w:val="none"/>
              </w:rPr>
              <w:t>1</w:t>
            </w:r>
          </w:p>
        </w:tc>
        <w:tc>
          <w:tcPr>
            <w:tcW w:w="1029" w:type="dxa"/>
            <w:vAlign w:val="center"/>
          </w:tcPr>
          <w:p w14:paraId="00B5DC1C">
            <w:pPr>
              <w:adjustRightInd w:val="0"/>
              <w:jc w:val="center"/>
              <w:rPr>
                <w:rFonts w:hint="eastAsia" w:ascii="宋体" w:hAnsi="宋体" w:eastAsia="宋体" w:cs="宋体"/>
                <w:sz w:val="21"/>
                <w:szCs w:val="21"/>
                <w:highlight w:val="none"/>
                <w:lang w:val="en-US" w:eastAsia="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第二章</w:t>
            </w:r>
          </w:p>
        </w:tc>
        <w:tc>
          <w:tcPr>
            <w:tcW w:w="6377" w:type="dxa"/>
            <w:vAlign w:val="center"/>
          </w:tcPr>
          <w:p w14:paraId="20F04044">
            <w:pPr>
              <w:pStyle w:val="5"/>
              <w:widowControl/>
              <w:numPr>
                <w:ilvl w:val="0"/>
                <w:numId w:val="0"/>
              </w:numPr>
              <w:rPr>
                <w:rFonts w:hint="eastAsia"/>
                <w:sz w:val="21"/>
                <w:szCs w:val="21"/>
                <w:highlight w:val="none"/>
                <w:lang w:val="zh-CN"/>
              </w:rPr>
            </w:pPr>
            <w:r>
              <w:rPr>
                <w:rFonts w:hint="eastAsia"/>
                <w:sz w:val="21"/>
                <w:szCs w:val="21"/>
                <w:highlight w:val="none"/>
              </w:rPr>
              <w:t>响应函（响应申请及声明）；</w:t>
            </w:r>
          </w:p>
        </w:tc>
        <w:tc>
          <w:tcPr>
            <w:tcW w:w="1087" w:type="dxa"/>
            <w:vAlign w:val="center"/>
          </w:tcPr>
          <w:p w14:paraId="0811F735">
            <w:pPr>
              <w:adjustRightInd w:val="0"/>
              <w:jc w:val="center"/>
              <w:rPr>
                <w:rFonts w:ascii="宋体" w:hAnsi="宋体" w:cs="宋体"/>
                <w:sz w:val="21"/>
                <w:szCs w:val="21"/>
                <w:highlight w:val="none"/>
                <w:lang w:val="zh-CN"/>
              </w:rPr>
            </w:pPr>
          </w:p>
        </w:tc>
      </w:tr>
      <w:tr w14:paraId="6F1F6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726" w:type="dxa"/>
            <w:vAlign w:val="center"/>
          </w:tcPr>
          <w:p w14:paraId="667BC353">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1029" w:type="dxa"/>
            <w:vAlign w:val="center"/>
          </w:tcPr>
          <w:p w14:paraId="35013A05">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第二章</w:t>
            </w:r>
          </w:p>
        </w:tc>
        <w:tc>
          <w:tcPr>
            <w:tcW w:w="6377" w:type="dxa"/>
            <w:vAlign w:val="center"/>
          </w:tcPr>
          <w:p w14:paraId="7F51C37E">
            <w:pPr>
              <w:pStyle w:val="5"/>
              <w:widowControl/>
              <w:numPr>
                <w:ilvl w:val="0"/>
                <w:numId w:val="0"/>
              </w:numPr>
              <w:rPr>
                <w:rFonts w:hint="eastAsia"/>
                <w:sz w:val="21"/>
                <w:szCs w:val="21"/>
                <w:highlight w:val="none"/>
                <w:lang w:val="zh-CN"/>
              </w:rPr>
            </w:pPr>
            <w:r>
              <w:rPr>
                <w:rFonts w:hint="eastAsia"/>
                <w:sz w:val="21"/>
                <w:szCs w:val="21"/>
                <w:highlight w:val="none"/>
              </w:rPr>
              <w:t>法定代表人授权委托书及授权委托人的身份证复印件（有授权委托的），或法定代表人身份证复印件（无授权委托的）；</w:t>
            </w:r>
          </w:p>
        </w:tc>
        <w:tc>
          <w:tcPr>
            <w:tcW w:w="1087" w:type="dxa"/>
            <w:vAlign w:val="center"/>
          </w:tcPr>
          <w:p w14:paraId="27E3F449">
            <w:pPr>
              <w:adjustRightInd w:val="0"/>
              <w:jc w:val="center"/>
              <w:rPr>
                <w:rFonts w:ascii="宋体" w:hAnsi="宋体" w:cs="宋体"/>
                <w:sz w:val="21"/>
                <w:szCs w:val="21"/>
                <w:highlight w:val="none"/>
                <w:lang w:val="zh-CN"/>
              </w:rPr>
            </w:pPr>
          </w:p>
        </w:tc>
      </w:tr>
      <w:tr w14:paraId="7A39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jc w:val="center"/>
        </w:trPr>
        <w:tc>
          <w:tcPr>
            <w:tcW w:w="726" w:type="dxa"/>
            <w:vAlign w:val="center"/>
          </w:tcPr>
          <w:p w14:paraId="23B152E8">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1029" w:type="dxa"/>
            <w:vAlign w:val="center"/>
          </w:tcPr>
          <w:p w14:paraId="64C654A3">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第二章</w:t>
            </w:r>
          </w:p>
        </w:tc>
        <w:tc>
          <w:tcPr>
            <w:tcW w:w="6377" w:type="dxa"/>
            <w:vAlign w:val="center"/>
          </w:tcPr>
          <w:p w14:paraId="45B85770">
            <w:pPr>
              <w:pStyle w:val="5"/>
              <w:widowControl/>
              <w:numPr>
                <w:ilvl w:val="0"/>
                <w:numId w:val="0"/>
              </w:numPr>
              <w:rPr>
                <w:rFonts w:hint="eastAsia"/>
                <w:sz w:val="21"/>
                <w:szCs w:val="21"/>
                <w:highlight w:val="none"/>
                <w:lang w:val="zh-CN"/>
              </w:rPr>
            </w:pPr>
            <w:r>
              <w:rPr>
                <w:rFonts w:hint="eastAsia"/>
                <w:sz w:val="21"/>
                <w:szCs w:val="21"/>
                <w:highlight w:val="none"/>
              </w:rPr>
              <w:t>第一章比选公告中“二、申请人的资格要求规定的资格条件证明文件”；</w:t>
            </w:r>
          </w:p>
        </w:tc>
        <w:tc>
          <w:tcPr>
            <w:tcW w:w="1087" w:type="dxa"/>
            <w:vAlign w:val="center"/>
          </w:tcPr>
          <w:p w14:paraId="3B71077D">
            <w:pPr>
              <w:adjustRightInd w:val="0"/>
              <w:jc w:val="center"/>
              <w:rPr>
                <w:rFonts w:ascii="宋体" w:hAnsi="宋体" w:cs="宋体"/>
                <w:sz w:val="21"/>
                <w:szCs w:val="21"/>
                <w:highlight w:val="none"/>
                <w:lang w:val="zh-CN"/>
              </w:rPr>
            </w:pPr>
          </w:p>
        </w:tc>
      </w:tr>
      <w:tr w14:paraId="2258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2" w:hRule="atLeast"/>
          <w:jc w:val="center"/>
        </w:trPr>
        <w:tc>
          <w:tcPr>
            <w:tcW w:w="726" w:type="dxa"/>
            <w:vAlign w:val="center"/>
          </w:tcPr>
          <w:p w14:paraId="41321007">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1029" w:type="dxa"/>
            <w:vAlign w:val="center"/>
          </w:tcPr>
          <w:p w14:paraId="67719849">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303DDFEA">
            <w:pPr>
              <w:pStyle w:val="5"/>
              <w:widowControl/>
              <w:numPr>
                <w:ilvl w:val="0"/>
                <w:numId w:val="0"/>
              </w:numPr>
              <w:rPr>
                <w:rFonts w:hint="eastAsia"/>
                <w:sz w:val="21"/>
                <w:szCs w:val="21"/>
                <w:highlight w:val="none"/>
              </w:rPr>
            </w:pPr>
            <w:r>
              <w:rPr>
                <w:rFonts w:hint="eastAsia"/>
                <w:sz w:val="21"/>
                <w:szCs w:val="21"/>
                <w:highlight w:val="none"/>
              </w:rPr>
              <w:t>成交供应商需承担全部基础设施建设</w:t>
            </w:r>
            <w:r>
              <w:rPr>
                <w:rFonts w:hint="eastAsia"/>
                <w:sz w:val="21"/>
                <w:szCs w:val="21"/>
                <w:highlight w:val="none"/>
                <w:lang w:eastAsia="zh-CN"/>
              </w:rPr>
              <w:t>，</w:t>
            </w:r>
            <w:r>
              <w:rPr>
                <w:rFonts w:hint="eastAsia"/>
                <w:sz w:val="21"/>
                <w:szCs w:val="21"/>
                <w:highlight w:val="none"/>
                <w:lang w:val="en-US" w:eastAsia="zh-CN"/>
              </w:rPr>
              <w:t>相关</w:t>
            </w:r>
            <w:r>
              <w:rPr>
                <w:rFonts w:hint="eastAsia"/>
                <w:sz w:val="21"/>
                <w:szCs w:val="21"/>
                <w:highlight w:val="none"/>
              </w:rPr>
              <w:t>建设标准需符合国家/行业规范及校方需求</w:t>
            </w:r>
            <w:r>
              <w:rPr>
                <w:rFonts w:hint="eastAsia"/>
                <w:sz w:val="21"/>
                <w:szCs w:val="21"/>
                <w:highlight w:val="none"/>
                <w:lang w:eastAsia="zh-CN"/>
              </w:rPr>
              <w:t>，</w:t>
            </w:r>
            <w:r>
              <w:rPr>
                <w:rFonts w:hint="eastAsia"/>
                <w:sz w:val="21"/>
                <w:szCs w:val="21"/>
                <w:highlight w:val="none"/>
              </w:rPr>
              <w:t>承担项目建设及运维期内的安全责任。</w:t>
            </w:r>
            <w:r>
              <w:rPr>
                <w:rFonts w:hint="eastAsia"/>
                <w:sz w:val="21"/>
                <w:szCs w:val="21"/>
                <w:highlight w:val="none"/>
                <w:lang w:val="en-US" w:eastAsia="zh-CN"/>
              </w:rPr>
              <w:t>成交供应商全额承担相应施工配套费用以及</w:t>
            </w:r>
            <w:r>
              <w:rPr>
                <w:rFonts w:hint="eastAsia"/>
                <w:sz w:val="21"/>
                <w:szCs w:val="21"/>
                <w:highlight w:val="none"/>
              </w:rPr>
              <w:t>项目运营相关全部费用（包括但不限于服务人员工资薪酬、电路铺设、</w:t>
            </w:r>
            <w:r>
              <w:rPr>
                <w:rFonts w:hint="eastAsia"/>
                <w:sz w:val="21"/>
                <w:szCs w:val="21"/>
                <w:highlight w:val="none"/>
                <w:lang w:val="en-US" w:eastAsia="zh-CN"/>
              </w:rPr>
              <w:t>网路接入、</w:t>
            </w:r>
            <w:r>
              <w:rPr>
                <w:rFonts w:hint="eastAsia"/>
                <w:sz w:val="21"/>
                <w:szCs w:val="21"/>
                <w:highlight w:val="none"/>
              </w:rPr>
              <w:t>地面硬化、围墙拆装、绿植移栽</w:t>
            </w:r>
            <w:r>
              <w:rPr>
                <w:rFonts w:hint="eastAsia"/>
                <w:sz w:val="21"/>
                <w:szCs w:val="21"/>
                <w:highlight w:val="none"/>
                <w:lang w:eastAsia="zh-CN"/>
              </w:rPr>
              <w:t>（</w:t>
            </w:r>
            <w:r>
              <w:rPr>
                <w:rFonts w:hint="eastAsia"/>
                <w:sz w:val="21"/>
                <w:szCs w:val="21"/>
                <w:highlight w:val="none"/>
                <w:lang w:val="en-US" w:eastAsia="zh-CN"/>
              </w:rPr>
              <w:t>修复</w:t>
            </w:r>
            <w:r>
              <w:rPr>
                <w:rFonts w:hint="eastAsia"/>
                <w:sz w:val="21"/>
                <w:szCs w:val="21"/>
                <w:highlight w:val="none"/>
                <w:lang w:eastAsia="zh-CN"/>
              </w:rPr>
              <w:t>）、</w:t>
            </w:r>
            <w:r>
              <w:rPr>
                <w:rFonts w:hint="eastAsia"/>
                <w:sz w:val="21"/>
                <w:szCs w:val="21"/>
                <w:highlight w:val="none"/>
              </w:rPr>
              <w:t>土建改造、装饰装修、机电安装等费用）</w:t>
            </w:r>
            <w:r>
              <w:rPr>
                <w:rFonts w:hint="eastAsia"/>
                <w:sz w:val="21"/>
                <w:szCs w:val="21"/>
                <w:highlight w:val="none"/>
                <w:lang w:eastAsia="zh-CN"/>
              </w:rPr>
              <w:t>。</w:t>
            </w:r>
          </w:p>
        </w:tc>
        <w:tc>
          <w:tcPr>
            <w:tcW w:w="1087" w:type="dxa"/>
            <w:vAlign w:val="center"/>
          </w:tcPr>
          <w:p w14:paraId="0A23C7EF">
            <w:pPr>
              <w:adjustRightInd w:val="0"/>
              <w:jc w:val="center"/>
              <w:rPr>
                <w:rFonts w:ascii="宋体" w:hAnsi="宋体" w:cs="宋体"/>
                <w:sz w:val="21"/>
                <w:szCs w:val="21"/>
                <w:highlight w:val="none"/>
                <w:lang w:val="zh-CN"/>
              </w:rPr>
            </w:pPr>
          </w:p>
        </w:tc>
      </w:tr>
      <w:tr w14:paraId="1533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726" w:type="dxa"/>
            <w:vAlign w:val="center"/>
          </w:tcPr>
          <w:p w14:paraId="5165287F">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1029" w:type="dxa"/>
            <w:vAlign w:val="center"/>
          </w:tcPr>
          <w:p w14:paraId="729A3F2D">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4A5B0CC3">
            <w:pPr>
              <w:pStyle w:val="5"/>
              <w:widowControl/>
              <w:numPr>
                <w:ilvl w:val="0"/>
                <w:numId w:val="0"/>
              </w:numPr>
              <w:rPr>
                <w:rFonts w:hint="eastAsia"/>
                <w:sz w:val="21"/>
                <w:szCs w:val="21"/>
                <w:highlight w:val="none"/>
              </w:rPr>
            </w:pPr>
            <w:r>
              <w:rPr>
                <w:rFonts w:hint="eastAsia"/>
                <w:sz w:val="21"/>
                <w:szCs w:val="21"/>
                <w:highlight w:val="none"/>
              </w:rPr>
              <w:t>提供的智能外卖柜，供应商应免费向全校师生员工提供无接触取外卖服务。</w:t>
            </w:r>
          </w:p>
        </w:tc>
        <w:tc>
          <w:tcPr>
            <w:tcW w:w="1087" w:type="dxa"/>
            <w:vAlign w:val="center"/>
          </w:tcPr>
          <w:p w14:paraId="632EDEAF">
            <w:pPr>
              <w:adjustRightInd w:val="0"/>
              <w:jc w:val="center"/>
              <w:rPr>
                <w:rFonts w:ascii="宋体" w:hAnsi="宋体" w:cs="宋体"/>
                <w:sz w:val="21"/>
                <w:szCs w:val="21"/>
                <w:highlight w:val="none"/>
                <w:lang w:val="zh-CN"/>
              </w:rPr>
            </w:pPr>
          </w:p>
        </w:tc>
      </w:tr>
      <w:tr w14:paraId="292F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58" w:hRule="atLeast"/>
          <w:jc w:val="center"/>
        </w:trPr>
        <w:tc>
          <w:tcPr>
            <w:tcW w:w="726" w:type="dxa"/>
            <w:vAlign w:val="center"/>
          </w:tcPr>
          <w:p w14:paraId="7CD1FDB7">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1029" w:type="dxa"/>
            <w:vAlign w:val="center"/>
          </w:tcPr>
          <w:p w14:paraId="5CC9D90D">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1F9F7309">
            <w:pPr>
              <w:pStyle w:val="5"/>
              <w:widowControl/>
              <w:numPr>
                <w:ilvl w:val="0"/>
                <w:numId w:val="0"/>
              </w:numPr>
              <w:rPr>
                <w:rFonts w:hint="eastAsia"/>
                <w:sz w:val="21"/>
                <w:szCs w:val="21"/>
                <w:highlight w:val="none"/>
              </w:rPr>
            </w:pPr>
            <w:r>
              <w:rPr>
                <w:rFonts w:hint="eastAsia"/>
                <w:sz w:val="21"/>
                <w:szCs w:val="21"/>
                <w:highlight w:val="none"/>
              </w:rPr>
              <w:t>设备功能要求</w:t>
            </w:r>
          </w:p>
          <w:p w14:paraId="64F5D8EC">
            <w:pPr>
              <w:pStyle w:val="5"/>
              <w:widowControl/>
              <w:numPr>
                <w:ilvl w:val="0"/>
                <w:numId w:val="0"/>
              </w:numPr>
              <w:rPr>
                <w:rFonts w:hint="eastAsia"/>
                <w:sz w:val="21"/>
                <w:szCs w:val="21"/>
                <w:highlight w:val="none"/>
              </w:rPr>
            </w:pPr>
            <w:r>
              <w:rPr>
                <w:rFonts w:hint="eastAsia"/>
                <w:sz w:val="21"/>
                <w:szCs w:val="21"/>
                <w:highlight w:val="none"/>
              </w:rPr>
              <w:t>1.柜体要求符合国家相关卫生安全标准，无异味、无有害物质释放，具有防腐涂层，使用寿命5年以上，结构坚固安全，可透过柜门直接看到里面实物。</w:t>
            </w:r>
          </w:p>
          <w:p w14:paraId="48787C58">
            <w:pPr>
              <w:pStyle w:val="5"/>
              <w:widowControl/>
              <w:numPr>
                <w:ilvl w:val="0"/>
                <w:numId w:val="0"/>
              </w:numPr>
              <w:rPr>
                <w:rFonts w:hint="eastAsia"/>
                <w:sz w:val="21"/>
                <w:szCs w:val="21"/>
                <w:highlight w:val="none"/>
              </w:rPr>
            </w:pPr>
            <w:r>
              <w:rPr>
                <w:rFonts w:hint="eastAsia"/>
                <w:sz w:val="21"/>
                <w:szCs w:val="21"/>
                <w:highlight w:val="none"/>
              </w:rPr>
              <w:t>2.柜体主要结构材质应采用冷轧钢板、镀锌钢板、不锈钢等金属，应配备防雨棚，加装视频监控系统。</w:t>
            </w:r>
          </w:p>
          <w:p w14:paraId="1299AFBC">
            <w:pPr>
              <w:pStyle w:val="5"/>
              <w:widowControl/>
              <w:numPr>
                <w:ilvl w:val="0"/>
                <w:numId w:val="0"/>
              </w:numPr>
              <w:rPr>
                <w:rFonts w:hint="eastAsia"/>
                <w:sz w:val="21"/>
                <w:szCs w:val="21"/>
                <w:highlight w:val="none"/>
              </w:rPr>
            </w:pPr>
            <w:r>
              <w:rPr>
                <w:rFonts w:hint="eastAsia"/>
                <w:sz w:val="21"/>
                <w:szCs w:val="21"/>
                <w:highlight w:val="none"/>
              </w:rPr>
              <w:t>3.存放单元须满足主流种类外卖包装尺寸的需求，每组外卖柜应同时配备大格口和小格口，每组大格口数量不低于15%，参考尺寸：大格口330cmx320cmx400cm，小格口230cmx320cmx400cm。</w:t>
            </w:r>
          </w:p>
          <w:p w14:paraId="336A65CC">
            <w:pPr>
              <w:pStyle w:val="5"/>
              <w:widowControl/>
              <w:numPr>
                <w:ilvl w:val="0"/>
                <w:numId w:val="0"/>
              </w:numPr>
              <w:rPr>
                <w:rFonts w:hint="eastAsia"/>
                <w:sz w:val="21"/>
                <w:szCs w:val="21"/>
                <w:highlight w:val="none"/>
              </w:rPr>
            </w:pPr>
            <w:r>
              <w:rPr>
                <w:rFonts w:hint="eastAsia"/>
                <w:sz w:val="21"/>
                <w:szCs w:val="21"/>
                <w:highlight w:val="none"/>
              </w:rPr>
              <w:t>4.采用无接触式双面智能外卖柜，投递取件方式为单向流通（仅支持校外投入，校内取外卖），后期可根据学校需求调整。</w:t>
            </w:r>
          </w:p>
          <w:p w14:paraId="239F7C94">
            <w:pPr>
              <w:pStyle w:val="5"/>
              <w:widowControl/>
              <w:numPr>
                <w:ilvl w:val="0"/>
                <w:numId w:val="0"/>
              </w:numPr>
              <w:rPr>
                <w:rFonts w:hint="eastAsia"/>
                <w:sz w:val="21"/>
                <w:szCs w:val="21"/>
                <w:highlight w:val="none"/>
              </w:rPr>
            </w:pPr>
            <w:r>
              <w:rPr>
                <w:rFonts w:hint="eastAsia"/>
                <w:sz w:val="21"/>
                <w:szCs w:val="21"/>
                <w:highlight w:val="none"/>
              </w:rPr>
              <w:t>5.柜体具备防尘防水防虫密封性能，具有紫外线消毒功能，保障食品安全。</w:t>
            </w:r>
          </w:p>
          <w:p w14:paraId="1738E04C">
            <w:pPr>
              <w:pStyle w:val="5"/>
              <w:widowControl/>
              <w:numPr>
                <w:ilvl w:val="0"/>
                <w:numId w:val="0"/>
              </w:numPr>
              <w:rPr>
                <w:rFonts w:hint="eastAsia"/>
                <w:sz w:val="21"/>
                <w:szCs w:val="21"/>
                <w:highlight w:val="none"/>
              </w:rPr>
            </w:pPr>
            <w:r>
              <w:rPr>
                <w:rFonts w:hint="eastAsia"/>
                <w:sz w:val="21"/>
                <w:szCs w:val="21"/>
                <w:highlight w:val="none"/>
              </w:rPr>
              <w:t>6.柜体支持智能预约、超时提醒等功能，</w:t>
            </w:r>
          </w:p>
          <w:p w14:paraId="4963A7BB">
            <w:pPr>
              <w:pStyle w:val="5"/>
              <w:widowControl/>
              <w:numPr>
                <w:ilvl w:val="0"/>
                <w:numId w:val="0"/>
              </w:numPr>
              <w:rPr>
                <w:rFonts w:hint="eastAsia"/>
                <w:sz w:val="21"/>
                <w:szCs w:val="21"/>
                <w:highlight w:val="none"/>
              </w:rPr>
            </w:pPr>
            <w:r>
              <w:rPr>
                <w:rFonts w:hint="eastAsia"/>
                <w:sz w:val="21"/>
                <w:szCs w:val="21"/>
                <w:highlight w:val="none"/>
              </w:rPr>
              <w:t>7.应具备远程升级、应急解锁、自动故障报警等远程控制功能。</w:t>
            </w:r>
          </w:p>
          <w:p w14:paraId="50A61E60">
            <w:pPr>
              <w:pStyle w:val="5"/>
              <w:widowControl/>
              <w:numPr>
                <w:ilvl w:val="0"/>
                <w:numId w:val="0"/>
              </w:numPr>
              <w:rPr>
                <w:rFonts w:hint="eastAsia"/>
                <w:sz w:val="21"/>
                <w:szCs w:val="21"/>
                <w:highlight w:val="none"/>
              </w:rPr>
            </w:pPr>
            <w:r>
              <w:rPr>
                <w:rFonts w:hint="eastAsia"/>
                <w:sz w:val="21"/>
                <w:szCs w:val="21"/>
                <w:highlight w:val="none"/>
              </w:rPr>
              <w:t>8.须服务任何实名注册骑手。</w:t>
            </w:r>
          </w:p>
          <w:p w14:paraId="75FD423C">
            <w:pPr>
              <w:pStyle w:val="5"/>
              <w:widowControl/>
              <w:numPr>
                <w:ilvl w:val="0"/>
                <w:numId w:val="0"/>
              </w:numPr>
              <w:rPr>
                <w:rFonts w:hint="eastAsia"/>
                <w:sz w:val="21"/>
                <w:szCs w:val="21"/>
                <w:highlight w:val="none"/>
              </w:rPr>
            </w:pPr>
            <w:r>
              <w:rPr>
                <w:rFonts w:hint="eastAsia"/>
                <w:sz w:val="21"/>
                <w:szCs w:val="21"/>
                <w:highlight w:val="none"/>
              </w:rPr>
              <w:t>9.须服务任何外卖平台用户。</w:t>
            </w:r>
          </w:p>
        </w:tc>
        <w:tc>
          <w:tcPr>
            <w:tcW w:w="1087" w:type="dxa"/>
            <w:vAlign w:val="center"/>
          </w:tcPr>
          <w:p w14:paraId="2ECEEF6E">
            <w:pPr>
              <w:adjustRightInd w:val="0"/>
              <w:jc w:val="center"/>
              <w:rPr>
                <w:rFonts w:ascii="宋体" w:hAnsi="宋体" w:cs="宋体"/>
                <w:sz w:val="21"/>
                <w:szCs w:val="21"/>
                <w:highlight w:val="none"/>
                <w:lang w:val="zh-CN"/>
              </w:rPr>
            </w:pPr>
          </w:p>
        </w:tc>
      </w:tr>
      <w:tr w14:paraId="461B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2" w:hRule="atLeast"/>
          <w:jc w:val="center"/>
        </w:trPr>
        <w:tc>
          <w:tcPr>
            <w:tcW w:w="726" w:type="dxa"/>
            <w:vAlign w:val="center"/>
          </w:tcPr>
          <w:p w14:paraId="41B7C23B">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7</w:t>
            </w:r>
          </w:p>
        </w:tc>
        <w:tc>
          <w:tcPr>
            <w:tcW w:w="1029" w:type="dxa"/>
            <w:vAlign w:val="center"/>
          </w:tcPr>
          <w:p w14:paraId="02D43B45">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290F511A">
            <w:pPr>
              <w:pStyle w:val="5"/>
              <w:widowControl/>
              <w:numPr>
                <w:ilvl w:val="0"/>
                <w:numId w:val="0"/>
              </w:numPr>
              <w:rPr>
                <w:rFonts w:hint="eastAsia"/>
                <w:sz w:val="21"/>
                <w:szCs w:val="21"/>
                <w:highlight w:val="none"/>
              </w:rPr>
            </w:pPr>
            <w:r>
              <w:rPr>
                <w:rFonts w:hint="eastAsia"/>
                <w:sz w:val="21"/>
                <w:szCs w:val="21"/>
                <w:highlight w:val="none"/>
              </w:rPr>
              <w:t>责任与纠纷处理</w:t>
            </w:r>
          </w:p>
          <w:p w14:paraId="1F3C9437">
            <w:pPr>
              <w:pStyle w:val="5"/>
              <w:widowControl/>
              <w:numPr>
                <w:ilvl w:val="0"/>
                <w:numId w:val="0"/>
              </w:numPr>
              <w:rPr>
                <w:rFonts w:hint="eastAsia"/>
                <w:sz w:val="21"/>
                <w:szCs w:val="21"/>
                <w:highlight w:val="none"/>
                <w:lang w:val="zh-CN"/>
              </w:rPr>
            </w:pPr>
            <w:r>
              <w:rPr>
                <w:rFonts w:hint="eastAsia"/>
                <w:sz w:val="21"/>
                <w:szCs w:val="21"/>
                <w:highlight w:val="none"/>
                <w:lang w:val="zh-CN"/>
              </w:rPr>
              <w:t>运营过程中产生的投诉、赔偿等纠纷，由成交供应商负责解释并承担全部责任。</w:t>
            </w:r>
          </w:p>
          <w:p w14:paraId="7C262C63">
            <w:pPr>
              <w:pStyle w:val="5"/>
              <w:widowControl/>
              <w:numPr>
                <w:ilvl w:val="0"/>
                <w:numId w:val="0"/>
              </w:numPr>
              <w:rPr>
                <w:rFonts w:hint="eastAsia"/>
                <w:sz w:val="21"/>
                <w:szCs w:val="21"/>
                <w:highlight w:val="none"/>
                <w:lang w:val="zh-CN"/>
              </w:rPr>
            </w:pPr>
            <w:r>
              <w:rPr>
                <w:rFonts w:hint="eastAsia"/>
                <w:sz w:val="21"/>
                <w:szCs w:val="21"/>
                <w:highlight w:val="none"/>
                <w:lang w:val="zh-CN"/>
              </w:rPr>
              <w:t>如涉及政府部门相关事务（如卫生经营许可、环保检测、消防安全检查等），由成交供应商负责落实。</w:t>
            </w:r>
          </w:p>
          <w:p w14:paraId="654C2C91">
            <w:pPr>
              <w:pStyle w:val="5"/>
              <w:widowControl/>
              <w:numPr>
                <w:ilvl w:val="0"/>
                <w:numId w:val="0"/>
              </w:numPr>
              <w:rPr>
                <w:rFonts w:hint="eastAsia"/>
                <w:sz w:val="21"/>
                <w:szCs w:val="21"/>
                <w:highlight w:val="none"/>
                <w:lang w:val="zh-CN"/>
              </w:rPr>
            </w:pPr>
            <w:r>
              <w:rPr>
                <w:rFonts w:hint="eastAsia"/>
                <w:sz w:val="21"/>
                <w:szCs w:val="21"/>
                <w:highlight w:val="none"/>
                <w:lang w:val="zh-CN"/>
              </w:rPr>
              <w:t>若发生卫生、防疫、安全（含</w:t>
            </w:r>
            <w:r>
              <w:rPr>
                <w:rFonts w:hint="eastAsia"/>
                <w:sz w:val="21"/>
                <w:szCs w:val="21"/>
                <w:highlight w:val="none"/>
              </w:rPr>
              <w:t>设施、</w:t>
            </w:r>
            <w:r>
              <w:rPr>
                <w:rFonts w:hint="eastAsia"/>
                <w:sz w:val="21"/>
                <w:szCs w:val="21"/>
                <w:highlight w:val="none"/>
                <w:lang w:val="zh-CN"/>
              </w:rPr>
              <w:t>网络及系统的安全）等</w:t>
            </w:r>
            <w:r>
              <w:rPr>
                <w:rFonts w:hint="eastAsia"/>
                <w:sz w:val="21"/>
                <w:szCs w:val="21"/>
                <w:highlight w:val="none"/>
              </w:rPr>
              <w:t>事故，</w:t>
            </w:r>
            <w:r>
              <w:rPr>
                <w:rFonts w:hint="eastAsia"/>
                <w:sz w:val="21"/>
                <w:szCs w:val="21"/>
                <w:highlight w:val="none"/>
                <w:lang w:val="zh-CN"/>
              </w:rPr>
              <w:t>所有责任均由成交供应商承担。</w:t>
            </w:r>
          </w:p>
        </w:tc>
        <w:tc>
          <w:tcPr>
            <w:tcW w:w="1087" w:type="dxa"/>
            <w:vAlign w:val="center"/>
          </w:tcPr>
          <w:p w14:paraId="320A0982">
            <w:pPr>
              <w:adjustRightInd w:val="0"/>
              <w:jc w:val="center"/>
              <w:rPr>
                <w:rFonts w:ascii="宋体" w:hAnsi="宋体" w:cs="宋体"/>
                <w:sz w:val="21"/>
                <w:szCs w:val="21"/>
                <w:highlight w:val="none"/>
                <w:lang w:val="zh-CN"/>
              </w:rPr>
            </w:pPr>
          </w:p>
        </w:tc>
      </w:tr>
      <w:tr w14:paraId="2E60A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0" w:hRule="atLeast"/>
          <w:jc w:val="center"/>
        </w:trPr>
        <w:tc>
          <w:tcPr>
            <w:tcW w:w="726" w:type="dxa"/>
            <w:vAlign w:val="center"/>
          </w:tcPr>
          <w:p w14:paraId="27C4FFF5">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p>
        </w:tc>
        <w:tc>
          <w:tcPr>
            <w:tcW w:w="1029" w:type="dxa"/>
            <w:vAlign w:val="center"/>
          </w:tcPr>
          <w:p w14:paraId="4B9C31E5">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11E4AE33">
            <w:pPr>
              <w:pStyle w:val="5"/>
              <w:widowControl/>
              <w:numPr>
                <w:ilvl w:val="0"/>
                <w:numId w:val="0"/>
              </w:numPr>
              <w:rPr>
                <w:rFonts w:hint="eastAsia"/>
                <w:sz w:val="21"/>
                <w:szCs w:val="21"/>
                <w:highlight w:val="none"/>
                <w:lang w:val="zh-CN"/>
              </w:rPr>
            </w:pPr>
            <w:r>
              <w:rPr>
                <w:rFonts w:hint="eastAsia"/>
                <w:sz w:val="21"/>
                <w:szCs w:val="21"/>
                <w:highlight w:val="none"/>
              </w:rPr>
              <w:t>智能外卖柜</w:t>
            </w:r>
            <w:r>
              <w:rPr>
                <w:rFonts w:hint="eastAsia"/>
                <w:sz w:val="21"/>
                <w:szCs w:val="21"/>
                <w:highlight w:val="none"/>
                <w:lang w:val="zh-CN"/>
              </w:rPr>
              <w:t>设施不得张贴或发布与运营无关的广告，每日至少一次对智能外卖柜及周边环境进行保洁、消毒、清理小广告，</w:t>
            </w:r>
            <w:r>
              <w:rPr>
                <w:rFonts w:hint="eastAsia"/>
                <w:sz w:val="21"/>
                <w:szCs w:val="21"/>
                <w:highlight w:val="none"/>
              </w:rPr>
              <w:t>一标段（</w:t>
            </w:r>
            <w:r>
              <w:rPr>
                <w:rFonts w:hint="eastAsia"/>
                <w:sz w:val="21"/>
                <w:szCs w:val="21"/>
                <w:highlight w:val="none"/>
                <w:lang w:val="zh-CN"/>
              </w:rPr>
              <w:t>仙林校区</w:t>
            </w:r>
            <w:r>
              <w:rPr>
                <w:rFonts w:hint="eastAsia"/>
                <w:sz w:val="21"/>
                <w:szCs w:val="21"/>
                <w:highlight w:val="none"/>
              </w:rPr>
              <w:t>）</w:t>
            </w:r>
            <w:r>
              <w:rPr>
                <w:rFonts w:hint="eastAsia"/>
                <w:sz w:val="21"/>
                <w:szCs w:val="21"/>
                <w:highlight w:val="none"/>
                <w:lang w:val="zh-CN"/>
              </w:rPr>
              <w:t>需派驻1名专职人员负责此项工作，</w:t>
            </w:r>
            <w:r>
              <w:rPr>
                <w:rFonts w:hint="eastAsia"/>
                <w:sz w:val="21"/>
                <w:szCs w:val="21"/>
                <w:highlight w:val="none"/>
              </w:rPr>
              <w:t>二标段（三牌楼校区和锁金村校区）</w:t>
            </w:r>
            <w:r>
              <w:rPr>
                <w:rFonts w:hint="eastAsia"/>
                <w:sz w:val="21"/>
                <w:szCs w:val="21"/>
                <w:highlight w:val="none"/>
                <w:lang w:val="zh-CN"/>
              </w:rPr>
              <w:t>需派驻1名专职人员负责此项工作。</w:t>
            </w:r>
          </w:p>
        </w:tc>
        <w:tc>
          <w:tcPr>
            <w:tcW w:w="1087" w:type="dxa"/>
            <w:vAlign w:val="center"/>
          </w:tcPr>
          <w:p w14:paraId="5E02D98C">
            <w:pPr>
              <w:adjustRightInd w:val="0"/>
              <w:jc w:val="center"/>
              <w:rPr>
                <w:rFonts w:ascii="宋体" w:hAnsi="宋体" w:cs="宋体"/>
                <w:sz w:val="21"/>
                <w:szCs w:val="21"/>
                <w:highlight w:val="none"/>
                <w:lang w:val="zh-CN"/>
              </w:rPr>
            </w:pPr>
          </w:p>
        </w:tc>
      </w:tr>
      <w:tr w14:paraId="59F38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78" w:hRule="atLeast"/>
          <w:jc w:val="center"/>
        </w:trPr>
        <w:tc>
          <w:tcPr>
            <w:tcW w:w="726" w:type="dxa"/>
            <w:vAlign w:val="center"/>
          </w:tcPr>
          <w:p w14:paraId="4D77C868">
            <w:pPr>
              <w:adjustRightInd w:val="0"/>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w:t>
            </w:r>
          </w:p>
        </w:tc>
        <w:tc>
          <w:tcPr>
            <w:tcW w:w="1029" w:type="dxa"/>
            <w:vAlign w:val="center"/>
          </w:tcPr>
          <w:p w14:paraId="07501454">
            <w:pPr>
              <w:adjustRightInd w:val="0"/>
              <w:jc w:val="center"/>
              <w:rPr>
                <w:rFonts w:ascii="宋体" w:hAnsi="宋体" w:cs="宋体"/>
                <w:sz w:val="21"/>
                <w:szCs w:val="21"/>
                <w:highlight w:val="none"/>
                <w:lang w:val="zh-CN"/>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26288620">
            <w:pPr>
              <w:pStyle w:val="5"/>
              <w:widowControl/>
              <w:numPr>
                <w:ilvl w:val="0"/>
                <w:numId w:val="0"/>
              </w:numPr>
              <w:rPr>
                <w:rFonts w:hint="eastAsia"/>
                <w:sz w:val="21"/>
                <w:szCs w:val="21"/>
                <w:highlight w:val="none"/>
                <w:lang w:val="zh-CN"/>
              </w:rPr>
            </w:pPr>
            <w:r>
              <w:rPr>
                <w:rFonts w:hint="eastAsia"/>
                <w:sz w:val="21"/>
                <w:szCs w:val="21"/>
                <w:highlight w:val="none"/>
              </w:rPr>
              <w:t>供应商</w:t>
            </w:r>
            <w:r>
              <w:rPr>
                <w:rFonts w:hint="eastAsia"/>
                <w:sz w:val="21"/>
                <w:szCs w:val="21"/>
                <w:highlight w:val="none"/>
                <w:lang w:val="zh-CN"/>
              </w:rPr>
              <w:t>提供的设备需满足并接受美团、饿了么、</w:t>
            </w:r>
            <w:r>
              <w:rPr>
                <w:rFonts w:hint="eastAsia"/>
                <w:sz w:val="21"/>
                <w:szCs w:val="21"/>
                <w:highlight w:val="none"/>
              </w:rPr>
              <w:t>京东</w:t>
            </w:r>
            <w:r>
              <w:rPr>
                <w:rFonts w:hint="eastAsia"/>
                <w:sz w:val="21"/>
                <w:szCs w:val="21"/>
                <w:highlight w:val="none"/>
                <w:lang w:val="zh-CN"/>
              </w:rPr>
              <w:t>等主流外卖平台的外卖投放需求，</w:t>
            </w:r>
            <w:r>
              <w:rPr>
                <w:rFonts w:hint="eastAsia"/>
                <w:sz w:val="21"/>
                <w:szCs w:val="21"/>
                <w:highlight w:val="none"/>
              </w:rPr>
              <w:t>须按各标段外卖柜摆放位置及数量建设外卖柜，建设完成后，提供运营管理服务。无条件配合学校因学生人数变化而进行的点位新增、变更或缩减调整，供应商需提前充分评估投资风险。</w:t>
            </w:r>
          </w:p>
        </w:tc>
        <w:tc>
          <w:tcPr>
            <w:tcW w:w="1087" w:type="dxa"/>
            <w:vAlign w:val="center"/>
          </w:tcPr>
          <w:p w14:paraId="682120C8">
            <w:pPr>
              <w:adjustRightInd w:val="0"/>
              <w:jc w:val="center"/>
              <w:rPr>
                <w:rFonts w:ascii="宋体" w:hAnsi="宋体" w:cs="宋体"/>
                <w:sz w:val="21"/>
                <w:szCs w:val="21"/>
                <w:highlight w:val="none"/>
                <w:lang w:val="zh-CN"/>
              </w:rPr>
            </w:pPr>
          </w:p>
        </w:tc>
      </w:tr>
      <w:tr w14:paraId="4ADB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3" w:hRule="atLeast"/>
          <w:jc w:val="center"/>
        </w:trPr>
        <w:tc>
          <w:tcPr>
            <w:tcW w:w="726" w:type="dxa"/>
            <w:vAlign w:val="center"/>
          </w:tcPr>
          <w:p w14:paraId="1328EB22">
            <w:pPr>
              <w:adjustRightInd w:val="0"/>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10</w:t>
            </w:r>
          </w:p>
        </w:tc>
        <w:tc>
          <w:tcPr>
            <w:tcW w:w="1029" w:type="dxa"/>
            <w:vAlign w:val="center"/>
          </w:tcPr>
          <w:p w14:paraId="4C57736E">
            <w:pPr>
              <w:adjustRightInd w:val="0"/>
              <w:jc w:val="center"/>
              <w:rPr>
                <w:rFonts w:hint="eastAsia" w:ascii="宋体" w:hAnsi="宋体" w:cs="宋体"/>
                <w:b/>
                <w:sz w:val="21"/>
                <w:szCs w:val="21"/>
                <w:highlight w:val="none"/>
              </w:rPr>
            </w:pPr>
            <w:r>
              <w:rPr>
                <w:rFonts w:hint="eastAsia" w:ascii="宋体" w:hAnsi="宋体" w:cs="宋体"/>
                <w:b/>
                <w:sz w:val="21"/>
                <w:szCs w:val="21"/>
                <w:highlight w:val="none"/>
              </w:rPr>
              <w:t>比选文件</w:t>
            </w:r>
            <w:r>
              <w:rPr>
                <w:rFonts w:hint="eastAsia" w:ascii="宋体" w:hAnsi="宋体" w:cs="宋体"/>
                <w:b/>
                <w:sz w:val="21"/>
                <w:szCs w:val="21"/>
                <w:highlight w:val="none"/>
                <w:lang w:val="en-US" w:eastAsia="zh-CN"/>
              </w:rPr>
              <w:t>第四章</w:t>
            </w:r>
          </w:p>
        </w:tc>
        <w:tc>
          <w:tcPr>
            <w:tcW w:w="6377" w:type="dxa"/>
            <w:vAlign w:val="center"/>
          </w:tcPr>
          <w:p w14:paraId="25F14C49">
            <w:pPr>
              <w:pStyle w:val="5"/>
              <w:widowControl/>
              <w:numPr>
                <w:ilvl w:val="0"/>
                <w:numId w:val="0"/>
              </w:numPr>
              <w:rPr>
                <w:rFonts w:hint="eastAsia"/>
                <w:sz w:val="21"/>
                <w:szCs w:val="21"/>
                <w:highlight w:val="none"/>
              </w:rPr>
            </w:pPr>
            <w:r>
              <w:rPr>
                <w:rFonts w:hint="eastAsia"/>
                <w:sz w:val="21"/>
                <w:szCs w:val="21"/>
                <w:highlight w:val="none"/>
              </w:rPr>
              <w:t>安全与追溯管理</w:t>
            </w:r>
          </w:p>
          <w:p w14:paraId="4884E3B6">
            <w:pPr>
              <w:pStyle w:val="5"/>
              <w:widowControl/>
              <w:numPr>
                <w:ilvl w:val="0"/>
                <w:numId w:val="0"/>
              </w:numPr>
              <w:rPr>
                <w:rFonts w:hint="eastAsia"/>
                <w:sz w:val="21"/>
                <w:szCs w:val="21"/>
                <w:highlight w:val="none"/>
                <w:lang w:val="zh-CN"/>
              </w:rPr>
            </w:pPr>
            <w:r>
              <w:rPr>
                <w:rFonts w:hint="eastAsia"/>
                <w:sz w:val="21"/>
                <w:szCs w:val="21"/>
                <w:highlight w:val="none"/>
                <w:lang w:val="zh-CN"/>
              </w:rPr>
              <w:t>提供外卖投递全程可追溯解决方案，在服务区布设全天候无死角视频监控，监控资料保存时间不少于15日。</w:t>
            </w:r>
          </w:p>
          <w:p w14:paraId="0BD7C22D">
            <w:pPr>
              <w:pStyle w:val="5"/>
              <w:widowControl/>
              <w:numPr>
                <w:ilvl w:val="0"/>
                <w:numId w:val="0"/>
              </w:numPr>
              <w:rPr>
                <w:rFonts w:hint="eastAsia"/>
                <w:sz w:val="21"/>
                <w:szCs w:val="21"/>
                <w:highlight w:val="none"/>
                <w:lang w:val="zh-CN"/>
              </w:rPr>
            </w:pPr>
            <w:r>
              <w:rPr>
                <w:rFonts w:hint="eastAsia"/>
                <w:sz w:val="21"/>
                <w:szCs w:val="21"/>
                <w:highlight w:val="none"/>
                <w:lang w:val="zh-CN"/>
              </w:rPr>
              <w:t>在柜体安放处配置消防设施，</w:t>
            </w:r>
            <w:r>
              <w:rPr>
                <w:rFonts w:hint="eastAsia"/>
                <w:sz w:val="21"/>
                <w:szCs w:val="21"/>
                <w:highlight w:val="none"/>
              </w:rPr>
              <w:t>保障消防安全</w:t>
            </w:r>
            <w:r>
              <w:rPr>
                <w:rFonts w:hint="eastAsia"/>
                <w:sz w:val="21"/>
                <w:szCs w:val="21"/>
                <w:highlight w:val="none"/>
                <w:lang w:val="zh-CN"/>
              </w:rPr>
              <w:t>。</w:t>
            </w:r>
          </w:p>
          <w:p w14:paraId="12EF0925">
            <w:pPr>
              <w:pStyle w:val="5"/>
              <w:widowControl/>
              <w:numPr>
                <w:ilvl w:val="0"/>
                <w:numId w:val="0"/>
              </w:numPr>
              <w:rPr>
                <w:rFonts w:hint="eastAsia"/>
                <w:sz w:val="21"/>
                <w:szCs w:val="21"/>
                <w:highlight w:val="none"/>
              </w:rPr>
            </w:pPr>
            <w:r>
              <w:rPr>
                <w:rFonts w:hint="eastAsia"/>
                <w:sz w:val="21"/>
                <w:szCs w:val="21"/>
                <w:highlight w:val="none"/>
                <w:lang w:val="zh-CN"/>
              </w:rPr>
              <w:t>严格做好所有数据存放安全，因配送系统涉及师生信息、相关财务信息未经许可不得泄露，并与学校签署保密协议。</w:t>
            </w:r>
          </w:p>
        </w:tc>
        <w:tc>
          <w:tcPr>
            <w:tcW w:w="1087" w:type="dxa"/>
            <w:vAlign w:val="center"/>
          </w:tcPr>
          <w:p w14:paraId="6EDDD50C">
            <w:pPr>
              <w:adjustRightInd w:val="0"/>
              <w:jc w:val="center"/>
              <w:rPr>
                <w:rFonts w:ascii="宋体" w:hAnsi="宋体" w:cs="宋体"/>
                <w:sz w:val="21"/>
                <w:szCs w:val="21"/>
                <w:highlight w:val="none"/>
                <w:lang w:val="zh-CN"/>
              </w:rPr>
            </w:pPr>
          </w:p>
        </w:tc>
      </w:tr>
    </w:tbl>
    <w:p w14:paraId="0E6C961A">
      <w:pPr>
        <w:adjustRightInd w:val="0"/>
        <w:spacing w:line="360" w:lineRule="auto"/>
        <w:jc w:val="left"/>
        <w:rPr>
          <w:rFonts w:ascii="宋体" w:hAnsi="宋体" w:cs="宋体"/>
          <w:szCs w:val="21"/>
          <w:highlight w:val="none"/>
          <w:lang w:val="zh-CN"/>
        </w:rPr>
      </w:pPr>
    </w:p>
    <w:p w14:paraId="1D22FBA8">
      <w:pPr>
        <w:adjustRightInd w:val="0"/>
        <w:spacing w:line="360" w:lineRule="auto"/>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13A314F7">
      <w:pPr>
        <w:pStyle w:val="5"/>
        <w:widowControl/>
        <w:ind w:firstLine="480"/>
        <w:rPr>
          <w:highlight w:val="none"/>
        </w:rPr>
      </w:pPr>
      <w:r>
        <w:rPr>
          <w:highlight w:val="none"/>
        </w:rPr>
        <w:t>说明：</w:t>
      </w:r>
    </w:p>
    <w:p w14:paraId="726807A4">
      <w:pPr>
        <w:pStyle w:val="5"/>
        <w:widowControl/>
        <w:numPr>
          <w:ilvl w:val="0"/>
          <w:numId w:val="69"/>
        </w:numPr>
        <w:ind w:firstLineChars="0"/>
        <w:rPr>
          <w:highlight w:val="none"/>
        </w:rPr>
      </w:pPr>
      <w:r>
        <w:rPr>
          <w:highlight w:val="none"/>
        </w:rPr>
        <w:t>如果行数不够，请自行增加；</w:t>
      </w:r>
    </w:p>
    <w:p w14:paraId="1BFA1C76">
      <w:pPr>
        <w:pStyle w:val="5"/>
        <w:widowControl/>
        <w:numPr>
          <w:ilvl w:val="0"/>
          <w:numId w:val="69"/>
        </w:numPr>
        <w:ind w:firstLineChars="0"/>
        <w:rPr>
          <w:highlight w:val="none"/>
        </w:rPr>
      </w:pPr>
      <w:r>
        <w:rPr>
          <w:highlight w:val="none"/>
        </w:rPr>
        <w:t>无偏离指供应商的响应等于</w:t>
      </w:r>
      <w:r>
        <w:rPr>
          <w:rFonts w:hint="eastAsia"/>
          <w:highlight w:val="none"/>
        </w:rPr>
        <w:t>比选文件</w:t>
      </w:r>
      <w:r>
        <w:rPr>
          <w:highlight w:val="none"/>
        </w:rPr>
        <w:t>要求，正偏离指供应商的响应高于</w:t>
      </w:r>
      <w:r>
        <w:rPr>
          <w:rFonts w:hint="eastAsia"/>
          <w:highlight w:val="none"/>
        </w:rPr>
        <w:t>比选文件</w:t>
      </w:r>
      <w:r>
        <w:rPr>
          <w:highlight w:val="none"/>
        </w:rPr>
        <w:t>要求，负偏离指供应商的响应低于</w:t>
      </w:r>
      <w:r>
        <w:rPr>
          <w:rFonts w:hint="eastAsia"/>
          <w:highlight w:val="none"/>
        </w:rPr>
        <w:t>比选文件</w:t>
      </w:r>
      <w:r>
        <w:rPr>
          <w:highlight w:val="none"/>
        </w:rPr>
        <w:t>要求。</w:t>
      </w:r>
    </w:p>
    <w:p w14:paraId="65229456">
      <w:pPr>
        <w:rPr>
          <w:rFonts w:ascii="宋体" w:hAnsi="宋体"/>
          <w:b/>
          <w:highlight w:val="none"/>
        </w:rPr>
      </w:pPr>
      <w:r>
        <w:rPr>
          <w:rFonts w:hint="eastAsia" w:ascii="宋体" w:hAnsi="宋体"/>
          <w:b/>
          <w:highlight w:val="none"/>
        </w:rPr>
        <w:br w:type="page"/>
      </w:r>
    </w:p>
    <w:p w14:paraId="7AA18D4B">
      <w:pPr>
        <w:pStyle w:val="5"/>
        <w:ind w:firstLine="482"/>
        <w:rPr>
          <w:b/>
          <w:highlight w:val="none"/>
        </w:rPr>
      </w:pPr>
      <w:r>
        <w:rPr>
          <w:b/>
          <w:highlight w:val="none"/>
        </w:rPr>
        <w:t>目录</w:t>
      </w:r>
      <w:r>
        <w:rPr>
          <w:rFonts w:hint="eastAsia"/>
          <w:b/>
          <w:highlight w:val="none"/>
        </w:rPr>
        <w:t>七</w:t>
      </w:r>
      <w:r>
        <w:rPr>
          <w:b/>
          <w:highlight w:val="none"/>
        </w:rPr>
        <w:t>、服务方案或承诺</w:t>
      </w:r>
    </w:p>
    <w:p w14:paraId="22B65F39">
      <w:pPr>
        <w:spacing w:line="240" w:lineRule="atLeast"/>
        <w:rPr>
          <w:rFonts w:ascii="宋体" w:hAnsi="宋体"/>
          <w:b/>
          <w:highlight w:val="none"/>
        </w:rPr>
      </w:pPr>
    </w:p>
    <w:p w14:paraId="496FD39D">
      <w:pPr>
        <w:pStyle w:val="43"/>
        <w:rPr>
          <w:highlight w:val="none"/>
        </w:rPr>
      </w:pPr>
      <w:r>
        <w:rPr>
          <w:highlight w:val="none"/>
        </w:rPr>
        <w:t>服务方案或承诺</w:t>
      </w:r>
    </w:p>
    <w:p w14:paraId="621619EE">
      <w:pPr>
        <w:spacing w:line="240" w:lineRule="atLeast"/>
        <w:rPr>
          <w:rFonts w:ascii="宋体" w:hAnsi="宋体" w:cs="宋体"/>
          <w:sz w:val="36"/>
          <w:szCs w:val="36"/>
          <w:highlight w:val="none"/>
          <w:lang w:val="zh-CN"/>
        </w:rPr>
      </w:pPr>
    </w:p>
    <w:p w14:paraId="04EDAEE2">
      <w:pPr>
        <w:spacing w:line="240" w:lineRule="atLeast"/>
        <w:rPr>
          <w:rFonts w:ascii="宋体" w:hAnsi="宋体" w:cs="宋体"/>
          <w:sz w:val="36"/>
          <w:szCs w:val="36"/>
          <w:highlight w:val="none"/>
        </w:rPr>
      </w:pPr>
    </w:p>
    <w:p w14:paraId="2D5ACB66">
      <w:pPr>
        <w:pStyle w:val="46"/>
        <w:ind w:firstLine="720"/>
        <w:rPr>
          <w:rFonts w:cs="宋体"/>
          <w:sz w:val="36"/>
          <w:szCs w:val="36"/>
          <w:highlight w:val="none"/>
        </w:rPr>
      </w:pPr>
    </w:p>
    <w:p w14:paraId="0F39E3D8">
      <w:pPr>
        <w:rPr>
          <w:highlight w:val="none"/>
        </w:rPr>
      </w:pPr>
    </w:p>
    <w:p w14:paraId="3AE69C80">
      <w:pPr>
        <w:spacing w:line="240" w:lineRule="atLeast"/>
        <w:rPr>
          <w:rFonts w:ascii="宋体" w:hAnsi="宋体" w:cs="宋体"/>
          <w:sz w:val="36"/>
          <w:szCs w:val="36"/>
          <w:highlight w:val="none"/>
        </w:rPr>
      </w:pPr>
    </w:p>
    <w:p w14:paraId="3C0EBBD5">
      <w:pPr>
        <w:pStyle w:val="5"/>
        <w:widowControl/>
        <w:ind w:firstLine="482"/>
        <w:rPr>
          <w:b/>
          <w:highlight w:val="none"/>
        </w:rPr>
      </w:pPr>
      <w:r>
        <w:rPr>
          <w:b/>
          <w:highlight w:val="none"/>
        </w:rPr>
        <w:t>目录</w:t>
      </w:r>
      <w:r>
        <w:rPr>
          <w:rFonts w:hint="eastAsia"/>
          <w:b/>
          <w:highlight w:val="none"/>
        </w:rPr>
        <w:t>八</w:t>
      </w:r>
      <w:r>
        <w:rPr>
          <w:b/>
          <w:highlight w:val="none"/>
        </w:rPr>
        <w:t>、拟投入本项目人员一览表</w:t>
      </w:r>
    </w:p>
    <w:p w14:paraId="1C48B259">
      <w:pPr>
        <w:widowControl/>
        <w:adjustRightInd w:val="0"/>
        <w:spacing w:line="440" w:lineRule="exact"/>
        <w:rPr>
          <w:rFonts w:ascii="宋体" w:hAnsi="宋体"/>
          <w:b/>
          <w:bCs/>
          <w:sz w:val="24"/>
          <w:highlight w:val="none"/>
        </w:rPr>
      </w:pPr>
    </w:p>
    <w:p w14:paraId="2BEEBD40">
      <w:pPr>
        <w:pStyle w:val="226"/>
        <w:widowControl/>
        <w:outlineLvl w:val="9"/>
        <w:rPr>
          <w:highlight w:val="none"/>
        </w:rPr>
      </w:pPr>
      <w:bookmarkStart w:id="19" w:name="_Toc32681"/>
      <w:bookmarkStart w:id="20" w:name="_Toc14092"/>
      <w:r>
        <w:rPr>
          <w:highlight w:val="none"/>
        </w:rPr>
        <w:t>拟投入本项目人员一览表</w:t>
      </w:r>
      <w:bookmarkEnd w:id="19"/>
      <w:bookmarkEnd w:id="20"/>
    </w:p>
    <w:p w14:paraId="00DF0D95">
      <w:pPr>
        <w:widowControl/>
        <w:adjustRightInd w:val="0"/>
        <w:spacing w:line="440" w:lineRule="exact"/>
        <w:jc w:val="center"/>
        <w:rPr>
          <w:rFonts w:ascii="宋体" w:hAnsi="宋体"/>
          <w:b/>
          <w:bCs/>
          <w:szCs w:val="21"/>
          <w:highlight w:val="none"/>
        </w:rPr>
      </w:pPr>
    </w:p>
    <w:p w14:paraId="0818ABA1">
      <w:pPr>
        <w:widowControl/>
        <w:adjustRightInd w:val="0"/>
        <w:spacing w:line="440" w:lineRule="exact"/>
        <w:rPr>
          <w:rFonts w:ascii="宋体" w:hAnsi="宋体"/>
          <w:szCs w:val="21"/>
          <w:highlight w:val="none"/>
        </w:rPr>
      </w:pPr>
      <w:r>
        <w:rPr>
          <w:rFonts w:hint="eastAsia" w:ascii="宋体" w:hAnsi="宋体"/>
          <w:szCs w:val="21"/>
          <w:highlight w:val="none"/>
        </w:rPr>
        <w:t>项目名称：                                 项目编号：</w:t>
      </w:r>
    </w:p>
    <w:tbl>
      <w:tblPr>
        <w:tblStyle w:val="47"/>
        <w:tblW w:w="0" w:type="auto"/>
        <w:jc w:val="center"/>
        <w:tblLayout w:type="fixed"/>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E059D9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57CF032">
            <w:pPr>
              <w:widowControl/>
              <w:adjustRightInd w:val="0"/>
              <w:jc w:val="center"/>
              <w:rPr>
                <w:rFonts w:ascii="宋体" w:hAnsi="宋体" w:cs="宋体"/>
                <w:szCs w:val="21"/>
                <w:highlight w:val="none"/>
              </w:rPr>
            </w:pPr>
            <w:r>
              <w:rPr>
                <w:rFonts w:hint="eastAsia" w:ascii="宋体" w:hAnsi="宋体" w:cs="宋体"/>
                <w:szCs w:val="21"/>
                <w:highlight w:val="none"/>
              </w:rPr>
              <w:t>序号</w:t>
            </w:r>
          </w:p>
        </w:tc>
        <w:tc>
          <w:tcPr>
            <w:tcW w:w="1026" w:type="dxa"/>
            <w:tcBorders>
              <w:top w:val="single" w:color="000000" w:sz="4" w:space="0"/>
              <w:left w:val="nil"/>
              <w:bottom w:val="single" w:color="000000" w:sz="4" w:space="0"/>
              <w:right w:val="single" w:color="000000" w:sz="4" w:space="0"/>
            </w:tcBorders>
            <w:vAlign w:val="center"/>
          </w:tcPr>
          <w:p w14:paraId="15176FB1">
            <w:pPr>
              <w:widowControl/>
              <w:adjustRightInd w:val="0"/>
              <w:jc w:val="center"/>
              <w:rPr>
                <w:rFonts w:ascii="宋体" w:hAnsi="宋体" w:cs="宋体"/>
                <w:szCs w:val="21"/>
                <w:highlight w:val="none"/>
              </w:rPr>
            </w:pPr>
            <w:r>
              <w:rPr>
                <w:rFonts w:hint="eastAsia" w:ascii="宋体" w:hAnsi="宋体" w:cs="宋体"/>
                <w:szCs w:val="21"/>
                <w:highlight w:val="none"/>
              </w:rPr>
              <w:t>姓名</w:t>
            </w:r>
          </w:p>
        </w:tc>
        <w:tc>
          <w:tcPr>
            <w:tcW w:w="755" w:type="dxa"/>
            <w:tcBorders>
              <w:top w:val="single" w:color="000000" w:sz="4" w:space="0"/>
              <w:left w:val="nil"/>
              <w:bottom w:val="single" w:color="000000" w:sz="4" w:space="0"/>
              <w:right w:val="single" w:color="000000" w:sz="4" w:space="0"/>
            </w:tcBorders>
            <w:vAlign w:val="center"/>
          </w:tcPr>
          <w:p w14:paraId="3F249A0A">
            <w:pPr>
              <w:widowControl/>
              <w:adjustRightInd w:val="0"/>
              <w:jc w:val="center"/>
              <w:rPr>
                <w:rFonts w:ascii="宋体" w:hAnsi="宋体" w:cs="宋体"/>
                <w:szCs w:val="21"/>
                <w:highlight w:val="none"/>
              </w:rPr>
            </w:pPr>
            <w:r>
              <w:rPr>
                <w:rFonts w:hint="eastAsia" w:ascii="宋体" w:hAnsi="宋体" w:cs="宋体"/>
                <w:szCs w:val="21"/>
                <w:highlight w:val="none"/>
              </w:rPr>
              <w:t>性别</w:t>
            </w:r>
          </w:p>
        </w:tc>
        <w:tc>
          <w:tcPr>
            <w:tcW w:w="809" w:type="dxa"/>
            <w:tcBorders>
              <w:top w:val="single" w:color="000000" w:sz="4" w:space="0"/>
              <w:left w:val="nil"/>
              <w:bottom w:val="single" w:color="000000" w:sz="4" w:space="0"/>
              <w:right w:val="single" w:color="000000" w:sz="4" w:space="0"/>
            </w:tcBorders>
            <w:vAlign w:val="center"/>
          </w:tcPr>
          <w:p w14:paraId="7A364912">
            <w:pPr>
              <w:widowControl/>
              <w:adjustRightInd w:val="0"/>
              <w:jc w:val="center"/>
              <w:rPr>
                <w:rFonts w:ascii="宋体" w:hAnsi="宋体" w:cs="宋体"/>
                <w:szCs w:val="21"/>
                <w:highlight w:val="none"/>
              </w:rPr>
            </w:pPr>
            <w:r>
              <w:rPr>
                <w:rFonts w:hint="eastAsia" w:ascii="宋体" w:hAnsi="宋体" w:cs="宋体"/>
                <w:szCs w:val="21"/>
                <w:highlight w:val="none"/>
              </w:rPr>
              <w:t>年龄</w:t>
            </w:r>
          </w:p>
        </w:tc>
        <w:tc>
          <w:tcPr>
            <w:tcW w:w="1299" w:type="dxa"/>
            <w:tcBorders>
              <w:top w:val="single" w:color="000000" w:sz="4" w:space="0"/>
              <w:left w:val="nil"/>
              <w:bottom w:val="single" w:color="000000" w:sz="4" w:space="0"/>
              <w:right w:val="single" w:color="000000" w:sz="4" w:space="0"/>
            </w:tcBorders>
            <w:vAlign w:val="center"/>
          </w:tcPr>
          <w:p w14:paraId="0F9E36C5">
            <w:pPr>
              <w:widowControl/>
              <w:adjustRightInd w:val="0"/>
              <w:jc w:val="center"/>
              <w:rPr>
                <w:rFonts w:ascii="宋体" w:hAnsi="宋体" w:cs="宋体"/>
                <w:szCs w:val="21"/>
                <w:highlight w:val="none"/>
              </w:rPr>
            </w:pPr>
            <w:r>
              <w:rPr>
                <w:rFonts w:hint="eastAsia" w:ascii="宋体" w:hAnsi="宋体" w:cs="宋体"/>
                <w:szCs w:val="21"/>
                <w:highlight w:val="none"/>
              </w:rPr>
              <w:t>专业</w:t>
            </w:r>
          </w:p>
        </w:tc>
        <w:tc>
          <w:tcPr>
            <w:tcW w:w="1063" w:type="dxa"/>
            <w:tcBorders>
              <w:top w:val="single" w:color="000000" w:sz="4" w:space="0"/>
              <w:left w:val="nil"/>
              <w:bottom w:val="single" w:color="000000" w:sz="4" w:space="0"/>
              <w:right w:val="single" w:color="000000" w:sz="4" w:space="0"/>
            </w:tcBorders>
            <w:vAlign w:val="center"/>
          </w:tcPr>
          <w:p w14:paraId="43A7E787">
            <w:pPr>
              <w:widowControl/>
              <w:adjustRightInd w:val="0"/>
              <w:jc w:val="center"/>
              <w:rPr>
                <w:rFonts w:ascii="宋体" w:hAnsi="宋体" w:cs="宋体"/>
                <w:szCs w:val="21"/>
                <w:highlight w:val="none"/>
              </w:rPr>
            </w:pPr>
            <w:r>
              <w:rPr>
                <w:rFonts w:hint="eastAsia" w:ascii="宋体" w:hAnsi="宋体" w:cs="宋体"/>
                <w:szCs w:val="21"/>
                <w:highlight w:val="none"/>
              </w:rPr>
              <w:t>学历</w:t>
            </w:r>
          </w:p>
        </w:tc>
        <w:tc>
          <w:tcPr>
            <w:tcW w:w="1168" w:type="dxa"/>
            <w:tcBorders>
              <w:top w:val="single" w:color="000000" w:sz="4" w:space="0"/>
              <w:left w:val="nil"/>
              <w:bottom w:val="single" w:color="000000" w:sz="4" w:space="0"/>
              <w:right w:val="single" w:color="000000" w:sz="4" w:space="0"/>
            </w:tcBorders>
            <w:vAlign w:val="center"/>
          </w:tcPr>
          <w:p w14:paraId="1B69F638">
            <w:pPr>
              <w:widowControl/>
              <w:adjustRightInd w:val="0"/>
              <w:jc w:val="center"/>
              <w:rPr>
                <w:rFonts w:ascii="宋体" w:hAnsi="宋体" w:cs="宋体"/>
                <w:szCs w:val="21"/>
                <w:highlight w:val="none"/>
              </w:rPr>
            </w:pPr>
            <w:r>
              <w:rPr>
                <w:rFonts w:hint="eastAsia" w:ascii="宋体" w:hAnsi="宋体" w:cs="宋体"/>
                <w:szCs w:val="21"/>
                <w:highlight w:val="none"/>
              </w:rPr>
              <w:t>执业资格/相关证书</w:t>
            </w:r>
          </w:p>
        </w:tc>
        <w:tc>
          <w:tcPr>
            <w:tcW w:w="1007" w:type="dxa"/>
            <w:tcBorders>
              <w:top w:val="single" w:color="000000" w:sz="4" w:space="0"/>
              <w:left w:val="nil"/>
              <w:bottom w:val="single" w:color="000000" w:sz="4" w:space="0"/>
              <w:right w:val="single" w:color="000000" w:sz="4" w:space="0"/>
            </w:tcBorders>
            <w:vAlign w:val="center"/>
          </w:tcPr>
          <w:p w14:paraId="4B178375">
            <w:pPr>
              <w:widowControl/>
              <w:adjustRightInd w:val="0"/>
              <w:jc w:val="center"/>
              <w:rPr>
                <w:rFonts w:ascii="宋体" w:hAnsi="宋体" w:cs="宋体"/>
                <w:szCs w:val="21"/>
                <w:highlight w:val="none"/>
              </w:rPr>
            </w:pPr>
            <w:r>
              <w:rPr>
                <w:rFonts w:hint="eastAsia" w:ascii="宋体" w:hAnsi="宋体" w:cs="宋体"/>
                <w:szCs w:val="21"/>
                <w:highlight w:val="none"/>
              </w:rPr>
              <w:t>技术职称</w:t>
            </w:r>
          </w:p>
        </w:tc>
        <w:tc>
          <w:tcPr>
            <w:tcW w:w="970" w:type="dxa"/>
            <w:tcBorders>
              <w:top w:val="single" w:color="000000" w:sz="4" w:space="0"/>
              <w:left w:val="nil"/>
              <w:bottom w:val="single" w:color="000000" w:sz="4" w:space="0"/>
              <w:right w:val="single" w:color="000000" w:sz="4" w:space="0"/>
            </w:tcBorders>
            <w:vAlign w:val="center"/>
          </w:tcPr>
          <w:p w14:paraId="601AF36C">
            <w:pPr>
              <w:widowControl/>
              <w:adjustRightInd w:val="0"/>
              <w:jc w:val="center"/>
              <w:rPr>
                <w:rFonts w:ascii="宋体" w:hAnsi="宋体" w:cs="宋体"/>
                <w:szCs w:val="21"/>
                <w:highlight w:val="none"/>
              </w:rPr>
            </w:pPr>
            <w:r>
              <w:rPr>
                <w:rFonts w:hint="eastAsia" w:ascii="宋体" w:hAnsi="宋体" w:cs="宋体"/>
                <w:szCs w:val="21"/>
                <w:highlight w:val="none"/>
              </w:rPr>
              <w:t>工作经历</w:t>
            </w:r>
          </w:p>
        </w:tc>
        <w:tc>
          <w:tcPr>
            <w:tcW w:w="973" w:type="dxa"/>
            <w:tcBorders>
              <w:top w:val="single" w:color="000000" w:sz="4" w:space="0"/>
              <w:left w:val="nil"/>
              <w:bottom w:val="single" w:color="000000" w:sz="4" w:space="0"/>
              <w:right w:val="single" w:color="000000" w:sz="4" w:space="0"/>
            </w:tcBorders>
            <w:vAlign w:val="center"/>
          </w:tcPr>
          <w:p w14:paraId="04F960DC">
            <w:pPr>
              <w:widowControl/>
              <w:adjustRightInd w:val="0"/>
              <w:jc w:val="center"/>
              <w:rPr>
                <w:rFonts w:ascii="宋体" w:hAnsi="宋体" w:cs="宋体"/>
                <w:szCs w:val="21"/>
                <w:highlight w:val="none"/>
              </w:rPr>
            </w:pPr>
            <w:r>
              <w:rPr>
                <w:rFonts w:hint="eastAsia" w:ascii="宋体" w:hAnsi="宋体" w:cs="宋体"/>
                <w:szCs w:val="21"/>
                <w:highlight w:val="none"/>
              </w:rPr>
              <w:t>备注</w:t>
            </w:r>
          </w:p>
        </w:tc>
      </w:tr>
      <w:tr w14:paraId="5202E7A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687C1A4C">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7C09D176">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1FB5A5BD">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16A3FF88">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2C8EBCE7">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7AF1C21B">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27B07DFF">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38DE609A">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462CB9EE">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3CE5ABF7">
            <w:pPr>
              <w:widowControl/>
              <w:adjustRightInd w:val="0"/>
              <w:rPr>
                <w:rFonts w:ascii="宋体" w:hAnsi="宋体" w:cs="宋体"/>
                <w:szCs w:val="21"/>
                <w:highlight w:val="none"/>
              </w:rPr>
            </w:pPr>
          </w:p>
        </w:tc>
      </w:tr>
      <w:tr w14:paraId="76EC8ACD">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47E42CB">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0AD53E04">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31B8D1E2">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1A5887F2">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1641545">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0790E76A">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5D0A7DD6">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768A5AA6">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34C47F54">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71557814">
            <w:pPr>
              <w:widowControl/>
              <w:adjustRightInd w:val="0"/>
              <w:rPr>
                <w:rFonts w:ascii="宋体" w:hAnsi="宋体" w:cs="宋体"/>
                <w:szCs w:val="21"/>
                <w:highlight w:val="none"/>
              </w:rPr>
            </w:pPr>
          </w:p>
        </w:tc>
      </w:tr>
      <w:tr w14:paraId="1E4D4249">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6B95DE45">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6F7CEA62">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2638B268">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6820FC8C">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4856C9C">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1DA49024">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4D3A6508">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5442C756">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20E60982">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34077CD8">
            <w:pPr>
              <w:widowControl/>
              <w:adjustRightInd w:val="0"/>
              <w:rPr>
                <w:rFonts w:ascii="宋体" w:hAnsi="宋体" w:cs="宋体"/>
                <w:szCs w:val="21"/>
                <w:highlight w:val="none"/>
              </w:rPr>
            </w:pPr>
          </w:p>
        </w:tc>
      </w:tr>
      <w:tr w14:paraId="6A8C3A31">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4F4BFDE">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0C7156DB">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731DD3AA">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5A4E253B">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02F727AC">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5EB99FCA">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233EBF8">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6CF03C91">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57507EB6">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4619E5A8">
            <w:pPr>
              <w:widowControl/>
              <w:adjustRightInd w:val="0"/>
              <w:rPr>
                <w:rFonts w:ascii="宋体" w:hAnsi="宋体" w:cs="宋体"/>
                <w:szCs w:val="21"/>
                <w:highlight w:val="none"/>
              </w:rPr>
            </w:pPr>
          </w:p>
        </w:tc>
      </w:tr>
      <w:tr w14:paraId="7C491C6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20A153AD">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6813E092">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5D9B413D">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2822B932">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7278C8D">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2347F1D0">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A148451">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2024E368">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4234C74D">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7DCEA97D">
            <w:pPr>
              <w:widowControl/>
              <w:adjustRightInd w:val="0"/>
              <w:rPr>
                <w:rFonts w:ascii="宋体" w:hAnsi="宋体" w:cs="宋体"/>
                <w:szCs w:val="21"/>
                <w:highlight w:val="none"/>
              </w:rPr>
            </w:pPr>
          </w:p>
        </w:tc>
      </w:tr>
      <w:tr w14:paraId="072FBCC3">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BD40007">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F11C737">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58144512">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1CAAB74E">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C46F729">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2984D935">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688D7CA6">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16F3E791">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26075170">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01CBEC2A">
            <w:pPr>
              <w:widowControl/>
              <w:adjustRightInd w:val="0"/>
              <w:rPr>
                <w:rFonts w:ascii="宋体" w:hAnsi="宋体" w:cs="宋体"/>
                <w:szCs w:val="21"/>
                <w:highlight w:val="none"/>
              </w:rPr>
            </w:pPr>
          </w:p>
        </w:tc>
      </w:tr>
      <w:tr w14:paraId="459F3E4E">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D692C7B">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56DC3886">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59715308">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6B8B3863">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6FF300A">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16E2D610">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73AE2E8">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491F8F82">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5AD15507">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2BB7CF7A">
            <w:pPr>
              <w:widowControl/>
              <w:adjustRightInd w:val="0"/>
              <w:rPr>
                <w:rFonts w:ascii="宋体" w:hAnsi="宋体" w:cs="宋体"/>
                <w:szCs w:val="21"/>
                <w:highlight w:val="none"/>
              </w:rPr>
            </w:pPr>
          </w:p>
        </w:tc>
      </w:tr>
      <w:tr w14:paraId="32964F4B">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09261F04">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1680866A">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5BB15F8E">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3EABBCA1">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D70317F">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3427BA24">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731CCB38">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32AD22DF">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371FA4D9">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5403D885">
            <w:pPr>
              <w:widowControl/>
              <w:adjustRightInd w:val="0"/>
              <w:rPr>
                <w:rFonts w:ascii="宋体" w:hAnsi="宋体" w:cs="宋体"/>
                <w:szCs w:val="21"/>
                <w:highlight w:val="none"/>
              </w:rPr>
            </w:pPr>
          </w:p>
        </w:tc>
      </w:tr>
    </w:tbl>
    <w:p w14:paraId="4B6CB614">
      <w:pPr>
        <w:widowControl/>
        <w:adjustRightInd w:val="0"/>
        <w:spacing w:line="440" w:lineRule="exact"/>
        <w:rPr>
          <w:rFonts w:ascii="Times New Roman" w:hAnsi="Times New Roman"/>
          <w:sz w:val="24"/>
          <w:szCs w:val="21"/>
          <w:highlight w:val="none"/>
        </w:rPr>
      </w:pPr>
      <w:r>
        <w:rPr>
          <w:rFonts w:hint="eastAsia" w:ascii="Times New Roman" w:hAnsi="Times New Roman"/>
          <w:sz w:val="24"/>
          <w:szCs w:val="21"/>
          <w:highlight w:val="none"/>
        </w:rPr>
        <w:t>供应商名称：</w:t>
      </w:r>
      <w:r>
        <w:rPr>
          <w:rFonts w:hint="eastAsia" w:ascii="Times New Roman" w:hAnsi="Times New Roman"/>
          <w:sz w:val="24"/>
          <w:szCs w:val="21"/>
          <w:highlight w:val="none"/>
          <w:u w:val="single"/>
        </w:rPr>
        <w:t>                  </w:t>
      </w:r>
      <w:r>
        <w:rPr>
          <w:rFonts w:hint="eastAsia" w:ascii="Times New Roman" w:hAnsi="Times New Roman"/>
          <w:sz w:val="24"/>
          <w:szCs w:val="21"/>
          <w:highlight w:val="none"/>
        </w:rPr>
        <w:t>（公章）</w:t>
      </w:r>
    </w:p>
    <w:p w14:paraId="24920232">
      <w:pPr>
        <w:pStyle w:val="25"/>
        <w:rPr>
          <w:szCs w:val="21"/>
          <w:highlight w:val="none"/>
        </w:rPr>
      </w:pPr>
    </w:p>
    <w:p w14:paraId="106B0558">
      <w:pPr>
        <w:pStyle w:val="5"/>
        <w:widowControl/>
        <w:ind w:firstLine="482"/>
        <w:rPr>
          <w:b/>
          <w:highlight w:val="none"/>
        </w:rPr>
      </w:pPr>
      <w:r>
        <w:rPr>
          <w:b/>
          <w:highlight w:val="none"/>
        </w:rPr>
        <w:t>说明：如果行数不够，请自行增加。</w:t>
      </w:r>
    </w:p>
    <w:p w14:paraId="74B8B7E3">
      <w:pPr>
        <w:spacing w:line="240" w:lineRule="atLeast"/>
        <w:rPr>
          <w:rFonts w:ascii="宋体" w:hAnsi="宋体"/>
          <w:b/>
          <w:highlight w:val="none"/>
        </w:rPr>
      </w:pPr>
    </w:p>
    <w:p w14:paraId="6D738522">
      <w:pPr>
        <w:rPr>
          <w:rFonts w:ascii="宋体" w:hAnsi="宋体"/>
          <w:b/>
          <w:highlight w:val="none"/>
        </w:rPr>
      </w:pPr>
      <w:r>
        <w:rPr>
          <w:rFonts w:hint="eastAsia" w:ascii="宋体" w:hAnsi="宋体"/>
          <w:b/>
          <w:highlight w:val="none"/>
        </w:rPr>
        <w:br w:type="page"/>
      </w:r>
    </w:p>
    <w:p w14:paraId="03C76B5B">
      <w:pPr>
        <w:pStyle w:val="268"/>
        <w:rPr>
          <w:highlight w:val="none"/>
        </w:rPr>
      </w:pPr>
      <w:r>
        <w:rPr>
          <w:highlight w:val="none"/>
        </w:rPr>
        <w:t>目录</w:t>
      </w:r>
      <w:r>
        <w:rPr>
          <w:rFonts w:hint="eastAsia"/>
          <w:highlight w:val="none"/>
        </w:rPr>
        <w:t>九</w:t>
      </w:r>
      <w:r>
        <w:rPr>
          <w:highlight w:val="none"/>
        </w:rPr>
        <w:t>、响应需要的其他证明文件及材料</w:t>
      </w:r>
    </w:p>
    <w:p w14:paraId="146E3B3B">
      <w:pPr>
        <w:spacing w:line="240" w:lineRule="atLeast"/>
        <w:rPr>
          <w:rFonts w:ascii="宋体" w:hAnsi="宋体"/>
          <w:b/>
          <w:highlight w:val="none"/>
        </w:rPr>
      </w:pPr>
    </w:p>
    <w:p w14:paraId="63E3109C">
      <w:pPr>
        <w:spacing w:line="240" w:lineRule="atLeast"/>
        <w:rPr>
          <w:rFonts w:ascii="宋体" w:hAnsi="宋体"/>
          <w:b/>
          <w:highlight w:val="none"/>
        </w:rPr>
      </w:pPr>
    </w:p>
    <w:p w14:paraId="19012A22">
      <w:pPr>
        <w:pStyle w:val="236"/>
        <w:rPr>
          <w:highlight w:val="none"/>
        </w:rPr>
      </w:pPr>
      <w:r>
        <w:rPr>
          <w:highlight w:val="none"/>
        </w:rPr>
        <w:t>响应需要的其他证明文件及材料（若有）</w:t>
      </w:r>
    </w:p>
    <w:p w14:paraId="5CBA1EAF">
      <w:pPr>
        <w:rPr>
          <w:rFonts w:ascii="宋体" w:hAnsi="宋体"/>
          <w:b/>
          <w:highlight w:val="none"/>
        </w:rPr>
      </w:pPr>
      <w:r>
        <w:rPr>
          <w:rFonts w:hint="eastAsia" w:ascii="宋体" w:hAnsi="宋体"/>
          <w:b/>
          <w:highlight w:val="none"/>
        </w:rPr>
        <w:br w:type="page"/>
      </w:r>
    </w:p>
    <w:p w14:paraId="6B381296">
      <w:pPr>
        <w:pStyle w:val="205"/>
        <w:rPr>
          <w:highlight w:val="none"/>
        </w:rPr>
      </w:pPr>
      <w:r>
        <w:rPr>
          <w:highlight w:val="none"/>
        </w:rPr>
        <w:t>附件一、无重大违法记录声明格式</w:t>
      </w:r>
    </w:p>
    <w:p w14:paraId="612DFDB9">
      <w:pPr>
        <w:adjustRightInd w:val="0"/>
        <w:spacing w:line="240" w:lineRule="atLeast"/>
        <w:rPr>
          <w:rFonts w:ascii="宋体" w:hAnsi="宋体"/>
          <w:b/>
          <w:highlight w:val="none"/>
        </w:rPr>
      </w:pPr>
    </w:p>
    <w:p w14:paraId="3C6B9E83">
      <w:pPr>
        <w:pStyle w:val="236"/>
        <w:rPr>
          <w:highlight w:val="none"/>
        </w:rPr>
      </w:pPr>
      <w:r>
        <w:rPr>
          <w:highlight w:val="none"/>
        </w:rPr>
        <w:t>无重大违法记录声明</w:t>
      </w:r>
    </w:p>
    <w:p w14:paraId="07ACEE8C">
      <w:pPr>
        <w:spacing w:line="360" w:lineRule="auto"/>
        <w:rPr>
          <w:rFonts w:ascii="宋体" w:hAnsi="宋体"/>
          <w:highlight w:val="none"/>
        </w:rPr>
      </w:pPr>
    </w:p>
    <w:p w14:paraId="10481401">
      <w:pPr>
        <w:pStyle w:val="5"/>
        <w:ind w:firstLine="0" w:firstLineChars="0"/>
        <w:rPr>
          <w:highlight w:val="none"/>
        </w:rPr>
      </w:pPr>
      <w:r>
        <w:rPr>
          <w:highlight w:val="none"/>
        </w:rPr>
        <w:t>致：（</w:t>
      </w:r>
      <w:r>
        <w:rPr>
          <w:rFonts w:hint="eastAsia"/>
          <w:highlight w:val="none"/>
        </w:rPr>
        <w:t>比选人</w:t>
      </w:r>
      <w:r>
        <w:rPr>
          <w:highlight w:val="none"/>
        </w:rPr>
        <w:t>）</w:t>
      </w:r>
    </w:p>
    <w:p w14:paraId="3834251C">
      <w:pPr>
        <w:pStyle w:val="5"/>
        <w:ind w:firstLine="480"/>
        <w:rPr>
          <w:highlight w:val="none"/>
        </w:rPr>
      </w:pPr>
      <w:r>
        <w:rPr>
          <w:highlight w:val="none"/>
        </w:rPr>
        <w:t>我单位（供应商名称）郑重声明：</w:t>
      </w:r>
    </w:p>
    <w:p w14:paraId="4380663C">
      <w:pPr>
        <w:pStyle w:val="5"/>
        <w:ind w:firstLine="480"/>
        <w:rPr>
          <w:highlight w:val="none"/>
        </w:rPr>
      </w:pPr>
      <w:r>
        <w:rPr>
          <w:highlight w:val="none"/>
        </w:rPr>
        <w:t>参加</w:t>
      </w:r>
      <w:r>
        <w:rPr>
          <w:rFonts w:hint="eastAsia"/>
          <w:highlight w:val="none"/>
        </w:rPr>
        <w:t>比选</w:t>
      </w:r>
      <w:r>
        <w:rPr>
          <w:highlight w:val="none"/>
        </w:rPr>
        <w:t>前3年内在经营活动中</w:t>
      </w:r>
      <w:r>
        <w:rPr>
          <w:highlight w:val="none"/>
          <w:u w:val="single"/>
        </w:rPr>
        <w:t xml:space="preserve">     </w:t>
      </w:r>
      <w:r>
        <w:rPr>
          <w:rFonts w:hint="eastAsia"/>
          <w:highlight w:val="none"/>
          <w:u w:val="single"/>
        </w:rPr>
        <w:t>没有</w:t>
      </w:r>
      <w:r>
        <w:rPr>
          <w:highlight w:val="none"/>
          <w:u w:val="single"/>
        </w:rPr>
        <w:t xml:space="preserve">     </w:t>
      </w:r>
      <w:r>
        <w:rPr>
          <w:highlight w:val="none"/>
        </w:rPr>
        <w:t>（在下划线上如实填写：有或没有）重大违法记录。</w:t>
      </w:r>
    </w:p>
    <w:p w14:paraId="2FDED514">
      <w:pPr>
        <w:pStyle w:val="5"/>
        <w:ind w:firstLine="480"/>
        <w:rPr>
          <w:highlight w:val="none"/>
        </w:rPr>
      </w:pPr>
      <w:r>
        <w:rPr>
          <w:highlight w:val="none"/>
        </w:rPr>
        <w:t>（说明：所称重大违法记录，是指供应商因违法经营受到刑事处罚或者责令停产停业、吊销许可证或者执照、较大数额罚款等行政处罚。）</w:t>
      </w:r>
    </w:p>
    <w:p w14:paraId="12A12C79">
      <w:pPr>
        <w:spacing w:line="360" w:lineRule="auto"/>
        <w:rPr>
          <w:rFonts w:ascii="宋体" w:hAnsi="宋体" w:cs="宋体"/>
          <w:sz w:val="24"/>
          <w:szCs w:val="24"/>
          <w:highlight w:val="none"/>
        </w:rPr>
      </w:pPr>
    </w:p>
    <w:p w14:paraId="4C33C704">
      <w:pPr>
        <w:spacing w:line="360" w:lineRule="auto"/>
        <w:rPr>
          <w:rFonts w:ascii="宋体" w:hAnsi="宋体" w:cs="宋体"/>
          <w:sz w:val="24"/>
          <w:szCs w:val="24"/>
          <w:highlight w:val="none"/>
        </w:rPr>
      </w:pPr>
    </w:p>
    <w:p w14:paraId="7966D2F8">
      <w:pPr>
        <w:spacing w:line="360" w:lineRule="auto"/>
        <w:ind w:firstLine="6000" w:firstLineChars="2500"/>
        <w:rPr>
          <w:rFonts w:ascii="Times New Roman" w:hAnsi="Times New Roman"/>
          <w:sz w:val="24"/>
          <w:szCs w:val="24"/>
          <w:highlight w:val="none"/>
        </w:rPr>
      </w:pPr>
      <w:r>
        <w:rPr>
          <w:rFonts w:hint="eastAsia" w:ascii="Times New Roman" w:hAnsi="Times New Roman"/>
          <w:sz w:val="24"/>
          <w:szCs w:val="24"/>
          <w:highlight w:val="none"/>
        </w:rPr>
        <w:t>声明人（公章）：</w:t>
      </w:r>
    </w:p>
    <w:p w14:paraId="78B87139">
      <w:pPr>
        <w:spacing w:line="360" w:lineRule="auto"/>
        <w:ind w:firstLine="6000" w:firstLineChars="2500"/>
        <w:rPr>
          <w:rFonts w:ascii="Times New Roman" w:hAnsi="Times New Roman"/>
          <w:sz w:val="24"/>
          <w:szCs w:val="24"/>
          <w:highlight w:val="none"/>
        </w:rPr>
      </w:pPr>
      <w:r>
        <w:rPr>
          <w:rFonts w:hint="eastAsia" w:ascii="Times New Roman" w:hAnsi="Times New Roman"/>
          <w:sz w:val="24"/>
          <w:szCs w:val="24"/>
          <w:highlight w:val="none"/>
        </w:rPr>
        <w:t>日期：年月日</w:t>
      </w:r>
    </w:p>
    <w:p w14:paraId="56DC7EBB">
      <w:pPr>
        <w:pStyle w:val="46"/>
        <w:ind w:left="0" w:leftChars="0" w:firstLine="0" w:firstLineChars="0"/>
        <w:rPr>
          <w:highlight w:val="none"/>
        </w:rPr>
      </w:pPr>
    </w:p>
    <w:p w14:paraId="63F6C2D8">
      <w:pPr>
        <w:rPr>
          <w:highlight w:val="none"/>
        </w:rPr>
      </w:pPr>
    </w:p>
    <w:p w14:paraId="0C9DBC6D">
      <w:pPr>
        <w:spacing w:line="360" w:lineRule="auto"/>
        <w:rPr>
          <w:rFonts w:ascii="宋体" w:hAnsi="宋体"/>
          <w:b/>
          <w:highlight w:val="none"/>
        </w:rPr>
      </w:pPr>
    </w:p>
    <w:p w14:paraId="1A5260EA">
      <w:pPr>
        <w:pStyle w:val="205"/>
        <w:rPr>
          <w:highlight w:val="none"/>
        </w:rPr>
      </w:pPr>
      <w:r>
        <w:rPr>
          <w:highlight w:val="none"/>
        </w:rPr>
        <w:t>附件二、具备履行合同所必需的设备和专业技术能力的声明格式或证明材料</w:t>
      </w:r>
    </w:p>
    <w:p w14:paraId="655CB724">
      <w:pPr>
        <w:pStyle w:val="236"/>
        <w:rPr>
          <w:highlight w:val="none"/>
        </w:rPr>
      </w:pPr>
      <w:r>
        <w:rPr>
          <w:highlight w:val="none"/>
        </w:rPr>
        <w:t>具备履行合同所必需的设备和专业技术能力的声明</w:t>
      </w:r>
    </w:p>
    <w:p w14:paraId="30EABA85">
      <w:pPr>
        <w:pStyle w:val="5"/>
        <w:ind w:firstLine="0" w:firstLineChars="0"/>
        <w:rPr>
          <w:highlight w:val="none"/>
        </w:rPr>
      </w:pPr>
      <w:r>
        <w:rPr>
          <w:highlight w:val="none"/>
        </w:rPr>
        <w:t>致：（</w:t>
      </w:r>
      <w:r>
        <w:rPr>
          <w:rFonts w:hint="eastAsia"/>
          <w:highlight w:val="none"/>
        </w:rPr>
        <w:t>比选人</w:t>
      </w:r>
      <w:r>
        <w:rPr>
          <w:highlight w:val="none"/>
        </w:rPr>
        <w:t>）</w:t>
      </w:r>
    </w:p>
    <w:p w14:paraId="38023D02">
      <w:pPr>
        <w:pStyle w:val="5"/>
        <w:ind w:firstLine="480"/>
        <w:rPr>
          <w:highlight w:val="none"/>
        </w:rPr>
      </w:pPr>
      <w:r>
        <w:rPr>
          <w:highlight w:val="none"/>
        </w:rPr>
        <w:t>我单位（供应商名称）郑重声明：我公司具备履行合同所必需的设备和专业技术能力，为履行合同我单位具备如下主要设备和主要专业技术能力：</w:t>
      </w:r>
    </w:p>
    <w:p w14:paraId="48EB5483">
      <w:pPr>
        <w:pStyle w:val="5"/>
        <w:ind w:firstLine="480"/>
        <w:rPr>
          <w:highlight w:val="none"/>
        </w:rPr>
      </w:pPr>
      <w:r>
        <w:rPr>
          <w:highlight w:val="none"/>
        </w:rPr>
        <w:t>主要设备有：</w:t>
      </w:r>
      <w:r>
        <w:rPr>
          <w:highlight w:val="none"/>
          <w:u w:val="single"/>
        </w:rPr>
        <w:t xml:space="preserve">         </w:t>
      </w:r>
      <w:r>
        <w:rPr>
          <w:highlight w:val="none"/>
        </w:rPr>
        <w:t>。（若有）</w:t>
      </w:r>
    </w:p>
    <w:p w14:paraId="0715F6D1">
      <w:pPr>
        <w:pStyle w:val="5"/>
        <w:ind w:firstLine="480"/>
        <w:rPr>
          <w:highlight w:val="none"/>
        </w:rPr>
      </w:pPr>
      <w:r>
        <w:rPr>
          <w:highlight w:val="none"/>
        </w:rPr>
        <w:t>主要专业技术能力有：</w:t>
      </w:r>
      <w:r>
        <w:rPr>
          <w:highlight w:val="none"/>
          <w:u w:val="single"/>
        </w:rPr>
        <w:t xml:space="preserve">         </w:t>
      </w:r>
      <w:r>
        <w:rPr>
          <w:highlight w:val="none"/>
        </w:rPr>
        <w:t>。（若有）</w:t>
      </w:r>
    </w:p>
    <w:p w14:paraId="70AA5F81">
      <w:pPr>
        <w:spacing w:line="360" w:lineRule="auto"/>
        <w:rPr>
          <w:rFonts w:ascii="宋体" w:hAnsi="宋体" w:cs="宋体"/>
          <w:sz w:val="24"/>
          <w:highlight w:val="none"/>
        </w:rPr>
      </w:pPr>
    </w:p>
    <w:p w14:paraId="531EBED0">
      <w:pPr>
        <w:spacing w:line="360" w:lineRule="auto"/>
        <w:rPr>
          <w:rFonts w:ascii="宋体" w:hAnsi="宋体" w:cs="宋体"/>
          <w:sz w:val="24"/>
          <w:highlight w:val="none"/>
        </w:rPr>
      </w:pPr>
    </w:p>
    <w:p w14:paraId="5D8B2194">
      <w:pPr>
        <w:spacing w:line="360" w:lineRule="auto"/>
        <w:ind w:firstLine="6000" w:firstLineChars="2500"/>
        <w:rPr>
          <w:rFonts w:ascii="Times New Roman" w:hAnsi="Times New Roman"/>
          <w:sz w:val="24"/>
          <w:highlight w:val="none"/>
        </w:rPr>
      </w:pPr>
      <w:r>
        <w:rPr>
          <w:rFonts w:hint="eastAsia" w:ascii="Times New Roman" w:hAnsi="Times New Roman"/>
          <w:sz w:val="24"/>
          <w:highlight w:val="none"/>
        </w:rPr>
        <w:t>声明人（公章）：</w:t>
      </w:r>
    </w:p>
    <w:p w14:paraId="3D9419CF">
      <w:pPr>
        <w:spacing w:line="360" w:lineRule="auto"/>
        <w:ind w:firstLine="6000" w:firstLineChars="2500"/>
        <w:rPr>
          <w:rFonts w:ascii="Times New Roman" w:hAnsi="Times New Roman"/>
          <w:sz w:val="24"/>
          <w:highlight w:val="none"/>
        </w:rPr>
      </w:pPr>
      <w:r>
        <w:rPr>
          <w:rFonts w:hint="eastAsia" w:ascii="Times New Roman" w:hAnsi="Times New Roman"/>
          <w:sz w:val="24"/>
          <w:highlight w:val="none"/>
        </w:rPr>
        <w:t>日期：     年    月    日</w:t>
      </w:r>
    </w:p>
    <w:p w14:paraId="75AEFB61">
      <w:pPr>
        <w:rPr>
          <w:rFonts w:ascii="Times New Roman" w:hAnsi="Times New Roman"/>
          <w:sz w:val="24"/>
          <w:highlight w:val="none"/>
        </w:rPr>
      </w:pPr>
      <w:r>
        <w:rPr>
          <w:rFonts w:hint="eastAsia" w:ascii="Times New Roman" w:hAnsi="Times New Roman"/>
          <w:sz w:val="24"/>
          <w:highlight w:val="none"/>
        </w:rPr>
        <w:br w:type="page"/>
      </w:r>
    </w:p>
    <w:p w14:paraId="54EEA8A1">
      <w:pPr>
        <w:spacing w:line="360" w:lineRule="auto"/>
        <w:ind w:firstLine="6000" w:firstLineChars="2500"/>
        <w:rPr>
          <w:rFonts w:ascii="Times New Roman" w:hAnsi="Times New Roman"/>
          <w:sz w:val="24"/>
          <w:highlight w:val="none"/>
        </w:rPr>
      </w:pPr>
    </w:p>
    <w:p w14:paraId="62C81402">
      <w:pPr>
        <w:pStyle w:val="205"/>
        <w:rPr>
          <w:highlight w:val="none"/>
        </w:rPr>
      </w:pPr>
      <w:r>
        <w:rPr>
          <w:rFonts w:hint="eastAsia"/>
          <w:highlight w:val="none"/>
        </w:rPr>
        <w:t>附件三、承诺书</w:t>
      </w:r>
    </w:p>
    <w:p w14:paraId="30B483AB">
      <w:pPr>
        <w:spacing w:line="360" w:lineRule="auto"/>
        <w:rPr>
          <w:rFonts w:ascii="Times New Roman" w:hAnsi="Times New Roman"/>
          <w:sz w:val="24"/>
          <w:highlight w:val="none"/>
        </w:rPr>
      </w:pPr>
      <w:r>
        <w:rPr>
          <w:rFonts w:hint="eastAsia" w:ascii="Times New Roman" w:hAnsi="Times New Roman"/>
          <w:sz w:val="24"/>
          <w:highlight w:val="none"/>
        </w:rPr>
        <w:t>致：（比选人）</w:t>
      </w:r>
    </w:p>
    <w:p w14:paraId="182C0307">
      <w:pPr>
        <w:adjustRightInd w:val="0"/>
        <w:spacing w:line="360" w:lineRule="auto"/>
        <w:ind w:firstLine="480" w:firstLineChars="200"/>
        <w:rPr>
          <w:rFonts w:ascii="Times New Roman" w:hAnsi="Times New Roman"/>
          <w:sz w:val="24"/>
          <w:highlight w:val="none"/>
        </w:rPr>
      </w:pPr>
      <w:r>
        <w:rPr>
          <w:rFonts w:hint="eastAsia" w:ascii="Times New Roman" w:hAnsi="Times New Roman"/>
          <w:sz w:val="24"/>
          <w:highlight w:val="none"/>
        </w:rPr>
        <w:t>我单位（供应商名称）</w:t>
      </w:r>
      <w:r>
        <w:rPr>
          <w:rFonts w:hint="eastAsia" w:ascii="Times New Roman" w:hAnsi="Times New Roman"/>
          <w:sz w:val="24"/>
          <w:highlight w:val="none"/>
          <w:u w:val="single"/>
        </w:rPr>
        <w:t xml:space="preserve">                </w:t>
      </w:r>
      <w:r>
        <w:rPr>
          <w:rFonts w:hint="eastAsia" w:ascii="Times New Roman" w:hAnsi="Times New Roman"/>
          <w:sz w:val="24"/>
          <w:highlight w:val="none"/>
        </w:rPr>
        <w:t>承诺：</w:t>
      </w:r>
    </w:p>
    <w:p w14:paraId="6B7CD717">
      <w:pPr>
        <w:adjustRightInd w:val="0"/>
        <w:spacing w:line="360" w:lineRule="auto"/>
        <w:ind w:firstLine="480" w:firstLineChars="200"/>
        <w:rPr>
          <w:rFonts w:ascii="Times New Roman" w:hAnsi="Times New Roman"/>
          <w:sz w:val="24"/>
          <w:highlight w:val="none"/>
        </w:rPr>
      </w:pPr>
    </w:p>
    <w:p w14:paraId="2F548C5C">
      <w:pPr>
        <w:adjustRightInd w:val="0"/>
        <w:spacing w:line="360" w:lineRule="auto"/>
        <w:ind w:firstLine="6480" w:firstLineChars="2700"/>
        <w:rPr>
          <w:rFonts w:ascii="Times New Roman" w:hAnsi="Times New Roman"/>
          <w:sz w:val="24"/>
          <w:highlight w:val="none"/>
        </w:rPr>
      </w:pPr>
      <w:r>
        <w:rPr>
          <w:rFonts w:hint="eastAsia" w:ascii="Times New Roman" w:hAnsi="Times New Roman"/>
          <w:sz w:val="24"/>
          <w:highlight w:val="none"/>
        </w:rPr>
        <w:t>承诺人</w:t>
      </w:r>
      <w:r>
        <w:rPr>
          <w:rFonts w:ascii="Times New Roman" w:hAnsi="Times New Roman"/>
          <w:sz w:val="24"/>
          <w:highlight w:val="none"/>
        </w:rPr>
        <w:t>（公章）：</w:t>
      </w:r>
    </w:p>
    <w:p w14:paraId="5B9B6705">
      <w:pPr>
        <w:adjustRightInd w:val="0"/>
        <w:spacing w:line="360" w:lineRule="auto"/>
        <w:ind w:firstLine="6480" w:firstLineChars="2700"/>
        <w:rPr>
          <w:rFonts w:ascii="Times New Roman" w:hAnsi="Times New Roman"/>
          <w:sz w:val="24"/>
          <w:highlight w:val="none"/>
        </w:rPr>
      </w:pPr>
      <w:r>
        <w:rPr>
          <w:rFonts w:ascii="Times New Roman" w:hAnsi="Times New Roman"/>
          <w:sz w:val="24"/>
          <w:highlight w:val="none"/>
        </w:rPr>
        <w:t>日期：     年    月    日</w:t>
      </w:r>
    </w:p>
    <w:bookmarkEnd w:id="21"/>
    <w:sectPr>
      <w:headerReference r:id="rId6" w:type="default"/>
      <w:footerReference r:id="rId7"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C8A7E">
    <w:pPr>
      <w:pStyle w:val="31"/>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7B6EF8">
                          <w:pPr>
                            <w:pStyle w:val="31"/>
                          </w:pPr>
                          <w:r>
                            <w:fldChar w:fldCharType="begin"/>
                          </w:r>
                          <w:r>
                            <w:instrText xml:space="preserve"> PAGE  \* MERGEFORMAT </w:instrText>
                          </w:r>
                          <w:r>
                            <w:fldChar w:fldCharType="separate"/>
                          </w:r>
                          <w:r>
                            <w:t>35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117B6EF8">
                    <w:pPr>
                      <w:pStyle w:val="3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ECD5A">
    <w:pPr>
      <w:pStyle w:val="31"/>
      <w:framePr w:wrap="around" w:vAnchor="text" w:hAnchor="margin" w:xAlign="center" w:y="1"/>
      <w:jc w:val="center"/>
      <w:rPr>
        <w:rStyle w:val="52"/>
      </w:rPr>
    </w:pPr>
    <w:r>
      <w:fldChar w:fldCharType="begin" w:fldLock="1"/>
    </w:r>
    <w:r>
      <w:rPr>
        <w:rStyle w:val="52"/>
      </w:rPr>
      <w:instrText xml:space="preserve"> DOCPROPERTY bjFooterEvenPageDocProperty \* MERGEFORMAT </w:instrText>
    </w:r>
    <w:r>
      <w:fldChar w:fldCharType="separate"/>
    </w:r>
    <w:r>
      <w:rPr>
        <w:rStyle w:val="52"/>
        <w:rFonts w:hint="eastAsia" w:cs="Calibri"/>
        <w:sz w:val="22"/>
      </w:rPr>
      <w:t>不分类</w:t>
    </w:r>
    <w:r>
      <w:fldChar w:fldCharType="end"/>
    </w:r>
    <w:r>
      <w:fldChar w:fldCharType="begin"/>
    </w:r>
    <w:r>
      <w:rPr>
        <w:rStyle w:val="52"/>
      </w:rPr>
      <w:instrText xml:space="preserve">PAGE  </w:instrText>
    </w:r>
    <w:r>
      <w:fldChar w:fldCharType="end"/>
    </w:r>
  </w:p>
  <w:p w14:paraId="3A78EABC">
    <w:pPr>
      <w:pStyle w:val="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DFE5">
    <w:pPr>
      <w:pStyle w:val="31"/>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94A98B">
                          <w:pPr>
                            <w:pStyle w:val="31"/>
                          </w:pPr>
                          <w:r>
                            <w:fldChar w:fldCharType="begin"/>
                          </w:r>
                          <w:r>
                            <w:instrText xml:space="preserve"> PAGE  \* MERGEFORMAT </w:instrText>
                          </w:r>
                          <w:r>
                            <w:fldChar w:fldCharType="separate"/>
                          </w:r>
                          <w:r>
                            <w:t>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5094A98B">
                    <w:pPr>
                      <w:pStyle w:val="3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17DEE">
    <w:pPr>
      <w:pStyle w:val="31"/>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5E096CD">
                          <w:pPr>
                            <w:pStyle w:val="31"/>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49</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5E096CD">
                    <w:pPr>
                      <w:pStyle w:val="31"/>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49</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49A95">
    <w:pPr>
      <w:pStyle w:val="32"/>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8C65378"/>
    <w:multiLevelType w:val="singleLevel"/>
    <w:tmpl w:val="88C65378"/>
    <w:lvl w:ilvl="0" w:tentative="0">
      <w:start w:val="1"/>
      <w:numFmt w:val="decimal"/>
      <w:suff w:val="nothing"/>
      <w:lvlText w:val="%1."/>
      <w:lvlJc w:val="left"/>
      <w:pPr>
        <w:ind w:left="425" w:hanging="425"/>
      </w:pPr>
      <w:rPr>
        <w:rFonts w:hint="default"/>
      </w:rPr>
    </w:lvl>
  </w:abstractNum>
  <w:abstractNum w:abstractNumId="2">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3">
    <w:nsid w:val="8B90829C"/>
    <w:multiLevelType w:val="singleLevel"/>
    <w:tmpl w:val="8B90829C"/>
    <w:lvl w:ilvl="0" w:tentative="0">
      <w:start w:val="1"/>
      <w:numFmt w:val="bullet"/>
      <w:pStyle w:val="21"/>
      <w:lvlText w:val=""/>
      <w:lvlJc w:val="left"/>
      <w:pPr>
        <w:tabs>
          <w:tab w:val="left" w:pos="780"/>
        </w:tabs>
        <w:ind w:left="780" w:hanging="360"/>
      </w:pPr>
      <w:rPr>
        <w:rFonts w:hint="default" w:ascii="Wingdings" w:hAnsi="Wingdings"/>
      </w:rPr>
    </w:lvl>
  </w:abstractNum>
  <w:abstractNum w:abstractNumId="4">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5">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6">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7">
    <w:nsid w:val="91F3DD5C"/>
    <w:multiLevelType w:val="singleLevel"/>
    <w:tmpl w:val="91F3DD5C"/>
    <w:lvl w:ilvl="0" w:tentative="0">
      <w:start w:val="1"/>
      <w:numFmt w:val="chineseCounting"/>
      <w:suff w:val="nothing"/>
      <w:lvlText w:val="（%1）"/>
      <w:lvlJc w:val="left"/>
      <w:pPr>
        <w:ind w:left="0" w:firstLine="420"/>
      </w:pPr>
      <w:rPr>
        <w:rFonts w:hint="eastAsia"/>
        <w:b/>
        <w:bCs/>
      </w:rPr>
    </w:lvl>
  </w:abstractNum>
  <w:abstractNum w:abstractNumId="8">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9">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10">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11">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12">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3">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4">
    <w:nsid w:val="A408A2C3"/>
    <w:multiLevelType w:val="singleLevel"/>
    <w:tmpl w:val="A408A2C3"/>
    <w:lvl w:ilvl="0" w:tentative="0">
      <w:start w:val="1"/>
      <w:numFmt w:val="bullet"/>
      <w:suff w:val="nothing"/>
      <w:lvlText w:val="•"/>
      <w:lvlJc w:val="left"/>
      <w:pPr>
        <w:ind w:left="150"/>
      </w:pPr>
    </w:lvl>
  </w:abstractNum>
  <w:abstractNum w:abstractNumId="15">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6">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7">
    <w:nsid w:val="ABD224D3"/>
    <w:multiLevelType w:val="singleLevel"/>
    <w:tmpl w:val="ABD224D3"/>
    <w:lvl w:ilvl="0" w:tentative="0">
      <w:start w:val="1"/>
      <w:numFmt w:val="decimal"/>
      <w:suff w:val="nothing"/>
      <w:lvlText w:val="%1."/>
      <w:lvlJc w:val="left"/>
      <w:pPr>
        <w:ind w:left="425" w:hanging="425"/>
      </w:pPr>
      <w:rPr>
        <w:rFonts w:hint="default"/>
      </w:rPr>
    </w:lvl>
  </w:abstractNum>
  <w:abstractNum w:abstractNumId="18">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9">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20">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21">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22">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3">
    <w:nsid w:val="C0F5830D"/>
    <w:multiLevelType w:val="singleLevel"/>
    <w:tmpl w:val="C0F5830D"/>
    <w:lvl w:ilvl="0" w:tentative="0">
      <w:start w:val="1"/>
      <w:numFmt w:val="decimal"/>
      <w:suff w:val="nothing"/>
      <w:lvlText w:val="%1."/>
      <w:lvlJc w:val="left"/>
      <w:pPr>
        <w:ind w:left="425" w:hanging="425"/>
      </w:pPr>
      <w:rPr>
        <w:rFonts w:hint="default"/>
      </w:rPr>
    </w:lvl>
  </w:abstractNum>
  <w:abstractNum w:abstractNumId="24">
    <w:nsid w:val="C33471C8"/>
    <w:multiLevelType w:val="singleLevel"/>
    <w:tmpl w:val="C33471C8"/>
    <w:lvl w:ilvl="0" w:tentative="0">
      <w:start w:val="1"/>
      <w:numFmt w:val="decimal"/>
      <w:suff w:val="nothing"/>
      <w:lvlText w:val="%1."/>
      <w:lvlJc w:val="left"/>
      <w:pPr>
        <w:ind w:left="425" w:hanging="425"/>
      </w:pPr>
      <w:rPr>
        <w:rFonts w:hint="default"/>
      </w:rPr>
    </w:lvl>
  </w:abstractNum>
  <w:abstractNum w:abstractNumId="25">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6">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7">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8">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9">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30">
    <w:nsid w:val="E0493C33"/>
    <w:multiLevelType w:val="singleLevel"/>
    <w:tmpl w:val="E0493C33"/>
    <w:lvl w:ilvl="0" w:tentative="0">
      <w:start w:val="1"/>
      <w:numFmt w:val="decimal"/>
      <w:suff w:val="nothing"/>
      <w:lvlText w:val="%1."/>
      <w:lvlJc w:val="left"/>
      <w:pPr>
        <w:ind w:left="425" w:hanging="425"/>
      </w:pPr>
      <w:rPr>
        <w:rFonts w:hint="default"/>
      </w:rPr>
    </w:lvl>
  </w:abstractNum>
  <w:abstractNum w:abstractNumId="31">
    <w:nsid w:val="E11CC228"/>
    <w:multiLevelType w:val="singleLevel"/>
    <w:tmpl w:val="E11CC228"/>
    <w:lvl w:ilvl="0" w:tentative="0">
      <w:start w:val="1"/>
      <w:numFmt w:val="decimal"/>
      <w:suff w:val="nothing"/>
      <w:lvlText w:val="%1."/>
      <w:lvlJc w:val="left"/>
      <w:pPr>
        <w:ind w:left="425" w:hanging="425"/>
      </w:pPr>
      <w:rPr>
        <w:rFonts w:hint="default"/>
      </w:rPr>
    </w:lvl>
  </w:abstractNum>
  <w:abstractNum w:abstractNumId="3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3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3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3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6">
    <w:nsid w:val="F0A87DF9"/>
    <w:multiLevelType w:val="singleLevel"/>
    <w:tmpl w:val="F0A87DF9"/>
    <w:lvl w:ilvl="0" w:tentative="0">
      <w:start w:val="1"/>
      <w:numFmt w:val="decimal"/>
      <w:suff w:val="nothing"/>
      <w:lvlText w:val="%1."/>
      <w:lvlJc w:val="left"/>
      <w:pPr>
        <w:ind w:left="425" w:hanging="425"/>
      </w:pPr>
      <w:rPr>
        <w:rFonts w:hint="default"/>
      </w:rPr>
    </w:lvl>
  </w:abstractNum>
  <w:abstractNum w:abstractNumId="37">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8">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9">
    <w:nsid w:val="F88F381C"/>
    <w:multiLevelType w:val="singleLevel"/>
    <w:tmpl w:val="F88F381C"/>
    <w:lvl w:ilvl="0" w:tentative="0">
      <w:start w:val="1"/>
      <w:numFmt w:val="decimal"/>
      <w:suff w:val="nothing"/>
      <w:lvlText w:val="%1."/>
      <w:lvlJc w:val="left"/>
      <w:pPr>
        <w:ind w:left="425" w:hanging="425"/>
      </w:pPr>
      <w:rPr>
        <w:rFonts w:hint="default"/>
      </w:rPr>
    </w:lvl>
  </w:abstractNum>
  <w:abstractNum w:abstractNumId="4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4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4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4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4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4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4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9">
    <w:nsid w:val="318533B0"/>
    <w:multiLevelType w:val="singleLevel"/>
    <w:tmpl w:val="318533B0"/>
    <w:lvl w:ilvl="0" w:tentative="0">
      <w:start w:val="4"/>
      <w:numFmt w:val="chineseCounting"/>
      <w:suff w:val="space"/>
      <w:lvlText w:val="第%1章"/>
      <w:lvlJc w:val="left"/>
      <w:rPr>
        <w:rFonts w:hint="eastAsia"/>
      </w:rPr>
    </w:lvl>
  </w:abstractNum>
  <w:abstractNum w:abstractNumId="5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5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5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53">
    <w:nsid w:val="472A145C"/>
    <w:multiLevelType w:val="singleLevel"/>
    <w:tmpl w:val="472A145C"/>
    <w:lvl w:ilvl="0" w:tentative="0">
      <w:start w:val="1"/>
      <w:numFmt w:val="decimal"/>
      <w:suff w:val="nothing"/>
      <w:lvlText w:val="%1."/>
      <w:lvlJc w:val="left"/>
      <w:pPr>
        <w:ind w:left="425" w:hanging="425"/>
      </w:pPr>
      <w:rPr>
        <w:rFonts w:hint="default"/>
      </w:rPr>
    </w:lvl>
  </w:abstractNum>
  <w:abstractNum w:abstractNumId="5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5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56">
    <w:nsid w:val="4D1CEDFC"/>
    <w:multiLevelType w:val="singleLevel"/>
    <w:tmpl w:val="4D1CEDFC"/>
    <w:lvl w:ilvl="0" w:tentative="0">
      <w:start w:val="1"/>
      <w:numFmt w:val="decimal"/>
      <w:suff w:val="nothing"/>
      <w:lvlText w:val="%1."/>
      <w:lvlJc w:val="left"/>
      <w:pPr>
        <w:ind w:left="425" w:hanging="425"/>
      </w:pPr>
      <w:rPr>
        <w:rFonts w:hint="default"/>
        <w:b w:val="0"/>
        <w:bCs w:val="0"/>
      </w:rPr>
    </w:lvl>
  </w:abstractNum>
  <w:abstractNum w:abstractNumId="5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58"/>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4E7EEBA1"/>
    <w:multiLevelType w:val="singleLevel"/>
    <w:tmpl w:val="4E7EEBA1"/>
    <w:lvl w:ilvl="0" w:tentative="0">
      <w:start w:val="1"/>
      <w:numFmt w:val="bullet"/>
      <w:suff w:val="nothing"/>
      <w:lvlText w:val="•"/>
      <w:lvlJc w:val="left"/>
    </w:lvl>
  </w:abstractNum>
  <w:abstractNum w:abstractNumId="60">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61">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62">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63">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64">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65">
    <w:nsid w:val="63152A73"/>
    <w:multiLevelType w:val="singleLevel"/>
    <w:tmpl w:val="63152A73"/>
    <w:lvl w:ilvl="0" w:tentative="0">
      <w:start w:val="1"/>
      <w:numFmt w:val="bullet"/>
      <w:suff w:val="nothing"/>
      <w:lvlText w:val="•"/>
      <w:lvlJc w:val="left"/>
    </w:lvl>
  </w:abstractNum>
  <w:abstractNum w:abstractNumId="66">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7">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3"/>
  </w:num>
  <w:num w:numId="2">
    <w:abstractNumId w:val="58"/>
  </w:num>
  <w:num w:numId="3">
    <w:abstractNumId w:val="16"/>
  </w:num>
  <w:num w:numId="4">
    <w:abstractNumId w:val="46"/>
  </w:num>
  <w:num w:numId="5">
    <w:abstractNumId w:val="42"/>
  </w:num>
  <w:num w:numId="6">
    <w:abstractNumId w:val="26"/>
  </w:num>
  <w:num w:numId="7">
    <w:abstractNumId w:val="52"/>
  </w:num>
  <w:num w:numId="8">
    <w:abstractNumId w:val="48"/>
  </w:num>
  <w:num w:numId="9">
    <w:abstractNumId w:val="11"/>
  </w:num>
  <w:num w:numId="10">
    <w:abstractNumId w:val="20"/>
  </w:num>
  <w:num w:numId="11">
    <w:abstractNumId w:val="57"/>
  </w:num>
  <w:num w:numId="12">
    <w:abstractNumId w:val="68"/>
  </w:num>
  <w:num w:numId="13">
    <w:abstractNumId w:val="15"/>
  </w:num>
  <w:num w:numId="14">
    <w:abstractNumId w:val="66"/>
  </w:num>
  <w:num w:numId="15">
    <w:abstractNumId w:val="47"/>
  </w:num>
  <w:num w:numId="16">
    <w:abstractNumId w:val="64"/>
  </w:num>
  <w:num w:numId="17">
    <w:abstractNumId w:val="50"/>
  </w:num>
  <w:num w:numId="18">
    <w:abstractNumId w:val="41"/>
  </w:num>
  <w:num w:numId="19">
    <w:abstractNumId w:val="45"/>
  </w:num>
  <w:num w:numId="20">
    <w:abstractNumId w:val="18"/>
  </w:num>
  <w:num w:numId="21">
    <w:abstractNumId w:val="32"/>
  </w:num>
  <w:num w:numId="22">
    <w:abstractNumId w:val="40"/>
  </w:num>
  <w:num w:numId="23">
    <w:abstractNumId w:val="54"/>
  </w:num>
  <w:num w:numId="24">
    <w:abstractNumId w:val="34"/>
  </w:num>
  <w:num w:numId="25">
    <w:abstractNumId w:val="9"/>
  </w:num>
  <w:num w:numId="26">
    <w:abstractNumId w:val="55"/>
  </w:num>
  <w:num w:numId="27">
    <w:abstractNumId w:val="19"/>
  </w:num>
  <w:num w:numId="28">
    <w:abstractNumId w:val="4"/>
  </w:num>
  <w:num w:numId="29">
    <w:abstractNumId w:val="60"/>
  </w:num>
  <w:num w:numId="30">
    <w:abstractNumId w:val="51"/>
  </w:num>
  <w:num w:numId="31">
    <w:abstractNumId w:val="43"/>
  </w:num>
  <w:num w:numId="32">
    <w:abstractNumId w:val="10"/>
  </w:num>
  <w:num w:numId="33">
    <w:abstractNumId w:val="44"/>
  </w:num>
  <w:num w:numId="34">
    <w:abstractNumId w:val="62"/>
  </w:num>
  <w:num w:numId="35">
    <w:abstractNumId w:val="61"/>
  </w:num>
  <w:num w:numId="36">
    <w:abstractNumId w:val="5"/>
  </w:num>
  <w:num w:numId="37">
    <w:abstractNumId w:val="35"/>
  </w:num>
  <w:num w:numId="38">
    <w:abstractNumId w:val="63"/>
  </w:num>
  <w:num w:numId="39">
    <w:abstractNumId w:val="29"/>
  </w:num>
  <w:num w:numId="40">
    <w:abstractNumId w:val="12"/>
  </w:num>
  <w:num w:numId="41">
    <w:abstractNumId w:val="6"/>
  </w:num>
  <w:num w:numId="42">
    <w:abstractNumId w:val="13"/>
  </w:num>
  <w:num w:numId="43">
    <w:abstractNumId w:val="37"/>
  </w:num>
  <w:num w:numId="44">
    <w:abstractNumId w:val="21"/>
  </w:num>
  <w:num w:numId="45">
    <w:abstractNumId w:val="33"/>
  </w:num>
  <w:num w:numId="46">
    <w:abstractNumId w:val="22"/>
  </w:num>
  <w:num w:numId="47">
    <w:abstractNumId w:val="67"/>
  </w:num>
  <w:num w:numId="48">
    <w:abstractNumId w:val="25"/>
  </w:num>
  <w:num w:numId="49">
    <w:abstractNumId w:val="28"/>
  </w:num>
  <w:num w:numId="50">
    <w:abstractNumId w:val="2"/>
  </w:num>
  <w:num w:numId="51">
    <w:abstractNumId w:val="8"/>
  </w:num>
  <w:num w:numId="52">
    <w:abstractNumId w:val="49"/>
  </w:num>
  <w:num w:numId="53">
    <w:abstractNumId w:val="59"/>
  </w:num>
  <w:num w:numId="54">
    <w:abstractNumId w:val="14"/>
  </w:num>
  <w:num w:numId="55">
    <w:abstractNumId w:val="7"/>
  </w:num>
  <w:num w:numId="56">
    <w:abstractNumId w:val="39"/>
  </w:num>
  <w:num w:numId="57">
    <w:abstractNumId w:val="1"/>
  </w:num>
  <w:num w:numId="58">
    <w:abstractNumId w:val="65"/>
  </w:num>
  <w:num w:numId="59">
    <w:abstractNumId w:val="30"/>
  </w:num>
  <w:num w:numId="60">
    <w:abstractNumId w:val="53"/>
  </w:num>
  <w:num w:numId="61">
    <w:abstractNumId w:val="24"/>
  </w:num>
  <w:num w:numId="62">
    <w:abstractNumId w:val="23"/>
  </w:num>
  <w:num w:numId="63">
    <w:abstractNumId w:val="17"/>
  </w:num>
  <w:num w:numId="64">
    <w:abstractNumId w:val="56"/>
  </w:num>
  <w:num w:numId="65">
    <w:abstractNumId w:val="31"/>
  </w:num>
  <w:num w:numId="66">
    <w:abstractNumId w:val="36"/>
  </w:num>
  <w:num w:numId="67">
    <w:abstractNumId w:val="0"/>
  </w:num>
  <w:num w:numId="68">
    <w:abstractNumId w:val="38"/>
  </w:num>
  <w:num w:numId="6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bordersDoNotSurroundHeader w:val="1"/>
  <w:bordersDoNotSurroundFooter w:val="1"/>
  <w:hideSpellingErrors/>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06F59"/>
    <w:rsid w:val="00010550"/>
    <w:rsid w:val="000114EC"/>
    <w:rsid w:val="0002121B"/>
    <w:rsid w:val="00022B73"/>
    <w:rsid w:val="00032AFC"/>
    <w:rsid w:val="00054C60"/>
    <w:rsid w:val="00055B3C"/>
    <w:rsid w:val="000603A8"/>
    <w:rsid w:val="00063875"/>
    <w:rsid w:val="00064336"/>
    <w:rsid w:val="00072371"/>
    <w:rsid w:val="00077B10"/>
    <w:rsid w:val="0008213F"/>
    <w:rsid w:val="000952C8"/>
    <w:rsid w:val="000A3089"/>
    <w:rsid w:val="000A61ED"/>
    <w:rsid w:val="000A6973"/>
    <w:rsid w:val="000C119F"/>
    <w:rsid w:val="000C4F86"/>
    <w:rsid w:val="000E0C2D"/>
    <w:rsid w:val="000E2032"/>
    <w:rsid w:val="000E6091"/>
    <w:rsid w:val="000F5611"/>
    <w:rsid w:val="00120A4B"/>
    <w:rsid w:val="0012459A"/>
    <w:rsid w:val="001268C9"/>
    <w:rsid w:val="00141BEC"/>
    <w:rsid w:val="00152EEB"/>
    <w:rsid w:val="001607E5"/>
    <w:rsid w:val="0016419E"/>
    <w:rsid w:val="001646F3"/>
    <w:rsid w:val="001722BE"/>
    <w:rsid w:val="00172D50"/>
    <w:rsid w:val="001865C7"/>
    <w:rsid w:val="00193608"/>
    <w:rsid w:val="00195606"/>
    <w:rsid w:val="001A3917"/>
    <w:rsid w:val="001A6483"/>
    <w:rsid w:val="001B760C"/>
    <w:rsid w:val="001B7983"/>
    <w:rsid w:val="001D7CE8"/>
    <w:rsid w:val="001E1C4B"/>
    <w:rsid w:val="001E28D6"/>
    <w:rsid w:val="001E3C14"/>
    <w:rsid w:val="001F355D"/>
    <w:rsid w:val="00200A0F"/>
    <w:rsid w:val="00203B11"/>
    <w:rsid w:val="0021068C"/>
    <w:rsid w:val="00210AEA"/>
    <w:rsid w:val="002213ED"/>
    <w:rsid w:val="002220A5"/>
    <w:rsid w:val="00222A23"/>
    <w:rsid w:val="002230F1"/>
    <w:rsid w:val="002302C2"/>
    <w:rsid w:val="00234822"/>
    <w:rsid w:val="002469C2"/>
    <w:rsid w:val="00253E4C"/>
    <w:rsid w:val="00270DD7"/>
    <w:rsid w:val="00271038"/>
    <w:rsid w:val="002735DA"/>
    <w:rsid w:val="00293607"/>
    <w:rsid w:val="002A2707"/>
    <w:rsid w:val="002A3A54"/>
    <w:rsid w:val="002A455C"/>
    <w:rsid w:val="002A46A6"/>
    <w:rsid w:val="002A7C0E"/>
    <w:rsid w:val="002B0DB5"/>
    <w:rsid w:val="002B3C7C"/>
    <w:rsid w:val="002D20E2"/>
    <w:rsid w:val="002D223F"/>
    <w:rsid w:val="002D6B39"/>
    <w:rsid w:val="002D7D8E"/>
    <w:rsid w:val="002E05B3"/>
    <w:rsid w:val="002E4B16"/>
    <w:rsid w:val="002F2FEE"/>
    <w:rsid w:val="002F72AC"/>
    <w:rsid w:val="00300310"/>
    <w:rsid w:val="00301983"/>
    <w:rsid w:val="00302EAD"/>
    <w:rsid w:val="0030478B"/>
    <w:rsid w:val="00307A95"/>
    <w:rsid w:val="00310494"/>
    <w:rsid w:val="00313589"/>
    <w:rsid w:val="0031794E"/>
    <w:rsid w:val="003260AD"/>
    <w:rsid w:val="003269B7"/>
    <w:rsid w:val="0033233E"/>
    <w:rsid w:val="00333050"/>
    <w:rsid w:val="003345C0"/>
    <w:rsid w:val="00337CC0"/>
    <w:rsid w:val="00337F77"/>
    <w:rsid w:val="00341CBB"/>
    <w:rsid w:val="00341E4E"/>
    <w:rsid w:val="003423FE"/>
    <w:rsid w:val="00346C93"/>
    <w:rsid w:val="00351550"/>
    <w:rsid w:val="003567D1"/>
    <w:rsid w:val="00361D2E"/>
    <w:rsid w:val="003749F5"/>
    <w:rsid w:val="00384502"/>
    <w:rsid w:val="00385FBD"/>
    <w:rsid w:val="0039013E"/>
    <w:rsid w:val="00392F44"/>
    <w:rsid w:val="003A6DBC"/>
    <w:rsid w:val="003A766D"/>
    <w:rsid w:val="003B1326"/>
    <w:rsid w:val="003B2439"/>
    <w:rsid w:val="003B57B2"/>
    <w:rsid w:val="003B7A90"/>
    <w:rsid w:val="003C2851"/>
    <w:rsid w:val="003C7E5E"/>
    <w:rsid w:val="003D0883"/>
    <w:rsid w:val="003D2072"/>
    <w:rsid w:val="003D59C2"/>
    <w:rsid w:val="003D634F"/>
    <w:rsid w:val="003F53ED"/>
    <w:rsid w:val="00400582"/>
    <w:rsid w:val="0040250A"/>
    <w:rsid w:val="00411A2A"/>
    <w:rsid w:val="00411CF1"/>
    <w:rsid w:val="00421CCE"/>
    <w:rsid w:val="00423B77"/>
    <w:rsid w:val="00426759"/>
    <w:rsid w:val="004526E8"/>
    <w:rsid w:val="00464986"/>
    <w:rsid w:val="00465C30"/>
    <w:rsid w:val="0046741D"/>
    <w:rsid w:val="00476975"/>
    <w:rsid w:val="0048179D"/>
    <w:rsid w:val="00484E24"/>
    <w:rsid w:val="004A5AF1"/>
    <w:rsid w:val="004A68BE"/>
    <w:rsid w:val="004B035C"/>
    <w:rsid w:val="004B4FB8"/>
    <w:rsid w:val="004B6B53"/>
    <w:rsid w:val="004D4153"/>
    <w:rsid w:val="004D50C9"/>
    <w:rsid w:val="004D5E9D"/>
    <w:rsid w:val="004E4EF1"/>
    <w:rsid w:val="004E7292"/>
    <w:rsid w:val="004F0741"/>
    <w:rsid w:val="004F11AB"/>
    <w:rsid w:val="004F692A"/>
    <w:rsid w:val="004F7249"/>
    <w:rsid w:val="005114F3"/>
    <w:rsid w:val="00520001"/>
    <w:rsid w:val="005277EE"/>
    <w:rsid w:val="00553C9B"/>
    <w:rsid w:val="00555045"/>
    <w:rsid w:val="00560738"/>
    <w:rsid w:val="00561F40"/>
    <w:rsid w:val="005703A8"/>
    <w:rsid w:val="00581E47"/>
    <w:rsid w:val="00584B1D"/>
    <w:rsid w:val="00585734"/>
    <w:rsid w:val="005A7CDA"/>
    <w:rsid w:val="005A7EF9"/>
    <w:rsid w:val="005B5295"/>
    <w:rsid w:val="005B7991"/>
    <w:rsid w:val="005C26C7"/>
    <w:rsid w:val="005C5753"/>
    <w:rsid w:val="005D3AD4"/>
    <w:rsid w:val="005D647F"/>
    <w:rsid w:val="005D6EF2"/>
    <w:rsid w:val="005D7385"/>
    <w:rsid w:val="005E29E0"/>
    <w:rsid w:val="005F0B01"/>
    <w:rsid w:val="00620209"/>
    <w:rsid w:val="00636A37"/>
    <w:rsid w:val="0064295D"/>
    <w:rsid w:val="00662F68"/>
    <w:rsid w:val="00667126"/>
    <w:rsid w:val="00680EDD"/>
    <w:rsid w:val="0069425F"/>
    <w:rsid w:val="00697F90"/>
    <w:rsid w:val="00697FB1"/>
    <w:rsid w:val="006A66A9"/>
    <w:rsid w:val="006B2A50"/>
    <w:rsid w:val="006C4F85"/>
    <w:rsid w:val="006C6D3D"/>
    <w:rsid w:val="006D1683"/>
    <w:rsid w:val="006D41A7"/>
    <w:rsid w:val="006D79F2"/>
    <w:rsid w:val="006D7E45"/>
    <w:rsid w:val="006E0DF4"/>
    <w:rsid w:val="006E4E08"/>
    <w:rsid w:val="006F395E"/>
    <w:rsid w:val="00706A16"/>
    <w:rsid w:val="00710EF7"/>
    <w:rsid w:val="007314D4"/>
    <w:rsid w:val="0073289E"/>
    <w:rsid w:val="0073659F"/>
    <w:rsid w:val="00736626"/>
    <w:rsid w:val="00745D46"/>
    <w:rsid w:val="00751351"/>
    <w:rsid w:val="007530ED"/>
    <w:rsid w:val="00764880"/>
    <w:rsid w:val="0076676B"/>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979"/>
    <w:rsid w:val="00813CC4"/>
    <w:rsid w:val="00815199"/>
    <w:rsid w:val="00830D14"/>
    <w:rsid w:val="00831BEC"/>
    <w:rsid w:val="0083310F"/>
    <w:rsid w:val="0084180E"/>
    <w:rsid w:val="00842C4C"/>
    <w:rsid w:val="00843BF9"/>
    <w:rsid w:val="00845467"/>
    <w:rsid w:val="00846469"/>
    <w:rsid w:val="008537FF"/>
    <w:rsid w:val="00857996"/>
    <w:rsid w:val="008600B1"/>
    <w:rsid w:val="00871637"/>
    <w:rsid w:val="008750CF"/>
    <w:rsid w:val="008767A3"/>
    <w:rsid w:val="00877E11"/>
    <w:rsid w:val="008831D1"/>
    <w:rsid w:val="0088428D"/>
    <w:rsid w:val="00892D6E"/>
    <w:rsid w:val="008A5647"/>
    <w:rsid w:val="008B191D"/>
    <w:rsid w:val="008B57CF"/>
    <w:rsid w:val="008C343A"/>
    <w:rsid w:val="008C5D36"/>
    <w:rsid w:val="008D2A71"/>
    <w:rsid w:val="008E14D6"/>
    <w:rsid w:val="008E5856"/>
    <w:rsid w:val="008E7262"/>
    <w:rsid w:val="008F157A"/>
    <w:rsid w:val="00903A81"/>
    <w:rsid w:val="00912200"/>
    <w:rsid w:val="00913772"/>
    <w:rsid w:val="00914F5B"/>
    <w:rsid w:val="00921E54"/>
    <w:rsid w:val="00931F61"/>
    <w:rsid w:val="009378E7"/>
    <w:rsid w:val="009408C8"/>
    <w:rsid w:val="009465DD"/>
    <w:rsid w:val="009479A2"/>
    <w:rsid w:val="00951C0D"/>
    <w:rsid w:val="00970461"/>
    <w:rsid w:val="00972646"/>
    <w:rsid w:val="00973A28"/>
    <w:rsid w:val="009936D4"/>
    <w:rsid w:val="00995FCA"/>
    <w:rsid w:val="00996348"/>
    <w:rsid w:val="009A03A3"/>
    <w:rsid w:val="009A33F5"/>
    <w:rsid w:val="009A6545"/>
    <w:rsid w:val="009B007D"/>
    <w:rsid w:val="009B7079"/>
    <w:rsid w:val="009C16EC"/>
    <w:rsid w:val="009C1BF3"/>
    <w:rsid w:val="009C48C8"/>
    <w:rsid w:val="009D2587"/>
    <w:rsid w:val="009D2D7C"/>
    <w:rsid w:val="009D6207"/>
    <w:rsid w:val="009D6359"/>
    <w:rsid w:val="009D7CCA"/>
    <w:rsid w:val="009F4E50"/>
    <w:rsid w:val="009F6C77"/>
    <w:rsid w:val="00A01BB7"/>
    <w:rsid w:val="00A07524"/>
    <w:rsid w:val="00A234B2"/>
    <w:rsid w:val="00A24C6A"/>
    <w:rsid w:val="00A25566"/>
    <w:rsid w:val="00A35BC2"/>
    <w:rsid w:val="00A40800"/>
    <w:rsid w:val="00A422CB"/>
    <w:rsid w:val="00A45515"/>
    <w:rsid w:val="00A5032B"/>
    <w:rsid w:val="00A53229"/>
    <w:rsid w:val="00A56D92"/>
    <w:rsid w:val="00A628B2"/>
    <w:rsid w:val="00A62B46"/>
    <w:rsid w:val="00A67E2D"/>
    <w:rsid w:val="00A76262"/>
    <w:rsid w:val="00A80CEF"/>
    <w:rsid w:val="00A864B8"/>
    <w:rsid w:val="00A9334D"/>
    <w:rsid w:val="00AA3CA0"/>
    <w:rsid w:val="00AB4BEA"/>
    <w:rsid w:val="00AB5952"/>
    <w:rsid w:val="00AC7581"/>
    <w:rsid w:val="00AD2769"/>
    <w:rsid w:val="00AE00DC"/>
    <w:rsid w:val="00AE49DC"/>
    <w:rsid w:val="00AF056B"/>
    <w:rsid w:val="00AF2B64"/>
    <w:rsid w:val="00AF4712"/>
    <w:rsid w:val="00B04449"/>
    <w:rsid w:val="00B1285D"/>
    <w:rsid w:val="00B13547"/>
    <w:rsid w:val="00B216AD"/>
    <w:rsid w:val="00B2309B"/>
    <w:rsid w:val="00B256C9"/>
    <w:rsid w:val="00B274DD"/>
    <w:rsid w:val="00B328EA"/>
    <w:rsid w:val="00B32CF6"/>
    <w:rsid w:val="00B33605"/>
    <w:rsid w:val="00B33E55"/>
    <w:rsid w:val="00B346F0"/>
    <w:rsid w:val="00B36958"/>
    <w:rsid w:val="00B37DED"/>
    <w:rsid w:val="00B47858"/>
    <w:rsid w:val="00B57769"/>
    <w:rsid w:val="00B57FFC"/>
    <w:rsid w:val="00B60083"/>
    <w:rsid w:val="00B61499"/>
    <w:rsid w:val="00B6323B"/>
    <w:rsid w:val="00B73193"/>
    <w:rsid w:val="00B733C1"/>
    <w:rsid w:val="00B817F0"/>
    <w:rsid w:val="00B96B3B"/>
    <w:rsid w:val="00B97D58"/>
    <w:rsid w:val="00BA1051"/>
    <w:rsid w:val="00BA6126"/>
    <w:rsid w:val="00BA76DF"/>
    <w:rsid w:val="00BD7583"/>
    <w:rsid w:val="00BD788E"/>
    <w:rsid w:val="00BE2A0F"/>
    <w:rsid w:val="00BF5A10"/>
    <w:rsid w:val="00BF7AF2"/>
    <w:rsid w:val="00C055FA"/>
    <w:rsid w:val="00C10FA5"/>
    <w:rsid w:val="00C30720"/>
    <w:rsid w:val="00C34208"/>
    <w:rsid w:val="00C377BA"/>
    <w:rsid w:val="00C37F6E"/>
    <w:rsid w:val="00C674FF"/>
    <w:rsid w:val="00C71F96"/>
    <w:rsid w:val="00C752D4"/>
    <w:rsid w:val="00C93425"/>
    <w:rsid w:val="00C9393E"/>
    <w:rsid w:val="00CA26CC"/>
    <w:rsid w:val="00CB5E90"/>
    <w:rsid w:val="00CC06FB"/>
    <w:rsid w:val="00CC1675"/>
    <w:rsid w:val="00CC25B4"/>
    <w:rsid w:val="00CE3B8C"/>
    <w:rsid w:val="00CF13FB"/>
    <w:rsid w:val="00D04117"/>
    <w:rsid w:val="00D076F3"/>
    <w:rsid w:val="00D14B44"/>
    <w:rsid w:val="00D223FB"/>
    <w:rsid w:val="00D22560"/>
    <w:rsid w:val="00D22F68"/>
    <w:rsid w:val="00D242FD"/>
    <w:rsid w:val="00D4151E"/>
    <w:rsid w:val="00D42DE8"/>
    <w:rsid w:val="00D47A7B"/>
    <w:rsid w:val="00D53B9C"/>
    <w:rsid w:val="00D55695"/>
    <w:rsid w:val="00D62C19"/>
    <w:rsid w:val="00D669C1"/>
    <w:rsid w:val="00D7063B"/>
    <w:rsid w:val="00D71600"/>
    <w:rsid w:val="00D73674"/>
    <w:rsid w:val="00D77799"/>
    <w:rsid w:val="00D82857"/>
    <w:rsid w:val="00D940AE"/>
    <w:rsid w:val="00D97143"/>
    <w:rsid w:val="00DA1657"/>
    <w:rsid w:val="00DB0216"/>
    <w:rsid w:val="00DB0A08"/>
    <w:rsid w:val="00DB2D58"/>
    <w:rsid w:val="00DC6097"/>
    <w:rsid w:val="00DD21EB"/>
    <w:rsid w:val="00DE3A8D"/>
    <w:rsid w:val="00DF75ED"/>
    <w:rsid w:val="00E007CD"/>
    <w:rsid w:val="00E00FE0"/>
    <w:rsid w:val="00E067E2"/>
    <w:rsid w:val="00E07603"/>
    <w:rsid w:val="00E10A0F"/>
    <w:rsid w:val="00E14F6D"/>
    <w:rsid w:val="00E15200"/>
    <w:rsid w:val="00E20604"/>
    <w:rsid w:val="00E2102F"/>
    <w:rsid w:val="00E32E7E"/>
    <w:rsid w:val="00E430F5"/>
    <w:rsid w:val="00E43D23"/>
    <w:rsid w:val="00E45256"/>
    <w:rsid w:val="00E45BF0"/>
    <w:rsid w:val="00E516F5"/>
    <w:rsid w:val="00E6018E"/>
    <w:rsid w:val="00E62155"/>
    <w:rsid w:val="00E677D7"/>
    <w:rsid w:val="00E75B0C"/>
    <w:rsid w:val="00E77257"/>
    <w:rsid w:val="00E807AE"/>
    <w:rsid w:val="00E839D7"/>
    <w:rsid w:val="00E85EB0"/>
    <w:rsid w:val="00E919E1"/>
    <w:rsid w:val="00E91B32"/>
    <w:rsid w:val="00E9364A"/>
    <w:rsid w:val="00EB2111"/>
    <w:rsid w:val="00EB5108"/>
    <w:rsid w:val="00EC0C72"/>
    <w:rsid w:val="00EC1D62"/>
    <w:rsid w:val="00EC2BE7"/>
    <w:rsid w:val="00EC53C0"/>
    <w:rsid w:val="00ED420B"/>
    <w:rsid w:val="00ED4B05"/>
    <w:rsid w:val="00ED4B84"/>
    <w:rsid w:val="00ED5683"/>
    <w:rsid w:val="00ED7A5B"/>
    <w:rsid w:val="00EF2007"/>
    <w:rsid w:val="00EF3218"/>
    <w:rsid w:val="00F003C8"/>
    <w:rsid w:val="00F03413"/>
    <w:rsid w:val="00F05CD2"/>
    <w:rsid w:val="00F1154C"/>
    <w:rsid w:val="00F115EA"/>
    <w:rsid w:val="00F133A6"/>
    <w:rsid w:val="00F14CAE"/>
    <w:rsid w:val="00F17DC1"/>
    <w:rsid w:val="00F207F1"/>
    <w:rsid w:val="00F22C8D"/>
    <w:rsid w:val="00F258E6"/>
    <w:rsid w:val="00F31F12"/>
    <w:rsid w:val="00F364E1"/>
    <w:rsid w:val="00F37D84"/>
    <w:rsid w:val="00F410CF"/>
    <w:rsid w:val="00F433F5"/>
    <w:rsid w:val="00F6031B"/>
    <w:rsid w:val="00F675BD"/>
    <w:rsid w:val="00F75087"/>
    <w:rsid w:val="00F815A0"/>
    <w:rsid w:val="00F978EA"/>
    <w:rsid w:val="00FA066C"/>
    <w:rsid w:val="00FA08FD"/>
    <w:rsid w:val="00FA22C5"/>
    <w:rsid w:val="00FB3DD9"/>
    <w:rsid w:val="00FB46ED"/>
    <w:rsid w:val="00FC1FFE"/>
    <w:rsid w:val="00FD11FA"/>
    <w:rsid w:val="00FD12B6"/>
    <w:rsid w:val="00FD3539"/>
    <w:rsid w:val="00FF3C15"/>
    <w:rsid w:val="00FF70FB"/>
    <w:rsid w:val="00FF7ADF"/>
    <w:rsid w:val="012B64AF"/>
    <w:rsid w:val="01360DD9"/>
    <w:rsid w:val="01933E55"/>
    <w:rsid w:val="01B05D9C"/>
    <w:rsid w:val="01BF6469"/>
    <w:rsid w:val="02285E2D"/>
    <w:rsid w:val="025078E9"/>
    <w:rsid w:val="027C6AB9"/>
    <w:rsid w:val="02D40458"/>
    <w:rsid w:val="02DF21EF"/>
    <w:rsid w:val="031664A1"/>
    <w:rsid w:val="031E276F"/>
    <w:rsid w:val="03474013"/>
    <w:rsid w:val="03DD4D50"/>
    <w:rsid w:val="04021749"/>
    <w:rsid w:val="04185410"/>
    <w:rsid w:val="042042C5"/>
    <w:rsid w:val="045046FF"/>
    <w:rsid w:val="047F24B6"/>
    <w:rsid w:val="04997414"/>
    <w:rsid w:val="04A86794"/>
    <w:rsid w:val="04DF1A8A"/>
    <w:rsid w:val="056B77C2"/>
    <w:rsid w:val="057069E3"/>
    <w:rsid w:val="05B92D17"/>
    <w:rsid w:val="05C04FA9"/>
    <w:rsid w:val="05CB3586"/>
    <w:rsid w:val="060D10D2"/>
    <w:rsid w:val="066C72D7"/>
    <w:rsid w:val="06C62F02"/>
    <w:rsid w:val="06CD31C3"/>
    <w:rsid w:val="06F51A39"/>
    <w:rsid w:val="077A5DF3"/>
    <w:rsid w:val="07EF7321"/>
    <w:rsid w:val="080B2B96"/>
    <w:rsid w:val="08473B0E"/>
    <w:rsid w:val="08823813"/>
    <w:rsid w:val="08A40BE4"/>
    <w:rsid w:val="08B07D72"/>
    <w:rsid w:val="08E572CC"/>
    <w:rsid w:val="091D123B"/>
    <w:rsid w:val="09434CDD"/>
    <w:rsid w:val="0946657C"/>
    <w:rsid w:val="096B4234"/>
    <w:rsid w:val="097A7FD3"/>
    <w:rsid w:val="098053F7"/>
    <w:rsid w:val="09865C52"/>
    <w:rsid w:val="09D678FF"/>
    <w:rsid w:val="0A1318AA"/>
    <w:rsid w:val="0A1554BB"/>
    <w:rsid w:val="0A170B9C"/>
    <w:rsid w:val="0A1D4625"/>
    <w:rsid w:val="0A5B1BB3"/>
    <w:rsid w:val="0AC50F40"/>
    <w:rsid w:val="0AE95411"/>
    <w:rsid w:val="0B0D419A"/>
    <w:rsid w:val="0BAA1044"/>
    <w:rsid w:val="0BF64289"/>
    <w:rsid w:val="0C06116B"/>
    <w:rsid w:val="0C2F40C1"/>
    <w:rsid w:val="0C9534E4"/>
    <w:rsid w:val="0C9B273A"/>
    <w:rsid w:val="0CAE6052"/>
    <w:rsid w:val="0CF73C2B"/>
    <w:rsid w:val="0D4B59D5"/>
    <w:rsid w:val="0D683056"/>
    <w:rsid w:val="0DC64FDA"/>
    <w:rsid w:val="0E561333"/>
    <w:rsid w:val="0E5626EA"/>
    <w:rsid w:val="0E707BF7"/>
    <w:rsid w:val="0E7C659C"/>
    <w:rsid w:val="0EED1247"/>
    <w:rsid w:val="0EFA6269"/>
    <w:rsid w:val="0F1D1B2D"/>
    <w:rsid w:val="0F3F5F47"/>
    <w:rsid w:val="0F9022FF"/>
    <w:rsid w:val="0F9A317D"/>
    <w:rsid w:val="0FA53CB6"/>
    <w:rsid w:val="0FCC70AF"/>
    <w:rsid w:val="0FE50224"/>
    <w:rsid w:val="0FF56606"/>
    <w:rsid w:val="10617035"/>
    <w:rsid w:val="1101240C"/>
    <w:rsid w:val="11256439"/>
    <w:rsid w:val="11276A30"/>
    <w:rsid w:val="119D6FA6"/>
    <w:rsid w:val="11D30BC8"/>
    <w:rsid w:val="11D721C3"/>
    <w:rsid w:val="11E15093"/>
    <w:rsid w:val="11ED31A7"/>
    <w:rsid w:val="124A36D5"/>
    <w:rsid w:val="125C471A"/>
    <w:rsid w:val="125E66E4"/>
    <w:rsid w:val="12721277"/>
    <w:rsid w:val="127C7E6A"/>
    <w:rsid w:val="12A83E03"/>
    <w:rsid w:val="12B979DD"/>
    <w:rsid w:val="130726B9"/>
    <w:rsid w:val="13321ABB"/>
    <w:rsid w:val="1335053C"/>
    <w:rsid w:val="134358DA"/>
    <w:rsid w:val="1345230E"/>
    <w:rsid w:val="13873A19"/>
    <w:rsid w:val="13AE07D9"/>
    <w:rsid w:val="13AE71F7"/>
    <w:rsid w:val="13B8520A"/>
    <w:rsid w:val="14445A7B"/>
    <w:rsid w:val="147E306D"/>
    <w:rsid w:val="14A34882"/>
    <w:rsid w:val="14DF1632"/>
    <w:rsid w:val="15071CFD"/>
    <w:rsid w:val="15485429"/>
    <w:rsid w:val="15B33C35"/>
    <w:rsid w:val="15BB5BFB"/>
    <w:rsid w:val="15C01464"/>
    <w:rsid w:val="160A26DF"/>
    <w:rsid w:val="16503EC7"/>
    <w:rsid w:val="16F56A78"/>
    <w:rsid w:val="17163A31"/>
    <w:rsid w:val="1720639D"/>
    <w:rsid w:val="172872C1"/>
    <w:rsid w:val="177B5642"/>
    <w:rsid w:val="18056F1E"/>
    <w:rsid w:val="18191372"/>
    <w:rsid w:val="182E4353"/>
    <w:rsid w:val="18824714"/>
    <w:rsid w:val="18AE6841"/>
    <w:rsid w:val="18E611E1"/>
    <w:rsid w:val="19063631"/>
    <w:rsid w:val="1951749F"/>
    <w:rsid w:val="19566367"/>
    <w:rsid w:val="1959610D"/>
    <w:rsid w:val="197762DD"/>
    <w:rsid w:val="19933EEE"/>
    <w:rsid w:val="19B72B7E"/>
    <w:rsid w:val="19CB13F6"/>
    <w:rsid w:val="19E55985"/>
    <w:rsid w:val="19F85670"/>
    <w:rsid w:val="1A0836F9"/>
    <w:rsid w:val="1A0E6C42"/>
    <w:rsid w:val="1A1678A4"/>
    <w:rsid w:val="1A366198"/>
    <w:rsid w:val="1A4426FE"/>
    <w:rsid w:val="1A5852A5"/>
    <w:rsid w:val="1A6C60CD"/>
    <w:rsid w:val="1A7B161C"/>
    <w:rsid w:val="1AB15EAA"/>
    <w:rsid w:val="1B01447F"/>
    <w:rsid w:val="1B1875CE"/>
    <w:rsid w:val="1B293607"/>
    <w:rsid w:val="1B835B95"/>
    <w:rsid w:val="1B8A2EE8"/>
    <w:rsid w:val="1BA842D2"/>
    <w:rsid w:val="1BB43A5C"/>
    <w:rsid w:val="1BCD48DA"/>
    <w:rsid w:val="1BD82632"/>
    <w:rsid w:val="1BFB31F6"/>
    <w:rsid w:val="1C626DD1"/>
    <w:rsid w:val="1C8E057A"/>
    <w:rsid w:val="1CA11867"/>
    <w:rsid w:val="1CAB4C1C"/>
    <w:rsid w:val="1CBA19FF"/>
    <w:rsid w:val="1D100F23"/>
    <w:rsid w:val="1D2422D8"/>
    <w:rsid w:val="1D7F5DED"/>
    <w:rsid w:val="1D88230D"/>
    <w:rsid w:val="1D9370CB"/>
    <w:rsid w:val="1DA84CB7"/>
    <w:rsid w:val="1DE877AA"/>
    <w:rsid w:val="1E036392"/>
    <w:rsid w:val="1E8E65A3"/>
    <w:rsid w:val="1ECE699F"/>
    <w:rsid w:val="1EF63F47"/>
    <w:rsid w:val="1F015955"/>
    <w:rsid w:val="1F7A2D09"/>
    <w:rsid w:val="1F951903"/>
    <w:rsid w:val="200636BC"/>
    <w:rsid w:val="202D01CD"/>
    <w:rsid w:val="207E43F5"/>
    <w:rsid w:val="208512E0"/>
    <w:rsid w:val="208C2D42"/>
    <w:rsid w:val="209D7852"/>
    <w:rsid w:val="20C067BC"/>
    <w:rsid w:val="213616FC"/>
    <w:rsid w:val="216D6944"/>
    <w:rsid w:val="217C0935"/>
    <w:rsid w:val="21AF7EF2"/>
    <w:rsid w:val="21C30CB0"/>
    <w:rsid w:val="21D104C4"/>
    <w:rsid w:val="21E6112F"/>
    <w:rsid w:val="21F11323"/>
    <w:rsid w:val="22017635"/>
    <w:rsid w:val="222334A6"/>
    <w:rsid w:val="22674CA4"/>
    <w:rsid w:val="228C104B"/>
    <w:rsid w:val="22907C70"/>
    <w:rsid w:val="229D231D"/>
    <w:rsid w:val="22BD6633"/>
    <w:rsid w:val="23325476"/>
    <w:rsid w:val="235E3DED"/>
    <w:rsid w:val="23865A9B"/>
    <w:rsid w:val="23BB5196"/>
    <w:rsid w:val="23CA1F83"/>
    <w:rsid w:val="241E2177"/>
    <w:rsid w:val="243454F7"/>
    <w:rsid w:val="2445396E"/>
    <w:rsid w:val="2446522A"/>
    <w:rsid w:val="247D6DFF"/>
    <w:rsid w:val="24A01F79"/>
    <w:rsid w:val="24CA19B7"/>
    <w:rsid w:val="24F20F0E"/>
    <w:rsid w:val="2557368E"/>
    <w:rsid w:val="25643BBA"/>
    <w:rsid w:val="25B85CB3"/>
    <w:rsid w:val="25C75968"/>
    <w:rsid w:val="25E22D30"/>
    <w:rsid w:val="25FE6C33"/>
    <w:rsid w:val="26203303"/>
    <w:rsid w:val="267A11BB"/>
    <w:rsid w:val="26B03760"/>
    <w:rsid w:val="26B06017"/>
    <w:rsid w:val="26CD578F"/>
    <w:rsid w:val="27514612"/>
    <w:rsid w:val="27A22094"/>
    <w:rsid w:val="27C466B3"/>
    <w:rsid w:val="27DE4458"/>
    <w:rsid w:val="27E155FB"/>
    <w:rsid w:val="27E9484A"/>
    <w:rsid w:val="27F37477"/>
    <w:rsid w:val="281D567C"/>
    <w:rsid w:val="283B5EFF"/>
    <w:rsid w:val="283F5126"/>
    <w:rsid w:val="28500425"/>
    <w:rsid w:val="287216A5"/>
    <w:rsid w:val="28920A3E"/>
    <w:rsid w:val="28F434A6"/>
    <w:rsid w:val="291B6C85"/>
    <w:rsid w:val="293B10D5"/>
    <w:rsid w:val="29945580"/>
    <w:rsid w:val="29FD7462"/>
    <w:rsid w:val="2A047719"/>
    <w:rsid w:val="2A0B7489"/>
    <w:rsid w:val="2A0C4820"/>
    <w:rsid w:val="2A102562"/>
    <w:rsid w:val="2A337FFE"/>
    <w:rsid w:val="2AF31B43"/>
    <w:rsid w:val="2B033E75"/>
    <w:rsid w:val="2B1E2A5D"/>
    <w:rsid w:val="2B2140BD"/>
    <w:rsid w:val="2B381D70"/>
    <w:rsid w:val="2B5D5D70"/>
    <w:rsid w:val="2B606BD1"/>
    <w:rsid w:val="2B867186"/>
    <w:rsid w:val="2B9C1C62"/>
    <w:rsid w:val="2BBD2276"/>
    <w:rsid w:val="2BDB3C20"/>
    <w:rsid w:val="2BFF27DA"/>
    <w:rsid w:val="2C4C35F9"/>
    <w:rsid w:val="2CBF5B79"/>
    <w:rsid w:val="2CDD4252"/>
    <w:rsid w:val="2CF75313"/>
    <w:rsid w:val="2D285E15"/>
    <w:rsid w:val="2D3130E3"/>
    <w:rsid w:val="2D7B4196"/>
    <w:rsid w:val="2D900EBE"/>
    <w:rsid w:val="2DB27BB8"/>
    <w:rsid w:val="2DCC67A0"/>
    <w:rsid w:val="2DE31D62"/>
    <w:rsid w:val="2E165C6D"/>
    <w:rsid w:val="2E50117F"/>
    <w:rsid w:val="2E9E4C7F"/>
    <w:rsid w:val="2ED56D9E"/>
    <w:rsid w:val="2EDD678B"/>
    <w:rsid w:val="2EEC39D8"/>
    <w:rsid w:val="2EED10C4"/>
    <w:rsid w:val="2F0401BB"/>
    <w:rsid w:val="2F057E2F"/>
    <w:rsid w:val="2F2B5748"/>
    <w:rsid w:val="2F3321FA"/>
    <w:rsid w:val="2F544C9F"/>
    <w:rsid w:val="2F751905"/>
    <w:rsid w:val="2FA21EAE"/>
    <w:rsid w:val="2FFB046F"/>
    <w:rsid w:val="30330D58"/>
    <w:rsid w:val="304B06CD"/>
    <w:rsid w:val="305A25CD"/>
    <w:rsid w:val="307F59BE"/>
    <w:rsid w:val="30AD0B0B"/>
    <w:rsid w:val="30B8216E"/>
    <w:rsid w:val="30D56E57"/>
    <w:rsid w:val="30E14632"/>
    <w:rsid w:val="30FF50DE"/>
    <w:rsid w:val="31272DDE"/>
    <w:rsid w:val="319628B0"/>
    <w:rsid w:val="31B00187"/>
    <w:rsid w:val="31FC517A"/>
    <w:rsid w:val="321D3A6E"/>
    <w:rsid w:val="32A145C3"/>
    <w:rsid w:val="32D36F23"/>
    <w:rsid w:val="33084F0A"/>
    <w:rsid w:val="33637328"/>
    <w:rsid w:val="338F44F8"/>
    <w:rsid w:val="339C4E66"/>
    <w:rsid w:val="33B201E6"/>
    <w:rsid w:val="33B43DDA"/>
    <w:rsid w:val="34017A8A"/>
    <w:rsid w:val="340F388A"/>
    <w:rsid w:val="34473024"/>
    <w:rsid w:val="3457080F"/>
    <w:rsid w:val="349F2A33"/>
    <w:rsid w:val="34C12DD7"/>
    <w:rsid w:val="34DB19BE"/>
    <w:rsid w:val="350B7DFE"/>
    <w:rsid w:val="350C3926"/>
    <w:rsid w:val="353C1845"/>
    <w:rsid w:val="3542559A"/>
    <w:rsid w:val="35A85694"/>
    <w:rsid w:val="35C30488"/>
    <w:rsid w:val="35CD57AB"/>
    <w:rsid w:val="35ED3757"/>
    <w:rsid w:val="364A0BAA"/>
    <w:rsid w:val="367A15B2"/>
    <w:rsid w:val="36963DEF"/>
    <w:rsid w:val="36A92528"/>
    <w:rsid w:val="36B24E78"/>
    <w:rsid w:val="36F01751"/>
    <w:rsid w:val="37315AF4"/>
    <w:rsid w:val="37362EDC"/>
    <w:rsid w:val="373A0C1E"/>
    <w:rsid w:val="3787198A"/>
    <w:rsid w:val="37904CE2"/>
    <w:rsid w:val="37B207B5"/>
    <w:rsid w:val="37C64260"/>
    <w:rsid w:val="37F7266B"/>
    <w:rsid w:val="37FA7A6D"/>
    <w:rsid w:val="381C6576"/>
    <w:rsid w:val="381E3A38"/>
    <w:rsid w:val="38496D6C"/>
    <w:rsid w:val="388D1222"/>
    <w:rsid w:val="3892621E"/>
    <w:rsid w:val="38B663C8"/>
    <w:rsid w:val="38C904AC"/>
    <w:rsid w:val="38CA2129"/>
    <w:rsid w:val="38E05B90"/>
    <w:rsid w:val="38FA68B7"/>
    <w:rsid w:val="394C69E7"/>
    <w:rsid w:val="39A44A75"/>
    <w:rsid w:val="3A581611"/>
    <w:rsid w:val="3A744447"/>
    <w:rsid w:val="3A9E3272"/>
    <w:rsid w:val="3AA30888"/>
    <w:rsid w:val="3ABF5B7F"/>
    <w:rsid w:val="3AD54DCB"/>
    <w:rsid w:val="3ADD5E57"/>
    <w:rsid w:val="3AE710BD"/>
    <w:rsid w:val="3AFB3576"/>
    <w:rsid w:val="3B3F4A55"/>
    <w:rsid w:val="3B8763FC"/>
    <w:rsid w:val="3BBF05DE"/>
    <w:rsid w:val="3BC44F5A"/>
    <w:rsid w:val="3BD74CEB"/>
    <w:rsid w:val="3BED091B"/>
    <w:rsid w:val="3C301AFA"/>
    <w:rsid w:val="3C60699C"/>
    <w:rsid w:val="3CCF2BB5"/>
    <w:rsid w:val="3CF60458"/>
    <w:rsid w:val="3D042809"/>
    <w:rsid w:val="3DFB6DE9"/>
    <w:rsid w:val="3E481E73"/>
    <w:rsid w:val="3E8743FE"/>
    <w:rsid w:val="3F3E3276"/>
    <w:rsid w:val="3F530871"/>
    <w:rsid w:val="3F88629F"/>
    <w:rsid w:val="3F992808"/>
    <w:rsid w:val="3FB83028"/>
    <w:rsid w:val="3FBE048B"/>
    <w:rsid w:val="3FD62318"/>
    <w:rsid w:val="3FEB6F5A"/>
    <w:rsid w:val="401A339B"/>
    <w:rsid w:val="4067627C"/>
    <w:rsid w:val="40751A3C"/>
    <w:rsid w:val="409265EE"/>
    <w:rsid w:val="40D92E51"/>
    <w:rsid w:val="415218E2"/>
    <w:rsid w:val="416D1BF0"/>
    <w:rsid w:val="41BE244C"/>
    <w:rsid w:val="41C9151C"/>
    <w:rsid w:val="41E719A3"/>
    <w:rsid w:val="41F221ED"/>
    <w:rsid w:val="420D3DF2"/>
    <w:rsid w:val="42224789"/>
    <w:rsid w:val="423D22FD"/>
    <w:rsid w:val="42A96C58"/>
    <w:rsid w:val="431C742A"/>
    <w:rsid w:val="43771A87"/>
    <w:rsid w:val="441B5933"/>
    <w:rsid w:val="444F53BD"/>
    <w:rsid w:val="44572164"/>
    <w:rsid w:val="4468632C"/>
    <w:rsid w:val="44737C99"/>
    <w:rsid w:val="44C10289"/>
    <w:rsid w:val="44ED5664"/>
    <w:rsid w:val="44F364BA"/>
    <w:rsid w:val="45344114"/>
    <w:rsid w:val="453E18DA"/>
    <w:rsid w:val="456A6701"/>
    <w:rsid w:val="45A1630C"/>
    <w:rsid w:val="45D756FD"/>
    <w:rsid w:val="45F24ED8"/>
    <w:rsid w:val="46611551"/>
    <w:rsid w:val="473A796F"/>
    <w:rsid w:val="47726C6E"/>
    <w:rsid w:val="478B2DD0"/>
    <w:rsid w:val="47AD2D46"/>
    <w:rsid w:val="47BF6BE7"/>
    <w:rsid w:val="47EA5D49"/>
    <w:rsid w:val="483D40CA"/>
    <w:rsid w:val="48515DC8"/>
    <w:rsid w:val="48597AA1"/>
    <w:rsid w:val="48616533"/>
    <w:rsid w:val="486C49B0"/>
    <w:rsid w:val="489610DE"/>
    <w:rsid w:val="48A979B2"/>
    <w:rsid w:val="48E46C3C"/>
    <w:rsid w:val="48E73DE4"/>
    <w:rsid w:val="48F055E1"/>
    <w:rsid w:val="49290AF3"/>
    <w:rsid w:val="494476DB"/>
    <w:rsid w:val="49501DD8"/>
    <w:rsid w:val="495711BC"/>
    <w:rsid w:val="496F29A9"/>
    <w:rsid w:val="497D7414"/>
    <w:rsid w:val="49A454A8"/>
    <w:rsid w:val="49B22A94"/>
    <w:rsid w:val="49BC0661"/>
    <w:rsid w:val="49BF63F4"/>
    <w:rsid w:val="49C66341"/>
    <w:rsid w:val="49C807D4"/>
    <w:rsid w:val="4A514D2A"/>
    <w:rsid w:val="4A8E3303"/>
    <w:rsid w:val="4A99021A"/>
    <w:rsid w:val="4AA743C5"/>
    <w:rsid w:val="4AFA2747"/>
    <w:rsid w:val="4B1E03E7"/>
    <w:rsid w:val="4B30329B"/>
    <w:rsid w:val="4B305DC6"/>
    <w:rsid w:val="4BA95F1B"/>
    <w:rsid w:val="4BAB57EF"/>
    <w:rsid w:val="4BD9754E"/>
    <w:rsid w:val="4BE920DE"/>
    <w:rsid w:val="4C054A64"/>
    <w:rsid w:val="4C4C4730"/>
    <w:rsid w:val="4C6D6F48"/>
    <w:rsid w:val="4CBD3A2C"/>
    <w:rsid w:val="4CD578B0"/>
    <w:rsid w:val="4CDC07DE"/>
    <w:rsid w:val="4D1B758A"/>
    <w:rsid w:val="4D371A30"/>
    <w:rsid w:val="4D5F4AE3"/>
    <w:rsid w:val="4D695962"/>
    <w:rsid w:val="4D8602C2"/>
    <w:rsid w:val="4DA30E74"/>
    <w:rsid w:val="4E0C23A2"/>
    <w:rsid w:val="4E5C54C6"/>
    <w:rsid w:val="4E6F71BF"/>
    <w:rsid w:val="4E922C96"/>
    <w:rsid w:val="4E934692"/>
    <w:rsid w:val="4EA053B3"/>
    <w:rsid w:val="4EA97A5C"/>
    <w:rsid w:val="4EC77780"/>
    <w:rsid w:val="4EDE412D"/>
    <w:rsid w:val="4EE72FE2"/>
    <w:rsid w:val="4EF3271A"/>
    <w:rsid w:val="4F065AAC"/>
    <w:rsid w:val="4F1B2C8C"/>
    <w:rsid w:val="4F7E3FDF"/>
    <w:rsid w:val="4F8A257E"/>
    <w:rsid w:val="4F8D56E9"/>
    <w:rsid w:val="4FA94B75"/>
    <w:rsid w:val="4FB82BD0"/>
    <w:rsid w:val="4FD55530"/>
    <w:rsid w:val="50090649"/>
    <w:rsid w:val="504656BE"/>
    <w:rsid w:val="5051105B"/>
    <w:rsid w:val="50874A7C"/>
    <w:rsid w:val="50AF3052"/>
    <w:rsid w:val="50B667D3"/>
    <w:rsid w:val="50C35389"/>
    <w:rsid w:val="50D650BC"/>
    <w:rsid w:val="512E27E4"/>
    <w:rsid w:val="51C770FB"/>
    <w:rsid w:val="51D04201"/>
    <w:rsid w:val="52E2243E"/>
    <w:rsid w:val="5314255F"/>
    <w:rsid w:val="53402E60"/>
    <w:rsid w:val="535029F5"/>
    <w:rsid w:val="53672943"/>
    <w:rsid w:val="536F0303"/>
    <w:rsid w:val="536F68D7"/>
    <w:rsid w:val="53C15FC4"/>
    <w:rsid w:val="53C953AC"/>
    <w:rsid w:val="5402266C"/>
    <w:rsid w:val="543842E0"/>
    <w:rsid w:val="54803E83"/>
    <w:rsid w:val="54A67309"/>
    <w:rsid w:val="54F6036C"/>
    <w:rsid w:val="55102B67"/>
    <w:rsid w:val="554C4361"/>
    <w:rsid w:val="55704F3C"/>
    <w:rsid w:val="558773C1"/>
    <w:rsid w:val="55E262B1"/>
    <w:rsid w:val="563228AA"/>
    <w:rsid w:val="563A1A2F"/>
    <w:rsid w:val="563B3C13"/>
    <w:rsid w:val="568B6DDC"/>
    <w:rsid w:val="56B537AC"/>
    <w:rsid w:val="56B91708"/>
    <w:rsid w:val="56C37E91"/>
    <w:rsid w:val="56C43C09"/>
    <w:rsid w:val="56EA18C1"/>
    <w:rsid w:val="56F269C8"/>
    <w:rsid w:val="57106FCA"/>
    <w:rsid w:val="571406EC"/>
    <w:rsid w:val="571F2225"/>
    <w:rsid w:val="573A3ECB"/>
    <w:rsid w:val="57A23F4A"/>
    <w:rsid w:val="57A46D66"/>
    <w:rsid w:val="57B42F13"/>
    <w:rsid w:val="58070251"/>
    <w:rsid w:val="582B414B"/>
    <w:rsid w:val="58415745"/>
    <w:rsid w:val="584C2108"/>
    <w:rsid w:val="58810003"/>
    <w:rsid w:val="58827087"/>
    <w:rsid w:val="58A65CBC"/>
    <w:rsid w:val="58F5454D"/>
    <w:rsid w:val="592D018B"/>
    <w:rsid w:val="598002BB"/>
    <w:rsid w:val="59C75EEA"/>
    <w:rsid w:val="5A253D2B"/>
    <w:rsid w:val="5A511C57"/>
    <w:rsid w:val="5A7B154E"/>
    <w:rsid w:val="5AF70A51"/>
    <w:rsid w:val="5AFA409D"/>
    <w:rsid w:val="5B1038C0"/>
    <w:rsid w:val="5B7F1DF1"/>
    <w:rsid w:val="5B93274A"/>
    <w:rsid w:val="5BA85EEE"/>
    <w:rsid w:val="5BCF7320"/>
    <w:rsid w:val="5BDE1EE0"/>
    <w:rsid w:val="5BEC7E8A"/>
    <w:rsid w:val="5C2677D4"/>
    <w:rsid w:val="5C292E8C"/>
    <w:rsid w:val="5C6F779B"/>
    <w:rsid w:val="5C9B540C"/>
    <w:rsid w:val="5CA761D1"/>
    <w:rsid w:val="5CD2438D"/>
    <w:rsid w:val="5CFF31EA"/>
    <w:rsid w:val="5D152BB5"/>
    <w:rsid w:val="5D24191A"/>
    <w:rsid w:val="5D641CA2"/>
    <w:rsid w:val="5D900CE9"/>
    <w:rsid w:val="5DB91881"/>
    <w:rsid w:val="5DC559D7"/>
    <w:rsid w:val="5DED7EE9"/>
    <w:rsid w:val="5E007347"/>
    <w:rsid w:val="5E1F3845"/>
    <w:rsid w:val="5E2F0501"/>
    <w:rsid w:val="5E394EDC"/>
    <w:rsid w:val="5E4F64AE"/>
    <w:rsid w:val="5E6466ED"/>
    <w:rsid w:val="5E7128C8"/>
    <w:rsid w:val="5E954808"/>
    <w:rsid w:val="5EA20DA4"/>
    <w:rsid w:val="5EA26F25"/>
    <w:rsid w:val="5EAA5DDA"/>
    <w:rsid w:val="5EB84053"/>
    <w:rsid w:val="5EC92704"/>
    <w:rsid w:val="5EF059D8"/>
    <w:rsid w:val="5F244213"/>
    <w:rsid w:val="5F4C3A48"/>
    <w:rsid w:val="5F9525E6"/>
    <w:rsid w:val="5FB822D3"/>
    <w:rsid w:val="604A517F"/>
    <w:rsid w:val="605303A5"/>
    <w:rsid w:val="60687CFB"/>
    <w:rsid w:val="60E303F3"/>
    <w:rsid w:val="611F485D"/>
    <w:rsid w:val="61446072"/>
    <w:rsid w:val="61614E76"/>
    <w:rsid w:val="61952914"/>
    <w:rsid w:val="61D4389A"/>
    <w:rsid w:val="62373E29"/>
    <w:rsid w:val="62451DF4"/>
    <w:rsid w:val="62A019CE"/>
    <w:rsid w:val="63473BF7"/>
    <w:rsid w:val="637846F9"/>
    <w:rsid w:val="63F024E1"/>
    <w:rsid w:val="64250155"/>
    <w:rsid w:val="64276A3B"/>
    <w:rsid w:val="64305D20"/>
    <w:rsid w:val="646D58E0"/>
    <w:rsid w:val="647503DF"/>
    <w:rsid w:val="6497136C"/>
    <w:rsid w:val="64C45DE1"/>
    <w:rsid w:val="64C66E1D"/>
    <w:rsid w:val="64D03589"/>
    <w:rsid w:val="64DD2A65"/>
    <w:rsid w:val="64FB305C"/>
    <w:rsid w:val="65273CE0"/>
    <w:rsid w:val="65420B1A"/>
    <w:rsid w:val="65817895"/>
    <w:rsid w:val="65864EAB"/>
    <w:rsid w:val="65CE0600"/>
    <w:rsid w:val="65E240AB"/>
    <w:rsid w:val="668072CB"/>
    <w:rsid w:val="66C814F3"/>
    <w:rsid w:val="671F556E"/>
    <w:rsid w:val="674A015A"/>
    <w:rsid w:val="67694A84"/>
    <w:rsid w:val="67E27EFB"/>
    <w:rsid w:val="67E934CF"/>
    <w:rsid w:val="67FD51CC"/>
    <w:rsid w:val="6817003C"/>
    <w:rsid w:val="68694610"/>
    <w:rsid w:val="686F7E78"/>
    <w:rsid w:val="68A07766"/>
    <w:rsid w:val="68A815DC"/>
    <w:rsid w:val="68CF0917"/>
    <w:rsid w:val="690507DD"/>
    <w:rsid w:val="69054339"/>
    <w:rsid w:val="69154ABB"/>
    <w:rsid w:val="693B7D5A"/>
    <w:rsid w:val="69A0447E"/>
    <w:rsid w:val="69DA1BF4"/>
    <w:rsid w:val="69E83F6C"/>
    <w:rsid w:val="6A040A94"/>
    <w:rsid w:val="6A31115D"/>
    <w:rsid w:val="6A350C4E"/>
    <w:rsid w:val="6A4175F2"/>
    <w:rsid w:val="6A837C0B"/>
    <w:rsid w:val="6A927A03"/>
    <w:rsid w:val="6AF503DD"/>
    <w:rsid w:val="6B0F76F1"/>
    <w:rsid w:val="6B142F59"/>
    <w:rsid w:val="6B603B25"/>
    <w:rsid w:val="6B715CB5"/>
    <w:rsid w:val="6B71602F"/>
    <w:rsid w:val="6B7457A6"/>
    <w:rsid w:val="6C042FCD"/>
    <w:rsid w:val="6C1D41D2"/>
    <w:rsid w:val="6C2B2308"/>
    <w:rsid w:val="6C77379F"/>
    <w:rsid w:val="6C863145"/>
    <w:rsid w:val="6CB36049"/>
    <w:rsid w:val="6CCE0EE6"/>
    <w:rsid w:val="6D0244F4"/>
    <w:rsid w:val="6D550B05"/>
    <w:rsid w:val="6D77332B"/>
    <w:rsid w:val="6DC9002B"/>
    <w:rsid w:val="6E1B25FD"/>
    <w:rsid w:val="6E2D0DB9"/>
    <w:rsid w:val="6E922B12"/>
    <w:rsid w:val="6EBA5BC5"/>
    <w:rsid w:val="6EC86665"/>
    <w:rsid w:val="6EEB0ADF"/>
    <w:rsid w:val="6F0A08FB"/>
    <w:rsid w:val="6F280863"/>
    <w:rsid w:val="6F5953DE"/>
    <w:rsid w:val="6F7A7103"/>
    <w:rsid w:val="6F843BE1"/>
    <w:rsid w:val="6F8B2AAC"/>
    <w:rsid w:val="6FAD0AA1"/>
    <w:rsid w:val="6FB70357"/>
    <w:rsid w:val="6FDC61FC"/>
    <w:rsid w:val="6FE719F9"/>
    <w:rsid w:val="7009478C"/>
    <w:rsid w:val="704B2348"/>
    <w:rsid w:val="70813A4D"/>
    <w:rsid w:val="70A6614A"/>
    <w:rsid w:val="70A703CB"/>
    <w:rsid w:val="70AB3A18"/>
    <w:rsid w:val="70CE5958"/>
    <w:rsid w:val="70E33C39"/>
    <w:rsid w:val="70EC5DDE"/>
    <w:rsid w:val="71081025"/>
    <w:rsid w:val="71CF357D"/>
    <w:rsid w:val="71F166E3"/>
    <w:rsid w:val="7231619E"/>
    <w:rsid w:val="72624905"/>
    <w:rsid w:val="728C28C5"/>
    <w:rsid w:val="72D11FC9"/>
    <w:rsid w:val="72F86CBC"/>
    <w:rsid w:val="7371347D"/>
    <w:rsid w:val="73E26D80"/>
    <w:rsid w:val="7407365B"/>
    <w:rsid w:val="740C0C71"/>
    <w:rsid w:val="74547A54"/>
    <w:rsid w:val="74591FEB"/>
    <w:rsid w:val="746740F9"/>
    <w:rsid w:val="748B4BCA"/>
    <w:rsid w:val="74B51309"/>
    <w:rsid w:val="74B573AB"/>
    <w:rsid w:val="74CB28DA"/>
    <w:rsid w:val="74CF1C9F"/>
    <w:rsid w:val="74DD43BC"/>
    <w:rsid w:val="74E00EDF"/>
    <w:rsid w:val="74FB19AD"/>
    <w:rsid w:val="75281B9B"/>
    <w:rsid w:val="75531E96"/>
    <w:rsid w:val="7578477B"/>
    <w:rsid w:val="757C1E26"/>
    <w:rsid w:val="75CF430F"/>
    <w:rsid w:val="75EF25F8"/>
    <w:rsid w:val="75F2239C"/>
    <w:rsid w:val="76373B19"/>
    <w:rsid w:val="76BD44A5"/>
    <w:rsid w:val="77456248"/>
    <w:rsid w:val="775766A7"/>
    <w:rsid w:val="77622CA5"/>
    <w:rsid w:val="77A15B74"/>
    <w:rsid w:val="77CD0717"/>
    <w:rsid w:val="77F9775E"/>
    <w:rsid w:val="77FA652A"/>
    <w:rsid w:val="78283BA0"/>
    <w:rsid w:val="78866B18"/>
    <w:rsid w:val="788E6CCB"/>
    <w:rsid w:val="78992CEF"/>
    <w:rsid w:val="78E35D19"/>
    <w:rsid w:val="790C1713"/>
    <w:rsid w:val="79312F28"/>
    <w:rsid w:val="79703A50"/>
    <w:rsid w:val="79BF22E2"/>
    <w:rsid w:val="79FF3026"/>
    <w:rsid w:val="7A094544"/>
    <w:rsid w:val="7A24483B"/>
    <w:rsid w:val="7A6050B3"/>
    <w:rsid w:val="7A626150"/>
    <w:rsid w:val="7A831561"/>
    <w:rsid w:val="7AE244DA"/>
    <w:rsid w:val="7AF81F4F"/>
    <w:rsid w:val="7B0004F2"/>
    <w:rsid w:val="7B054908"/>
    <w:rsid w:val="7B1C3E77"/>
    <w:rsid w:val="7B486307"/>
    <w:rsid w:val="7B7B7480"/>
    <w:rsid w:val="7B8C08E9"/>
    <w:rsid w:val="7C2A25DC"/>
    <w:rsid w:val="7C8810B1"/>
    <w:rsid w:val="7CEF7F70"/>
    <w:rsid w:val="7D1745E1"/>
    <w:rsid w:val="7D1961AD"/>
    <w:rsid w:val="7D3812BF"/>
    <w:rsid w:val="7D3927A9"/>
    <w:rsid w:val="7D3D633F"/>
    <w:rsid w:val="7D553A71"/>
    <w:rsid w:val="7DA67B57"/>
    <w:rsid w:val="7E0D1B42"/>
    <w:rsid w:val="7E1F77F3"/>
    <w:rsid w:val="7E350654"/>
    <w:rsid w:val="7E6D0D6A"/>
    <w:rsid w:val="7EB51837"/>
    <w:rsid w:val="7EC50CDF"/>
    <w:rsid w:val="7EDE320A"/>
    <w:rsid w:val="7EFB0260"/>
    <w:rsid w:val="7EFE38AC"/>
    <w:rsid w:val="7F034BB0"/>
    <w:rsid w:val="7F13473F"/>
    <w:rsid w:val="7F264BB1"/>
    <w:rsid w:val="7F6C6A68"/>
    <w:rsid w:val="7F881952"/>
    <w:rsid w:val="7FA507A0"/>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20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5"/>
    <w:link w:val="81"/>
    <w:qFormat/>
    <w:uiPriority w:val="0"/>
    <w:pPr>
      <w:spacing w:before="120" w:after="120" w:line="360" w:lineRule="auto"/>
      <w:outlineLvl w:val="1"/>
    </w:pPr>
    <w:rPr>
      <w:rFonts w:ascii="Times New Roman" w:hAnsi="Times New Roman"/>
      <w:b/>
      <w:sz w:val="24"/>
    </w:rPr>
  </w:style>
  <w:style w:type="paragraph" w:styleId="6">
    <w:name w:val="heading 3"/>
    <w:next w:val="1"/>
    <w:link w:val="132"/>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7">
    <w:name w:val="heading 4"/>
    <w:next w:val="1"/>
    <w:link w:val="64"/>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8">
    <w:name w:val="heading 5"/>
    <w:next w:val="1"/>
    <w:link w:val="21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9">
    <w:name w:val="heading 6"/>
    <w:next w:val="1"/>
    <w:link w:val="25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0">
    <w:name w:val="heading 7"/>
    <w:next w:val="1"/>
    <w:link w:val="21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1">
    <w:name w:val="heading 8"/>
    <w:next w:val="1"/>
    <w:link w:val="239"/>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2">
    <w:name w:val="heading 9"/>
    <w:next w:val="1"/>
    <w:link w:val="23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5">
    <w:name w:val="Body Text"/>
    <w:basedOn w:val="1"/>
    <w:link w:val="138"/>
    <w:qFormat/>
    <w:uiPriority w:val="99"/>
    <w:pPr>
      <w:spacing w:after="120" w:line="300" w:lineRule="auto"/>
      <w:ind w:firstLine="420" w:firstLineChars="200"/>
    </w:pPr>
    <w:rPr>
      <w:rFonts w:ascii="Times New Roman" w:hAnsi="Times New Roman"/>
      <w:sz w:val="24"/>
    </w:rPr>
  </w:style>
  <w:style w:type="paragraph" w:styleId="13">
    <w:name w:val="toc 7"/>
    <w:basedOn w:val="1"/>
    <w:next w:val="1"/>
    <w:unhideWhenUsed/>
    <w:qFormat/>
    <w:uiPriority w:val="39"/>
    <w:pPr>
      <w:spacing w:after="57"/>
      <w:ind w:left="1701"/>
    </w:pPr>
  </w:style>
  <w:style w:type="paragraph" w:styleId="14">
    <w:name w:val="Normal Indent"/>
    <w:basedOn w:val="1"/>
    <w:qFormat/>
    <w:uiPriority w:val="99"/>
    <w:pPr>
      <w:ind w:firstLine="420"/>
    </w:pPr>
    <w:rPr>
      <w:rFonts w:ascii="Times New Roman" w:hAnsi="Times New Roman"/>
      <w:szCs w:val="24"/>
    </w:r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214"/>
    <w:unhideWhenUsed/>
    <w:qFormat/>
    <w:uiPriority w:val="0"/>
    <w:pPr>
      <w:jc w:val="left"/>
    </w:pPr>
  </w:style>
  <w:style w:type="paragraph" w:styleId="18">
    <w:name w:val="Body Text Indent"/>
    <w:basedOn w:val="1"/>
    <w:next w:val="19"/>
    <w:qFormat/>
    <w:uiPriority w:val="0"/>
    <w:pPr>
      <w:spacing w:line="480" w:lineRule="exact"/>
      <w:ind w:firstLine="480" w:firstLineChars="200"/>
    </w:pPr>
    <w:rPr>
      <w:rFonts w:ascii="宋体" w:hAnsi="宋体"/>
      <w:sz w:val="24"/>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99"/>
    <w:pPr>
      <w:ind w:left="100" w:leftChars="200" w:hanging="200" w:hangingChars="200"/>
    </w:pPr>
  </w:style>
  <w:style w:type="paragraph" w:styleId="21">
    <w:name w:val="List Bullet 2"/>
    <w:basedOn w:val="1"/>
    <w:semiHidden/>
    <w:unhideWhenUsed/>
    <w:qFormat/>
    <w:uiPriority w:val="99"/>
    <w:pPr>
      <w:numPr>
        <w:ilvl w:val="0"/>
        <w:numId w:val="1"/>
      </w:numPr>
    </w:pPr>
  </w:style>
  <w:style w:type="paragraph" w:styleId="22">
    <w:name w:val="index 4"/>
    <w:basedOn w:val="1"/>
    <w:next w:val="1"/>
    <w:qFormat/>
    <w:uiPriority w:val="99"/>
    <w:pPr>
      <w:ind w:left="600" w:leftChars="600"/>
    </w:pPr>
    <w:rPr>
      <w:rFonts w:ascii="Verdana" w:hAnsi="Verdana"/>
    </w:rPr>
  </w:style>
  <w:style w:type="paragraph" w:styleId="23">
    <w:name w:val="toc 5"/>
    <w:basedOn w:val="1"/>
    <w:next w:val="1"/>
    <w:unhideWhenUsed/>
    <w:qFormat/>
    <w:uiPriority w:val="39"/>
    <w:pPr>
      <w:spacing w:after="57"/>
      <w:ind w:left="1134"/>
    </w:pPr>
  </w:style>
  <w:style w:type="paragraph" w:styleId="24">
    <w:name w:val="toc 3"/>
    <w:basedOn w:val="1"/>
    <w:next w:val="1"/>
    <w:qFormat/>
    <w:uiPriority w:val="39"/>
    <w:pPr>
      <w:ind w:left="840"/>
    </w:pPr>
  </w:style>
  <w:style w:type="paragraph" w:styleId="25">
    <w:name w:val="Plain Text"/>
    <w:basedOn w:val="1"/>
    <w:link w:val="188"/>
    <w:qFormat/>
    <w:uiPriority w:val="0"/>
    <w:rPr>
      <w:rFonts w:ascii="宋体" w:hAnsi="Courier New"/>
    </w:rPr>
  </w:style>
  <w:style w:type="paragraph" w:styleId="26">
    <w:name w:val="toc 8"/>
    <w:basedOn w:val="1"/>
    <w:next w:val="1"/>
    <w:unhideWhenUsed/>
    <w:qFormat/>
    <w:uiPriority w:val="39"/>
    <w:pPr>
      <w:spacing w:after="57"/>
      <w:ind w:left="1984"/>
    </w:pPr>
  </w:style>
  <w:style w:type="paragraph" w:styleId="27">
    <w:name w:val="Date"/>
    <w:basedOn w:val="1"/>
    <w:next w:val="1"/>
    <w:link w:val="232"/>
    <w:qFormat/>
    <w:uiPriority w:val="0"/>
    <w:pPr>
      <w:ind w:left="100"/>
    </w:pPr>
    <w:rPr>
      <w:rFonts w:ascii="Times New Roman" w:hAnsi="Times New Roman"/>
      <w:szCs w:val="24"/>
    </w:rPr>
  </w:style>
  <w:style w:type="paragraph" w:styleId="28">
    <w:name w:val="Body Text Indent 2"/>
    <w:basedOn w:val="1"/>
    <w:qFormat/>
    <w:uiPriority w:val="99"/>
    <w:pPr>
      <w:spacing w:line="400" w:lineRule="exact"/>
      <w:ind w:firstLine="480"/>
    </w:pPr>
    <w:rPr>
      <w:rFonts w:ascii="宋体" w:hAnsi="宋体"/>
      <w:sz w:val="24"/>
      <w:szCs w:val="20"/>
    </w:rPr>
  </w:style>
  <w:style w:type="paragraph" w:styleId="29">
    <w:name w:val="endnote text"/>
    <w:basedOn w:val="1"/>
    <w:link w:val="227"/>
    <w:unhideWhenUsed/>
    <w:qFormat/>
    <w:uiPriority w:val="99"/>
    <w:rPr>
      <w:sz w:val="20"/>
    </w:rPr>
  </w:style>
  <w:style w:type="paragraph" w:styleId="30">
    <w:name w:val="Balloon Text"/>
    <w:basedOn w:val="1"/>
    <w:link w:val="276"/>
    <w:unhideWhenUsed/>
    <w:qFormat/>
    <w:uiPriority w:val="99"/>
    <w:rPr>
      <w:sz w:val="18"/>
      <w:szCs w:val="18"/>
    </w:rPr>
  </w:style>
  <w:style w:type="paragraph" w:styleId="31">
    <w:name w:val="footer"/>
    <w:basedOn w:val="1"/>
    <w:link w:val="129"/>
    <w:unhideWhenUsed/>
    <w:qFormat/>
    <w:uiPriority w:val="99"/>
    <w:pPr>
      <w:tabs>
        <w:tab w:val="center" w:pos="4153"/>
        <w:tab w:val="right" w:pos="8306"/>
      </w:tabs>
      <w:jc w:val="left"/>
    </w:pPr>
    <w:rPr>
      <w:sz w:val="18"/>
      <w:szCs w:val="18"/>
    </w:rPr>
  </w:style>
  <w:style w:type="paragraph" w:styleId="32">
    <w:name w:val="header"/>
    <w:basedOn w:val="1"/>
    <w:link w:val="261"/>
    <w:unhideWhenUsed/>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spacing w:after="57"/>
      <w:ind w:left="850"/>
    </w:pPr>
  </w:style>
  <w:style w:type="paragraph" w:styleId="35">
    <w:name w:val="Subtitle"/>
    <w:next w:val="1"/>
    <w:link w:val="17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6">
    <w:name w:val="footnote text"/>
    <w:basedOn w:val="1"/>
    <w:link w:val="149"/>
    <w:unhideWhenUsed/>
    <w:qFormat/>
    <w:uiPriority w:val="99"/>
    <w:pPr>
      <w:spacing w:after="40"/>
    </w:pPr>
    <w:rPr>
      <w:sz w:val="18"/>
    </w:rPr>
  </w:style>
  <w:style w:type="paragraph" w:styleId="37">
    <w:name w:val="toc 6"/>
    <w:basedOn w:val="1"/>
    <w:next w:val="1"/>
    <w:unhideWhenUsed/>
    <w:qFormat/>
    <w:uiPriority w:val="39"/>
    <w:pPr>
      <w:spacing w:after="57"/>
      <w:ind w:left="1417"/>
    </w:pPr>
  </w:style>
  <w:style w:type="paragraph" w:styleId="38">
    <w:name w:val="table of figures"/>
    <w:basedOn w:val="1"/>
    <w:next w:val="1"/>
    <w:unhideWhenUsed/>
    <w:qFormat/>
    <w:uiPriority w:val="99"/>
  </w:style>
  <w:style w:type="paragraph" w:styleId="39">
    <w:name w:val="toc 2"/>
    <w:basedOn w:val="1"/>
    <w:next w:val="1"/>
    <w:qFormat/>
    <w:uiPriority w:val="39"/>
    <w:pPr>
      <w:ind w:left="420"/>
    </w:pPr>
  </w:style>
  <w:style w:type="paragraph" w:styleId="40">
    <w:name w:val="toc 9"/>
    <w:basedOn w:val="1"/>
    <w:next w:val="1"/>
    <w:unhideWhenUsed/>
    <w:qFormat/>
    <w:uiPriority w:val="39"/>
    <w:pPr>
      <w:spacing w:after="57"/>
      <w:ind w:left="2268"/>
    </w:pPr>
  </w:style>
  <w:style w:type="paragraph" w:styleId="41">
    <w:name w:val="HTML Preformatted"/>
    <w:basedOn w:val="1"/>
    <w:link w:val="25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3">
    <w:name w:val="Title"/>
    <w:next w:val="1"/>
    <w:link w:val="65"/>
    <w:qFormat/>
    <w:uiPriority w:val="0"/>
    <w:pPr>
      <w:spacing w:line="360" w:lineRule="auto"/>
      <w:jc w:val="center"/>
    </w:pPr>
    <w:rPr>
      <w:rFonts w:ascii="Times New Roman" w:hAnsi="Times New Roman" w:eastAsia="黑体" w:cs="Times New Roman"/>
      <w:sz w:val="44"/>
      <w:lang w:val="en-US" w:eastAsia="zh-CN" w:bidi="ar-SA"/>
    </w:rPr>
  </w:style>
  <w:style w:type="paragraph" w:styleId="44">
    <w:name w:val="annotation subject"/>
    <w:basedOn w:val="17"/>
    <w:next w:val="17"/>
    <w:link w:val="156"/>
    <w:unhideWhenUsed/>
    <w:qFormat/>
    <w:uiPriority w:val="99"/>
    <w:rPr>
      <w:b/>
      <w:bCs/>
    </w:rPr>
  </w:style>
  <w:style w:type="paragraph" w:styleId="45">
    <w:name w:val="Body Text First Indent"/>
    <w:basedOn w:val="5"/>
    <w:qFormat/>
    <w:uiPriority w:val="99"/>
    <w:pPr>
      <w:tabs>
        <w:tab w:val="left" w:pos="567"/>
      </w:tabs>
      <w:ind w:firstLine="100" w:firstLineChars="100"/>
    </w:pPr>
  </w:style>
  <w:style w:type="paragraph" w:styleId="46">
    <w:name w:val="Body Text First Indent 2"/>
    <w:basedOn w:val="18"/>
    <w:qFormat/>
    <w:uiPriority w:val="0"/>
    <w:pPr>
      <w:spacing w:after="120" w:line="240" w:lineRule="auto"/>
      <w:ind w:left="420" w:leftChars="200" w:firstLine="200"/>
    </w:pPr>
    <w:rPr>
      <w:sz w:val="21"/>
    </w:rPr>
  </w:style>
  <w:style w:type="table" w:styleId="48">
    <w:name w:val="Table Grid"/>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22"/>
    <w:rPr>
      <w:b/>
      <w:bCs/>
    </w:rPr>
  </w:style>
  <w:style w:type="character" w:styleId="51">
    <w:name w:val="endnote reference"/>
    <w:unhideWhenUsed/>
    <w:qFormat/>
    <w:uiPriority w:val="99"/>
    <w:rPr>
      <w:vertAlign w:val="superscript"/>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qFormat/>
    <w:uiPriority w:val="20"/>
    <w:rPr>
      <w:i/>
    </w:rPr>
  </w:style>
  <w:style w:type="character" w:styleId="55">
    <w:name w:val="HTML Typewriter"/>
    <w:basedOn w:val="49"/>
    <w:semiHidden/>
    <w:unhideWhenUsed/>
    <w:qFormat/>
    <w:uiPriority w:val="99"/>
    <w:rPr>
      <w:rFonts w:hint="default" w:ascii="monospace" w:hAnsi="monospace" w:eastAsia="monospace" w:cs="monospace"/>
      <w:sz w:val="20"/>
    </w:rPr>
  </w:style>
  <w:style w:type="character" w:styleId="56">
    <w:name w:val="HTML Acronym"/>
    <w:basedOn w:val="49"/>
    <w:semiHidden/>
    <w:unhideWhenUsed/>
    <w:qFormat/>
    <w:uiPriority w:val="99"/>
  </w:style>
  <w:style w:type="character" w:styleId="57">
    <w:name w:val="Hyperlink"/>
    <w:unhideWhenUsed/>
    <w:qFormat/>
    <w:uiPriority w:val="99"/>
    <w:rPr>
      <w:color w:val="0563C1"/>
      <w:u w:val="single"/>
    </w:rPr>
  </w:style>
  <w:style w:type="character" w:styleId="58">
    <w:name w:val="HTML Code"/>
    <w:basedOn w:val="49"/>
    <w:semiHidden/>
    <w:unhideWhenUsed/>
    <w:qFormat/>
    <w:uiPriority w:val="99"/>
    <w:rPr>
      <w:rFonts w:hint="default" w:ascii="monospace" w:hAnsi="monospace" w:eastAsia="monospace" w:cs="monospace"/>
      <w:sz w:val="20"/>
    </w:rPr>
  </w:style>
  <w:style w:type="character" w:styleId="59">
    <w:name w:val="annotation reference"/>
    <w:basedOn w:val="49"/>
    <w:unhideWhenUsed/>
    <w:qFormat/>
    <w:uiPriority w:val="0"/>
    <w:rPr>
      <w:sz w:val="21"/>
      <w:szCs w:val="21"/>
    </w:rPr>
  </w:style>
  <w:style w:type="character" w:styleId="60">
    <w:name w:val="footnote reference"/>
    <w:unhideWhenUsed/>
    <w:qFormat/>
    <w:uiPriority w:val="99"/>
    <w:rPr>
      <w:vertAlign w:val="superscript"/>
    </w:rPr>
  </w:style>
  <w:style w:type="character" w:styleId="61">
    <w:name w:val="HTML Keyboard"/>
    <w:basedOn w:val="49"/>
    <w:semiHidden/>
    <w:unhideWhenUsed/>
    <w:qFormat/>
    <w:uiPriority w:val="99"/>
    <w:rPr>
      <w:rFonts w:hint="default" w:ascii="monospace" w:hAnsi="monospace" w:eastAsia="monospace" w:cs="monospace"/>
      <w:sz w:val="20"/>
    </w:rPr>
  </w:style>
  <w:style w:type="character" w:styleId="62">
    <w:name w:val="HTML Sample"/>
    <w:basedOn w:val="49"/>
    <w:semiHidden/>
    <w:unhideWhenUsed/>
    <w:qFormat/>
    <w:uiPriority w:val="99"/>
    <w:rPr>
      <w:rFonts w:ascii="monospace" w:hAnsi="monospace" w:eastAsia="monospace" w:cs="monospace"/>
    </w:rPr>
  </w:style>
  <w:style w:type="paragraph" w:customStyle="1" w:styleId="63">
    <w:name w:val="首行缩进"/>
    <w:basedOn w:val="1"/>
    <w:next w:val="1"/>
    <w:qFormat/>
    <w:uiPriority w:val="0"/>
    <w:pPr>
      <w:ind w:firstLine="480"/>
    </w:pPr>
    <w:rPr>
      <w:rFonts w:eastAsia="楷体_GB2312"/>
      <w:sz w:val="26"/>
      <w:lang w:val="zh-CN"/>
    </w:rPr>
  </w:style>
  <w:style w:type="character" w:customStyle="1" w:styleId="64">
    <w:name w:val="标题 4 字符"/>
    <w:link w:val="7"/>
    <w:qFormat/>
    <w:uiPriority w:val="9"/>
    <w:rPr>
      <w:rFonts w:ascii="Calibri Light" w:hAnsi="Calibri Light" w:eastAsia="黑体" w:cs="Times New Roman"/>
      <w:b/>
      <w:bCs/>
      <w:sz w:val="28"/>
      <w:szCs w:val="28"/>
    </w:rPr>
  </w:style>
  <w:style w:type="character" w:customStyle="1" w:styleId="65">
    <w:name w:val="标题 字符"/>
    <w:link w:val="43"/>
    <w:qFormat/>
    <w:uiPriority w:val="0"/>
    <w:rPr>
      <w:rFonts w:ascii="Cambria" w:hAnsi="Cambria" w:eastAsia="黑体" w:cs="Times New Roman"/>
      <w:b/>
      <w:bCs/>
      <w:sz w:val="52"/>
      <w:szCs w:val="32"/>
    </w:rPr>
  </w:style>
  <w:style w:type="paragraph" w:customStyle="1" w:styleId="66">
    <w:name w:val="contentarticle"/>
    <w:basedOn w:val="1"/>
    <w:qFormat/>
    <w:uiPriority w:val="0"/>
    <w:pPr>
      <w:widowControl/>
      <w:spacing w:before="100" w:beforeAutospacing="1" w:after="100" w:afterAutospacing="1"/>
      <w:jc w:val="left"/>
    </w:pPr>
    <w:rPr>
      <w:rFonts w:ascii="宋体" w:hAnsi="宋体" w:cs="宋体"/>
      <w:sz w:val="24"/>
    </w:rPr>
  </w:style>
  <w:style w:type="table" w:customStyle="1" w:styleId="67">
    <w:name w:val="Grid Table 1 Light - Accent 51"/>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68">
    <w:name w:val="Grid Table 4 - Accent 31"/>
    <w:basedOn w:val="47"/>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69">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character" w:customStyle="1" w:styleId="70">
    <w:name w:val="Caption Char"/>
    <w:qFormat/>
    <w:uiPriority w:val="99"/>
  </w:style>
  <w:style w:type="table" w:customStyle="1" w:styleId="71">
    <w:name w:val="Bordered &amp; Lined - Accent"/>
    <w:basedOn w:val="47"/>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paragraph" w:customStyle="1" w:styleId="72">
    <w:name w:val="一级条标题"/>
    <w:basedOn w:val="73"/>
    <w:next w:val="7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74">
    <w:name w:val="段"/>
    <w:basedOn w:val="1"/>
    <w:next w:val="1"/>
    <w:qFormat/>
    <w:uiPriority w:val="0"/>
    <w:pPr>
      <w:widowControl/>
      <w:ind w:firstLine="200"/>
    </w:pPr>
    <w:rPr>
      <w:rFonts w:hint="eastAsia" w:ascii="宋体"/>
      <w:szCs w:val="20"/>
    </w:rPr>
  </w:style>
  <w:style w:type="paragraph" w:customStyle="1" w:styleId="7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76">
    <w:name w:val="TOC 标题1"/>
    <w:unhideWhenUsed/>
    <w:qFormat/>
    <w:uiPriority w:val="39"/>
    <w:rPr>
      <w:rFonts w:ascii="Times New Roman" w:hAnsi="Times New Roman" w:eastAsia="宋体" w:cs="Times New Roman"/>
      <w:lang w:val="en-US" w:eastAsia="zh-CN" w:bidi="ar-SA"/>
    </w:rPr>
  </w:style>
  <w:style w:type="table" w:customStyle="1" w:styleId="77">
    <w:name w:val="Bordered - Accent 2"/>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78">
    <w:name w:val="List Table 1 Light - Accent 11"/>
    <w:basedOn w:val="47"/>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79">
    <w:name w:val="Grid Table 7 Colorful - Accent 41"/>
    <w:basedOn w:val="47"/>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paragraph" w:customStyle="1" w:styleId="80">
    <w:name w:val="正文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81">
    <w:name w:val="标题 2 字符"/>
    <w:link w:val="4"/>
    <w:qFormat/>
    <w:uiPriority w:val="0"/>
    <w:rPr>
      <w:rFonts w:ascii="Arial" w:hAnsi="Arial" w:eastAsia="黑体" w:cs="Arial"/>
      <w:b/>
      <w:bCs/>
      <w:sz w:val="32"/>
      <w:szCs w:val="32"/>
    </w:rPr>
  </w:style>
  <w:style w:type="paragraph" w:customStyle="1" w:styleId="82">
    <w:name w:val="修订3"/>
    <w:hidden/>
    <w:unhideWhenUsed/>
    <w:qFormat/>
    <w:uiPriority w:val="99"/>
    <w:rPr>
      <w:rFonts w:ascii="Calibri" w:hAnsi="Calibri" w:eastAsia="宋体" w:cs="Times New Roman"/>
      <w:sz w:val="21"/>
      <w:szCs w:val="22"/>
      <w:lang w:val="en-US" w:eastAsia="zh-CN" w:bidi="ar-SA"/>
    </w:rPr>
  </w:style>
  <w:style w:type="table" w:customStyle="1" w:styleId="83">
    <w:name w:val="Grid Table 6 Colorful - Accent 11"/>
    <w:basedOn w:val="47"/>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84">
    <w:name w:val="Grid Table 7 Colorful - Accent 11"/>
    <w:basedOn w:val="47"/>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character" w:customStyle="1" w:styleId="85">
    <w:name w:val="引用 Char"/>
    <w:link w:val="86"/>
    <w:qFormat/>
    <w:uiPriority w:val="29"/>
    <w:rPr>
      <w:i/>
    </w:rPr>
  </w:style>
  <w:style w:type="paragraph" w:customStyle="1" w:styleId="86">
    <w:name w:val="引用1"/>
    <w:basedOn w:val="1"/>
    <w:next w:val="1"/>
    <w:link w:val="85"/>
    <w:qFormat/>
    <w:uiPriority w:val="29"/>
    <w:pPr>
      <w:ind w:left="720" w:right="720"/>
    </w:pPr>
    <w:rPr>
      <w:i/>
    </w:rPr>
  </w:style>
  <w:style w:type="table" w:customStyle="1" w:styleId="87">
    <w:name w:val="List Table 5 Dark - Accent 21"/>
    <w:basedOn w:val="47"/>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88">
    <w:name w:val="网格表 6 彩色1"/>
    <w:basedOn w:val="47"/>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89">
    <w:name w:val="List Table 6 Colorful - Accent 31"/>
    <w:basedOn w:val="47"/>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90">
    <w:name w:val="Table Paragraph"/>
    <w:basedOn w:val="1"/>
    <w:qFormat/>
    <w:uiPriority w:val="1"/>
    <w:pPr>
      <w:jc w:val="left"/>
    </w:pPr>
    <w:rPr>
      <w:rFonts w:ascii="宋体" w:hAnsi="宋体" w:cs="宋体"/>
      <w:sz w:val="22"/>
      <w:lang w:val="zh-CN" w:bidi="zh-CN"/>
    </w:rPr>
  </w:style>
  <w:style w:type="table" w:customStyle="1" w:styleId="91">
    <w:name w:val="Grid Table 4 - Accent 21"/>
    <w:basedOn w:val="47"/>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92">
    <w:name w:val="Grid Table 1 Light - Accent 31"/>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93">
    <w:name w:val="List Table 4 - Accent 61"/>
    <w:basedOn w:val="47"/>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94">
    <w:name w:val="清单表 21"/>
    <w:basedOn w:val="47"/>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95">
    <w:name w:val="Grid Table 5 Dark- Accent 4"/>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paragraph" w:customStyle="1" w:styleId="96">
    <w:name w:val="标题 41"/>
    <w:basedOn w:val="1"/>
    <w:next w:val="1"/>
    <w:qFormat/>
    <w:uiPriority w:val="1"/>
    <w:pPr>
      <w:ind w:left="618"/>
      <w:jc w:val="left"/>
      <w:outlineLvl w:val="4"/>
    </w:pPr>
    <w:rPr>
      <w:rFonts w:ascii="宋体" w:hAnsi="宋体" w:cs="宋体"/>
      <w:b/>
      <w:bCs/>
      <w:sz w:val="24"/>
      <w:szCs w:val="24"/>
      <w:lang w:val="zh-CN" w:bidi="zh-CN"/>
    </w:rPr>
  </w:style>
  <w:style w:type="table" w:customStyle="1" w:styleId="97">
    <w:name w:val="Grid Table 2 - Accent 31"/>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98">
    <w:name w:val="Grid Table 5 Dark - Accent 2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99">
    <w:name w:val="List Table 6 Colorful - Accent 51"/>
    <w:basedOn w:val="47"/>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paragraph" w:customStyle="1" w:styleId="100">
    <w:name w:val="样式 首行缩进:  2 字符"/>
    <w:basedOn w:val="1"/>
    <w:next w:val="101"/>
    <w:qFormat/>
    <w:uiPriority w:val="99"/>
    <w:pPr>
      <w:spacing w:line="360" w:lineRule="auto"/>
      <w:ind w:left="480" w:firstLine="5856"/>
    </w:pPr>
  </w:style>
  <w:style w:type="paragraph" w:customStyle="1" w:styleId="101">
    <w:name w:val="样式 段后: 0.25 行"/>
    <w:basedOn w:val="1"/>
    <w:next w:val="102"/>
    <w:qFormat/>
    <w:uiPriority w:val="99"/>
    <w:pPr>
      <w:widowControl/>
      <w:spacing w:line="300" w:lineRule="auto"/>
      <w:ind w:left="420" w:firstLine="5796"/>
    </w:pPr>
  </w:style>
  <w:style w:type="paragraph" w:customStyle="1" w:styleId="102">
    <w:name w:val="正文 New New New New New New New New New New New New New New"/>
    <w:next w:val="40"/>
    <w:qFormat/>
    <w:uiPriority w:val="99"/>
    <w:pPr>
      <w:widowControl w:val="0"/>
      <w:ind w:firstLine="2048"/>
      <w:jc w:val="both"/>
    </w:pPr>
    <w:rPr>
      <w:rFonts w:ascii="Calibri" w:hAnsi="Calibri" w:eastAsia="宋体" w:cs="Times New Roman"/>
      <w:lang w:val="en-US" w:eastAsia="zh-CN" w:bidi="ar-SA"/>
    </w:rPr>
  </w:style>
  <w:style w:type="table" w:customStyle="1" w:styleId="103">
    <w:name w:val="List Table 1 Light - Accent 61"/>
    <w:basedOn w:val="47"/>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character" w:customStyle="1" w:styleId="104">
    <w:name w:val="Title Char"/>
    <w:qFormat/>
    <w:uiPriority w:val="10"/>
    <w:rPr>
      <w:sz w:val="48"/>
      <w:szCs w:val="48"/>
    </w:rPr>
  </w:style>
  <w:style w:type="character" w:customStyle="1" w:styleId="105">
    <w:name w:val="明显引用 Char"/>
    <w:link w:val="106"/>
    <w:qFormat/>
    <w:uiPriority w:val="30"/>
    <w:rPr>
      <w:i/>
    </w:rPr>
  </w:style>
  <w:style w:type="paragraph" w:customStyle="1" w:styleId="106">
    <w:name w:val="明显引用1"/>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107">
    <w:name w:val="Grid Table 6 Colorful - Accent 51"/>
    <w:basedOn w:val="47"/>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08">
    <w:name w:val="Grid Table 4 - Accent 11"/>
    <w:basedOn w:val="47"/>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09">
    <w:name w:val="List Table 6 Colorful - Accent 41"/>
    <w:basedOn w:val="47"/>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110">
    <w:name w:val="标题3 Char"/>
    <w:link w:val="111"/>
    <w:qFormat/>
    <w:uiPriority w:val="0"/>
    <w:rPr>
      <w:rFonts w:ascii="黑体" w:hAnsi="黑体" w:eastAsia="黑体" w:cs="Times New Roman"/>
      <w:b/>
      <w:sz w:val="32"/>
      <w:szCs w:val="32"/>
    </w:rPr>
  </w:style>
  <w:style w:type="paragraph" w:customStyle="1" w:styleId="111">
    <w:name w:val="标题3"/>
    <w:basedOn w:val="1"/>
    <w:link w:val="110"/>
    <w:qFormat/>
    <w:uiPriority w:val="0"/>
    <w:pPr>
      <w:pageBreakBefore/>
      <w:jc w:val="center"/>
      <w:outlineLvl w:val="2"/>
    </w:pPr>
    <w:rPr>
      <w:rFonts w:ascii="黑体" w:hAnsi="黑体" w:eastAsia="黑体"/>
      <w:b/>
      <w:sz w:val="32"/>
      <w:szCs w:val="32"/>
    </w:rPr>
  </w:style>
  <w:style w:type="character" w:customStyle="1" w:styleId="112">
    <w:name w:val="NormalCharacter1"/>
    <w:semiHidden/>
    <w:qFormat/>
    <w:uiPriority w:val="0"/>
    <w:rPr>
      <w:rFonts w:ascii="Calibri" w:hAnsi="Calibri" w:eastAsia="宋体" w:cs="Times New Roman"/>
      <w:sz w:val="21"/>
      <w:szCs w:val="22"/>
      <w:lang w:val="en-US" w:eastAsia="zh-CN" w:bidi="ar-SA"/>
    </w:rPr>
  </w:style>
  <w:style w:type="table" w:customStyle="1" w:styleId="113">
    <w:name w:val="List Table 4 - Accent 21"/>
    <w:basedOn w:val="47"/>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14">
    <w:name w:val="Grid Table 3 - Accent 51"/>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15">
    <w:name w:val="Lined - Accent 3"/>
    <w:basedOn w:val="47"/>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16">
    <w:name w:val="Lined - Accent 2"/>
    <w:basedOn w:val="47"/>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117">
    <w:name w:val="List Table 7 Colorful - Accent 21"/>
    <w:basedOn w:val="47"/>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paragraph" w:customStyle="1" w:styleId="118">
    <w:name w:val="正文（缩进）"/>
    <w:basedOn w:val="1"/>
    <w:next w:val="119"/>
    <w:qFormat/>
    <w:uiPriority w:val="0"/>
    <w:pPr>
      <w:spacing w:beforeLines="50" w:afterLines="50" w:line="360" w:lineRule="auto"/>
      <w:ind w:firstLine="480" w:firstLineChars="200"/>
    </w:pPr>
    <w:rPr>
      <w:sz w:val="24"/>
      <w:szCs w:val="24"/>
    </w:rPr>
  </w:style>
  <w:style w:type="paragraph" w:customStyle="1" w:styleId="119">
    <w:name w:val="Char Char Char Char Char Char Char Char Char"/>
    <w:basedOn w:val="1"/>
    <w:next w:val="120"/>
    <w:qFormat/>
    <w:uiPriority w:val="99"/>
    <w:pPr>
      <w:ind w:left="360" w:firstLine="5784"/>
    </w:pPr>
  </w:style>
  <w:style w:type="paragraph" w:customStyle="1" w:styleId="120">
    <w:name w:val="正文文本 21"/>
    <w:basedOn w:val="1"/>
    <w:next w:val="121"/>
    <w:qFormat/>
    <w:uiPriority w:val="99"/>
    <w:pPr>
      <w:widowControl/>
      <w:ind w:left="720" w:firstLine="5680"/>
    </w:pPr>
  </w:style>
  <w:style w:type="paragraph" w:customStyle="1" w:styleId="121">
    <w:name w:val="默认段落字体 Para Char Char Char Char Char Char Char"/>
    <w:basedOn w:val="1"/>
    <w:next w:val="100"/>
    <w:qFormat/>
    <w:uiPriority w:val="99"/>
    <w:pPr>
      <w:ind w:firstLine="200" w:firstLineChars="200"/>
    </w:pPr>
    <w:rPr>
      <w:rFonts w:cs="Arial"/>
    </w:rPr>
  </w:style>
  <w:style w:type="table" w:customStyle="1" w:styleId="122">
    <w:name w:val="Lined - Accent 5"/>
    <w:basedOn w:val="47"/>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123">
    <w:name w:val="List Table 5 Dark - Accent 61"/>
    <w:basedOn w:val="47"/>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24">
    <w:name w:val="网格表 3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25">
    <w:name w:val="修订1"/>
    <w:unhideWhenUsed/>
    <w:qFormat/>
    <w:uiPriority w:val="99"/>
    <w:rPr>
      <w:rFonts w:ascii="Calibri" w:hAnsi="Calibri" w:eastAsia="宋体" w:cs="Times New Roman"/>
      <w:sz w:val="21"/>
      <w:szCs w:val="22"/>
      <w:lang w:val="en-US" w:eastAsia="zh-CN" w:bidi="ar-SA"/>
    </w:rPr>
  </w:style>
  <w:style w:type="paragraph" w:customStyle="1" w:styleId="126">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table" w:customStyle="1" w:styleId="127">
    <w:name w:val="Grid Table 2 - Accent 51"/>
    <w:basedOn w:val="47"/>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1 Light - Accent 21"/>
    <w:basedOn w:val="47"/>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character" w:customStyle="1" w:styleId="129">
    <w:name w:val="页脚 字符"/>
    <w:link w:val="31"/>
    <w:qFormat/>
    <w:uiPriority w:val="99"/>
    <w:rPr>
      <w:sz w:val="18"/>
      <w:szCs w:val="18"/>
    </w:rPr>
  </w:style>
  <w:style w:type="table" w:customStyle="1" w:styleId="130">
    <w:name w:val="清单表 7 彩色1"/>
    <w:basedOn w:val="47"/>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paragraph" w:customStyle="1" w:styleId="131">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character" w:customStyle="1" w:styleId="132">
    <w:name w:val="标题 3 字符"/>
    <w:link w:val="6"/>
    <w:qFormat/>
    <w:uiPriority w:val="0"/>
    <w:rPr>
      <w:rFonts w:ascii="Times New Roman" w:hAnsi="Times New Roman" w:eastAsia="宋体" w:cs="Times New Roman"/>
      <w:b/>
      <w:bCs/>
      <w:sz w:val="32"/>
      <w:szCs w:val="32"/>
    </w:rPr>
  </w:style>
  <w:style w:type="table" w:customStyle="1" w:styleId="133">
    <w:name w:val="Bordered - Accent 5"/>
    <w:basedOn w:val="47"/>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34">
    <w:name w:val="List Table 2 - Accent 11"/>
    <w:basedOn w:val="47"/>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35">
    <w:name w:val="Bordered &amp; Lined - Accent 1"/>
    <w:basedOn w:val="47"/>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136">
    <w:name w:val="List Table 3 - Accent 31"/>
    <w:basedOn w:val="47"/>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37">
    <w:name w:val="Grid Table 7 Colorful - Accent 21"/>
    <w:basedOn w:val="47"/>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character" w:customStyle="1" w:styleId="138">
    <w:name w:val="正文文本 字符"/>
    <w:link w:val="5"/>
    <w:qFormat/>
    <w:uiPriority w:val="99"/>
    <w:rPr>
      <w:rFonts w:ascii="Times New Roman" w:hAnsi="Times New Roman" w:eastAsia="宋体" w:cs="Times New Roman"/>
      <w:sz w:val="24"/>
      <w:szCs w:val="24"/>
    </w:rPr>
  </w:style>
  <w:style w:type="table" w:customStyle="1" w:styleId="139">
    <w:name w:val="List Table 3 - Accent 51"/>
    <w:basedOn w:val="47"/>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40">
    <w:name w:val="Grid Table 1 Light - Accent 1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41">
    <w:name w:val="Bordered &amp; Lined - Accent 6"/>
    <w:basedOn w:val="47"/>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42">
    <w:name w:val="Grid Table 6 Colorful - Accent 61"/>
    <w:basedOn w:val="47"/>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43">
    <w:name w:val="Grid Table 4 - Accent 41"/>
    <w:basedOn w:val="47"/>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4">
    <w:name w:val="Lined - Accent"/>
    <w:basedOn w:val="47"/>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145">
    <w:name w:val="无格式表格 51"/>
    <w:basedOn w:val="47"/>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46">
    <w:name w:val="Bordered - Accent 3"/>
    <w:basedOn w:val="47"/>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character" w:customStyle="1" w:styleId="147">
    <w:name w:val="Heading 2 Char"/>
    <w:qFormat/>
    <w:uiPriority w:val="9"/>
    <w:rPr>
      <w:rFonts w:ascii="Arial" w:hAnsi="Arial" w:eastAsia="Arial" w:cs="Arial"/>
      <w:sz w:val="34"/>
    </w:rPr>
  </w:style>
  <w:style w:type="table" w:customStyle="1" w:styleId="148">
    <w:name w:val="Grid Table 3 - Accent 61"/>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149">
    <w:name w:val="脚注文本 字符"/>
    <w:link w:val="36"/>
    <w:qFormat/>
    <w:uiPriority w:val="99"/>
    <w:rPr>
      <w:sz w:val="18"/>
    </w:rPr>
  </w:style>
  <w:style w:type="paragraph" w:customStyle="1" w:styleId="1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152">
    <w:name w:val="表格"/>
    <w:basedOn w:val="1"/>
    <w:qFormat/>
    <w:uiPriority w:val="99"/>
    <w:pPr>
      <w:jc w:val="center"/>
    </w:pPr>
    <w:rPr>
      <w:rFonts w:ascii="华文细黑" w:hAnsi="华文细黑"/>
    </w:rPr>
  </w:style>
  <w:style w:type="character" w:customStyle="1" w:styleId="153">
    <w:name w:val="Heading 3 Char"/>
    <w:qFormat/>
    <w:uiPriority w:val="9"/>
    <w:rPr>
      <w:rFonts w:ascii="Arial" w:hAnsi="Arial" w:eastAsia="Arial" w:cs="Arial"/>
      <w:sz w:val="30"/>
      <w:szCs w:val="30"/>
    </w:rPr>
  </w:style>
  <w:style w:type="paragraph" w:customStyle="1" w:styleId="154">
    <w:name w:val="hk正文"/>
    <w:basedOn w:val="1"/>
    <w:qFormat/>
    <w:uiPriority w:val="0"/>
    <w:pPr>
      <w:spacing w:line="440" w:lineRule="exact"/>
      <w:ind w:firstLine="560"/>
    </w:pPr>
    <w:rPr>
      <w:rFonts w:ascii="Arial" w:hAnsi="Arial" w:cs="宋体"/>
      <w:szCs w:val="28"/>
    </w:rPr>
  </w:style>
  <w:style w:type="table" w:customStyle="1" w:styleId="155">
    <w:name w:val="List Table 2 - Accent 51"/>
    <w:basedOn w:val="47"/>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character" w:customStyle="1" w:styleId="156">
    <w:name w:val="批注主题 字符"/>
    <w:link w:val="44"/>
    <w:semiHidden/>
    <w:qFormat/>
    <w:uiPriority w:val="99"/>
    <w:rPr>
      <w:rFonts w:ascii="Calibri" w:hAnsi="Calibri" w:eastAsia="宋体" w:cs="Times New Roman"/>
      <w:b/>
      <w:bCs/>
      <w:sz w:val="21"/>
      <w:szCs w:val="22"/>
    </w:rPr>
  </w:style>
  <w:style w:type="table" w:customStyle="1" w:styleId="157">
    <w:name w:val="网格表 21"/>
    <w:basedOn w:val="47"/>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paragraph" w:customStyle="1" w:styleId="158">
    <w:name w:val="正文文本1"/>
    <w:basedOn w:val="1"/>
    <w:next w:val="1"/>
    <w:qFormat/>
    <w:uiPriority w:val="0"/>
    <w:pPr>
      <w:jc w:val="center"/>
    </w:pPr>
    <w:rPr>
      <w:rFonts w:eastAsia="幼圆"/>
      <w:b/>
      <w:bCs/>
      <w:sz w:val="44"/>
      <w:lang w:eastAsia="en-US"/>
    </w:rPr>
  </w:style>
  <w:style w:type="table" w:customStyle="1" w:styleId="159">
    <w:name w:val="List Table 1 Light - Accent 51"/>
    <w:basedOn w:val="47"/>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paragraph" w:customStyle="1" w:styleId="160">
    <w:name w:val="标题 61"/>
    <w:basedOn w:val="1"/>
    <w:qFormat/>
    <w:uiPriority w:val="1"/>
    <w:pPr>
      <w:ind w:left="680"/>
      <w:outlineLvl w:val="6"/>
    </w:pPr>
    <w:rPr>
      <w:sz w:val="24"/>
      <w:szCs w:val="24"/>
    </w:rPr>
  </w:style>
  <w:style w:type="table" w:customStyle="1" w:styleId="161">
    <w:name w:val="网格表 41"/>
    <w:basedOn w:val="47"/>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62">
    <w:name w:val="Grid Table 3 - Accent 41"/>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63">
    <w:name w:val="Grid Table 5 Dark - Accent 3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64">
    <w:name w:val="Grid Table 6 Colorful - Accent 31"/>
    <w:basedOn w:val="47"/>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5">
    <w:name w:val="List Table 4 - Accent 41"/>
    <w:basedOn w:val="47"/>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66">
    <w:name w:val="Grid Table 5 Dark- Accent 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paragraph" w:customStyle="1" w:styleId="167">
    <w:name w:val="BodyText"/>
    <w:basedOn w:val="1"/>
    <w:qFormat/>
    <w:uiPriority w:val="0"/>
    <w:pPr>
      <w:spacing w:after="120"/>
    </w:pPr>
    <w:rPr>
      <w:rFonts w:hAnsi="Times New Roman"/>
      <w:sz w:val="20"/>
      <w:szCs w:val="20"/>
    </w:rPr>
  </w:style>
  <w:style w:type="paragraph" w:customStyle="1" w:styleId="168">
    <w:name w:val="Table Text"/>
    <w:basedOn w:val="1"/>
    <w:semiHidden/>
    <w:qFormat/>
    <w:uiPriority w:val="0"/>
    <w:rPr>
      <w:rFonts w:ascii="Arial" w:hAnsi="Arial" w:eastAsia="Arial" w:cs="Arial"/>
      <w:szCs w:val="21"/>
      <w:lang w:eastAsia="en-US"/>
    </w:rPr>
  </w:style>
  <w:style w:type="table" w:customStyle="1" w:styleId="169">
    <w:name w:val="List Table 6 Colorful - Accent 21"/>
    <w:basedOn w:val="47"/>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70">
    <w:name w:val="网格表 5 深色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character" w:customStyle="1" w:styleId="171">
    <w:name w:val="副标题 字符"/>
    <w:link w:val="35"/>
    <w:qFormat/>
    <w:uiPriority w:val="11"/>
    <w:rPr>
      <w:sz w:val="24"/>
      <w:szCs w:val="24"/>
    </w:rPr>
  </w:style>
  <w:style w:type="table" w:customStyle="1" w:styleId="172">
    <w:name w:val="List Table 2 - Accent 41"/>
    <w:basedOn w:val="47"/>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paragraph" w:customStyle="1" w:styleId="173">
    <w:name w:val="无间隔1"/>
    <w:qFormat/>
    <w:uiPriority w:val="1"/>
    <w:pPr>
      <w:widowControl w:val="0"/>
      <w:jc w:val="center"/>
    </w:pPr>
    <w:rPr>
      <w:rFonts w:ascii="Times New Roman" w:hAnsi="Times New Roman" w:eastAsia="黑体" w:cs="Times New Roman"/>
      <w:sz w:val="30"/>
      <w:szCs w:val="24"/>
      <w:lang w:val="en-US" w:eastAsia="zh-CN" w:bidi="ar-SA"/>
    </w:rPr>
  </w:style>
  <w:style w:type="character" w:customStyle="1" w:styleId="174">
    <w:name w:val="着重标题"/>
    <w:qFormat/>
    <w:uiPriority w:val="0"/>
    <w:rPr>
      <w:rFonts w:ascii="Calibri" w:hAnsi="Calibri"/>
      <w:b/>
      <w:sz w:val="24"/>
    </w:rPr>
  </w:style>
  <w:style w:type="table" w:customStyle="1" w:styleId="175">
    <w:name w:val="Table Normal"/>
    <w:unhideWhenUsed/>
    <w:qFormat/>
    <w:uiPriority w:val="0"/>
    <w:tblPr>
      <w:tblCellMar>
        <w:top w:w="0" w:type="dxa"/>
        <w:left w:w="0" w:type="dxa"/>
        <w:bottom w:w="0" w:type="dxa"/>
        <w:right w:w="0" w:type="dxa"/>
      </w:tblCellMar>
    </w:tblPr>
  </w:style>
  <w:style w:type="table" w:customStyle="1" w:styleId="176">
    <w:name w:val="网格表 1 浅色1"/>
    <w:basedOn w:val="47"/>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77">
    <w:name w:val="Table Normal1"/>
    <w:basedOn w:val="47"/>
    <w:semiHidden/>
    <w:qFormat/>
    <w:uiPriority w:val="2"/>
    <w:tblPr>
      <w:tblCellMar>
        <w:left w:w="0" w:type="dxa"/>
        <w:right w:w="0" w:type="dxa"/>
      </w:tblCellMar>
    </w:tblPr>
  </w:style>
  <w:style w:type="table" w:customStyle="1" w:styleId="178">
    <w:name w:val="网格表 7 彩色1"/>
    <w:basedOn w:val="47"/>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paragraph" w:customStyle="1" w:styleId="179">
    <w:name w:val="正文文本首行缩进1"/>
    <w:basedOn w:val="158"/>
    <w:qFormat/>
    <w:uiPriority w:val="99"/>
    <w:pPr>
      <w:ind w:firstLine="360"/>
    </w:pPr>
  </w:style>
  <w:style w:type="table" w:customStyle="1" w:styleId="180">
    <w:name w:val="List Table 1 Light - Accent 21"/>
    <w:basedOn w:val="47"/>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81">
    <w:name w:val="Grid Table 6 Colorful - Accent 21"/>
    <w:basedOn w:val="47"/>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82">
    <w:name w:val="Bordered - Accent 4"/>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183">
    <w:name w:val="t_black_12_b"/>
    <w:basedOn w:val="1"/>
    <w:qFormat/>
    <w:uiPriority w:val="0"/>
    <w:pPr>
      <w:widowControl/>
      <w:jc w:val="left"/>
    </w:pPr>
    <w:rPr>
      <w:rFonts w:ascii="宋体" w:hAnsi="宋体" w:cs="宋体"/>
      <w:b/>
      <w:bCs/>
      <w:color w:val="212121"/>
      <w:sz w:val="9"/>
      <w:szCs w:val="9"/>
    </w:rPr>
  </w:style>
  <w:style w:type="table" w:customStyle="1" w:styleId="184">
    <w:name w:val="Lined - Accent 6"/>
    <w:basedOn w:val="47"/>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185">
    <w:name w:val="List Table 1 Light - Accent 41"/>
    <w:basedOn w:val="47"/>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86">
    <w:name w:val="Grid Table 2 - Accent 41"/>
    <w:basedOn w:val="47"/>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paragraph" w:customStyle="1" w:styleId="18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character" w:customStyle="1" w:styleId="188">
    <w:name w:val="纯文本 字符"/>
    <w:link w:val="25"/>
    <w:qFormat/>
    <w:uiPriority w:val="0"/>
    <w:rPr>
      <w:rFonts w:ascii="宋体" w:hAnsi="Courier New"/>
      <w:sz w:val="21"/>
      <w:szCs w:val="22"/>
    </w:rPr>
  </w:style>
  <w:style w:type="paragraph" w:customStyle="1" w:styleId="189">
    <w:name w:val="修订2"/>
    <w:hidden/>
    <w:unhideWhenUsed/>
    <w:qFormat/>
    <w:uiPriority w:val="99"/>
    <w:rPr>
      <w:rFonts w:ascii="Calibri" w:hAnsi="Calibri" w:eastAsia="宋体" w:cs="Times New Roman"/>
      <w:sz w:val="21"/>
      <w:szCs w:val="22"/>
      <w:lang w:val="en-US" w:eastAsia="zh-CN" w:bidi="ar-SA"/>
    </w:rPr>
  </w:style>
  <w:style w:type="character" w:customStyle="1" w:styleId="190">
    <w:name w:val="Heading 1 Char"/>
    <w:qFormat/>
    <w:uiPriority w:val="9"/>
    <w:rPr>
      <w:rFonts w:ascii="Arial" w:hAnsi="Arial" w:eastAsia="Arial" w:cs="Arial"/>
      <w:sz w:val="40"/>
      <w:szCs w:val="40"/>
    </w:rPr>
  </w:style>
  <w:style w:type="table" w:customStyle="1" w:styleId="191">
    <w:name w:val="Bordered &amp; Lined - Accent 3"/>
    <w:basedOn w:val="47"/>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192">
    <w:name w:val="List Table 5 Dark - Accent 11"/>
    <w:basedOn w:val="47"/>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7 Colorful - Accent 61"/>
    <w:basedOn w:val="47"/>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194">
    <w:name w:val="List Table 5 Dark - Accent 41"/>
    <w:basedOn w:val="47"/>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7 Colorful - Accent 31"/>
    <w:basedOn w:val="47"/>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paragraph" w:customStyle="1" w:styleId="196">
    <w:name w:val="列表段落1"/>
    <w:basedOn w:val="1"/>
    <w:qFormat/>
    <w:uiPriority w:val="34"/>
    <w:pPr>
      <w:ind w:left="223" w:firstLine="420"/>
    </w:pPr>
  </w:style>
  <w:style w:type="table" w:customStyle="1" w:styleId="197">
    <w:name w:val="List Table 7 Colorful - Accent 11"/>
    <w:basedOn w:val="47"/>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8">
    <w:name w:val="Grid Table 3 - Accent 21"/>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99">
    <w:name w:val="Grid Table 7 Colorful - Accent 51"/>
    <w:basedOn w:val="47"/>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200">
    <w:name w:val="List Table 3 - Accent 41"/>
    <w:basedOn w:val="47"/>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201">
    <w:name w:val="Bordered - Accent 1"/>
    <w:basedOn w:val="47"/>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paragraph" w:customStyle="1" w:styleId="202">
    <w:name w:val="ewb-con-p2"/>
    <w:basedOn w:val="1"/>
    <w:qFormat/>
    <w:uiPriority w:val="0"/>
    <w:pPr>
      <w:widowControl/>
      <w:spacing w:before="100" w:beforeAutospacing="1" w:after="100" w:afterAutospacing="1"/>
      <w:jc w:val="left"/>
    </w:pPr>
    <w:rPr>
      <w:rFonts w:ascii="宋体" w:hAnsi="宋体" w:cs="宋体"/>
      <w:sz w:val="24"/>
      <w:szCs w:val="24"/>
    </w:rPr>
  </w:style>
  <w:style w:type="table" w:customStyle="1" w:styleId="203">
    <w:name w:val="Bordered"/>
    <w:basedOn w:val="47"/>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character" w:customStyle="1" w:styleId="204">
    <w:name w:val="标题 1 字符"/>
    <w:link w:val="2"/>
    <w:qFormat/>
    <w:uiPriority w:val="99"/>
    <w:rPr>
      <w:rFonts w:ascii="宋体" w:hAnsi="宋体" w:eastAsia="宋体" w:cs="Times New Roman"/>
      <w:b/>
      <w:bCs/>
      <w:sz w:val="14"/>
      <w:szCs w:val="14"/>
    </w:rPr>
  </w:style>
  <w:style w:type="paragraph" w:customStyle="1" w:styleId="205">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table" w:customStyle="1" w:styleId="206">
    <w:name w:val="List Table 4 - Accent 31"/>
    <w:basedOn w:val="47"/>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207">
    <w:name w:val="List Table 1 Light - Accent 31"/>
    <w:basedOn w:val="47"/>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208">
    <w:name w:val="Bordered &amp; Lined - Accent 2"/>
    <w:basedOn w:val="47"/>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09">
    <w:name w:val="清单表 6 彩色1"/>
    <w:basedOn w:val="47"/>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10">
    <w:name w:val="Table Grid Light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paragraph" w:customStyle="1" w:styleId="211">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2">
    <w:name w:val="标题 7 字符"/>
    <w:link w:val="10"/>
    <w:qFormat/>
    <w:uiPriority w:val="9"/>
    <w:rPr>
      <w:rFonts w:ascii="Arial" w:hAnsi="Arial" w:eastAsia="Arial" w:cs="Arial"/>
      <w:b/>
      <w:bCs/>
      <w:i/>
      <w:iCs/>
      <w:sz w:val="22"/>
      <w:szCs w:val="22"/>
    </w:rPr>
  </w:style>
  <w:style w:type="table" w:customStyle="1" w:styleId="213">
    <w:name w:val="Grid Table 2 - Accent 21"/>
    <w:basedOn w:val="47"/>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character" w:customStyle="1" w:styleId="214">
    <w:name w:val="批注文字 字符"/>
    <w:link w:val="17"/>
    <w:qFormat/>
    <w:uiPriority w:val="0"/>
    <w:rPr>
      <w:rFonts w:ascii="Calibri" w:hAnsi="Calibri" w:eastAsia="宋体" w:cs="Times New Roman"/>
      <w:sz w:val="21"/>
      <w:szCs w:val="22"/>
    </w:rPr>
  </w:style>
  <w:style w:type="paragraph" w:customStyle="1" w:styleId="215">
    <w:name w:val="正文1"/>
    <w:qFormat/>
    <w:uiPriority w:val="0"/>
    <w:pPr>
      <w:widowControl w:val="0"/>
      <w:jc w:val="both"/>
    </w:pPr>
    <w:rPr>
      <w:rFonts w:ascii="Times New Roman" w:hAnsi="Times New Roman" w:eastAsia="Times New Roman" w:cs="Times New Roman"/>
      <w:sz w:val="21"/>
      <w:szCs w:val="24"/>
      <w:lang w:val="en-US" w:eastAsia="zh-CN" w:bidi="ar-SA"/>
    </w:rPr>
  </w:style>
  <w:style w:type="table" w:customStyle="1" w:styleId="216">
    <w:name w:val="无格式表格 31"/>
    <w:basedOn w:val="47"/>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217">
    <w:name w:val="Grid Table 4 - Accent 61"/>
    <w:basedOn w:val="47"/>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character" w:customStyle="1" w:styleId="218">
    <w:name w:val="标题 5 字符"/>
    <w:link w:val="8"/>
    <w:qFormat/>
    <w:uiPriority w:val="9"/>
    <w:rPr>
      <w:rFonts w:ascii="Arial" w:hAnsi="Arial" w:eastAsia="Arial" w:cs="Arial"/>
      <w:b/>
      <w:bCs/>
      <w:sz w:val="24"/>
      <w:szCs w:val="24"/>
    </w:rPr>
  </w:style>
  <w:style w:type="table" w:customStyle="1" w:styleId="219">
    <w:name w:val="List Table 3 - Accent 11"/>
    <w:basedOn w:val="47"/>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220">
    <w:name w:val="Grid Table 7 Colorful - Accent 31"/>
    <w:basedOn w:val="47"/>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221">
    <w:name w:val="Grid Table 6 Colorful - Accent 41"/>
    <w:basedOn w:val="47"/>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222">
    <w:name w:val="Grid Table 5 Dark - Accent 5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223">
    <w:name w:val="清单表 5 深色1"/>
    <w:basedOn w:val="47"/>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24">
    <w:name w:val="Bordered &amp; Lined - Accent 5"/>
    <w:basedOn w:val="47"/>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Lined - Accent 4"/>
    <w:basedOn w:val="47"/>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paragraph" w:customStyle="1" w:styleId="226">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27">
    <w:name w:val="尾注文本 字符"/>
    <w:link w:val="29"/>
    <w:qFormat/>
    <w:uiPriority w:val="99"/>
    <w:rPr>
      <w:sz w:val="20"/>
    </w:rPr>
  </w:style>
  <w:style w:type="table" w:customStyle="1" w:styleId="228">
    <w:name w:val="List Table 2 - Accent 31"/>
    <w:basedOn w:val="47"/>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paragraph" w:customStyle="1" w:styleId="229">
    <w:name w:val="正文2"/>
    <w:basedOn w:val="1"/>
    <w:link w:val="256"/>
    <w:qFormat/>
    <w:uiPriority w:val="99"/>
    <w:pPr>
      <w:spacing w:line="360" w:lineRule="auto"/>
      <w:ind w:firstLine="420"/>
    </w:pPr>
    <w:rPr>
      <w:rFonts w:ascii="宋体" w:hAnsi="宋体" w:cs="宋体"/>
      <w:color w:val="000000"/>
      <w:szCs w:val="21"/>
    </w:rPr>
  </w:style>
  <w:style w:type="table" w:customStyle="1" w:styleId="230">
    <w:name w:val="Grid Table 4 - Accent 51"/>
    <w:basedOn w:val="47"/>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character" w:customStyle="1" w:styleId="231">
    <w:name w:val="标题 9 字符"/>
    <w:link w:val="12"/>
    <w:qFormat/>
    <w:uiPriority w:val="9"/>
    <w:rPr>
      <w:rFonts w:ascii="Arial" w:hAnsi="Arial" w:eastAsia="Arial" w:cs="Arial"/>
      <w:i/>
      <w:iCs/>
      <w:sz w:val="21"/>
      <w:szCs w:val="21"/>
    </w:rPr>
  </w:style>
  <w:style w:type="character" w:customStyle="1" w:styleId="232">
    <w:name w:val="日期 字符"/>
    <w:link w:val="27"/>
    <w:qFormat/>
    <w:uiPriority w:val="0"/>
    <w:rPr>
      <w:rFonts w:ascii="Times New Roman" w:hAnsi="Times New Roman" w:eastAsia="宋体" w:cs="Times New Roman"/>
      <w:sz w:val="21"/>
      <w:szCs w:val="24"/>
    </w:rPr>
  </w:style>
  <w:style w:type="table" w:customStyle="1" w:styleId="233">
    <w:name w:val="List Table 3 - Accent 61"/>
    <w:basedOn w:val="47"/>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234">
    <w:name w:val="List Table 7 Colorful - Accent 51"/>
    <w:basedOn w:val="47"/>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35">
    <w:name w:val="清单表 41"/>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paragraph" w:customStyle="1" w:styleId="23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table" w:customStyle="1" w:styleId="237">
    <w:name w:val="Bordered &amp; Lined - Accent 4"/>
    <w:basedOn w:val="47"/>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38">
    <w:name w:val="Grid Table 3 - Accent 31"/>
    <w:basedOn w:val="47"/>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character" w:customStyle="1" w:styleId="239">
    <w:name w:val="标题 8 字符"/>
    <w:link w:val="11"/>
    <w:qFormat/>
    <w:uiPriority w:val="9"/>
    <w:rPr>
      <w:rFonts w:ascii="Arial" w:hAnsi="Arial" w:eastAsia="Arial" w:cs="Arial"/>
      <w:i/>
      <w:iCs/>
      <w:sz w:val="22"/>
      <w:szCs w:val="22"/>
    </w:rPr>
  </w:style>
  <w:style w:type="paragraph" w:customStyle="1" w:styleId="240">
    <w:name w:val="p0"/>
    <w:basedOn w:val="1"/>
    <w:qFormat/>
    <w:uiPriority w:val="99"/>
    <w:pPr>
      <w:widowControl/>
    </w:pPr>
    <w:rPr>
      <w:b/>
      <w:bCs/>
      <w:sz w:val="24"/>
    </w:rPr>
  </w:style>
  <w:style w:type="table" w:customStyle="1" w:styleId="241">
    <w:name w:val="Grid Table 1 Light - Accent 61"/>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42">
    <w:name w:val="修订5"/>
    <w:hidden/>
    <w:unhideWhenUsed/>
    <w:qFormat/>
    <w:uiPriority w:val="99"/>
    <w:rPr>
      <w:rFonts w:ascii="Calibri" w:hAnsi="Calibri" w:eastAsia="宋体" w:cs="Times New Roman"/>
      <w:sz w:val="21"/>
      <w:szCs w:val="22"/>
      <w:lang w:val="en-US" w:eastAsia="zh-CN" w:bidi="ar-SA"/>
    </w:rPr>
  </w:style>
  <w:style w:type="table" w:customStyle="1" w:styleId="243">
    <w:name w:val="List Table 4 - Accent 11"/>
    <w:basedOn w:val="47"/>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character" w:customStyle="1" w:styleId="244">
    <w:name w:val="p21"/>
    <w:qFormat/>
    <w:uiPriority w:val="0"/>
    <w:rPr>
      <w:sz w:val="9"/>
      <w:szCs w:val="9"/>
    </w:rPr>
  </w:style>
  <w:style w:type="table" w:customStyle="1" w:styleId="245">
    <w:name w:val="List Table 5 Dark - Accent 51"/>
    <w:basedOn w:val="47"/>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246">
    <w:name w:val="清单表 1 浅色1"/>
    <w:basedOn w:val="47"/>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247">
    <w:name w:val="Lined - Accent 1"/>
    <w:basedOn w:val="47"/>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paragraph" w:customStyle="1" w:styleId="248">
    <w:name w:val="标题 51"/>
    <w:basedOn w:val="1"/>
    <w:qFormat/>
    <w:uiPriority w:val="1"/>
    <w:pPr>
      <w:spacing w:before="3"/>
      <w:ind w:left="680"/>
      <w:outlineLvl w:val="5"/>
    </w:pPr>
    <w:rPr>
      <w:b/>
      <w:bCs/>
      <w:sz w:val="24"/>
      <w:szCs w:val="24"/>
    </w:rPr>
  </w:style>
  <w:style w:type="table" w:customStyle="1" w:styleId="249">
    <w:name w:val="List Table 6 Colorful - Accent 11"/>
    <w:basedOn w:val="47"/>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50">
    <w:name w:val="List Table 6 Colorful - Accent 61"/>
    <w:basedOn w:val="47"/>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character" w:customStyle="1" w:styleId="251">
    <w:name w:val="标题 6 字符"/>
    <w:link w:val="9"/>
    <w:qFormat/>
    <w:uiPriority w:val="9"/>
    <w:rPr>
      <w:rFonts w:ascii="Arial" w:hAnsi="Arial" w:eastAsia="Arial" w:cs="Arial"/>
      <w:b/>
      <w:bCs/>
      <w:sz w:val="22"/>
      <w:szCs w:val="22"/>
    </w:rPr>
  </w:style>
  <w:style w:type="table" w:customStyle="1" w:styleId="252">
    <w:name w:val="List Table 3 - Accent 21"/>
    <w:basedOn w:val="47"/>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character" w:customStyle="1" w:styleId="253">
    <w:name w:val="Heading 4 Char"/>
    <w:qFormat/>
    <w:uiPriority w:val="9"/>
    <w:rPr>
      <w:rFonts w:ascii="Arial" w:hAnsi="Arial" w:eastAsia="Arial" w:cs="Arial"/>
      <w:b/>
      <w:bCs/>
      <w:sz w:val="26"/>
      <w:szCs w:val="26"/>
    </w:rPr>
  </w:style>
  <w:style w:type="table" w:customStyle="1" w:styleId="254">
    <w:name w:val="Grid Table 5 Dark - Accent 61"/>
    <w:basedOn w:val="47"/>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255">
    <w:name w:val="Grid Table 7 Colorful - Accent 61"/>
    <w:basedOn w:val="47"/>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character" w:customStyle="1" w:styleId="256">
    <w:name w:val="正文2 Char Char"/>
    <w:link w:val="229"/>
    <w:qFormat/>
    <w:uiPriority w:val="99"/>
    <w:rPr>
      <w:rFonts w:ascii="宋体" w:hAnsi="宋体" w:eastAsia="宋体" w:cs="宋体"/>
      <w:color w:val="000000"/>
      <w:sz w:val="21"/>
      <w:szCs w:val="21"/>
    </w:rPr>
  </w:style>
  <w:style w:type="character" w:customStyle="1" w:styleId="257">
    <w:name w:val="HTML 预设格式 字符"/>
    <w:link w:val="41"/>
    <w:qFormat/>
    <w:uiPriority w:val="99"/>
    <w:rPr>
      <w:rFonts w:ascii="Arial" w:hAnsi="Arial" w:eastAsia="宋体" w:cs="Times New Roman"/>
      <w:sz w:val="11"/>
      <w:szCs w:val="11"/>
    </w:rPr>
  </w:style>
  <w:style w:type="paragraph" w:customStyle="1" w:styleId="258">
    <w:name w:val="列出段落1"/>
    <w:basedOn w:val="1"/>
    <w:qFormat/>
    <w:uiPriority w:val="99"/>
    <w:pPr>
      <w:numPr>
        <w:ilvl w:val="1"/>
        <w:numId w:val="2"/>
      </w:numPr>
      <w:spacing w:line="360" w:lineRule="auto"/>
      <w:ind w:left="0" w:firstLine="420"/>
    </w:pPr>
    <w:rPr>
      <w:rFonts w:ascii="Times New Roman" w:hAnsi="Times New Roman"/>
      <w:szCs w:val="21"/>
    </w:rPr>
  </w:style>
  <w:style w:type="paragraph" w:customStyle="1" w:styleId="259">
    <w:name w:val="列出段落11"/>
    <w:basedOn w:val="1"/>
    <w:qFormat/>
    <w:uiPriority w:val="99"/>
    <w:pPr>
      <w:ind w:firstLine="420"/>
    </w:pPr>
    <w:rPr>
      <w:rFonts w:ascii="Times New Roman" w:hAnsi="Times New Roman"/>
      <w:szCs w:val="24"/>
    </w:rPr>
  </w:style>
  <w:style w:type="table" w:customStyle="1" w:styleId="260">
    <w:name w:val="List Table 7 Colorful - Accent 41"/>
    <w:basedOn w:val="47"/>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character" w:customStyle="1" w:styleId="261">
    <w:name w:val="页眉 字符"/>
    <w:link w:val="32"/>
    <w:qFormat/>
    <w:uiPriority w:val="99"/>
    <w:rPr>
      <w:sz w:val="18"/>
      <w:szCs w:val="18"/>
    </w:rPr>
  </w:style>
  <w:style w:type="character" w:customStyle="1" w:styleId="262">
    <w:name w:val="Footer Char"/>
    <w:qFormat/>
    <w:uiPriority w:val="99"/>
  </w:style>
  <w:style w:type="table" w:customStyle="1" w:styleId="263">
    <w:name w:val="Grid Table 2 - Accent 1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265">
    <w:name w:val="Grid Table 3 - Accent 11"/>
    <w:basedOn w:val="47"/>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paragraph" w:customStyle="1" w:styleId="266">
    <w:name w:val="修订4"/>
    <w:hidden/>
    <w:unhideWhenUsed/>
    <w:qFormat/>
    <w:uiPriority w:val="99"/>
    <w:rPr>
      <w:rFonts w:ascii="Calibri" w:hAnsi="Calibri" w:eastAsia="宋体" w:cs="Times New Roman"/>
      <w:sz w:val="21"/>
      <w:szCs w:val="22"/>
      <w:lang w:val="en-US" w:eastAsia="zh-CN" w:bidi="ar-SA"/>
    </w:rPr>
  </w:style>
  <w:style w:type="table" w:customStyle="1" w:styleId="267">
    <w:name w:val="Grid Table 1 Light - Accent 41"/>
    <w:basedOn w:val="47"/>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paragraph" w:customStyle="1" w:styleId="268">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table" w:customStyle="1" w:styleId="269">
    <w:name w:val="清单表 31"/>
    <w:basedOn w:val="47"/>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270">
    <w:name w:val="List Table 4 - Accent 51"/>
    <w:basedOn w:val="47"/>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271">
    <w:name w:val="List Table 2 - Accent 21"/>
    <w:basedOn w:val="47"/>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character" w:customStyle="1" w:styleId="272">
    <w:name w:val="Header Char"/>
    <w:qFormat/>
    <w:uiPriority w:val="99"/>
  </w:style>
  <w:style w:type="table" w:customStyle="1" w:styleId="273">
    <w:name w:val="Bordered - Accent 6"/>
    <w:basedOn w:val="47"/>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274">
    <w:name w:val="List Table 2 - Accent 61"/>
    <w:basedOn w:val="47"/>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275">
    <w:name w:val="无格式表格 11"/>
    <w:basedOn w:val="47"/>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character" w:customStyle="1" w:styleId="276">
    <w:name w:val="批注框文本 字符"/>
    <w:link w:val="30"/>
    <w:semiHidden/>
    <w:qFormat/>
    <w:uiPriority w:val="99"/>
    <w:rPr>
      <w:sz w:val="18"/>
      <w:szCs w:val="18"/>
    </w:rPr>
  </w:style>
  <w:style w:type="table" w:customStyle="1" w:styleId="277">
    <w:name w:val="List Table 5 Dark - Accent 31"/>
    <w:basedOn w:val="47"/>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278">
    <w:name w:val="Grid Table 2 - Accent 61"/>
    <w:basedOn w:val="47"/>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279">
    <w:name w:val="无格式表格 21"/>
    <w:basedOn w:val="47"/>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49</Pages>
  <Words>10822</Words>
  <Characters>11277</Characters>
  <Lines>23</Lines>
  <Paragraphs>52</Paragraphs>
  <TotalTime>5</TotalTime>
  <ScaleCrop>false</ScaleCrop>
  <LinksUpToDate>false</LinksUpToDate>
  <CharactersWithSpaces>11298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2026-01-26T03:08:00Z</dcterms:created>
  <dc:creator>Administrator</dc:creator>
  <cp:lastModifiedBy>楚楚</cp:lastModifiedBy>
  <dcterms:modified xsi:type="dcterms:W3CDTF">2026-01-29T06:31:48Z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eyJoZGlkIjoiMTEyZGI1OGUyOTZjNjcwYzVhNjY4OWJiMDQwNzJhYmYiLCJ1c2VySWQiOiI0NjcwNzgxMjMifQ==</vt:lpwstr>
  </property>
  <property fmtid="{D5CDD505-2E9C-101B-9397-08002B2CF9AE}" pid="3" name="KSOProductBuildVer">
    <vt:lpwstr>2052-12.1.0.24657</vt:lpwstr>
  </property>
  <property fmtid="{D5CDD505-2E9C-101B-9397-08002B2CF9AE}" pid="4" name="ICV">
    <vt:lpwstr>710DD3EE879F4F40B8BA4195BF8ACFFB_13</vt:lpwstr>
  </property>
</Properties>
</file>