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75C459">
      <w:pPr>
        <w:widowControl/>
        <w:spacing w:before="19"/>
        <w:ind w:right="-334"/>
        <w:jc w:val="center"/>
        <w:rPr>
          <w:rFonts w:eastAsia="仿宋_GB2312"/>
          <w:b/>
          <w:sz w:val="36"/>
        </w:rPr>
      </w:pPr>
      <w:bookmarkStart w:id="0" w:name="_Toc107246270"/>
      <w:r>
        <w:rPr>
          <w:rFonts w:hint="eastAsia" w:eastAsia="仿宋_GB2312"/>
          <w:b/>
          <w:sz w:val="36"/>
        </w:rPr>
        <w:t>南京邮电大学采购合同（国产设备）</w:t>
      </w:r>
    </w:p>
    <w:p w14:paraId="2650E1CC">
      <w:pPr>
        <w:spacing w:line="240" w:lineRule="atLeast"/>
        <w:rPr>
          <w:rFonts w:cs="宋体"/>
          <w:szCs w:val="21"/>
        </w:rPr>
      </w:pPr>
    </w:p>
    <w:p w14:paraId="1174C140">
      <w:pPr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甲方：南京邮电大学                             签订地点：南京邮电大学</w:t>
      </w:r>
    </w:p>
    <w:p w14:paraId="7D5F82D7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乙方：南京屹立芯创半导体科技有限公司</w:t>
      </w:r>
      <w:r>
        <w:rPr>
          <w:rFonts w:hint="eastAsia" w:cs="宋体"/>
          <w:szCs w:val="21"/>
        </w:rPr>
        <w:t xml:space="preserve">                                          </w:t>
      </w:r>
    </w:p>
    <w:p w14:paraId="248C2F8A">
      <w:pPr>
        <w:widowControl/>
        <w:spacing w:line="360" w:lineRule="auto"/>
        <w:ind w:firstLine="420"/>
        <w:rPr>
          <w:rFonts w:cs="宋体"/>
          <w:szCs w:val="21"/>
        </w:rPr>
      </w:pPr>
    </w:p>
    <w:p w14:paraId="79F0C9F7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甲乙双方根据</w:t>
      </w:r>
      <w:r>
        <w:rPr>
          <w:rFonts w:hint="eastAsia" w:cs="宋体"/>
          <w:szCs w:val="21"/>
          <w:u w:val="single"/>
          <w:lang w:val="en-US" w:eastAsia="zh-CN"/>
        </w:rPr>
        <w:t xml:space="preserve"> </w:t>
      </w:r>
      <w:r>
        <w:rPr>
          <w:rFonts w:hint="eastAsia" w:cs="Microsoft New Tai Lue"/>
          <w:bCs/>
          <w:szCs w:val="21"/>
          <w:highlight w:val="none"/>
          <w:u w:val="single"/>
        </w:rPr>
        <w:t>南京邮电大学集成电路科学与工程学院（产教融合学院）压力烤箱采购</w:t>
      </w:r>
      <w:r>
        <w:rPr>
          <w:rFonts w:hint="eastAsia" w:cs="宋体"/>
          <w:szCs w:val="21"/>
          <w:u w:val="single"/>
        </w:rPr>
        <w:t xml:space="preserve">  </w:t>
      </w:r>
      <w:r>
        <w:rPr>
          <w:rFonts w:hint="eastAsia" w:cs="宋体"/>
          <w:szCs w:val="21"/>
        </w:rPr>
        <w:t>项目招标（谈判、询价）采购结果,依据《中华人民共和国民法典》合同编及相关法律规定，达成如下货物购销合同:</w:t>
      </w:r>
    </w:p>
    <w:p w14:paraId="25B26992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一、货物及其数量、金额：</w:t>
      </w:r>
    </w:p>
    <w:tbl>
      <w:tblPr>
        <w:tblStyle w:val="3"/>
        <w:tblW w:w="4997" w:type="pct"/>
        <w:tblInd w:w="-131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219"/>
        <w:gridCol w:w="3224"/>
        <w:gridCol w:w="905"/>
        <w:gridCol w:w="1214"/>
        <w:gridCol w:w="1339"/>
      </w:tblGrid>
      <w:tr w14:paraId="2266E57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</w:trPr>
        <w:tc>
          <w:tcPr>
            <w:tcW w:w="362" w:type="pct"/>
            <w:tcBorders>
              <w:top w:val="single" w:color="auto" w:sz="18" w:space="0"/>
              <w:bottom w:val="single" w:color="auto" w:sz="18" w:space="0"/>
            </w:tcBorders>
            <w:shd w:val="pct10" w:color="auto" w:fill="FFFFFF"/>
            <w:noWrap w:val="0"/>
            <w:vAlign w:val="center"/>
          </w:tcPr>
          <w:p w14:paraId="4D51FE66">
            <w:pPr>
              <w:jc w:val="center"/>
              <w:rPr>
                <w:rFonts w:eastAsia="楷体_GB2312"/>
                <w:b/>
                <w:szCs w:val="21"/>
              </w:rPr>
            </w:pPr>
            <w:r>
              <w:rPr>
                <w:rFonts w:hint="eastAsia" w:eastAsia="楷体_GB2312"/>
                <w:b/>
                <w:szCs w:val="21"/>
              </w:rPr>
              <w:t>编号</w:t>
            </w:r>
          </w:p>
        </w:tc>
        <w:tc>
          <w:tcPr>
            <w:tcW w:w="716" w:type="pct"/>
            <w:tcBorders>
              <w:top w:val="single" w:color="auto" w:sz="18" w:space="0"/>
              <w:bottom w:val="single" w:color="auto" w:sz="18" w:space="0"/>
            </w:tcBorders>
            <w:shd w:val="pct10" w:color="auto" w:fill="FFFFFF"/>
            <w:noWrap w:val="0"/>
            <w:vAlign w:val="center"/>
          </w:tcPr>
          <w:p w14:paraId="18C60716">
            <w:pPr>
              <w:jc w:val="center"/>
              <w:rPr>
                <w:rFonts w:eastAsia="楷体_GB2312"/>
                <w:b/>
                <w:szCs w:val="21"/>
              </w:rPr>
            </w:pPr>
            <w:r>
              <w:rPr>
                <w:rFonts w:hint="eastAsia" w:eastAsia="楷体_GB2312"/>
                <w:b/>
                <w:szCs w:val="21"/>
              </w:rPr>
              <w:t>货物名称</w:t>
            </w:r>
          </w:p>
        </w:tc>
        <w:tc>
          <w:tcPr>
            <w:tcW w:w="1893" w:type="pct"/>
            <w:tcBorders>
              <w:top w:val="single" w:color="auto" w:sz="18" w:space="0"/>
              <w:bottom w:val="single" w:color="auto" w:sz="18" w:space="0"/>
            </w:tcBorders>
            <w:shd w:val="pct10" w:color="auto" w:fill="FFFFFF"/>
            <w:noWrap w:val="0"/>
            <w:vAlign w:val="center"/>
          </w:tcPr>
          <w:p w14:paraId="61EFD16C">
            <w:pPr>
              <w:jc w:val="center"/>
              <w:rPr>
                <w:rFonts w:eastAsia="楷体_GB2312"/>
                <w:b/>
                <w:szCs w:val="21"/>
              </w:rPr>
            </w:pPr>
            <w:r>
              <w:rPr>
                <w:rFonts w:hint="eastAsia" w:eastAsia="楷体_GB2312"/>
                <w:b/>
                <w:szCs w:val="21"/>
              </w:rPr>
              <w:t>规</w:t>
            </w:r>
            <w:r>
              <w:rPr>
                <w:rFonts w:eastAsia="楷体_GB2312"/>
                <w:b/>
                <w:szCs w:val="21"/>
              </w:rPr>
              <w:t xml:space="preserve"> </w:t>
            </w:r>
            <w:r>
              <w:rPr>
                <w:rFonts w:hint="eastAsia" w:eastAsia="楷体_GB2312"/>
                <w:b/>
                <w:szCs w:val="21"/>
              </w:rPr>
              <w:t>格</w:t>
            </w:r>
            <w:r>
              <w:rPr>
                <w:rFonts w:eastAsia="楷体_GB2312"/>
                <w:b/>
                <w:szCs w:val="21"/>
              </w:rPr>
              <w:t xml:space="preserve"> </w:t>
            </w:r>
            <w:r>
              <w:rPr>
                <w:rFonts w:hint="eastAsia" w:eastAsia="楷体_GB2312"/>
                <w:b/>
                <w:szCs w:val="21"/>
              </w:rPr>
              <w:t>型</w:t>
            </w:r>
            <w:r>
              <w:rPr>
                <w:rFonts w:eastAsia="楷体_GB2312"/>
                <w:b/>
                <w:szCs w:val="21"/>
              </w:rPr>
              <w:t xml:space="preserve"> </w:t>
            </w:r>
            <w:r>
              <w:rPr>
                <w:rFonts w:hint="eastAsia" w:eastAsia="楷体_GB2312"/>
                <w:b/>
                <w:szCs w:val="21"/>
              </w:rPr>
              <w:t>号（品牌）</w:t>
            </w:r>
          </w:p>
        </w:tc>
        <w:tc>
          <w:tcPr>
            <w:tcW w:w="531" w:type="pct"/>
            <w:tcBorders>
              <w:top w:val="single" w:color="auto" w:sz="18" w:space="0"/>
              <w:bottom w:val="single" w:color="auto" w:sz="18" w:space="0"/>
            </w:tcBorders>
            <w:shd w:val="pct10" w:color="auto" w:fill="FFFFFF"/>
            <w:noWrap w:val="0"/>
            <w:vAlign w:val="center"/>
          </w:tcPr>
          <w:p w14:paraId="601A32F8">
            <w:pPr>
              <w:jc w:val="center"/>
              <w:rPr>
                <w:rFonts w:eastAsia="楷体_GB2312"/>
                <w:b/>
                <w:szCs w:val="21"/>
              </w:rPr>
            </w:pPr>
            <w:r>
              <w:rPr>
                <w:rFonts w:hint="eastAsia" w:eastAsia="楷体_GB2312"/>
                <w:b/>
                <w:szCs w:val="21"/>
              </w:rPr>
              <w:t>数量</w:t>
            </w:r>
          </w:p>
        </w:tc>
        <w:tc>
          <w:tcPr>
            <w:tcW w:w="712" w:type="pct"/>
            <w:tcBorders>
              <w:top w:val="single" w:color="auto" w:sz="18" w:space="0"/>
              <w:bottom w:val="single" w:color="auto" w:sz="18" w:space="0"/>
              <w:right w:val="single" w:color="auto" w:sz="4" w:space="0"/>
            </w:tcBorders>
            <w:shd w:val="pct10" w:color="auto" w:fill="FFFFFF"/>
            <w:noWrap w:val="0"/>
            <w:vAlign w:val="center"/>
          </w:tcPr>
          <w:p w14:paraId="1674E3E0">
            <w:pPr>
              <w:jc w:val="center"/>
              <w:rPr>
                <w:rFonts w:eastAsia="楷体_GB2312"/>
                <w:b/>
                <w:szCs w:val="21"/>
              </w:rPr>
            </w:pPr>
            <w:r>
              <w:rPr>
                <w:rFonts w:hint="eastAsia" w:eastAsia="楷体_GB2312"/>
                <w:b/>
                <w:szCs w:val="21"/>
              </w:rPr>
              <w:t>单价（元）</w:t>
            </w:r>
          </w:p>
        </w:tc>
        <w:tc>
          <w:tcPr>
            <w:tcW w:w="784" w:type="pct"/>
            <w:tcBorders>
              <w:top w:val="single" w:color="auto" w:sz="18" w:space="0"/>
              <w:bottom w:val="single" w:color="auto" w:sz="18" w:space="0"/>
              <w:right w:val="single" w:color="auto" w:sz="4" w:space="0"/>
            </w:tcBorders>
            <w:shd w:val="pct10" w:color="auto" w:fill="FFFFFF"/>
            <w:noWrap w:val="0"/>
            <w:vAlign w:val="center"/>
          </w:tcPr>
          <w:p w14:paraId="627EC0B4">
            <w:pPr>
              <w:widowControl/>
              <w:jc w:val="left"/>
              <w:rPr>
                <w:rFonts w:eastAsia="楷体_GB2312"/>
                <w:b/>
                <w:szCs w:val="21"/>
              </w:rPr>
            </w:pPr>
            <w:r>
              <w:rPr>
                <w:rFonts w:hint="eastAsia" w:eastAsia="楷体_GB2312"/>
                <w:b/>
                <w:szCs w:val="21"/>
              </w:rPr>
              <w:t>总价（元）</w:t>
            </w:r>
          </w:p>
        </w:tc>
      </w:tr>
      <w:tr w14:paraId="2DE801D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362" w:type="pct"/>
            <w:tcBorders>
              <w:top w:val="nil"/>
              <w:bottom w:val="single" w:color="auto" w:sz="4" w:space="0"/>
            </w:tcBorders>
            <w:noWrap w:val="0"/>
            <w:vAlign w:val="center"/>
          </w:tcPr>
          <w:p w14:paraId="71DF6B6B">
            <w:pPr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1</w:t>
            </w:r>
          </w:p>
        </w:tc>
        <w:tc>
          <w:tcPr>
            <w:tcW w:w="716" w:type="pct"/>
            <w:tcBorders>
              <w:top w:val="nil"/>
              <w:bottom w:val="single" w:color="auto" w:sz="4" w:space="0"/>
            </w:tcBorders>
            <w:noWrap w:val="0"/>
            <w:vAlign w:val="center"/>
          </w:tcPr>
          <w:p w14:paraId="1A2DDCBE">
            <w:pPr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压力烤箱</w:t>
            </w:r>
          </w:p>
        </w:tc>
        <w:tc>
          <w:tcPr>
            <w:tcW w:w="1893" w:type="pct"/>
            <w:tcBorders>
              <w:top w:val="nil"/>
              <w:bottom w:val="single" w:color="auto" w:sz="4" w:space="0"/>
            </w:tcBorders>
            <w:noWrap w:val="0"/>
            <w:vAlign w:val="center"/>
          </w:tcPr>
          <w:p w14:paraId="6C0C3029">
            <w:pPr>
              <w:rPr>
                <w:rFonts w:hint="default" w:eastAsia="宋体" w:cs="宋体"/>
                <w:szCs w:val="21"/>
                <w:lang w:val="en-US" w:eastAsia="zh-CN"/>
              </w:rPr>
            </w:pPr>
            <w:r>
              <w:rPr>
                <w:rFonts w:hint="eastAsia" w:cs="宋体"/>
                <w:szCs w:val="21"/>
                <w:lang w:val="en-US" w:eastAsia="zh-CN"/>
              </w:rPr>
              <w:t>VPS-D06</w:t>
            </w:r>
          </w:p>
        </w:tc>
        <w:tc>
          <w:tcPr>
            <w:tcW w:w="531" w:type="pct"/>
            <w:tcBorders>
              <w:top w:val="nil"/>
              <w:bottom w:val="single" w:color="auto" w:sz="4" w:space="0"/>
            </w:tcBorders>
            <w:noWrap w:val="0"/>
            <w:vAlign w:val="center"/>
          </w:tcPr>
          <w:p w14:paraId="3870E85A">
            <w:pPr>
              <w:ind w:firstLine="103"/>
              <w:rPr>
                <w:rFonts w:hint="eastAsia" w:eastAsia="宋体"/>
                <w:b/>
                <w:szCs w:val="21"/>
                <w:lang w:val="en-US" w:eastAsia="zh-CN"/>
              </w:rPr>
            </w:pPr>
            <w:r>
              <w:rPr>
                <w:rFonts w:hint="eastAsia"/>
                <w:b/>
                <w:szCs w:val="21"/>
                <w:lang w:val="en-US" w:eastAsia="zh-CN"/>
              </w:rPr>
              <w:t>1</w:t>
            </w:r>
          </w:p>
        </w:tc>
        <w:tc>
          <w:tcPr>
            <w:tcW w:w="712" w:type="pct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40044">
            <w:pPr>
              <w:jc w:val="center"/>
              <w:rPr>
                <w:rFonts w:hint="default" w:eastAsia="宋体"/>
                <w:b/>
                <w:szCs w:val="21"/>
                <w:lang w:val="en-US" w:eastAsia="zh-CN"/>
              </w:rPr>
            </w:pPr>
            <w:r>
              <w:rPr>
                <w:rFonts w:hint="eastAsia"/>
                <w:b/>
                <w:szCs w:val="21"/>
                <w:lang w:val="en-US" w:eastAsia="zh-CN"/>
              </w:rPr>
              <w:t>2000000.00</w:t>
            </w:r>
          </w:p>
        </w:tc>
        <w:tc>
          <w:tcPr>
            <w:tcW w:w="784" w:type="pct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A48B7">
            <w:pPr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2000000.00</w:t>
            </w:r>
          </w:p>
        </w:tc>
      </w:tr>
      <w:tr w14:paraId="4C68D45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</w:trPr>
        <w:tc>
          <w:tcPr>
            <w:tcW w:w="5000" w:type="pct"/>
            <w:gridSpan w:val="6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EFDEC">
            <w:pPr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总价（人民币大写）：</w:t>
            </w:r>
            <w:r>
              <w:rPr>
                <w:rFonts w:hint="eastAsia"/>
                <w:b/>
                <w:szCs w:val="21"/>
                <w:lang w:val="en-US" w:eastAsia="zh-CN"/>
              </w:rPr>
              <w:t>贰佰万元整</w:t>
            </w:r>
            <w:r>
              <w:rPr>
                <w:rFonts w:hint="eastAsia"/>
                <w:b/>
                <w:szCs w:val="21"/>
              </w:rPr>
              <w:t xml:space="preserve">                     </w:t>
            </w:r>
            <w:r>
              <w:rPr>
                <w:rFonts w:hint="eastAsia"/>
                <w:szCs w:val="21"/>
              </w:rPr>
              <w:t>合计（小写）：</w:t>
            </w:r>
            <w:r>
              <w:rPr>
                <w:rFonts w:hint="eastAsia"/>
                <w:szCs w:val="21"/>
                <w:lang w:val="en-US" w:eastAsia="zh-CN"/>
              </w:rPr>
              <w:t>2000000.00</w:t>
            </w:r>
            <w:r>
              <w:rPr>
                <w:rFonts w:hint="eastAsia"/>
                <w:szCs w:val="21"/>
              </w:rPr>
              <w:t>元</w:t>
            </w:r>
          </w:p>
          <w:p w14:paraId="37CE85A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本合同总价款是货物设计、制造、包装、仓储、运输、安装及验收合格之前以及保修期内备品备件发生的所有含税费用。本合同总价款还包含乙方应当提供的伴随服务/售后服务费用。</w:t>
            </w:r>
          </w:p>
        </w:tc>
      </w:tr>
    </w:tbl>
    <w:p w14:paraId="309E7A72">
      <w:pPr>
        <w:pStyle w:val="5"/>
        <w:spacing w:line="360" w:lineRule="auto"/>
        <w:ind w:firstLine="420"/>
        <w:rPr>
          <w:rFonts w:hAnsi="宋体" w:cs="宋体"/>
          <w:sz w:val="21"/>
        </w:rPr>
      </w:pPr>
      <w:r>
        <w:rPr>
          <w:rFonts w:hint="eastAsia" w:hAnsi="宋体" w:cs="宋体"/>
          <w:sz w:val="21"/>
        </w:rPr>
        <w:t>二、交货时间：合同签订后</w:t>
      </w:r>
      <w:r>
        <w:rPr>
          <w:rFonts w:hint="eastAsia" w:hAnsi="宋体" w:cs="宋体"/>
          <w:sz w:val="21"/>
          <w:u w:val="single"/>
        </w:rPr>
        <w:t xml:space="preserve"> </w:t>
      </w:r>
      <w:r>
        <w:rPr>
          <w:rFonts w:hint="eastAsia" w:hAnsi="宋体" w:cs="宋体"/>
          <w:sz w:val="21"/>
          <w:u w:val="single"/>
          <w:lang w:val="en-US" w:eastAsia="zh-CN"/>
        </w:rPr>
        <w:t>120</w:t>
      </w:r>
      <w:r>
        <w:rPr>
          <w:rFonts w:hint="eastAsia" w:hAnsi="宋体" w:cs="宋体"/>
          <w:sz w:val="21"/>
          <w:u w:val="single"/>
        </w:rPr>
        <w:t xml:space="preserve">  </w:t>
      </w:r>
      <w:r>
        <w:rPr>
          <w:rFonts w:hint="eastAsia" w:hAnsi="宋体" w:cs="宋体"/>
          <w:sz w:val="21"/>
        </w:rPr>
        <w:t>日内交货，乙方逾期交付的，每天按照合同总价千分之五向采购人支付违约金，晚到30天以上，采购人有权取消合同并要求乙方支付合同总价5%的违约金。</w:t>
      </w:r>
    </w:p>
    <w:p w14:paraId="7689E6AD">
      <w:pPr>
        <w:spacing w:line="360" w:lineRule="auto"/>
        <w:ind w:firstLine="420"/>
        <w:rPr>
          <w:rFonts w:ascii="宋体" w:hAnsi="宋体" w:cs="宋体"/>
          <w:szCs w:val="21"/>
          <w:u w:val="single"/>
        </w:rPr>
      </w:pPr>
      <w:r>
        <w:rPr>
          <w:rFonts w:hint="eastAsia" w:ascii="宋体" w:hAnsi="宋体" w:cs="宋体"/>
          <w:szCs w:val="21"/>
        </w:rPr>
        <w:t>三、交货地点：</w:t>
      </w:r>
      <w:r>
        <w:rPr>
          <w:rFonts w:hint="eastAsia" w:ascii="宋体" w:hAnsi="宋体" w:cs="宋体"/>
          <w:u w:val="single"/>
        </w:rPr>
        <w:t>南京邮电大学用户指定地点，并免费提供安装调试服务。</w:t>
      </w:r>
    </w:p>
    <w:p w14:paraId="4FCEA38D">
      <w:pPr>
        <w:spacing w:line="360" w:lineRule="auto"/>
        <w:ind w:firstLine="420"/>
        <w:rPr>
          <w:rFonts w:ascii="宋体" w:hAnsi="宋体" w:cs="宋体"/>
          <w:szCs w:val="21"/>
          <w:u w:val="single"/>
        </w:rPr>
      </w:pPr>
      <w:r>
        <w:rPr>
          <w:rFonts w:hint="eastAsia" w:ascii="宋体" w:hAnsi="宋体" w:cs="宋体"/>
          <w:szCs w:val="21"/>
        </w:rPr>
        <w:t>四、付款方式：</w:t>
      </w:r>
      <w:r>
        <w:rPr>
          <w:rFonts w:ascii="宋体" w:hAnsi="宋体" w:cs="宋体"/>
          <w:u w:val="single"/>
        </w:rPr>
        <w:t>验收合格后30日内支付合同总价的100%，付款金额不计利息。</w:t>
      </w:r>
    </w:p>
    <w:p w14:paraId="09A8446A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五、质保期：</w:t>
      </w:r>
      <w:r>
        <w:rPr>
          <w:rFonts w:hint="eastAsia" w:cs="宋体"/>
          <w:szCs w:val="21"/>
          <w:u w:val="single"/>
          <w:lang w:val="en-US" w:eastAsia="zh-CN"/>
        </w:rPr>
        <w:t xml:space="preserve"> 2年 </w:t>
      </w:r>
      <w:r>
        <w:rPr>
          <w:rFonts w:hint="eastAsia" w:cs="宋体"/>
          <w:szCs w:val="21"/>
        </w:rPr>
        <w:t>(自验收合格之日起计。所有货物保修服务方式均为乙方派员到货物使用现场维修，由此产生的一切费用均由乙方承担。)</w:t>
      </w:r>
    </w:p>
    <w:p w14:paraId="7B452486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六、质量要求、技术标准、乙方对质量负责的条件和期限：</w:t>
      </w:r>
    </w:p>
    <w:p w14:paraId="13045C55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1、乙方所提供的货物，若技术性能无特殊说明，则按生产企业或国家有关部门最新颁布的标准及规范为准。</w:t>
      </w:r>
      <w:bookmarkStart w:id="1" w:name="_GoBack"/>
      <w:bookmarkEnd w:id="1"/>
    </w:p>
    <w:p w14:paraId="2618A696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2、乙方应保证货物是全新、未使用过的原装合格正品，并完全符合生产企业或国家规定的质量、规格和性能的要求。货物验收后，在质量保证期内，乙方应对由于设计、工艺或材料的缺陷所发生的任何不足或故障负责，所需费用由乙方承担。</w:t>
      </w:r>
    </w:p>
    <w:p w14:paraId="491E2D2B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七、验收标准：甲方应当在到货且安装调试完成后</w:t>
      </w:r>
      <w:r>
        <w:rPr>
          <w:rFonts w:hint="eastAsia" w:cs="宋体"/>
          <w:szCs w:val="21"/>
          <w:u w:val="single"/>
          <w:lang w:val="en-US" w:eastAsia="zh-CN"/>
        </w:rPr>
        <w:t xml:space="preserve"> 30</w:t>
      </w:r>
      <w:r>
        <w:rPr>
          <w:rFonts w:hint="eastAsia" w:cs="宋体"/>
          <w:szCs w:val="21"/>
        </w:rPr>
        <w:t>_日内对货物进行验收，验收包括：型号、规格、数量、外观质量、及货物包装是否完好，安装调试是否合格。所提供货物的装箱清单、用户手册、原厂保修卡、随机资料及配件、随机工具等是否齐全。验收时乙方必须在现场，验收合格后甲方应在验收记录上签字盖章。</w:t>
      </w:r>
    </w:p>
    <w:p w14:paraId="16ACB394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八、 工程部分（两万元以上）需按南京邮电大学审计相关规定执行。</w:t>
      </w:r>
    </w:p>
    <w:p w14:paraId="64BE5E9C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九、招投标文件为本合同的附件，与本合同具有同等法律效力（本条款适用于招投标项目）。甲乙双方商定的其他必要文件，附件与本合同不相符合之处，以本合同内容为准。上述文件内容互为补充。</w:t>
      </w:r>
    </w:p>
    <w:p w14:paraId="1A7D54E8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十、违约责任</w:t>
      </w:r>
    </w:p>
    <w:p w14:paraId="7FD0C752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1、甲方无正当理由拒收货物、拒付货物款的，由甲方向乙方偿付合同总价的5%违约金。如乙方不能交付货物，乙方应向甲方支付合同总价５％的违约金。</w:t>
      </w:r>
    </w:p>
    <w:p w14:paraId="711D9E06">
      <w:pPr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 xml:space="preserve">2、乙方逾期交付货物的，乙方应按逾期交货总额每日千分之五向甲方支付违约金，由甲方从待付货款中扣除。逾期超过约定日期30个工作日不能交货的，甲方可解除本合同。乙方因逾期交货或因其他违约行为导致甲方解除合同的，乙方应向甲方支付合同总值5%的违约金，如造成甲方损失超过违约金的，超出部分由乙方继续承担赔偿责任。 </w:t>
      </w:r>
    </w:p>
    <w:p w14:paraId="1FF677C8">
      <w:pPr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3、乙方所交的货物品种、型号、规格、技术参数、质量不符合合同规定及招标文件规定标准的，甲方有权拒收该货物，乙方愿意更换货物但逾期交货的，按乙方逾期交货处理。乙方拒绝更换货物的，甲方可单方面解除合同。</w:t>
      </w:r>
    </w:p>
    <w:p w14:paraId="37E8C77E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4、在乙方承诺的或国家规定的质量保证期内（取两者中最长的期限），如经乙方两次维修或更换，货物仍不能达到合同约定的质量标准，甲方有权退货，乙方应退回全部货款。同时，乙方还须赔偿甲方因此遭受的损失。</w:t>
      </w:r>
    </w:p>
    <w:p w14:paraId="7161B5FD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十一、 合同的变更和终止</w:t>
      </w:r>
    </w:p>
    <w:p w14:paraId="0BE9D9A8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依据《政府采购法》第五十条，本合同一经签订，甲乙双方不得擅自变更、中止或终止合同。</w:t>
      </w:r>
    </w:p>
    <w:p w14:paraId="4DEAF078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十二、合同的转让</w:t>
      </w:r>
    </w:p>
    <w:p w14:paraId="25A01283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乙方不得擅自部分或全部转让其应履行的合同义务。</w:t>
      </w:r>
    </w:p>
    <w:p w14:paraId="2C07A4CE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十三、 争议的解决</w:t>
      </w:r>
    </w:p>
    <w:p w14:paraId="052170F0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1、因货物的质量问题发生争议的，应当邀请国家认可的质量检测机构对货物质量进行鉴定。货物符合标准的，鉴定费由甲方承担；货物不符合质量标准的，鉴定费由乙方承担、并更换有问题商品或部件。</w:t>
      </w:r>
    </w:p>
    <w:p w14:paraId="638A15CE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2、因履行本合同引起的或与本合同有关的争议，甲、乙双方应首先通过友好协商解决，如果协商不能解决争议，任何一方均可向甲方所在地人民法院起诉解决。</w:t>
      </w:r>
    </w:p>
    <w:p w14:paraId="1F37231A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十四、付款前乙方须提供</w:t>
      </w:r>
      <w:r>
        <w:rPr>
          <w:rFonts w:hint="eastAsia" w:cs="宋体"/>
          <w:szCs w:val="21"/>
          <w:u w:val="single"/>
        </w:rPr>
        <w:t>增值税专用发票</w:t>
      </w:r>
      <w:r>
        <w:rPr>
          <w:rFonts w:hint="eastAsia" w:cs="宋体"/>
          <w:szCs w:val="21"/>
        </w:rPr>
        <w:t>，总价不变。</w:t>
      </w:r>
    </w:p>
    <w:p w14:paraId="36FA1E2D">
      <w:pPr>
        <w:widowControl/>
        <w:spacing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十五、本合同由甲、乙双方共同签订，合同一式四份，甲方叁份、乙方壹份。自双方签字、盖章之日起生效。</w:t>
      </w:r>
    </w:p>
    <w:p w14:paraId="1BEFF774">
      <w:pPr>
        <w:widowControl/>
        <w:spacing w:before="19" w:line="360" w:lineRule="auto"/>
        <w:ind w:firstLine="420"/>
        <w:rPr>
          <w:rFonts w:cs="宋体"/>
          <w:szCs w:val="21"/>
        </w:rPr>
      </w:pPr>
    </w:p>
    <w:p w14:paraId="52D4D5BA">
      <w:pPr>
        <w:widowControl/>
        <w:spacing w:before="19"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甲方                              乙方</w:t>
      </w:r>
    </w:p>
    <w:p w14:paraId="385760E2">
      <w:pPr>
        <w:widowControl/>
        <w:spacing w:before="19" w:line="360" w:lineRule="auto"/>
        <w:ind w:firstLine="420"/>
        <w:rPr>
          <w:rFonts w:hint="eastAsia" w:cs="宋体"/>
          <w:szCs w:val="21"/>
        </w:rPr>
      </w:pPr>
      <w:r>
        <w:rPr>
          <w:rFonts w:hint="eastAsia" w:cs="宋体"/>
          <w:szCs w:val="21"/>
        </w:rPr>
        <w:t>单位名称：南京邮电大学            单位名称：南京屹立芯创半导体科技有限公司</w:t>
      </w:r>
    </w:p>
    <w:p w14:paraId="6D5A988B">
      <w:pPr>
        <w:widowControl/>
        <w:spacing w:before="19" w:line="360" w:lineRule="auto"/>
        <w:ind w:firstLine="420"/>
        <w:rPr>
          <w:rFonts w:hint="eastAsia" w:cs="宋体"/>
          <w:szCs w:val="21"/>
        </w:rPr>
      </w:pPr>
      <w:r>
        <w:rPr>
          <w:rFonts w:hint="eastAsia" w:cs="宋体"/>
          <w:szCs w:val="21"/>
        </w:rPr>
        <w:t>单位地址：                        单位地址：南京市江北新区星火北路11号1楼</w:t>
      </w:r>
    </w:p>
    <w:p w14:paraId="662F8349">
      <w:pPr>
        <w:widowControl/>
        <w:spacing w:before="19" w:line="360" w:lineRule="auto"/>
        <w:ind w:firstLine="420"/>
        <w:rPr>
          <w:rFonts w:hint="eastAsia" w:eastAsia="宋体" w:cs="宋体"/>
          <w:szCs w:val="21"/>
          <w:lang w:val="en-US" w:eastAsia="zh-CN"/>
        </w:rPr>
      </w:pPr>
      <w:r>
        <w:rPr>
          <w:rFonts w:hint="eastAsia" w:cs="宋体"/>
          <w:szCs w:val="21"/>
        </w:rPr>
        <w:t>法定代表人：                      法定代表人：</w:t>
      </w:r>
      <w:r>
        <w:rPr>
          <w:rFonts w:hint="eastAsia" w:cs="宋体"/>
          <w:szCs w:val="21"/>
          <w:lang w:val="en-US" w:eastAsia="zh-CN"/>
        </w:rPr>
        <w:t>魏小兵</w:t>
      </w:r>
    </w:p>
    <w:p w14:paraId="7AAE8B6F">
      <w:pPr>
        <w:widowControl/>
        <w:spacing w:before="19"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委托代理人（签字）：              委托代理人（签字）：</w:t>
      </w:r>
    </w:p>
    <w:p w14:paraId="639E9D8C">
      <w:pPr>
        <w:widowControl/>
        <w:spacing w:before="19"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联系电话：                        联系电话：</w:t>
      </w:r>
      <w:r>
        <w:rPr>
          <w:rFonts w:ascii="宋体" w:hAnsi="宋体" w:eastAsia="宋体" w:cs="宋体"/>
          <w:sz w:val="24"/>
          <w:szCs w:val="24"/>
        </w:rPr>
        <w:t>025-58181168</w:t>
      </w:r>
      <w:r>
        <w:rPr>
          <w:rFonts w:hint="eastAsia" w:cs="宋体"/>
          <w:szCs w:val="21"/>
        </w:rPr>
        <w:t xml:space="preserve">                                            </w:t>
      </w:r>
    </w:p>
    <w:p w14:paraId="19DF5E64">
      <w:pPr>
        <w:widowControl/>
        <w:spacing w:before="19"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 xml:space="preserve">开户银行：工商银行察哈尔路支行    开户银行：交通银行南京高新开发区支行 </w:t>
      </w:r>
    </w:p>
    <w:p w14:paraId="32FC6595">
      <w:pPr>
        <w:widowControl/>
        <w:spacing w:before="19"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 xml:space="preserve">户名： 南京邮电大学               户名：南京屹立芯创半导体科技有限公司 </w:t>
      </w:r>
    </w:p>
    <w:p w14:paraId="51AF0DF7">
      <w:pPr>
        <w:widowControl/>
        <w:spacing w:before="19"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 xml:space="preserve">                                  账号：320899991013002426727 </w:t>
      </w:r>
    </w:p>
    <w:p w14:paraId="20919701">
      <w:pPr>
        <w:widowControl/>
        <w:spacing w:before="19" w:line="360" w:lineRule="auto"/>
        <w:ind w:firstLine="420"/>
        <w:rPr>
          <w:rFonts w:hint="eastAsia" w:cs="宋体"/>
          <w:szCs w:val="21"/>
        </w:rPr>
      </w:pPr>
      <w:r>
        <w:rPr>
          <w:rFonts w:hint="eastAsia" w:cs="宋体"/>
          <w:szCs w:val="21"/>
        </w:rPr>
        <w:t xml:space="preserve">                                  行号：301301000183  </w:t>
      </w:r>
    </w:p>
    <w:p w14:paraId="06E1FB68">
      <w:pPr>
        <w:widowControl/>
        <w:spacing w:before="19" w:line="360" w:lineRule="auto"/>
        <w:ind w:firstLine="420"/>
        <w:rPr>
          <w:rFonts w:hint="eastAsia" w:cs="宋体"/>
          <w:szCs w:val="21"/>
        </w:rPr>
      </w:pPr>
    </w:p>
    <w:p w14:paraId="3715DD9B">
      <w:pPr>
        <w:widowControl/>
        <w:spacing w:before="19"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地址、电话：南京市栖霞区文苑路9 号　025-85866388   项目联系人：</w:t>
      </w:r>
    </w:p>
    <w:p w14:paraId="4279BCBA">
      <w:pPr>
        <w:widowControl/>
        <w:spacing w:before="19" w:line="360" w:lineRule="auto"/>
        <w:ind w:firstLine="420"/>
        <w:rPr>
          <w:rFonts w:cs="宋体"/>
          <w:szCs w:val="21"/>
        </w:rPr>
      </w:pPr>
      <w:r>
        <w:rPr>
          <w:rFonts w:hint="eastAsia" w:cs="宋体"/>
          <w:szCs w:val="21"/>
        </w:rPr>
        <w:t>签约日期（即合同生效日期）：    年     月     日    联系电话：</w:t>
      </w:r>
    </w:p>
    <w:bookmarkEnd w:id="0"/>
    <w:p w14:paraId="147B0B49"/>
    <w:p w14:paraId="653827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New Tai Lue">
    <w:panose1 w:val="020B0502040204020203"/>
    <w:charset w:val="00"/>
    <w:family w:val="auto"/>
    <w:pitch w:val="default"/>
    <w:sig w:usb0="00000003" w:usb1="00000000" w:usb2="80000000" w:usb3="00000000" w:csb0="00000001" w:csb1="00000000"/>
  </w:font>
  <w:font w:name="仿宋_GB2312">
    <w:altName w:val="仿宋"/>
    <w:panose1 w:val="02010609060101010101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2010609060101010101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unse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10766F"/>
    <w:rsid w:val="749173C8"/>
    <w:rsid w:val="75D6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default" w:ascii="Times New Roman" w:hAnsi="Times New Roman" w:eastAsia="宋体" w:cs="Times New Roman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等线 Light" w:hAnsi="等线 Light"/>
      <w:b/>
      <w:bCs/>
      <w:sz w:val="32"/>
      <w:szCs w:val="32"/>
    </w:rPr>
  </w:style>
  <w:style w:type="paragraph" w:customStyle="1" w:styleId="5">
    <w:name w:val="纯文本1"/>
    <w:basedOn w:val="1"/>
    <w:qFormat/>
    <w:uiPriority w:val="0"/>
    <w:rPr>
      <w:rFonts w:ascii="宋体" w:hAnsi="Courier New"/>
      <w:sz w:val="2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2025-11-20T02:27:41Z</dcterms:created>
  <dc:creator>shui</dc:creator>
  <cp:lastModifiedBy>WPS_1750814613</cp:lastModifiedBy>
  <dcterms:modified xsi:type="dcterms:W3CDTF">2025-11-20T02:44:09Z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eyJoZGlkIjoiMjM5Nzc1N2IyOTA2MjMzNmQxZThkMjdjMzMwZTllNGYiLCJ1c2VySWQiOiIxNzEyODE1NTkxIn0=</vt:lpwstr>
  </property>
  <property fmtid="{D5CDD505-2E9C-101B-9397-08002B2CF9AE}" pid="4" name="ICV">
    <vt:lpwstr>C7E70ABC6A2E4177BE657A32438D6E3E_12</vt:lpwstr>
  </property>
</Properties>
</file>