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46B9">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4846E001">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南京邮电大学人机交互及心理学实验研究系统-面部表情分析系统采购项目</w:t>
      </w:r>
    </w:p>
    <w:p w14:paraId="620C5410">
      <w:pPr>
        <w:pStyle w:val="18"/>
        <w:spacing w:line="360" w:lineRule="auto"/>
        <w:ind w:firstLine="480"/>
        <w:jc w:val="center"/>
        <w:rPr>
          <w:rFonts w:ascii="宋体" w:hAnsi="宋体"/>
          <w:color w:val="000000" w:themeColor="text1"/>
          <w:highlight w:val="none"/>
          <w14:textFill>
            <w14:solidFill>
              <w14:schemeClr w14:val="tx1"/>
            </w14:solidFill>
          </w14:textFill>
        </w:rPr>
      </w:pPr>
    </w:p>
    <w:p w14:paraId="0E01D184">
      <w:pPr>
        <w:pStyle w:val="18"/>
        <w:spacing w:line="360" w:lineRule="auto"/>
        <w:ind w:firstLine="480"/>
        <w:jc w:val="center"/>
        <w:rPr>
          <w:rFonts w:ascii="宋体" w:hAnsi="宋体"/>
          <w:color w:val="000000" w:themeColor="text1"/>
          <w:highlight w:val="none"/>
          <w14:textFill>
            <w14:solidFill>
              <w14:schemeClr w14:val="tx1"/>
            </w14:solidFill>
          </w14:textFill>
        </w:rPr>
      </w:pPr>
    </w:p>
    <w:p w14:paraId="76CF7769">
      <w:pPr>
        <w:pStyle w:val="18"/>
        <w:spacing w:line="360" w:lineRule="auto"/>
        <w:ind w:firstLine="480"/>
        <w:jc w:val="center"/>
        <w:rPr>
          <w:rFonts w:ascii="宋体" w:hAnsi="宋体"/>
          <w:color w:val="000000" w:themeColor="text1"/>
          <w:highlight w:val="none"/>
          <w14:textFill>
            <w14:solidFill>
              <w14:schemeClr w14:val="tx1"/>
            </w14:solidFill>
          </w14:textFill>
        </w:rPr>
      </w:pPr>
    </w:p>
    <w:p w14:paraId="1024FBC5">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75DB7B85">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001E9E0C">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31A1E83C">
      <w:pPr>
        <w:pStyle w:val="258"/>
        <w:ind w:firstLine="0"/>
        <w:jc w:val="center"/>
        <w:rPr>
          <w:rFonts w:asciiTheme="majorEastAsia" w:hAnsiTheme="majorEastAsia" w:eastAsiaTheme="majorEastAsia"/>
          <w:b/>
          <w:sz w:val="36"/>
          <w:szCs w:val="36"/>
          <w:highlight w:val="none"/>
        </w:rPr>
      </w:pPr>
      <w:r>
        <w:rPr>
          <w:rFonts w:ascii="宋体" w:hAnsi="宋体" w:cs="宋体"/>
          <w:b/>
          <w:color w:val="000000" w:themeColor="text1"/>
          <w:sz w:val="28"/>
          <w:highlight w:val="none"/>
          <w14:textFill>
            <w14:solidFill>
              <w14:schemeClr w14:val="tx1"/>
            </w14:solidFill>
          </w14:textFill>
        </w:rPr>
        <w:t>项目编号：</w:t>
      </w:r>
      <w:r>
        <w:rPr>
          <w:rFonts w:hint="eastAsia" w:asciiTheme="majorEastAsia" w:hAnsiTheme="majorEastAsia" w:eastAsiaTheme="majorEastAsia"/>
          <w:b/>
          <w:sz w:val="36"/>
          <w:szCs w:val="36"/>
          <w:highlight w:val="none"/>
        </w:rPr>
        <w:t>NYCG2025-H134</w:t>
      </w:r>
      <w:r>
        <w:rPr>
          <w:rFonts w:asciiTheme="majorEastAsia" w:hAnsiTheme="majorEastAsia" w:eastAsiaTheme="majorEastAsia"/>
          <w:b/>
          <w:sz w:val="36"/>
          <w:szCs w:val="36"/>
          <w:highlight w:val="none"/>
        </w:rPr>
        <w:t>/</w:t>
      </w:r>
      <w:r>
        <w:rPr>
          <w:rFonts w:hint="eastAsia" w:asciiTheme="majorEastAsia" w:hAnsiTheme="majorEastAsia" w:eastAsiaTheme="majorEastAsia"/>
          <w:b/>
          <w:sz w:val="36"/>
          <w:szCs w:val="36"/>
          <w:highlight w:val="none"/>
        </w:rPr>
        <w:t>GPDI-NJ-2025-04995</w:t>
      </w:r>
    </w:p>
    <w:p w14:paraId="2B571047">
      <w:pPr>
        <w:spacing w:line="360" w:lineRule="auto"/>
        <w:jc w:val="center"/>
        <w:rPr>
          <w:rFonts w:ascii="宋体" w:hAnsi="宋体" w:cs="宋体"/>
          <w:b/>
          <w:color w:val="000000" w:themeColor="text1"/>
          <w:sz w:val="36"/>
          <w:highlight w:val="none"/>
          <w14:textFill>
            <w14:solidFill>
              <w14:schemeClr w14:val="tx1"/>
            </w14:solidFill>
          </w14:textFill>
        </w:rPr>
      </w:pPr>
    </w:p>
    <w:p w14:paraId="46184AC9">
      <w:pPr>
        <w:spacing w:line="360" w:lineRule="auto"/>
        <w:jc w:val="center"/>
        <w:rPr>
          <w:rFonts w:ascii="宋体" w:hAnsi="宋体" w:cs="宋体"/>
          <w:b/>
          <w:color w:val="000000" w:themeColor="text1"/>
          <w:sz w:val="36"/>
          <w:highlight w:val="none"/>
          <w14:textFill>
            <w14:solidFill>
              <w14:schemeClr w14:val="tx1"/>
            </w14:solidFill>
          </w14:textFill>
        </w:rPr>
      </w:pPr>
    </w:p>
    <w:p w14:paraId="2CF9D670">
      <w:pPr>
        <w:spacing w:line="360" w:lineRule="auto"/>
        <w:jc w:val="center"/>
        <w:rPr>
          <w:rFonts w:ascii="宋体" w:hAnsi="宋体" w:cs="宋体"/>
          <w:b/>
          <w:color w:val="000000" w:themeColor="text1"/>
          <w:sz w:val="36"/>
          <w:highlight w:val="none"/>
          <w14:textFill>
            <w14:solidFill>
              <w14:schemeClr w14:val="tx1"/>
            </w14:solidFill>
          </w14:textFill>
        </w:rPr>
      </w:pPr>
    </w:p>
    <w:p w14:paraId="07A4633A">
      <w:pPr>
        <w:pStyle w:val="18"/>
        <w:spacing w:line="360" w:lineRule="auto"/>
        <w:ind w:firstLine="480"/>
        <w:jc w:val="center"/>
        <w:rPr>
          <w:rFonts w:ascii="宋体" w:hAnsi="宋体"/>
          <w:color w:val="000000" w:themeColor="text1"/>
          <w:highlight w:val="none"/>
          <w14:textFill>
            <w14:solidFill>
              <w14:schemeClr w14:val="tx1"/>
            </w14:solidFill>
          </w14:textFill>
        </w:rPr>
      </w:pPr>
    </w:p>
    <w:p w14:paraId="487F680F">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5AC7E5EF">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41CCDD89">
      <w:pPr>
        <w:spacing w:line="360" w:lineRule="auto"/>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lang w:val="en-US" w:eastAsia="zh-CN"/>
          <w14:textFill>
            <w14:solidFill>
              <w14:schemeClr w14:val="tx1"/>
            </w14:solidFill>
          </w14:textFill>
        </w:rPr>
        <w:t>六</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lang w:val="en-US" w:eastAsia="zh-CN"/>
          <w14:textFill>
            <w14:solidFill>
              <w14:schemeClr w14:val="tx1"/>
            </w14:solidFill>
          </w14:textFill>
        </w:rPr>
        <w:t>一</w:t>
      </w:r>
      <w:r>
        <w:rPr>
          <w:rFonts w:ascii="宋体" w:hAnsi="宋体" w:cs="宋体"/>
          <w:b/>
          <w:color w:val="000000" w:themeColor="text1"/>
          <w:sz w:val="36"/>
          <w:highlight w:val="none"/>
          <w14:textFill>
            <w14:solidFill>
              <w14:schemeClr w14:val="tx1"/>
            </w14:solidFill>
          </w14:textFill>
        </w:rPr>
        <w:t>月</w:t>
      </w:r>
    </w:p>
    <w:p w14:paraId="6B5BB732">
      <w:pPr>
        <w:spacing w:line="360" w:lineRule="auto"/>
        <w:jc w:val="center"/>
        <w:outlineLvl w:val="0"/>
        <w:rPr>
          <w:rFonts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388FDE9E">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25C2B25">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rPr>
        <w:t>NYCG2025-H134/GPDI-NJ-2025-04995</w:t>
      </w:r>
      <w:r>
        <w:rPr>
          <w:color w:val="000000" w:themeColor="text1"/>
          <w:highlight w:val="none"/>
          <w14:textFill>
            <w14:solidFill>
              <w14:schemeClr w14:val="tx1"/>
            </w14:solidFill>
          </w14:textFill>
        </w:rPr>
        <w:t>；</w:t>
      </w:r>
    </w:p>
    <w:p w14:paraId="24EFD275">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szCs w:val="24"/>
          <w:highlight w:val="none"/>
        </w:rPr>
        <w:t>南京邮电大学人机交互及心理学实验研究系统-面部表情分析系统采购项目</w:t>
      </w:r>
      <w:r>
        <w:rPr>
          <w:color w:val="000000" w:themeColor="text1"/>
          <w:highlight w:val="none"/>
          <w14:textFill>
            <w14:solidFill>
              <w14:schemeClr w14:val="tx1"/>
            </w14:solidFill>
          </w14:textFill>
        </w:rPr>
        <w:t>；</w:t>
      </w:r>
    </w:p>
    <w:p w14:paraId="1F6985D6">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20</w:t>
      </w:r>
      <w:r>
        <w:rPr>
          <w:color w:val="000000" w:themeColor="text1"/>
          <w:highlight w:val="none"/>
          <w14:textFill>
            <w14:solidFill>
              <w14:schemeClr w14:val="tx1"/>
            </w14:solidFill>
          </w14:textFill>
        </w:rPr>
        <w:t>万元；</w:t>
      </w:r>
    </w:p>
    <w:p w14:paraId="2E40171E">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20</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6BC3B276">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DA24D88">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Cs w:val="24"/>
          <w:highlight w:val="none"/>
        </w:rPr>
        <w:t>南京邮电大学人机交互及心理学实验研究系统-面部表情分析系统采购项目</w:t>
      </w:r>
      <w:r>
        <w:rPr>
          <w:color w:val="000000" w:themeColor="text1"/>
          <w:highlight w:val="none"/>
          <w14:textFill>
            <w14:solidFill>
              <w14:schemeClr w14:val="tx1"/>
            </w14:solidFill>
          </w14:textFill>
        </w:rPr>
        <w:t>，具体详见采购文件。</w:t>
      </w:r>
    </w:p>
    <w:p w14:paraId="452D266F">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合同签订后90天内完成供货、安装、调试及交付使用</w:t>
      </w:r>
      <w:r>
        <w:rPr>
          <w:rFonts w:hint="eastAsia" w:ascii="宋体" w:hAnsi="宋体" w:cs="宋体"/>
          <w:highlight w:val="none"/>
        </w:rPr>
        <w:t>。</w:t>
      </w:r>
    </w:p>
    <w:p w14:paraId="1E23F2B8">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6423339D">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w:t>
      </w:r>
      <w:r>
        <w:rPr>
          <w:rFonts w:hint="eastAsia"/>
          <w:color w:val="000000" w:themeColor="text1"/>
          <w:highlight w:val="none"/>
          <w14:textFill>
            <w14:solidFill>
              <w14:schemeClr w14:val="tx1"/>
            </w14:solidFill>
          </w14:textFill>
        </w:rPr>
        <w:t>接受</w:t>
      </w:r>
      <w:r>
        <w:rPr>
          <w:rFonts w:hint="eastAsia" w:ascii="宋体" w:hAnsi="宋体" w:cs="宋体"/>
          <w:szCs w:val="24"/>
          <w:highlight w:val="none"/>
        </w:rPr>
        <w:t>（注：本文件所称进口产品是指通过中国海关报关验放进入中国境内且产自关境外的产品）</w:t>
      </w:r>
      <w:r>
        <w:rPr>
          <w:color w:val="000000" w:themeColor="text1"/>
          <w:highlight w:val="none"/>
          <w14:textFill>
            <w14:solidFill>
              <w14:schemeClr w14:val="tx1"/>
            </w14:solidFill>
          </w14:textFill>
        </w:rPr>
        <w:t>。</w:t>
      </w:r>
    </w:p>
    <w:p w14:paraId="358005C6">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0B6A3A73">
      <w:pPr>
        <w:pStyle w:val="18"/>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05510621">
      <w:pPr>
        <w:pStyle w:val="18"/>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1064C3E2">
      <w:pPr>
        <w:pStyle w:val="18"/>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w:t>
      </w:r>
      <w:r>
        <w:rPr>
          <w:rFonts w:hint="eastAsia"/>
          <w:color w:val="000000" w:themeColor="text1"/>
          <w:highlight w:val="none"/>
          <w14:textFill>
            <w14:solidFill>
              <w14:schemeClr w14:val="tx1"/>
            </w14:solidFill>
          </w14:textFill>
        </w:rPr>
        <w:t>2024年度的审计报告复印件加盖公章或响应截止时间前半年内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2025年7月至2025年12月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04BB68CE">
      <w:pPr>
        <w:pStyle w:val="18"/>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B0670D">
      <w:pPr>
        <w:pStyle w:val="18"/>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2025年7月至2025年12月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E6E2AC0">
      <w:pPr>
        <w:pStyle w:val="18"/>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36AD71A">
      <w:pPr>
        <w:pStyle w:val="18"/>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4CAC1A2">
      <w:pPr>
        <w:pStyle w:val="18"/>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ascii="宋体" w:hAnsi="宋体" w:cs="宋体"/>
          <w:highlight w:val="none"/>
        </w:rPr>
        <w:t>本项目接受进口产品，所投设备若是进口产品，须提供制造商授权证明 （提供针对本项目的专项授权书或有效的产品代理证书复印件加盖供应商公章）。</w:t>
      </w:r>
    </w:p>
    <w:p w14:paraId="61733EBD">
      <w:pPr>
        <w:pStyle w:val="18"/>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1D3ABF2A">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71C47450">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8AF1AE6">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10A7AA85">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0B45764E">
      <w:pPr>
        <w:pStyle w:val="18"/>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日上午09:00至202</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14</w:t>
      </w:r>
      <w:r>
        <w:rPr>
          <w:color w:val="000000" w:themeColor="text1"/>
          <w:highlight w:val="none"/>
          <w14:textFill>
            <w14:solidFill>
              <w14:schemeClr w14:val="tx1"/>
            </w14:solidFill>
          </w14:textFill>
        </w:rPr>
        <w:t>日17:00（北京时间）</w:t>
      </w:r>
    </w:p>
    <w:p w14:paraId="02D8347A">
      <w:pPr>
        <w:pStyle w:val="18"/>
        <w:numPr>
          <w:ilvl w:val="0"/>
          <w:numId w:val="6"/>
        </w:numPr>
        <w:spacing w:line="360" w:lineRule="auto"/>
        <w:ind w:firstLineChars="0"/>
        <w:rPr>
          <w:rFonts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3B61F141">
      <w:pPr>
        <w:adjustRightInd w:val="0"/>
        <w:snapToGrid w:val="0"/>
        <w:spacing w:line="360" w:lineRule="auto"/>
        <w:ind w:firstLine="480" w:firstLineChars="200"/>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377128A7">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0B315794">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w:t>
      </w:r>
    </w:p>
    <w:p w14:paraId="7EF9721F">
      <w:pPr>
        <w:adjustRightInd w:val="0"/>
        <w:snapToGrid w:val="0"/>
        <w:spacing w:line="360" w:lineRule="auto"/>
        <w:jc w:val="left"/>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详细操作指引见“采易招”电子采购与招标平台(https://www.gpdi.com/homepage)--服务指南--供应商操作手册）后，点击“我要报名”找到相应的项目进行登记，并进行报名材料上传及支付、文件的自助获取。</w:t>
      </w:r>
    </w:p>
    <w:p w14:paraId="429C19A8">
      <w:pPr>
        <w:spacing w:line="360" w:lineRule="auto"/>
        <w:ind w:firstLine="480" w:firstLineChars="200"/>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注:“采易招”IT 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w:t>
      </w:r>
      <w:r>
        <w:rPr>
          <w:rFonts w:hint="eastAsia" w:asciiTheme="majorEastAsia" w:hAnsiTheme="majorEastAsia" w:eastAsiaTheme="majorEastAsia"/>
          <w:sz w:val="24"/>
          <w:szCs w:val="24"/>
          <w:highlight w:val="none"/>
          <w:lang w:val="en-US" w:eastAsia="zh-CN"/>
        </w:rPr>
        <w:t>人</w:t>
      </w:r>
      <w:r>
        <w:rPr>
          <w:rFonts w:hint="eastAsia" w:asciiTheme="majorEastAsia" w:hAnsiTheme="majorEastAsia" w:eastAsiaTheme="majorEastAsia"/>
          <w:sz w:val="24"/>
          <w:szCs w:val="24"/>
          <w:highlight w:val="none"/>
        </w:rPr>
        <w:t>。</w:t>
      </w:r>
    </w:p>
    <w:p w14:paraId="79910863">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4BFBAD4F">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1134868B">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71A49FB">
      <w:pPr>
        <w:pStyle w:val="18"/>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16</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9</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00</w:t>
      </w:r>
      <w:r>
        <w:rPr>
          <w:color w:val="000000" w:themeColor="text1"/>
          <w:highlight w:val="none"/>
          <w:u w:val="single"/>
          <w14:textFill>
            <w14:solidFill>
              <w14:schemeClr w14:val="tx1"/>
            </w14:solidFill>
          </w14:textFill>
        </w:rPr>
        <w:t>分；</w:t>
      </w:r>
    </w:p>
    <w:p w14:paraId="3694E09A">
      <w:pPr>
        <w:pStyle w:val="18"/>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1</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16</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9</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08793330">
      <w:pPr>
        <w:pStyle w:val="18"/>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地点：南京市</w:t>
      </w:r>
      <w:r>
        <w:rPr>
          <w:rFonts w:hint="eastAsia"/>
          <w:color w:val="000000" w:themeColor="text1"/>
          <w:highlight w:val="none"/>
          <w14:textFill>
            <w14:solidFill>
              <w14:schemeClr w14:val="tx1"/>
            </w14:solidFill>
          </w14:textFill>
        </w:rPr>
        <w:t>浦口区万寿路149号万象企业中心B 12栋9楼会议室一</w:t>
      </w:r>
    </w:p>
    <w:p w14:paraId="2CAD779B">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15D22D82">
      <w:pPr>
        <w:pStyle w:val="18"/>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3B28908B">
      <w:pPr>
        <w:pStyle w:val="18"/>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E3E06CE">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4C97CC4D">
      <w:pPr>
        <w:pStyle w:val="18"/>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w:t>
      </w:r>
      <w:r>
        <w:rPr>
          <w:rFonts w:hint="eastAsia"/>
          <w:color w:val="000000" w:themeColor="text1"/>
          <w:highlight w:val="none"/>
          <w:lang w:val="en-US" w:eastAsia="zh-CN"/>
          <w14:textFill>
            <w14:solidFill>
              <w14:schemeClr w14:val="tx1"/>
            </w14:solidFill>
          </w14:textFill>
        </w:rPr>
        <w:t>伍</w:t>
      </w:r>
      <w:r>
        <w:rPr>
          <w:color w:val="000000" w:themeColor="text1"/>
          <w:highlight w:val="none"/>
          <w14:textFill>
            <w14:solidFill>
              <w14:schemeClr w14:val="tx1"/>
            </w14:solidFill>
          </w14:textFill>
        </w:rPr>
        <w:t>份（壹份正本、</w:t>
      </w:r>
      <w:r>
        <w:rPr>
          <w:rFonts w:hint="eastAsia"/>
          <w:color w:val="000000" w:themeColor="text1"/>
          <w:highlight w:val="none"/>
          <w14:textFill>
            <w14:solidFill>
              <w14:schemeClr w14:val="tx1"/>
            </w14:solidFill>
          </w14:textFill>
        </w:rPr>
        <w:t>贰</w:t>
      </w:r>
      <w:r>
        <w:rPr>
          <w:color w:val="000000" w:themeColor="text1"/>
          <w:highlight w:val="none"/>
          <w14:textFill>
            <w14:solidFill>
              <w14:schemeClr w14:val="tx1"/>
            </w14:solidFill>
          </w14:textFill>
        </w:rPr>
        <w:t>份</w:t>
      </w:r>
      <w:r>
        <w:rPr>
          <w:rFonts w:hint="eastAsia"/>
          <w:color w:val="000000" w:themeColor="text1"/>
          <w:highlight w:val="none"/>
          <w:lang w:val="en-US" w:eastAsia="zh-CN"/>
          <w14:textFill>
            <w14:solidFill>
              <w14:schemeClr w14:val="tx1"/>
            </w14:solidFill>
          </w14:textFill>
        </w:rPr>
        <w:t>肆</w:t>
      </w:r>
      <w:r>
        <w:rPr>
          <w:color w:val="000000" w:themeColor="text1"/>
          <w:highlight w:val="none"/>
          <w14:textFill>
            <w14:solidFill>
              <w14:schemeClr w14:val="tx1"/>
            </w14:solidFill>
          </w14:textFill>
        </w:rPr>
        <w:t>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76857A0A">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9A7CA30">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35049DAE">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D21FB00">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6BA6D9DB">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7B00A2DD">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6274DF4F">
      <w:pPr>
        <w:pStyle w:val="18"/>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8A7D09C">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18FAD4A1">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69BBE3CD">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 广东省电信规划设计院有限公司</w:t>
      </w:r>
    </w:p>
    <w:p w14:paraId="681F1BF7">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0C80D389">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13901582163</w:t>
      </w:r>
    </w:p>
    <w:p w14:paraId="453FEB76">
      <w:pPr>
        <w:pStyle w:val="18"/>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4038ECA7">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 卜彩霞</w:t>
      </w:r>
      <w:r>
        <w:rPr>
          <w:rFonts w:hint="eastAsia"/>
          <w:color w:val="000000" w:themeColor="text1"/>
          <w:highlight w:val="none"/>
          <w14:textFill>
            <w14:solidFill>
              <w14:schemeClr w14:val="tx1"/>
            </w14:solidFill>
          </w14:textFill>
        </w:rPr>
        <w:t>、</w:t>
      </w:r>
      <w:r>
        <w:rPr>
          <w:rFonts w:hint="eastAsia" w:asciiTheme="majorEastAsia" w:hAnsiTheme="majorEastAsia" w:eastAsiaTheme="majorEastAsia"/>
          <w:szCs w:val="24"/>
          <w:highlight w:val="none"/>
        </w:rPr>
        <w:t>严盼盼、</w:t>
      </w:r>
      <w:r>
        <w:rPr>
          <w:rFonts w:hint="eastAsia"/>
          <w:color w:val="000000" w:themeColor="text1"/>
          <w:highlight w:val="none"/>
          <w14:textFill>
            <w14:solidFill>
              <w14:schemeClr w14:val="tx1"/>
            </w14:solidFill>
          </w14:textFill>
        </w:rPr>
        <w:t>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62DB93E3">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13901582163</w:t>
      </w:r>
    </w:p>
    <w:p w14:paraId="1CC567C6">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796"/>
      <w:bookmarkStart w:id="3" w:name="_Toc28359085"/>
      <w:bookmarkStart w:id="4" w:name="_Toc35393627"/>
      <w:bookmarkStart w:id="5" w:name="_Toc28359008"/>
    </w:p>
    <w:bookmarkEnd w:id="2"/>
    <w:bookmarkEnd w:id="3"/>
    <w:bookmarkEnd w:id="4"/>
    <w:bookmarkEnd w:id="5"/>
    <w:p w14:paraId="5C2AD784">
      <w:pPr>
        <w:spacing w:line="360" w:lineRule="auto"/>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729AD2D1">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3896A366">
      <w:pPr>
        <w:pStyle w:val="18"/>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0607431F">
      <w:pPr>
        <w:pStyle w:val="18"/>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5FA69F2D">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163573EA">
      <w:pPr>
        <w:pStyle w:val="18"/>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1BACA76F">
      <w:pPr>
        <w:pStyle w:val="18"/>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49A0157B">
      <w:pPr>
        <w:pStyle w:val="18"/>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1D64E674">
      <w:pPr>
        <w:pStyle w:val="18"/>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42E9B0A7">
      <w:pPr>
        <w:pStyle w:val="18"/>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1A2ADF92">
      <w:pPr>
        <w:pStyle w:val="18"/>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79CFA2E7">
      <w:pPr>
        <w:pStyle w:val="18"/>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2DA960F8">
      <w:pPr>
        <w:pStyle w:val="18"/>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5F9D70B">
      <w:pPr>
        <w:pStyle w:val="18"/>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6CBBAFBD">
      <w:pPr>
        <w:pStyle w:val="18"/>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7751D154">
      <w:pPr>
        <w:pStyle w:val="18"/>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18D88478">
      <w:pPr>
        <w:pStyle w:val="18"/>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455EBA4C">
      <w:pPr>
        <w:pStyle w:val="18"/>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5E1DD31E">
      <w:pPr>
        <w:pStyle w:val="18"/>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39391A1D">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5EAB99CF">
      <w:pPr>
        <w:pStyle w:val="18"/>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8387AC7">
      <w:pPr>
        <w:pStyle w:val="18"/>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29CB29AB">
      <w:pPr>
        <w:pStyle w:val="18"/>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720A44E2">
      <w:pPr>
        <w:pStyle w:val="18"/>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0F01820C">
      <w:pPr>
        <w:pStyle w:val="18"/>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47E6C839">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7B9BFF95">
      <w:pPr>
        <w:pStyle w:val="18"/>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2AA8DEE8">
      <w:pPr>
        <w:pStyle w:val="18"/>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2B7C33CA">
      <w:pPr>
        <w:pStyle w:val="18"/>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56DB8720">
      <w:pPr>
        <w:pStyle w:val="18"/>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60168876">
      <w:pPr>
        <w:pStyle w:val="18"/>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0F637C01">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14:textFill>
            <w14:solidFill>
              <w14:schemeClr w14:val="tx1"/>
            </w14:solidFill>
          </w14:textFill>
        </w:rPr>
        <w:t>〔2011〕</w:t>
      </w:r>
      <w:r>
        <w:rPr>
          <w:color w:val="000000" w:themeColor="text1"/>
          <w14:textFill>
            <w14:solidFill>
              <w14:schemeClr w14:val="tx1"/>
            </w14:solidFill>
          </w14:textFill>
        </w:rPr>
        <w:t>534 号）所列采购代理服务费收费标准下浮</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58</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控制价等所有费用。</w:t>
      </w:r>
    </w:p>
    <w:p w14:paraId="7698FE90">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66AD019">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采购代理服务费按项目结算，由采购代理服务商向具体项目的成交单位收取。</w:t>
      </w:r>
      <w:r>
        <w:rPr>
          <w:rFonts w:hint="eastAsia"/>
          <w:color w:val="000000" w:themeColor="text1"/>
          <w14:textFill>
            <w14:solidFill>
              <w14:schemeClr w14:val="tx1"/>
            </w14:solidFill>
          </w14:textFill>
        </w:rPr>
        <w:t>成交供应商须在领取成交通知书前，向采购代理机构一次性缴清采购代理服务费。</w:t>
      </w:r>
    </w:p>
    <w:p w14:paraId="2ABE3D9A">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5F4E13B6">
      <w:pPr>
        <w:pStyle w:val="18"/>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515713FE">
      <w:pPr>
        <w:pStyle w:val="18"/>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14A6E02D">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60F2DD36">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601D49AA">
      <w:pPr>
        <w:pStyle w:val="18"/>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5E9FF1EC">
      <w:pPr>
        <w:pStyle w:val="18"/>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3910CB8B">
      <w:pPr>
        <w:pStyle w:val="18"/>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545D610C">
      <w:pPr>
        <w:pStyle w:val="18"/>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1D60E320">
      <w:pPr>
        <w:pStyle w:val="18"/>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28F60D55">
      <w:pPr>
        <w:pStyle w:val="18"/>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026A2D08">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3E4E3365">
      <w:pPr>
        <w:pStyle w:val="18"/>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591678F7">
      <w:pPr>
        <w:pStyle w:val="18"/>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4E2B9351">
      <w:pPr>
        <w:pStyle w:val="18"/>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78BF605E">
      <w:pPr>
        <w:pStyle w:val="18"/>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60E0DD19">
      <w:pPr>
        <w:pStyle w:val="18"/>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2D8EF81A">
      <w:pPr>
        <w:pStyle w:val="18"/>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60D0C620">
      <w:pPr>
        <w:pStyle w:val="18"/>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444D9ACF">
      <w:pPr>
        <w:pStyle w:val="18"/>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7038C13A">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4C59B998">
      <w:pPr>
        <w:pStyle w:val="18"/>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2931C8DF">
      <w:pPr>
        <w:pStyle w:val="18"/>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75F3E5E1">
      <w:pPr>
        <w:pStyle w:val="18"/>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28C6E4E5">
      <w:pPr>
        <w:pStyle w:val="18"/>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7147FE47">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71F2E8DE">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0EDC8F40">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3E7054CE">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76723268">
      <w:pPr>
        <w:pStyle w:val="18"/>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1604BC3D">
      <w:pPr>
        <w:pStyle w:val="18"/>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EB63EC2">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40928712">
      <w:pPr>
        <w:pStyle w:val="18"/>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50549B46">
      <w:pPr>
        <w:pStyle w:val="18"/>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D5AF2F">
      <w:pPr>
        <w:pStyle w:val="18"/>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18AE875A">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7A8B4309">
      <w:pPr>
        <w:pStyle w:val="18"/>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4B97AB14">
      <w:pPr>
        <w:pStyle w:val="18"/>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148AED05">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30B3889F">
      <w:pPr>
        <w:pStyle w:val="18"/>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728D1141">
      <w:pPr>
        <w:pStyle w:val="18"/>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28DBCE1F">
      <w:pPr>
        <w:pStyle w:val="18"/>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137F3722">
      <w:pPr>
        <w:pStyle w:val="18"/>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272CBDA">
      <w:pPr>
        <w:pStyle w:val="18"/>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59031C05">
      <w:pPr>
        <w:pStyle w:val="18"/>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6756E400">
      <w:pPr>
        <w:pStyle w:val="18"/>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0B75BB54">
      <w:pPr>
        <w:pStyle w:val="18"/>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3EA04B80">
      <w:pPr>
        <w:pStyle w:val="18"/>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267D3A01">
      <w:pPr>
        <w:pStyle w:val="18"/>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2D26FD4C">
      <w:pPr>
        <w:pStyle w:val="18"/>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4BD02AA5">
      <w:pPr>
        <w:pStyle w:val="18"/>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0C00D436">
      <w:pPr>
        <w:pStyle w:val="18"/>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6D9CE0C">
      <w:pPr>
        <w:pStyle w:val="18"/>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3CC25F34">
      <w:pPr>
        <w:pStyle w:val="18"/>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07CB1441">
      <w:pPr>
        <w:pStyle w:val="18"/>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14D4A43C">
      <w:pPr>
        <w:pStyle w:val="18"/>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3CAD4220">
      <w:pPr>
        <w:pStyle w:val="18"/>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DCEA588">
      <w:pPr>
        <w:pStyle w:val="18"/>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5BB13F6D">
      <w:pPr>
        <w:pStyle w:val="18"/>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39DB1D74">
      <w:pPr>
        <w:pStyle w:val="18"/>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2605B15A">
      <w:pPr>
        <w:pStyle w:val="18"/>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437184BD">
      <w:pPr>
        <w:pStyle w:val="18"/>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74FE2597">
      <w:pPr>
        <w:pStyle w:val="18"/>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54F51760">
      <w:pPr>
        <w:pStyle w:val="18"/>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598EB216">
      <w:pPr>
        <w:pStyle w:val="18"/>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5252EBA1">
      <w:pPr>
        <w:pStyle w:val="18"/>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52266012">
      <w:pPr>
        <w:pStyle w:val="18"/>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2540718D">
      <w:pPr>
        <w:pStyle w:val="18"/>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3450EDFD">
      <w:pPr>
        <w:pStyle w:val="18"/>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1FC6CC7E">
      <w:pPr>
        <w:pStyle w:val="18"/>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289FBF7D">
      <w:pPr>
        <w:pStyle w:val="18"/>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1381DD5A">
      <w:pPr>
        <w:pStyle w:val="18"/>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78158F59">
      <w:pPr>
        <w:pStyle w:val="18"/>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6E293860">
      <w:pPr>
        <w:pStyle w:val="18"/>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3E649C35">
      <w:pPr>
        <w:pStyle w:val="18"/>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34C9754C">
      <w:pPr>
        <w:pStyle w:val="18"/>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FA5A87F">
      <w:pPr>
        <w:pStyle w:val="18"/>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013DD959">
      <w:pPr>
        <w:pStyle w:val="18"/>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3CC7CA34">
      <w:pPr>
        <w:pStyle w:val="18"/>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7A50070">
      <w:pPr>
        <w:pStyle w:val="18"/>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700E9BEE">
      <w:pPr>
        <w:pStyle w:val="18"/>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B80F218">
      <w:pPr>
        <w:pStyle w:val="18"/>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1CD46DA5">
      <w:pPr>
        <w:pStyle w:val="18"/>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1C7F0E36">
      <w:pPr>
        <w:pStyle w:val="18"/>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5150FB18">
      <w:pPr>
        <w:pStyle w:val="18"/>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2ABD9A84">
      <w:pPr>
        <w:pStyle w:val="18"/>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46DD88C7">
      <w:pPr>
        <w:pStyle w:val="18"/>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3BD5176E">
      <w:pPr>
        <w:pStyle w:val="18"/>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78F0A854">
      <w:pPr>
        <w:pStyle w:val="18"/>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4376A8C2">
      <w:pPr>
        <w:pStyle w:val="18"/>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A34F943">
      <w:pPr>
        <w:pStyle w:val="18"/>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1D4B5091">
      <w:pPr>
        <w:pStyle w:val="18"/>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6D5E7A41">
      <w:pPr>
        <w:pStyle w:val="18"/>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5C84F690">
      <w:pPr>
        <w:pStyle w:val="18"/>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73F3E254">
      <w:pPr>
        <w:pStyle w:val="18"/>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6E3E9F8F">
      <w:pPr>
        <w:pStyle w:val="18"/>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737C1247">
      <w:pPr>
        <w:pStyle w:val="18"/>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79D62C32">
      <w:pPr>
        <w:pStyle w:val="18"/>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286A647D">
      <w:pPr>
        <w:pStyle w:val="18"/>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149DDFA9">
      <w:pPr>
        <w:pStyle w:val="18"/>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79A1E7B">
      <w:pPr>
        <w:pStyle w:val="18"/>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3E8FFE1F">
      <w:pPr>
        <w:pStyle w:val="18"/>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3514AFE6">
      <w:pPr>
        <w:pStyle w:val="18"/>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75ACCCB7">
      <w:pPr>
        <w:pStyle w:val="18"/>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0136713C">
      <w:pPr>
        <w:pStyle w:val="18"/>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20A2BBE1">
      <w:pPr>
        <w:pStyle w:val="18"/>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1E0E593E">
      <w:pPr>
        <w:pStyle w:val="18"/>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27826ED6">
      <w:pPr>
        <w:pStyle w:val="18"/>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51E2D8A0">
      <w:pPr>
        <w:pStyle w:val="18"/>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069D6242">
      <w:pPr>
        <w:pStyle w:val="18"/>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5ECF3DF7">
      <w:pPr>
        <w:pStyle w:val="18"/>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4F890B37">
      <w:pPr>
        <w:pStyle w:val="18"/>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578018B1">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84024BA">
      <w:pPr>
        <w:pStyle w:val="18"/>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7FCDD905">
      <w:pPr>
        <w:pStyle w:val="18"/>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170B92C6">
      <w:pPr>
        <w:pStyle w:val="18"/>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320A7672">
      <w:pPr>
        <w:pStyle w:val="18"/>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566EB5F3">
      <w:pPr>
        <w:pStyle w:val="18"/>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70471081">
      <w:pPr>
        <w:pStyle w:val="18"/>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71510DE9">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4D8F96F5">
      <w:pPr>
        <w:pStyle w:val="18"/>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189F23D3">
      <w:pPr>
        <w:pStyle w:val="18"/>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2C2E21EE">
      <w:pPr>
        <w:pStyle w:val="18"/>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00D87DDC">
      <w:pPr>
        <w:pStyle w:val="18"/>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0C60FE99">
      <w:pPr>
        <w:pStyle w:val="18"/>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0013E45E">
      <w:pPr>
        <w:pStyle w:val="18"/>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162C8C48">
      <w:pPr>
        <w:pStyle w:val="18"/>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60E62BD">
      <w:pPr>
        <w:pStyle w:val="18"/>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30EEBB78">
      <w:pPr>
        <w:pStyle w:val="18"/>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19AA93C">
      <w:pPr>
        <w:pStyle w:val="18"/>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355B36F1">
      <w:pPr>
        <w:pStyle w:val="18"/>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075794B8">
      <w:pPr>
        <w:pStyle w:val="18"/>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45F1102A">
      <w:pPr>
        <w:pStyle w:val="18"/>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4C05F360">
      <w:pPr>
        <w:pStyle w:val="18"/>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B5674BB">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EC8EF04">
      <w:pPr>
        <w:pStyle w:val="18"/>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5D86586C">
      <w:pPr>
        <w:pStyle w:val="18"/>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05FB1DA0">
      <w:pPr>
        <w:pStyle w:val="18"/>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0DAC364E">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22AC0423">
      <w:pPr>
        <w:pStyle w:val="18"/>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3C27763A">
      <w:pPr>
        <w:pStyle w:val="18"/>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50EF5BCC">
      <w:pPr>
        <w:pStyle w:val="18"/>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09A17AF4">
      <w:pPr>
        <w:pStyle w:val="18"/>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12F68DF4">
      <w:pPr>
        <w:pStyle w:val="18"/>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17B07CAB">
      <w:pPr>
        <w:pStyle w:val="18"/>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68AB7A58">
      <w:pPr>
        <w:pStyle w:val="18"/>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15817416">
      <w:pPr>
        <w:pStyle w:val="18"/>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224F3BF9">
      <w:pPr>
        <w:pStyle w:val="18"/>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54BC79FA">
      <w:pPr>
        <w:pStyle w:val="18"/>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5DA04057">
      <w:pPr>
        <w:pStyle w:val="18"/>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67D11F3F">
      <w:pPr>
        <w:pStyle w:val="18"/>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5CA8A554">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4CDB6181">
      <w:pPr>
        <w:pStyle w:val="18"/>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17387179">
      <w:pPr>
        <w:pStyle w:val="18"/>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6B66001A">
      <w:pPr>
        <w:pStyle w:val="18"/>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431EDAC8">
      <w:pPr>
        <w:pStyle w:val="18"/>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11BC15E2">
      <w:pPr>
        <w:pStyle w:val="18"/>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77A02FCD">
      <w:pPr>
        <w:pStyle w:val="18"/>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5756CE39">
      <w:pPr>
        <w:pStyle w:val="18"/>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38323933">
      <w:pPr>
        <w:pStyle w:val="18"/>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79C920DB">
      <w:pPr>
        <w:pStyle w:val="18"/>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33FE6EC4">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42EC1CC3">
      <w:pPr>
        <w:pStyle w:val="18"/>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77182A38">
      <w:pPr>
        <w:pStyle w:val="18"/>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7518AE30">
      <w:pPr>
        <w:pStyle w:val="18"/>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EDF4D6A">
      <w:pPr>
        <w:pStyle w:val="18"/>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67A9BD96">
      <w:pPr>
        <w:pStyle w:val="18"/>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75DB1AC6">
      <w:pPr>
        <w:pStyle w:val="18"/>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719F24B9">
      <w:pPr>
        <w:pStyle w:val="18"/>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0150C4B9">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129795E5">
      <w:pPr>
        <w:pStyle w:val="18"/>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5C5E3DDE">
      <w:pPr>
        <w:pStyle w:val="18"/>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26786486">
      <w:pPr>
        <w:pStyle w:val="18"/>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73B53601">
      <w:pPr>
        <w:pStyle w:val="18"/>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9E5AF97">
      <w:pPr>
        <w:pStyle w:val="18"/>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70B1CEC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D88FE35">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2B8D0B8D">
      <w:pPr>
        <w:pStyle w:val="18"/>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5D00E0F6">
      <w:pPr>
        <w:pStyle w:val="18"/>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05C314D0">
      <w:pPr>
        <w:pStyle w:val="18"/>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28022211">
      <w:pPr>
        <w:pStyle w:val="18"/>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410013D9">
      <w:pPr>
        <w:spacing w:line="360" w:lineRule="auto"/>
        <w:rPr>
          <w:rFonts w:ascii="宋体" w:hAnsi="宋体"/>
          <w:b/>
          <w:bCs/>
          <w:highlight w:val="none"/>
        </w:rPr>
      </w:pPr>
      <w:r>
        <w:rPr>
          <w:rFonts w:hint="eastAsia" w:ascii="宋体" w:hAnsi="宋体"/>
          <w:b/>
          <w:bCs/>
          <w:highlight w:val="none"/>
        </w:rPr>
        <w:t>2.1初步评审</w:t>
      </w:r>
    </w:p>
    <w:tbl>
      <w:tblPr>
        <w:tblStyle w:val="46"/>
        <w:tblW w:w="9247" w:type="dxa"/>
        <w:tblInd w:w="0" w:type="dxa"/>
        <w:tblLayout w:type="fixed"/>
        <w:tblCellMar>
          <w:top w:w="0" w:type="dxa"/>
          <w:left w:w="108" w:type="dxa"/>
          <w:bottom w:w="0" w:type="dxa"/>
          <w:right w:w="108" w:type="dxa"/>
        </w:tblCellMar>
      </w:tblPr>
      <w:tblGrid>
        <w:gridCol w:w="796"/>
        <w:gridCol w:w="2436"/>
        <w:gridCol w:w="6015"/>
      </w:tblGrid>
      <w:tr w14:paraId="77F5A828">
        <w:tblPrEx>
          <w:tblCellMar>
            <w:top w:w="0" w:type="dxa"/>
            <w:left w:w="108" w:type="dxa"/>
            <w:bottom w:w="0" w:type="dxa"/>
            <w:right w:w="108" w:type="dxa"/>
          </w:tblCellMar>
        </w:tblPrEx>
        <w:trPr>
          <w:trHeight w:val="454" w:hRule="atLeast"/>
          <w:tblHeader/>
        </w:trPr>
        <w:tc>
          <w:tcPr>
            <w:tcW w:w="3232" w:type="dxa"/>
            <w:gridSpan w:val="2"/>
            <w:tcBorders>
              <w:top w:val="single" w:color="auto" w:sz="8" w:space="0"/>
              <w:left w:val="single" w:color="auto" w:sz="8" w:space="0"/>
              <w:bottom w:val="single" w:color="auto" w:sz="8" w:space="0"/>
              <w:right w:val="single" w:color="000000" w:sz="8" w:space="0"/>
            </w:tcBorders>
            <w:vAlign w:val="center"/>
          </w:tcPr>
          <w:p w14:paraId="74E1A9FC">
            <w:pPr>
              <w:widowControl/>
              <w:ind w:left="218" w:leftChars="104"/>
              <w:jc w:val="center"/>
              <w:rPr>
                <w:rFonts w:ascii="宋体" w:hAnsi="宋体" w:cs="宋体"/>
                <w:b/>
                <w:bCs/>
                <w:szCs w:val="21"/>
                <w:highlight w:val="none"/>
              </w:rPr>
            </w:pPr>
            <w:bookmarkStart w:id="6" w:name="_Hlk178325456"/>
            <w:r>
              <w:rPr>
                <w:rFonts w:hint="eastAsia" w:ascii="宋体" w:hAnsi="宋体" w:cs="宋体"/>
                <w:b/>
                <w:bCs/>
                <w:szCs w:val="21"/>
                <w:highlight w:val="none"/>
              </w:rPr>
              <w:t>评审因素</w:t>
            </w:r>
          </w:p>
        </w:tc>
        <w:tc>
          <w:tcPr>
            <w:tcW w:w="6015" w:type="dxa"/>
            <w:tcBorders>
              <w:top w:val="single" w:color="auto" w:sz="8" w:space="0"/>
              <w:left w:val="nil"/>
              <w:bottom w:val="single" w:color="auto" w:sz="8" w:space="0"/>
              <w:right w:val="single" w:color="auto" w:sz="8" w:space="0"/>
            </w:tcBorders>
            <w:vAlign w:val="center"/>
          </w:tcPr>
          <w:p w14:paraId="10431126">
            <w:pPr>
              <w:widowControl/>
              <w:jc w:val="center"/>
              <w:rPr>
                <w:rFonts w:ascii="宋体" w:hAnsi="宋体" w:cs="宋体"/>
                <w:b/>
                <w:bCs/>
                <w:szCs w:val="21"/>
                <w:highlight w:val="none"/>
              </w:rPr>
            </w:pPr>
            <w:r>
              <w:rPr>
                <w:rFonts w:hint="eastAsia" w:ascii="宋体" w:hAnsi="宋体" w:cs="宋体"/>
                <w:b/>
                <w:bCs/>
                <w:szCs w:val="21"/>
                <w:highlight w:val="none"/>
              </w:rPr>
              <w:t>评审标准</w:t>
            </w:r>
          </w:p>
        </w:tc>
      </w:tr>
      <w:tr w14:paraId="76AE2F01">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bottom w:val="single" w:color="000000" w:sz="8" w:space="0"/>
              <w:right w:val="single" w:color="auto" w:sz="8" w:space="0"/>
            </w:tcBorders>
            <w:vAlign w:val="center"/>
          </w:tcPr>
          <w:p w14:paraId="26410011">
            <w:pPr>
              <w:widowControl/>
              <w:jc w:val="center"/>
              <w:rPr>
                <w:rFonts w:ascii="宋体" w:hAnsi="宋体" w:cs="宋体"/>
                <w:szCs w:val="21"/>
                <w:highlight w:val="none"/>
              </w:rPr>
            </w:pPr>
            <w:r>
              <w:rPr>
                <w:rFonts w:hint="eastAsia" w:ascii="宋体" w:hAnsi="宋体" w:cs="宋体"/>
                <w:szCs w:val="21"/>
                <w:highlight w:val="none"/>
              </w:rPr>
              <w:t>形式评审</w:t>
            </w:r>
          </w:p>
        </w:tc>
        <w:tc>
          <w:tcPr>
            <w:tcW w:w="2436" w:type="dxa"/>
            <w:tcBorders>
              <w:top w:val="nil"/>
              <w:left w:val="nil"/>
              <w:bottom w:val="single" w:color="auto" w:sz="8" w:space="0"/>
              <w:right w:val="single" w:color="auto" w:sz="8" w:space="0"/>
            </w:tcBorders>
            <w:vAlign w:val="center"/>
          </w:tcPr>
          <w:p w14:paraId="26AC57A1">
            <w:pPr>
              <w:widowControl/>
              <w:jc w:val="center"/>
              <w:rPr>
                <w:rFonts w:ascii="宋体" w:hAnsi="宋体" w:cs="宋体"/>
                <w:szCs w:val="21"/>
                <w:highlight w:val="none"/>
              </w:rPr>
            </w:pPr>
            <w:r>
              <w:rPr>
                <w:rFonts w:hint="eastAsia" w:ascii="宋体" w:hAnsi="宋体" w:cs="宋体"/>
                <w:szCs w:val="21"/>
                <w:highlight w:val="none"/>
              </w:rPr>
              <w:t>供应人名称</w:t>
            </w:r>
          </w:p>
        </w:tc>
        <w:tc>
          <w:tcPr>
            <w:tcW w:w="6015" w:type="dxa"/>
            <w:tcBorders>
              <w:top w:val="nil"/>
              <w:left w:val="nil"/>
              <w:bottom w:val="single" w:color="auto" w:sz="8" w:space="0"/>
              <w:right w:val="single" w:color="auto" w:sz="8" w:space="0"/>
            </w:tcBorders>
            <w:vAlign w:val="center"/>
          </w:tcPr>
          <w:p w14:paraId="3CAA91F5">
            <w:pPr>
              <w:widowControl/>
              <w:rPr>
                <w:rFonts w:ascii="宋体" w:hAnsi="宋体" w:cs="宋体"/>
                <w:szCs w:val="21"/>
                <w:highlight w:val="none"/>
              </w:rPr>
            </w:pPr>
            <w:r>
              <w:rPr>
                <w:rFonts w:hint="eastAsia" w:ascii="宋体" w:hAnsi="宋体" w:cs="宋体"/>
                <w:szCs w:val="21"/>
                <w:highlight w:val="none"/>
              </w:rPr>
              <w:t>【与营业执照、资质证书一致】</w:t>
            </w:r>
          </w:p>
        </w:tc>
      </w:tr>
      <w:tr w14:paraId="661020FA">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4E32C0">
            <w:pPr>
              <w:widowControl/>
              <w:jc w:val="left"/>
              <w:rPr>
                <w:rFonts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39FDAD1E">
            <w:pPr>
              <w:widowControl/>
              <w:jc w:val="center"/>
              <w:rPr>
                <w:rFonts w:ascii="宋体" w:hAnsi="宋体" w:cs="宋体"/>
                <w:szCs w:val="21"/>
                <w:highlight w:val="none"/>
              </w:rPr>
            </w:pPr>
            <w:r>
              <w:rPr>
                <w:rFonts w:hint="eastAsia" w:ascii="宋体" w:hAnsi="宋体" w:cs="宋体"/>
                <w:szCs w:val="21"/>
                <w:highlight w:val="none"/>
              </w:rPr>
              <w:t>响应文件签字盖章</w:t>
            </w:r>
          </w:p>
        </w:tc>
        <w:tc>
          <w:tcPr>
            <w:tcW w:w="6015" w:type="dxa"/>
            <w:tcBorders>
              <w:top w:val="nil"/>
              <w:left w:val="nil"/>
              <w:bottom w:val="single" w:color="auto" w:sz="8" w:space="0"/>
              <w:right w:val="single" w:color="auto" w:sz="8" w:space="0"/>
            </w:tcBorders>
            <w:vAlign w:val="center"/>
          </w:tcPr>
          <w:p w14:paraId="53E728AC">
            <w:pPr>
              <w:widowControl/>
              <w:rPr>
                <w:rFonts w:ascii="宋体" w:hAnsi="宋体" w:cs="宋体"/>
                <w:szCs w:val="21"/>
                <w:highlight w:val="none"/>
              </w:rPr>
            </w:pPr>
            <w:r>
              <w:rPr>
                <w:rFonts w:hint="eastAsia" w:ascii="宋体" w:hAnsi="宋体" w:cs="宋体"/>
                <w:szCs w:val="21"/>
                <w:highlight w:val="none"/>
              </w:rPr>
              <w:t>【有法定代表人或其委托代理人签字或加盖单位公章】</w:t>
            </w:r>
          </w:p>
        </w:tc>
      </w:tr>
      <w:tr w14:paraId="660C2D4C">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CE1680">
            <w:pPr>
              <w:widowControl/>
              <w:jc w:val="left"/>
              <w:rPr>
                <w:rFonts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6441F3C1">
            <w:pPr>
              <w:widowControl/>
              <w:jc w:val="center"/>
              <w:rPr>
                <w:rFonts w:ascii="宋体" w:hAnsi="宋体" w:cs="宋体"/>
                <w:szCs w:val="21"/>
                <w:highlight w:val="none"/>
              </w:rPr>
            </w:pPr>
            <w:r>
              <w:rPr>
                <w:rFonts w:hint="eastAsia" w:ascii="宋体" w:hAnsi="宋体" w:cs="宋体"/>
                <w:szCs w:val="21"/>
                <w:highlight w:val="none"/>
              </w:rPr>
              <w:t>法定代表人授权书</w:t>
            </w:r>
          </w:p>
        </w:tc>
        <w:tc>
          <w:tcPr>
            <w:tcW w:w="6015" w:type="dxa"/>
            <w:tcBorders>
              <w:top w:val="nil"/>
              <w:left w:val="nil"/>
              <w:bottom w:val="single" w:color="auto" w:sz="8" w:space="0"/>
              <w:right w:val="single" w:color="auto" w:sz="8" w:space="0"/>
            </w:tcBorders>
            <w:vAlign w:val="center"/>
          </w:tcPr>
          <w:p w14:paraId="51312959">
            <w:pPr>
              <w:widowControl/>
              <w:rPr>
                <w:rFonts w:ascii="宋体" w:hAnsi="宋体" w:cs="宋体"/>
                <w:szCs w:val="21"/>
                <w:highlight w:val="none"/>
              </w:rPr>
            </w:pPr>
            <w:r>
              <w:rPr>
                <w:rFonts w:hint="eastAsia" w:ascii="宋体" w:hAnsi="宋体" w:cs="宋体"/>
                <w:szCs w:val="21"/>
                <w:highlight w:val="none"/>
              </w:rPr>
              <w:t>【被授权人身份证复印件与法定代表人授权委托书一致】</w:t>
            </w:r>
          </w:p>
        </w:tc>
      </w:tr>
      <w:tr w14:paraId="7E88104E">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7C32A103">
            <w:pPr>
              <w:widowControl/>
              <w:jc w:val="left"/>
              <w:rPr>
                <w:rFonts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3D57D937">
            <w:pPr>
              <w:widowControl/>
              <w:jc w:val="center"/>
              <w:rPr>
                <w:rFonts w:ascii="宋体" w:hAnsi="宋体" w:cs="宋体"/>
                <w:szCs w:val="21"/>
                <w:highlight w:val="none"/>
              </w:rPr>
            </w:pPr>
            <w:r>
              <w:rPr>
                <w:rFonts w:hint="eastAsia" w:ascii="宋体" w:hAnsi="宋体" w:cs="宋体"/>
                <w:szCs w:val="21"/>
                <w:highlight w:val="none"/>
              </w:rPr>
              <w:t>响应文件格式</w:t>
            </w:r>
          </w:p>
        </w:tc>
        <w:tc>
          <w:tcPr>
            <w:tcW w:w="6015" w:type="dxa"/>
            <w:tcBorders>
              <w:top w:val="nil"/>
              <w:left w:val="nil"/>
              <w:bottom w:val="single" w:color="auto" w:sz="8" w:space="0"/>
              <w:right w:val="single" w:color="auto" w:sz="8" w:space="0"/>
            </w:tcBorders>
            <w:vAlign w:val="center"/>
          </w:tcPr>
          <w:p w14:paraId="6E34E6D3">
            <w:pPr>
              <w:widowControl/>
              <w:rPr>
                <w:rFonts w:ascii="宋体" w:hAnsi="宋体" w:cs="宋体"/>
                <w:szCs w:val="21"/>
                <w:highlight w:val="none"/>
              </w:rPr>
            </w:pPr>
            <w:r>
              <w:rPr>
                <w:rFonts w:hint="eastAsia" w:ascii="宋体" w:hAnsi="宋体" w:cs="宋体"/>
                <w:szCs w:val="21"/>
                <w:highlight w:val="none"/>
              </w:rPr>
              <w:t>【按照比选文件规定的格式、内容填写，字迹清晰可辨】</w:t>
            </w:r>
          </w:p>
        </w:tc>
      </w:tr>
      <w:tr w14:paraId="5FEB8D33">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right w:val="single" w:color="auto" w:sz="8" w:space="0"/>
            </w:tcBorders>
            <w:vAlign w:val="center"/>
          </w:tcPr>
          <w:p w14:paraId="44E670A7">
            <w:pPr>
              <w:widowControl/>
              <w:jc w:val="center"/>
              <w:rPr>
                <w:rFonts w:ascii="宋体" w:hAnsi="宋体" w:cs="宋体"/>
                <w:szCs w:val="21"/>
                <w:highlight w:val="none"/>
              </w:rPr>
            </w:pPr>
            <w:r>
              <w:rPr>
                <w:rFonts w:hint="eastAsia" w:ascii="宋体" w:hAnsi="宋体" w:cs="宋体"/>
                <w:szCs w:val="21"/>
                <w:highlight w:val="none"/>
              </w:rPr>
              <w:t>资格评审</w:t>
            </w:r>
          </w:p>
        </w:tc>
        <w:tc>
          <w:tcPr>
            <w:tcW w:w="2436" w:type="dxa"/>
            <w:tcBorders>
              <w:top w:val="nil"/>
              <w:left w:val="nil"/>
              <w:bottom w:val="single" w:color="auto" w:sz="8" w:space="0"/>
              <w:right w:val="single" w:color="auto" w:sz="8" w:space="0"/>
            </w:tcBorders>
            <w:vAlign w:val="center"/>
          </w:tcPr>
          <w:p w14:paraId="577C9B4C">
            <w:pPr>
              <w:widowControl/>
              <w:jc w:val="center"/>
              <w:rPr>
                <w:rFonts w:ascii="宋体" w:hAnsi="宋体" w:cs="宋体"/>
                <w:szCs w:val="21"/>
                <w:highlight w:val="none"/>
              </w:rPr>
            </w:pPr>
            <w:r>
              <w:rPr>
                <w:rFonts w:hint="eastAsia" w:ascii="宋体" w:hAnsi="宋体" w:cs="宋体"/>
                <w:szCs w:val="21"/>
                <w:highlight w:val="none"/>
              </w:rPr>
              <w:t>基本要求</w:t>
            </w:r>
          </w:p>
        </w:tc>
        <w:tc>
          <w:tcPr>
            <w:tcW w:w="6015" w:type="dxa"/>
            <w:tcBorders>
              <w:top w:val="nil"/>
              <w:left w:val="nil"/>
              <w:bottom w:val="single" w:color="auto" w:sz="8" w:space="0"/>
              <w:right w:val="single" w:color="auto" w:sz="8" w:space="0"/>
            </w:tcBorders>
            <w:vAlign w:val="center"/>
          </w:tcPr>
          <w:p w14:paraId="625E8A46">
            <w:pPr>
              <w:widowControl/>
              <w:jc w:val="left"/>
              <w:rPr>
                <w:rFonts w:ascii="宋体" w:hAnsi="宋体" w:cs="宋体"/>
                <w:szCs w:val="21"/>
                <w:highlight w:val="none"/>
              </w:rPr>
            </w:pPr>
            <w:r>
              <w:rPr>
                <w:rFonts w:hint="eastAsia" w:ascii="宋体" w:hAnsi="宋体" w:cs="宋体"/>
                <w:szCs w:val="21"/>
                <w:highlight w:val="none"/>
              </w:rPr>
              <w:t>法人或者其他组织的营业执照等证明文件，自然人的身份证明，</w:t>
            </w:r>
            <w:r>
              <w:rPr>
                <w:rFonts w:hint="eastAsia" w:ascii="宋体" w:hAnsi="宋体" w:cs="宋体"/>
                <w:b/>
                <w:bCs/>
                <w:szCs w:val="21"/>
                <w:highlight w:val="none"/>
              </w:rPr>
              <w:t>提供相关证明材料加盖公章</w:t>
            </w:r>
            <w:r>
              <w:rPr>
                <w:rFonts w:hint="eastAsia" w:ascii="宋体" w:hAnsi="宋体" w:cs="宋体"/>
                <w:szCs w:val="21"/>
                <w:highlight w:val="none"/>
              </w:rPr>
              <w:t>。</w:t>
            </w:r>
          </w:p>
        </w:tc>
      </w:tr>
      <w:tr w14:paraId="539CDB2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6A94BB56">
            <w:pPr>
              <w:widowControl/>
              <w:jc w:val="left"/>
              <w:rPr>
                <w:rFonts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66E3BBF7">
            <w:pPr>
              <w:widowControl/>
              <w:jc w:val="center"/>
              <w:rPr>
                <w:rFonts w:ascii="宋体" w:hAnsi="宋体" w:cs="宋体"/>
                <w:szCs w:val="21"/>
                <w:highlight w:val="none"/>
              </w:rPr>
            </w:pPr>
            <w:r>
              <w:rPr>
                <w:rFonts w:hint="eastAsia" w:ascii="宋体" w:hAnsi="宋体" w:cs="宋体"/>
                <w:szCs w:val="21"/>
                <w:highlight w:val="none"/>
              </w:rPr>
              <w:t>财务状况</w:t>
            </w:r>
          </w:p>
        </w:tc>
        <w:tc>
          <w:tcPr>
            <w:tcW w:w="6015" w:type="dxa"/>
            <w:tcBorders>
              <w:top w:val="nil"/>
              <w:left w:val="nil"/>
              <w:bottom w:val="single" w:color="auto" w:sz="8" w:space="0"/>
              <w:right w:val="single" w:color="auto" w:sz="8" w:space="0"/>
            </w:tcBorders>
            <w:vAlign w:val="center"/>
          </w:tcPr>
          <w:p w14:paraId="49AED7E2">
            <w:pPr>
              <w:widowControl/>
              <w:rPr>
                <w:rFonts w:ascii="宋体" w:hAnsi="宋体" w:cs="宋体"/>
                <w:szCs w:val="21"/>
                <w:highlight w:val="none"/>
              </w:rPr>
            </w:pPr>
            <w:r>
              <w:rPr>
                <w:rFonts w:ascii="宋体" w:hAnsi="宋体"/>
                <w:color w:val="000000" w:themeColor="text1"/>
                <w:szCs w:val="21"/>
                <w:highlight w:val="none"/>
                <w14:textFill>
                  <w14:solidFill>
                    <w14:schemeClr w14:val="tx1"/>
                  </w14:solidFill>
                </w14:textFill>
              </w:rPr>
              <w:t>具有良好的商业信誉和健全的财务会计制度（</w:t>
            </w:r>
            <w:r>
              <w:rPr>
                <w:rFonts w:hint="eastAsia" w:ascii="宋体" w:hAnsi="宋体"/>
                <w:color w:val="000000" w:themeColor="text1"/>
                <w:szCs w:val="21"/>
                <w:highlight w:val="none"/>
                <w14:textFill>
                  <w14:solidFill>
                    <w14:schemeClr w14:val="tx1"/>
                  </w14:solidFill>
                </w14:textFill>
              </w:rPr>
              <w:t>2024年度的审计报告复印件加盖公章或响应截止时间前半年内（</w:t>
            </w:r>
            <w:r>
              <w:rPr>
                <w:rFonts w:hint="eastAsia" w:ascii="宋体" w:hAnsi="宋体"/>
                <w:color w:val="000000" w:themeColor="text1"/>
                <w:szCs w:val="21"/>
                <w:highlight w:val="none"/>
                <w:lang w:eastAsia="zh-CN"/>
                <w14:textFill>
                  <w14:solidFill>
                    <w14:schemeClr w14:val="tx1"/>
                  </w14:solidFill>
                </w14:textFill>
              </w:rPr>
              <w:t>2025年7月至2025年12月</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color w:val="000000" w:themeColor="text1"/>
                <w:szCs w:val="21"/>
                <w:highlight w:val="none"/>
                <w14:textFill>
                  <w14:solidFill>
                    <w14:schemeClr w14:val="tx1"/>
                  </w14:solidFill>
                </w14:textFill>
              </w:rPr>
              <w:t>个月</w:t>
            </w:r>
            <w:r>
              <w:rPr>
                <w:rFonts w:ascii="宋体" w:hAnsi="宋体"/>
                <w:color w:val="000000" w:themeColor="text1"/>
                <w:szCs w:val="21"/>
                <w:highlight w:val="none"/>
                <w14:textFill>
                  <w14:solidFill>
                    <w14:schemeClr w14:val="tx1"/>
                  </w14:solidFill>
                </w14:textFill>
              </w:rPr>
              <w:t>的无须提供）</w:t>
            </w:r>
            <w:r>
              <w:rPr>
                <w:rFonts w:hint="eastAsia" w:ascii="宋体" w:hAnsi="宋体" w:cs="宋体"/>
                <w:b/>
                <w:bCs/>
                <w:szCs w:val="21"/>
                <w:highlight w:val="none"/>
              </w:rPr>
              <w:t>提供证明材料加盖公章</w:t>
            </w:r>
          </w:p>
        </w:tc>
      </w:tr>
      <w:tr w14:paraId="43F8070B">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43916AFF">
            <w:pPr>
              <w:widowControl/>
              <w:jc w:val="left"/>
              <w:rPr>
                <w:rFonts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3CC29912">
            <w:pPr>
              <w:widowControl/>
              <w:jc w:val="center"/>
              <w:rPr>
                <w:rFonts w:ascii="宋体" w:hAnsi="宋体" w:cs="宋体"/>
                <w:szCs w:val="21"/>
                <w:highlight w:val="none"/>
              </w:rPr>
            </w:pPr>
            <w:r>
              <w:rPr>
                <w:rFonts w:hint="eastAsia" w:ascii="宋体" w:hAnsi="宋体" w:cs="宋体"/>
                <w:szCs w:val="21"/>
                <w:highlight w:val="none"/>
              </w:rPr>
              <w:t>技术能力声明</w:t>
            </w:r>
          </w:p>
        </w:tc>
        <w:tc>
          <w:tcPr>
            <w:tcW w:w="6015" w:type="dxa"/>
            <w:tcBorders>
              <w:top w:val="nil"/>
              <w:left w:val="nil"/>
              <w:bottom w:val="single" w:color="auto" w:sz="8" w:space="0"/>
              <w:right w:val="single" w:color="auto" w:sz="8" w:space="0"/>
            </w:tcBorders>
            <w:vAlign w:val="center"/>
          </w:tcPr>
          <w:p w14:paraId="1077189D">
            <w:pPr>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szCs w:val="21"/>
                <w:highlight w:val="none"/>
              </w:rPr>
              <w:t>提供原件加盖公章</w:t>
            </w:r>
          </w:p>
        </w:tc>
      </w:tr>
      <w:tr w14:paraId="525A83C0">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1D32F9D4">
            <w:pPr>
              <w:widowControl/>
              <w:jc w:val="left"/>
              <w:rPr>
                <w:rFonts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47A702C5">
            <w:pPr>
              <w:widowControl/>
              <w:jc w:val="center"/>
              <w:rPr>
                <w:rFonts w:ascii="宋体" w:hAnsi="宋体" w:cs="宋体"/>
                <w:szCs w:val="21"/>
                <w:highlight w:val="none"/>
              </w:rPr>
            </w:pPr>
            <w:r>
              <w:rPr>
                <w:rFonts w:hint="eastAsia" w:ascii="宋体" w:hAnsi="宋体" w:cs="宋体"/>
                <w:szCs w:val="21"/>
                <w:highlight w:val="none"/>
              </w:rPr>
              <w:t>纳税情况</w:t>
            </w:r>
          </w:p>
        </w:tc>
        <w:tc>
          <w:tcPr>
            <w:tcW w:w="6015" w:type="dxa"/>
            <w:tcBorders>
              <w:top w:val="nil"/>
              <w:left w:val="nil"/>
              <w:bottom w:val="single" w:color="auto" w:sz="8" w:space="0"/>
              <w:right w:val="single" w:color="auto" w:sz="8" w:space="0"/>
            </w:tcBorders>
            <w:vAlign w:val="center"/>
          </w:tcPr>
          <w:p w14:paraId="6D2227B7">
            <w:pPr>
              <w:widowControl/>
              <w:rPr>
                <w:rFonts w:ascii="宋体" w:hAnsi="宋体" w:cs="宋体"/>
                <w:szCs w:val="21"/>
                <w:highlight w:val="none"/>
              </w:rPr>
            </w:pPr>
            <w:r>
              <w:rPr>
                <w:rFonts w:ascii="宋体" w:hAnsi="宋体"/>
                <w:color w:val="000000" w:themeColor="text1"/>
                <w:szCs w:val="21"/>
                <w:highlight w:val="none"/>
                <w14:textFill>
                  <w14:solidFill>
                    <w14:schemeClr w14:val="tx1"/>
                  </w14:solidFill>
                </w14:textFill>
              </w:rPr>
              <w:t>有依法缴纳税收和社会保障资金的良好记录（提供响应截止时间前</w:t>
            </w:r>
            <w:r>
              <w:rPr>
                <w:rFonts w:hint="eastAsia" w:ascii="宋体" w:hAnsi="宋体"/>
                <w:color w:val="000000" w:themeColor="text1"/>
                <w:szCs w:val="21"/>
                <w:highlight w:val="none"/>
                <w14:textFill>
                  <w14:solidFill>
                    <w14:schemeClr w14:val="tx1"/>
                  </w14:solidFill>
                </w14:textFill>
              </w:rPr>
              <w:t>半年</w:t>
            </w:r>
            <w:r>
              <w:rPr>
                <w:rFonts w:ascii="宋体" w:hAnsi="宋体"/>
                <w:color w:val="000000" w:themeColor="text1"/>
                <w:szCs w:val="21"/>
                <w:highlight w:val="none"/>
                <w14:textFill>
                  <w14:solidFill>
                    <w14:schemeClr w14:val="tx1"/>
                  </w14:solidFill>
                </w14:textFill>
              </w:rPr>
              <w:t>内</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eastAsia="zh-CN"/>
                <w14:textFill>
                  <w14:solidFill>
                    <w14:schemeClr w14:val="tx1"/>
                  </w14:solidFill>
                </w14:textFill>
              </w:rPr>
              <w:t>2025年7月至2025年12月</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highlight w:val="none"/>
              </w:rPr>
              <w:t>。</w:t>
            </w:r>
            <w:r>
              <w:rPr>
                <w:rFonts w:hint="eastAsia" w:ascii="宋体" w:hAnsi="宋体" w:cs="宋体"/>
                <w:b/>
                <w:bCs/>
                <w:szCs w:val="21"/>
                <w:highlight w:val="none"/>
              </w:rPr>
              <w:t>证明材料提供复印件加盖公章</w:t>
            </w:r>
          </w:p>
        </w:tc>
      </w:tr>
      <w:tr w14:paraId="24DE159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757D48B8">
            <w:pPr>
              <w:widowControl/>
              <w:jc w:val="left"/>
              <w:rPr>
                <w:rFonts w:ascii="宋体" w:hAnsi="宋体" w:cs="宋体"/>
                <w:szCs w:val="21"/>
                <w:highlight w:val="none"/>
              </w:rPr>
            </w:pPr>
          </w:p>
        </w:tc>
        <w:tc>
          <w:tcPr>
            <w:tcW w:w="2436" w:type="dxa"/>
            <w:tcBorders>
              <w:top w:val="nil"/>
              <w:left w:val="single" w:color="auto" w:sz="8" w:space="0"/>
              <w:bottom w:val="single" w:color="000000" w:sz="8" w:space="0"/>
              <w:right w:val="single" w:color="auto" w:sz="8" w:space="0"/>
            </w:tcBorders>
            <w:vAlign w:val="center"/>
          </w:tcPr>
          <w:p w14:paraId="625BB13B">
            <w:pPr>
              <w:widowControl/>
              <w:jc w:val="left"/>
              <w:rPr>
                <w:rFonts w:ascii="宋体" w:hAnsi="宋体" w:cs="宋体"/>
                <w:szCs w:val="21"/>
                <w:highlight w:val="none"/>
              </w:rPr>
            </w:pPr>
            <w:r>
              <w:rPr>
                <w:rFonts w:hint="eastAsia" w:ascii="宋体" w:hAnsi="宋体" w:cs="宋体"/>
                <w:szCs w:val="21"/>
                <w:highlight w:val="none"/>
              </w:rPr>
              <w:t>重大违法记录书面声明</w:t>
            </w:r>
          </w:p>
        </w:tc>
        <w:tc>
          <w:tcPr>
            <w:tcW w:w="6015" w:type="dxa"/>
            <w:tcBorders>
              <w:top w:val="nil"/>
              <w:left w:val="nil"/>
              <w:bottom w:val="single" w:color="auto" w:sz="8" w:space="0"/>
              <w:right w:val="single" w:color="auto" w:sz="8" w:space="0"/>
            </w:tcBorders>
            <w:vAlign w:val="center"/>
          </w:tcPr>
          <w:p w14:paraId="72AAFDF8">
            <w:pPr>
              <w:widowControl/>
              <w:rPr>
                <w:rFonts w:ascii="宋体" w:hAnsi="宋体" w:cs="宋体"/>
                <w:szCs w:val="21"/>
                <w:highlight w:val="none"/>
              </w:rPr>
            </w:pPr>
            <w:r>
              <w:rPr>
                <w:rFonts w:hint="eastAsia" w:ascii="宋体" w:hAnsi="宋体" w:cs="宋体"/>
                <w:szCs w:val="21"/>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szCs w:val="21"/>
                <w:highlight w:val="none"/>
              </w:rPr>
              <w:t>提供原件加盖公章</w:t>
            </w:r>
          </w:p>
        </w:tc>
      </w:tr>
      <w:tr w14:paraId="5219049A">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3BEA4457">
            <w:pPr>
              <w:widowControl/>
              <w:jc w:val="left"/>
              <w:rPr>
                <w:rFonts w:ascii="宋体" w:hAnsi="宋体" w:cs="宋体"/>
                <w:szCs w:val="21"/>
                <w:highlight w:val="none"/>
              </w:rPr>
            </w:pPr>
          </w:p>
        </w:tc>
        <w:tc>
          <w:tcPr>
            <w:tcW w:w="2436" w:type="dxa"/>
            <w:tcBorders>
              <w:top w:val="nil"/>
              <w:left w:val="single" w:color="auto" w:sz="8" w:space="0"/>
              <w:bottom w:val="single" w:color="000000" w:sz="8" w:space="0"/>
              <w:right w:val="single" w:color="auto" w:sz="8" w:space="0"/>
            </w:tcBorders>
            <w:vAlign w:val="center"/>
          </w:tcPr>
          <w:p w14:paraId="563CF165">
            <w:pPr>
              <w:widowControl/>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特定资格要求</w:t>
            </w:r>
          </w:p>
        </w:tc>
        <w:tc>
          <w:tcPr>
            <w:tcW w:w="6015" w:type="dxa"/>
            <w:tcBorders>
              <w:top w:val="nil"/>
              <w:left w:val="nil"/>
              <w:bottom w:val="single" w:color="auto" w:sz="8" w:space="0"/>
              <w:right w:val="single" w:color="auto" w:sz="8" w:space="0"/>
            </w:tcBorders>
            <w:vAlign w:val="center"/>
          </w:tcPr>
          <w:p w14:paraId="7D861DA4">
            <w:pPr>
              <w:widowControl/>
              <w:rPr>
                <w:rFonts w:hint="eastAsia" w:ascii="宋体" w:hAnsi="宋体" w:cs="宋体"/>
                <w:szCs w:val="21"/>
                <w:highlight w:val="none"/>
              </w:rPr>
            </w:pPr>
            <w:r>
              <w:rPr>
                <w:rFonts w:hint="eastAsia" w:ascii="宋体" w:hAnsi="宋体" w:cs="宋体"/>
                <w:highlight w:val="none"/>
              </w:rPr>
              <w:t>本项目接受进口产品，所投设备若是进口产品，须提供制造商授权证明 （提供针对本项目的专项授权书或有效的产品代理证书复印件加盖供应商公章）。</w:t>
            </w:r>
          </w:p>
        </w:tc>
      </w:tr>
      <w:tr w14:paraId="16FE1868">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29D65435">
            <w:pPr>
              <w:widowControl/>
              <w:jc w:val="left"/>
              <w:rPr>
                <w:rFonts w:ascii="宋体" w:hAnsi="宋体" w:cs="宋体"/>
                <w:szCs w:val="21"/>
                <w:highlight w:val="none"/>
              </w:rPr>
            </w:pPr>
          </w:p>
        </w:tc>
        <w:tc>
          <w:tcPr>
            <w:tcW w:w="2436" w:type="dxa"/>
            <w:tcBorders>
              <w:top w:val="nil"/>
              <w:left w:val="nil"/>
              <w:bottom w:val="single" w:color="auto" w:sz="4" w:space="0"/>
              <w:right w:val="single" w:color="auto" w:sz="8" w:space="0"/>
            </w:tcBorders>
            <w:vAlign w:val="center"/>
          </w:tcPr>
          <w:p w14:paraId="78B161E5">
            <w:pPr>
              <w:widowControl/>
              <w:jc w:val="center"/>
              <w:rPr>
                <w:rFonts w:ascii="宋体" w:hAnsi="宋体" w:cs="宋体"/>
                <w:szCs w:val="21"/>
                <w:highlight w:val="none"/>
              </w:rPr>
            </w:pPr>
            <w:r>
              <w:rPr>
                <w:rFonts w:hint="eastAsia" w:ascii="宋体" w:hAnsi="宋体" w:cs="宋体"/>
                <w:szCs w:val="21"/>
                <w:highlight w:val="none"/>
              </w:rPr>
              <w:t>非联合体要求</w:t>
            </w:r>
          </w:p>
        </w:tc>
        <w:tc>
          <w:tcPr>
            <w:tcW w:w="6015" w:type="dxa"/>
            <w:tcBorders>
              <w:top w:val="nil"/>
              <w:left w:val="nil"/>
              <w:bottom w:val="single" w:color="auto" w:sz="4" w:space="0"/>
              <w:right w:val="single" w:color="auto" w:sz="8" w:space="0"/>
            </w:tcBorders>
            <w:vAlign w:val="center"/>
          </w:tcPr>
          <w:p w14:paraId="4805864D">
            <w:pPr>
              <w:widowControl/>
              <w:rPr>
                <w:rFonts w:ascii="宋体" w:hAnsi="宋体" w:cs="宋体"/>
                <w:szCs w:val="21"/>
                <w:highlight w:val="none"/>
              </w:rPr>
            </w:pPr>
            <w:r>
              <w:rPr>
                <w:rFonts w:hint="eastAsia" w:ascii="宋体" w:hAnsi="宋体" w:cs="宋体"/>
                <w:szCs w:val="21"/>
                <w:highlight w:val="none"/>
              </w:rPr>
              <w:t>本项目不接受联合体响应。</w:t>
            </w:r>
          </w:p>
        </w:tc>
      </w:tr>
      <w:tr w14:paraId="083591FC">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2CFB1EDB">
            <w:pPr>
              <w:widowControl/>
              <w:jc w:val="left"/>
              <w:rPr>
                <w:rFonts w:ascii="宋体" w:hAnsi="宋体" w:cs="宋体"/>
                <w:szCs w:val="21"/>
                <w:highlight w:val="none"/>
              </w:rPr>
            </w:pPr>
          </w:p>
        </w:tc>
        <w:tc>
          <w:tcPr>
            <w:tcW w:w="2436" w:type="dxa"/>
            <w:vMerge w:val="restart"/>
            <w:tcBorders>
              <w:top w:val="nil"/>
              <w:left w:val="nil"/>
              <w:bottom w:val="single" w:color="auto" w:sz="4" w:space="0"/>
              <w:right w:val="single" w:color="auto" w:sz="8" w:space="0"/>
            </w:tcBorders>
            <w:vAlign w:val="center"/>
          </w:tcPr>
          <w:p w14:paraId="38DB7F91">
            <w:pPr>
              <w:widowControl/>
              <w:jc w:val="center"/>
              <w:rPr>
                <w:rFonts w:ascii="宋体" w:hAnsi="宋体" w:cs="宋体"/>
                <w:szCs w:val="21"/>
                <w:highlight w:val="none"/>
              </w:rPr>
            </w:pPr>
            <w:r>
              <w:rPr>
                <w:rFonts w:hint="eastAsia" w:ascii="宋体" w:hAnsi="宋体" w:cs="宋体"/>
                <w:szCs w:val="21"/>
                <w:highlight w:val="none"/>
              </w:rPr>
              <w:t>不得参与响应的情形</w:t>
            </w:r>
          </w:p>
        </w:tc>
        <w:tc>
          <w:tcPr>
            <w:tcW w:w="6015" w:type="dxa"/>
            <w:tcBorders>
              <w:top w:val="nil"/>
              <w:left w:val="nil"/>
              <w:bottom w:val="single" w:color="auto" w:sz="4" w:space="0"/>
              <w:right w:val="single" w:color="auto" w:sz="8" w:space="0"/>
            </w:tcBorders>
            <w:vAlign w:val="center"/>
          </w:tcPr>
          <w:p w14:paraId="57B9A681">
            <w:pPr>
              <w:widowControl/>
              <w:rPr>
                <w:rFonts w:ascii="宋体" w:hAnsi="宋体" w:cs="宋体"/>
                <w:szCs w:val="21"/>
                <w:highlight w:val="none"/>
              </w:rPr>
            </w:pPr>
            <w:r>
              <w:rPr>
                <w:rFonts w:ascii="宋体" w:hAnsi="宋体"/>
                <w:color w:val="000000" w:themeColor="text1"/>
                <w:szCs w:val="21"/>
                <w:highlight w:val="none"/>
                <w14:textFill>
                  <w14:solidFill>
                    <w14:schemeClr w14:val="tx1"/>
                  </w14:solidFill>
                </w14:textFill>
              </w:rPr>
              <w:t>供应商单位负责人为同一人或者存在直接控股、管理关系的不同供应商，不得参加同一合同项下的采购或采购活动</w:t>
            </w:r>
          </w:p>
        </w:tc>
      </w:tr>
      <w:tr w14:paraId="041A7673">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0A2E3256">
            <w:pPr>
              <w:widowControl/>
              <w:jc w:val="left"/>
              <w:rPr>
                <w:rFonts w:ascii="宋体" w:hAnsi="宋体" w:cs="宋体"/>
                <w:szCs w:val="21"/>
                <w:highlight w:val="none"/>
              </w:rPr>
            </w:pPr>
          </w:p>
        </w:tc>
        <w:tc>
          <w:tcPr>
            <w:tcW w:w="2436" w:type="dxa"/>
            <w:vMerge w:val="continue"/>
            <w:tcBorders>
              <w:top w:val="nil"/>
              <w:left w:val="nil"/>
              <w:bottom w:val="single" w:color="auto" w:sz="4" w:space="0"/>
              <w:right w:val="single" w:color="auto" w:sz="8" w:space="0"/>
            </w:tcBorders>
            <w:vAlign w:val="center"/>
          </w:tcPr>
          <w:p w14:paraId="294DD327">
            <w:pPr>
              <w:widowControl/>
              <w:jc w:val="center"/>
              <w:rPr>
                <w:rFonts w:ascii="宋体" w:hAnsi="宋体" w:cs="宋体"/>
                <w:szCs w:val="21"/>
                <w:highlight w:val="none"/>
              </w:rPr>
            </w:pPr>
          </w:p>
        </w:tc>
        <w:tc>
          <w:tcPr>
            <w:tcW w:w="6015" w:type="dxa"/>
            <w:tcBorders>
              <w:top w:val="nil"/>
              <w:left w:val="nil"/>
              <w:bottom w:val="single" w:color="auto" w:sz="4" w:space="0"/>
              <w:right w:val="single" w:color="auto" w:sz="8" w:space="0"/>
            </w:tcBorders>
            <w:vAlign w:val="center"/>
          </w:tcPr>
          <w:p w14:paraId="29AA44B4">
            <w:pPr>
              <w:widowControl/>
              <w:rPr>
                <w:rFonts w:ascii="宋体" w:hAnsi="宋体" w:cs="宋体"/>
                <w:szCs w:val="21"/>
                <w:highlight w:val="none"/>
              </w:rPr>
            </w:pPr>
            <w:r>
              <w:rPr>
                <w:rFonts w:ascii="宋体" w:hAnsi="宋体"/>
                <w:color w:val="000000" w:themeColor="text1"/>
                <w:szCs w:val="21"/>
                <w:highlight w:val="none"/>
                <w14:textFill>
                  <w14:solidFill>
                    <w14:schemeClr w14:val="tx1"/>
                  </w14:solidFill>
                </w14:textFill>
              </w:rPr>
              <w:t>凡为本项目提供整体设计、规范编制或者项目管理、检测等服务的</w:t>
            </w:r>
            <w:bookmarkStart w:id="19" w:name="_GoBack"/>
            <w:bookmarkEnd w:id="19"/>
            <w:r>
              <w:rPr>
                <w:rFonts w:ascii="宋体" w:hAnsi="宋体"/>
                <w:color w:val="000000" w:themeColor="text1"/>
                <w:szCs w:val="21"/>
                <w:highlight w:val="none"/>
                <w14:textFill>
                  <w14:solidFill>
                    <w14:schemeClr w14:val="tx1"/>
                  </w14:solidFill>
                </w14:textFill>
              </w:rPr>
              <w:t>供应商，不得再参加本项目的采购或采购活动</w:t>
            </w:r>
          </w:p>
        </w:tc>
      </w:tr>
      <w:tr w14:paraId="66890035">
        <w:tblPrEx>
          <w:tblCellMar>
            <w:top w:w="0" w:type="dxa"/>
            <w:left w:w="108" w:type="dxa"/>
            <w:bottom w:w="0" w:type="dxa"/>
            <w:right w:w="108" w:type="dxa"/>
          </w:tblCellMar>
        </w:tblPrEx>
        <w:trPr>
          <w:trHeight w:val="454" w:hRule="atLeast"/>
        </w:trPr>
        <w:tc>
          <w:tcPr>
            <w:tcW w:w="796" w:type="dxa"/>
            <w:vMerge w:val="continue"/>
            <w:tcBorders>
              <w:left w:val="single" w:color="auto" w:sz="8" w:space="0"/>
              <w:bottom w:val="single" w:color="auto" w:sz="4" w:space="0"/>
              <w:right w:val="single" w:color="auto" w:sz="8" w:space="0"/>
            </w:tcBorders>
            <w:vAlign w:val="center"/>
          </w:tcPr>
          <w:p w14:paraId="063ED114">
            <w:pPr>
              <w:widowControl/>
              <w:jc w:val="left"/>
              <w:rPr>
                <w:rFonts w:ascii="宋体" w:hAnsi="宋体" w:cs="宋体"/>
                <w:szCs w:val="21"/>
                <w:highlight w:val="none"/>
              </w:rPr>
            </w:pPr>
          </w:p>
        </w:tc>
        <w:tc>
          <w:tcPr>
            <w:tcW w:w="2436" w:type="dxa"/>
            <w:vMerge w:val="continue"/>
            <w:tcBorders>
              <w:top w:val="nil"/>
              <w:left w:val="nil"/>
              <w:bottom w:val="single" w:color="auto" w:sz="4" w:space="0"/>
              <w:right w:val="single" w:color="auto" w:sz="8" w:space="0"/>
            </w:tcBorders>
            <w:vAlign w:val="center"/>
          </w:tcPr>
          <w:p w14:paraId="32E7A1B1">
            <w:pPr>
              <w:widowControl/>
              <w:jc w:val="center"/>
              <w:rPr>
                <w:rFonts w:ascii="宋体" w:hAnsi="宋体" w:cs="宋体"/>
                <w:szCs w:val="21"/>
                <w:highlight w:val="none"/>
              </w:rPr>
            </w:pPr>
          </w:p>
        </w:tc>
        <w:tc>
          <w:tcPr>
            <w:tcW w:w="6015" w:type="dxa"/>
            <w:tcBorders>
              <w:top w:val="nil"/>
              <w:left w:val="nil"/>
              <w:bottom w:val="single" w:color="auto" w:sz="4" w:space="0"/>
              <w:right w:val="single" w:color="auto" w:sz="8" w:space="0"/>
            </w:tcBorders>
            <w:vAlign w:val="center"/>
          </w:tcPr>
          <w:p w14:paraId="7B32CA54">
            <w:pPr>
              <w:widowControl/>
              <w:rPr>
                <w:rFonts w:ascii="宋体" w:hAnsi="宋体" w:cs="宋体"/>
                <w:szCs w:val="21"/>
                <w:highlight w:val="none"/>
              </w:rPr>
            </w:pPr>
            <w:r>
              <w:rPr>
                <w:rFonts w:ascii="宋体" w:hAnsi="宋体"/>
                <w:color w:val="000000" w:themeColor="text1"/>
                <w:szCs w:val="21"/>
                <w:highlight w:val="none"/>
                <w14:textFill>
                  <w14:solidFill>
                    <w14:schemeClr w14:val="tx1"/>
                  </w14:solidFill>
                </w14:textFill>
              </w:rPr>
              <w:t>供应商被</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信用中国</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网站（www.creditchina.gov.cn）列入失信被执行人、重大税收违法失信主体、严重违法失信行为记录名单</w:t>
            </w:r>
            <w:r>
              <w:rPr>
                <w:rFonts w:hint="eastAsia" w:ascii="宋体" w:hAnsi="宋体"/>
                <w:color w:val="000000" w:themeColor="text1"/>
                <w:szCs w:val="21"/>
                <w:highlight w:val="none"/>
                <w14:textFill>
                  <w14:solidFill>
                    <w14:schemeClr w14:val="tx1"/>
                  </w14:solidFill>
                </w14:textFill>
              </w:rPr>
              <w:t>。</w:t>
            </w:r>
          </w:p>
        </w:tc>
      </w:tr>
      <w:tr w14:paraId="3F59D605">
        <w:tblPrEx>
          <w:tblCellMar>
            <w:top w:w="0" w:type="dxa"/>
            <w:left w:w="108" w:type="dxa"/>
            <w:bottom w:w="0" w:type="dxa"/>
            <w:right w:w="108" w:type="dxa"/>
          </w:tblCellMar>
        </w:tblPrEx>
        <w:trPr>
          <w:trHeight w:val="454" w:hRule="atLeast"/>
        </w:trPr>
        <w:tc>
          <w:tcPr>
            <w:tcW w:w="796" w:type="dxa"/>
            <w:vMerge w:val="restart"/>
            <w:tcBorders>
              <w:top w:val="single" w:color="auto" w:sz="4" w:space="0"/>
              <w:left w:val="single" w:color="auto" w:sz="4" w:space="0"/>
              <w:right w:val="single" w:color="auto" w:sz="4" w:space="0"/>
            </w:tcBorders>
            <w:vAlign w:val="center"/>
          </w:tcPr>
          <w:p w14:paraId="30D9EFA9">
            <w:pPr>
              <w:widowControl/>
              <w:jc w:val="center"/>
              <w:rPr>
                <w:rFonts w:ascii="宋体" w:hAnsi="宋体" w:cs="宋体"/>
                <w:szCs w:val="21"/>
                <w:highlight w:val="none"/>
              </w:rPr>
            </w:pPr>
            <w:r>
              <w:rPr>
                <w:rFonts w:hint="eastAsia" w:ascii="宋体" w:hAnsi="宋体" w:cs="宋体"/>
                <w:szCs w:val="21"/>
                <w:highlight w:val="none"/>
              </w:rPr>
              <w:t>响应性评审</w:t>
            </w:r>
          </w:p>
        </w:tc>
        <w:tc>
          <w:tcPr>
            <w:tcW w:w="2436" w:type="dxa"/>
            <w:tcBorders>
              <w:top w:val="single" w:color="auto" w:sz="4" w:space="0"/>
              <w:left w:val="single" w:color="auto" w:sz="4" w:space="0"/>
              <w:bottom w:val="single" w:color="auto" w:sz="4" w:space="0"/>
              <w:right w:val="single" w:color="auto" w:sz="4" w:space="0"/>
            </w:tcBorders>
            <w:vAlign w:val="center"/>
          </w:tcPr>
          <w:p w14:paraId="33CBEA48">
            <w:pPr>
              <w:widowControl/>
              <w:jc w:val="center"/>
              <w:rPr>
                <w:rFonts w:ascii="宋体" w:hAnsi="宋体" w:cs="宋体"/>
                <w:szCs w:val="21"/>
                <w:highlight w:val="none"/>
              </w:rPr>
            </w:pPr>
            <w:r>
              <w:rPr>
                <w:rFonts w:hint="eastAsia" w:ascii="宋体" w:hAnsi="宋体" w:cs="宋体"/>
                <w:szCs w:val="21"/>
                <w:highlight w:val="none"/>
              </w:rPr>
              <w:t>响应有效期</w:t>
            </w:r>
          </w:p>
        </w:tc>
        <w:tc>
          <w:tcPr>
            <w:tcW w:w="6015" w:type="dxa"/>
            <w:tcBorders>
              <w:top w:val="single" w:color="auto" w:sz="4" w:space="0"/>
              <w:left w:val="single" w:color="auto" w:sz="4" w:space="0"/>
              <w:bottom w:val="single" w:color="auto" w:sz="4" w:space="0"/>
              <w:right w:val="single" w:color="auto" w:sz="4" w:space="0"/>
            </w:tcBorders>
            <w:vAlign w:val="center"/>
          </w:tcPr>
          <w:p w14:paraId="30E7955D">
            <w:pPr>
              <w:widowControl/>
              <w:rPr>
                <w:rFonts w:ascii="宋体" w:hAnsi="宋体" w:cs="宋体"/>
                <w:szCs w:val="21"/>
                <w:highlight w:val="none"/>
              </w:rPr>
            </w:pPr>
            <w:r>
              <w:rPr>
                <w:rFonts w:hint="eastAsia" w:ascii="宋体" w:hAnsi="宋体" w:cs="宋体"/>
                <w:szCs w:val="21"/>
                <w:highlight w:val="none"/>
              </w:rPr>
              <w:t>90日历天。</w:t>
            </w:r>
          </w:p>
        </w:tc>
      </w:tr>
      <w:tr w14:paraId="0B61A098">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7474515C">
            <w:pPr>
              <w:widowControl/>
              <w:jc w:val="left"/>
              <w:rPr>
                <w:rFonts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2D622491">
            <w:pPr>
              <w:widowControl/>
              <w:jc w:val="center"/>
              <w:rPr>
                <w:rFonts w:ascii="宋体" w:hAnsi="宋体" w:cs="宋体"/>
                <w:szCs w:val="21"/>
                <w:highlight w:val="none"/>
              </w:rPr>
            </w:pPr>
            <w:r>
              <w:rPr>
                <w:rFonts w:hint="eastAsia" w:ascii="宋体" w:hAnsi="宋体" w:cs="宋体"/>
                <w:szCs w:val="21"/>
                <w:highlight w:val="none"/>
              </w:rPr>
              <w:t>响应报价</w:t>
            </w:r>
          </w:p>
        </w:tc>
        <w:tc>
          <w:tcPr>
            <w:tcW w:w="6015" w:type="dxa"/>
            <w:tcBorders>
              <w:top w:val="single" w:color="auto" w:sz="4" w:space="0"/>
              <w:left w:val="single" w:color="auto" w:sz="4" w:space="0"/>
              <w:bottom w:val="single" w:color="auto" w:sz="4" w:space="0"/>
              <w:right w:val="single" w:color="auto" w:sz="4" w:space="0"/>
            </w:tcBorders>
            <w:vAlign w:val="center"/>
          </w:tcPr>
          <w:p w14:paraId="2921A91E">
            <w:pPr>
              <w:widowControl/>
              <w:rPr>
                <w:rFonts w:ascii="宋体" w:hAnsi="宋体" w:cs="宋体"/>
                <w:szCs w:val="21"/>
                <w:highlight w:val="none"/>
              </w:rPr>
            </w:pPr>
            <w:r>
              <w:rPr>
                <w:rFonts w:hint="eastAsia" w:ascii="宋体" w:hAnsi="宋体" w:cs="宋体"/>
                <w:szCs w:val="21"/>
                <w:highlight w:val="none"/>
              </w:rPr>
              <w:t>唯一报价且满足响应一览表要求。</w:t>
            </w:r>
          </w:p>
        </w:tc>
      </w:tr>
      <w:tr w14:paraId="7A2FFE75">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3B5A9FA4">
            <w:pPr>
              <w:widowControl/>
              <w:jc w:val="left"/>
              <w:rPr>
                <w:rFonts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1EAB27CE">
            <w:pPr>
              <w:widowControl/>
              <w:jc w:val="center"/>
              <w:rPr>
                <w:rFonts w:ascii="宋体" w:hAnsi="宋体" w:cs="宋体"/>
                <w:szCs w:val="21"/>
                <w:highlight w:val="none"/>
              </w:rPr>
            </w:pPr>
            <w:r>
              <w:rPr>
                <w:rFonts w:hint="eastAsia" w:ascii="宋体" w:hAnsi="宋体" w:cs="宋体"/>
                <w:szCs w:val="21"/>
                <w:highlight w:val="none"/>
              </w:rPr>
              <w:t>合同偏离</w:t>
            </w:r>
          </w:p>
        </w:tc>
        <w:tc>
          <w:tcPr>
            <w:tcW w:w="6015" w:type="dxa"/>
            <w:tcBorders>
              <w:top w:val="single" w:color="auto" w:sz="4" w:space="0"/>
              <w:left w:val="single" w:color="auto" w:sz="4" w:space="0"/>
              <w:bottom w:val="single" w:color="auto" w:sz="4" w:space="0"/>
              <w:right w:val="single" w:color="auto" w:sz="4" w:space="0"/>
            </w:tcBorders>
            <w:vAlign w:val="center"/>
          </w:tcPr>
          <w:p w14:paraId="2722B96B">
            <w:pPr>
              <w:widowControl/>
              <w:rPr>
                <w:rFonts w:ascii="宋体" w:hAnsi="宋体" w:cs="宋体"/>
                <w:szCs w:val="21"/>
                <w:highlight w:val="none"/>
              </w:rPr>
            </w:pPr>
            <w:r>
              <w:rPr>
                <w:rFonts w:hint="eastAsia" w:ascii="宋体" w:hAnsi="宋体" w:cs="宋体"/>
                <w:szCs w:val="21"/>
                <w:highlight w:val="none"/>
              </w:rPr>
              <w:t>满足合同条款偏离表要求。</w:t>
            </w:r>
          </w:p>
        </w:tc>
      </w:tr>
      <w:tr w14:paraId="516CCAD2">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1E41BE60">
            <w:pPr>
              <w:widowControl/>
              <w:jc w:val="left"/>
              <w:rPr>
                <w:rFonts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5B3123B1">
            <w:pPr>
              <w:widowControl/>
              <w:jc w:val="center"/>
              <w:rPr>
                <w:rFonts w:ascii="宋体" w:hAnsi="宋体" w:cs="宋体"/>
                <w:szCs w:val="21"/>
                <w:highlight w:val="none"/>
              </w:rPr>
            </w:pPr>
            <w:r>
              <w:rPr>
                <w:rFonts w:hint="eastAsia" w:ascii="宋体" w:hAnsi="宋体" w:cs="宋体"/>
                <w:szCs w:val="21"/>
                <w:highlight w:val="none"/>
              </w:rPr>
              <w:t>技术偏离</w:t>
            </w:r>
          </w:p>
        </w:tc>
        <w:tc>
          <w:tcPr>
            <w:tcW w:w="6015" w:type="dxa"/>
            <w:tcBorders>
              <w:top w:val="single" w:color="auto" w:sz="4" w:space="0"/>
              <w:left w:val="single" w:color="auto" w:sz="4" w:space="0"/>
              <w:bottom w:val="single" w:color="auto" w:sz="4" w:space="0"/>
              <w:right w:val="single" w:color="auto" w:sz="4" w:space="0"/>
            </w:tcBorders>
            <w:vAlign w:val="center"/>
          </w:tcPr>
          <w:p w14:paraId="07332DB2">
            <w:pPr>
              <w:widowControl/>
              <w:rPr>
                <w:rFonts w:ascii="宋体" w:hAnsi="宋体" w:cs="宋体"/>
                <w:szCs w:val="21"/>
                <w:highlight w:val="none"/>
              </w:rPr>
            </w:pPr>
            <w:r>
              <w:rPr>
                <w:rFonts w:hint="eastAsia" w:ascii="宋体" w:hAnsi="宋体" w:cs="宋体"/>
                <w:szCs w:val="21"/>
                <w:highlight w:val="none"/>
              </w:rPr>
              <w:t>满足技术规格偏离表要求。</w:t>
            </w:r>
          </w:p>
        </w:tc>
      </w:tr>
      <w:bookmarkEnd w:id="6"/>
    </w:tbl>
    <w:p w14:paraId="07A71C57">
      <w:pPr>
        <w:spacing w:before="360" w:beforeLines="150" w:line="360" w:lineRule="auto"/>
        <w:rPr>
          <w:highlight w:val="none"/>
        </w:rPr>
      </w:pPr>
      <w:r>
        <w:rPr>
          <w:rFonts w:ascii="宋体" w:hAnsi="宋体"/>
          <w:b/>
          <w:bCs/>
          <w:highlight w:val="none"/>
        </w:rPr>
        <w:t>2.2详细评审</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0"/>
        <w:gridCol w:w="5951"/>
      </w:tblGrid>
      <w:tr w14:paraId="1659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130" w:type="dxa"/>
            <w:vAlign w:val="center"/>
          </w:tcPr>
          <w:p w14:paraId="12C1041A">
            <w:pPr>
              <w:widowControl/>
              <w:wordWrap w:val="0"/>
              <w:adjustRightInd w:val="0"/>
              <w:snapToGrid w:val="0"/>
              <w:spacing w:line="360" w:lineRule="auto"/>
              <w:jc w:val="center"/>
              <w:rPr>
                <w:rFonts w:ascii="宋体" w:hAnsi="宋体"/>
                <w:szCs w:val="21"/>
                <w:highlight w:val="none"/>
              </w:rPr>
            </w:pPr>
            <w:r>
              <w:rPr>
                <w:rFonts w:hint="eastAsia" w:ascii="宋体" w:hAnsi="宋体" w:cs="仿宋"/>
                <w:b/>
                <w:bCs/>
                <w:szCs w:val="21"/>
                <w:highlight w:val="none"/>
              </w:rPr>
              <w:t>评分因素</w:t>
            </w:r>
          </w:p>
        </w:tc>
        <w:tc>
          <w:tcPr>
            <w:tcW w:w="5951" w:type="dxa"/>
            <w:vAlign w:val="center"/>
          </w:tcPr>
          <w:p w14:paraId="1AE0FE86">
            <w:pPr>
              <w:widowControl/>
              <w:wordWrap w:val="0"/>
              <w:adjustRightInd w:val="0"/>
              <w:snapToGrid w:val="0"/>
              <w:spacing w:line="360" w:lineRule="auto"/>
              <w:jc w:val="center"/>
              <w:rPr>
                <w:rFonts w:ascii="宋体" w:hAnsi="宋体"/>
                <w:szCs w:val="21"/>
                <w:highlight w:val="none"/>
              </w:rPr>
            </w:pPr>
            <w:r>
              <w:rPr>
                <w:rFonts w:hint="eastAsia" w:ascii="宋体" w:hAnsi="宋体" w:cs="仿宋"/>
                <w:b/>
                <w:bCs/>
                <w:szCs w:val="21"/>
                <w:highlight w:val="none"/>
              </w:rPr>
              <w:t>评审标准分值</w:t>
            </w:r>
          </w:p>
        </w:tc>
      </w:tr>
      <w:tr w14:paraId="3058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51B03963">
            <w:pPr>
              <w:adjustRightInd w:val="0"/>
              <w:snapToGrid w:val="0"/>
              <w:spacing w:line="312" w:lineRule="auto"/>
              <w:jc w:val="center"/>
              <w:rPr>
                <w:rFonts w:ascii="宋体" w:hAnsi="宋体" w:cs="仿宋"/>
                <w:b/>
                <w:bCs/>
                <w:szCs w:val="21"/>
                <w:highlight w:val="none"/>
              </w:rPr>
            </w:pPr>
            <w:r>
              <w:rPr>
                <w:rFonts w:hint="eastAsia" w:ascii="宋体" w:hAnsi="宋体" w:cs="仿宋"/>
                <w:b/>
                <w:bCs/>
                <w:szCs w:val="21"/>
                <w:highlight w:val="none"/>
              </w:rPr>
              <w:t>响应报价</w:t>
            </w:r>
          </w:p>
          <w:p w14:paraId="199A759A">
            <w:pPr>
              <w:widowControl/>
              <w:adjustRightInd w:val="0"/>
              <w:snapToGrid w:val="0"/>
              <w:spacing w:line="312" w:lineRule="auto"/>
              <w:jc w:val="center"/>
              <w:rPr>
                <w:rFonts w:ascii="宋体" w:hAnsi="宋体"/>
                <w:szCs w:val="21"/>
                <w:highlight w:val="none"/>
              </w:rPr>
            </w:pPr>
            <w:r>
              <w:rPr>
                <w:rFonts w:hint="eastAsia" w:ascii="宋体" w:hAnsi="宋体" w:cs="仿宋"/>
                <w:b/>
                <w:bCs/>
                <w:szCs w:val="21"/>
                <w:highlight w:val="none"/>
              </w:rPr>
              <w:t>（30分）</w:t>
            </w:r>
          </w:p>
        </w:tc>
        <w:tc>
          <w:tcPr>
            <w:tcW w:w="5951" w:type="dxa"/>
            <w:vAlign w:val="center"/>
          </w:tcPr>
          <w:p w14:paraId="34D99DA7">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价格分采用低价优先法计算，即满足采购文件要求且报价最低的供应商报价为评审基准价，其价格分为满分30分，其他供应商的价格分统一按照以下公式计算：报价得分=（最低报价/该单位的响应报价）*30。</w:t>
            </w:r>
          </w:p>
          <w:p w14:paraId="5003DDA0">
            <w:pPr>
              <w:pBdr>
                <w:top w:val="none" w:color="000000" w:sz="0" w:space="0"/>
                <w:left w:val="none" w:color="000000" w:sz="0" w:space="0"/>
                <w:bottom w:val="none" w:color="000000" w:sz="0" w:space="0"/>
                <w:right w:val="none" w:color="000000" w:sz="0" w:space="0"/>
              </w:pBd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备注：</w:t>
            </w:r>
          </w:p>
          <w:p w14:paraId="14DC12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如</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产品为进口产品，</w:t>
            </w:r>
            <w:r>
              <w:rPr>
                <w:rFonts w:ascii="宋体" w:hAnsi="宋体" w:cs="宋体"/>
                <w:color w:val="auto"/>
                <w:szCs w:val="21"/>
                <w:highlight w:val="none"/>
              </w:rPr>
              <w:t>进口产品免税报价（CIP南京邮电大学）：包含货物、运输和保险至</w:t>
            </w:r>
            <w:r>
              <w:rPr>
                <w:rFonts w:hint="eastAsia" w:ascii="宋体" w:hAnsi="宋体" w:cs="宋体"/>
                <w:color w:val="auto"/>
                <w:szCs w:val="21"/>
                <w:highlight w:val="none"/>
                <w:lang w:val="en-US" w:eastAsia="zh-CN"/>
              </w:rPr>
              <w:t>南京机场</w:t>
            </w:r>
            <w:r>
              <w:rPr>
                <w:rFonts w:ascii="宋体" w:hAnsi="宋体" w:cs="宋体"/>
                <w:color w:val="auto"/>
                <w:szCs w:val="21"/>
                <w:highlight w:val="none"/>
              </w:rPr>
              <w:t>的人民币价格(不包括进口关税、增值税），同时价格需包含进口代理费等。如涉及惩罚性关税，应承诺由</w:t>
            </w:r>
            <w:r>
              <w:rPr>
                <w:rFonts w:hint="eastAsia" w:ascii="宋体" w:hAnsi="宋体" w:cs="宋体"/>
                <w:color w:val="auto"/>
                <w:szCs w:val="21"/>
                <w:highlight w:val="none"/>
                <w:lang w:val="en-US" w:eastAsia="zh-CN"/>
              </w:rPr>
              <w:t>供应商</w:t>
            </w:r>
            <w:r>
              <w:rPr>
                <w:rFonts w:ascii="宋体" w:hAnsi="宋体" w:cs="宋体"/>
                <w:color w:val="auto"/>
                <w:szCs w:val="21"/>
                <w:highlight w:val="none"/>
              </w:rPr>
              <w:t>自行承担。</w:t>
            </w:r>
          </w:p>
          <w:p w14:paraId="3F7DF951">
            <w:pPr>
              <w:keepNext w:val="0"/>
              <w:keepLines w:val="0"/>
              <w:pageBreakBefore w:val="0"/>
              <w:widowControl w:val="0"/>
              <w:numPr>
                <w:ilvl w:val="0"/>
                <w:numId w:val="5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以上报价方式为人民币包干总价报价，即采购人在按照合同规定的付款方式和金额支付完货款后，不承担任何其他或后续费用。（包括但不限于汇差风险）</w:t>
            </w:r>
          </w:p>
          <w:p w14:paraId="1A1BE49C">
            <w:pPr>
              <w:keepNext w:val="0"/>
              <w:keepLines w:val="0"/>
              <w:pageBreakBefore w:val="0"/>
              <w:widowControl w:val="0"/>
              <w:numPr>
                <w:ilvl w:val="0"/>
                <w:numId w:val="5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另对原产于美国的产品，进口时在正常科创免税之外，中国政府加征的特殊关税由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自行承担。</w:t>
            </w:r>
          </w:p>
          <w:p w14:paraId="405B674A">
            <w:pPr>
              <w:keepNext w:val="0"/>
              <w:keepLines w:val="0"/>
              <w:pageBreakBefore w:val="0"/>
              <w:widowControl w:val="0"/>
              <w:numPr>
                <w:ilvl w:val="0"/>
                <w:numId w:val="5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本项目选定的外贸代理公司为南京邮电大学入围范围内的代理公司，南京邮电大学协助办理入关、免税等相关证明材料手续。</w:t>
            </w:r>
          </w:p>
          <w:p w14:paraId="1DC62790">
            <w:pPr>
              <w:keepNext w:val="0"/>
              <w:keepLines w:val="0"/>
              <w:pageBreakBefore w:val="0"/>
              <w:widowControl w:val="0"/>
              <w:numPr>
                <w:ilvl w:val="0"/>
                <w:numId w:val="5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本项目外贸代理包干服务费率为：0.0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美元，外贸代理包干服务费= 货物总价（美元）* 0.0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2D665E3F">
            <w:pPr>
              <w:keepNext w:val="0"/>
              <w:keepLines w:val="0"/>
              <w:pageBreakBefore w:val="0"/>
              <w:widowControl w:val="0"/>
              <w:numPr>
                <w:ilvl w:val="0"/>
                <w:numId w:val="5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外贸代理包干服务费包含：银行费用、国内运费、报关费用、港杂费用、港口至采购人目的现场运保费、办理各项证书、代理报酬等一切费用。 </w:t>
            </w:r>
          </w:p>
          <w:p w14:paraId="11C6CD84">
            <w:pPr>
              <w:keepNext w:val="0"/>
              <w:keepLines w:val="0"/>
              <w:pageBreakBefore w:val="0"/>
              <w:widowControl w:val="0"/>
              <w:numPr>
                <w:ilvl w:val="0"/>
                <w:numId w:val="5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12" w:lineRule="auto"/>
              <w:ind w:left="0" w:leftChars="0" w:firstLine="420" w:firstLineChars="200"/>
              <w:textAlignment w:val="auto"/>
              <w:rPr>
                <w:rFonts w:hint="eastAsia" w:ascii="宋体" w:hAnsi="宋体"/>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所投产品如为进口产品，外贸代理费应包含在人民币总报价中，请在报价时综合考虑相关费用。</w:t>
            </w:r>
          </w:p>
        </w:tc>
      </w:tr>
      <w:tr w14:paraId="2E71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81" w:type="dxa"/>
            <w:gridSpan w:val="2"/>
            <w:vAlign w:val="center"/>
          </w:tcPr>
          <w:p w14:paraId="42A6EE3D">
            <w:pPr>
              <w:widowControl/>
              <w:adjustRightInd w:val="0"/>
              <w:snapToGrid w:val="0"/>
              <w:spacing w:line="312" w:lineRule="auto"/>
              <w:jc w:val="left"/>
              <w:rPr>
                <w:rFonts w:ascii="宋体" w:hAnsi="宋体"/>
                <w:b/>
                <w:bCs/>
                <w:szCs w:val="21"/>
                <w:highlight w:val="none"/>
              </w:rPr>
            </w:pPr>
            <w:r>
              <w:rPr>
                <w:rFonts w:hint="eastAsia" w:ascii="宋体" w:hAnsi="宋体"/>
                <w:b/>
                <w:bCs/>
                <w:szCs w:val="21"/>
                <w:highlight w:val="none"/>
              </w:rPr>
              <w:t>启动异常低价审查的情形和具体要求：</w:t>
            </w:r>
          </w:p>
          <w:p w14:paraId="282D9338">
            <w:pPr>
              <w:widowControl/>
              <w:adjustRightInd w:val="0"/>
              <w:snapToGrid w:val="0"/>
              <w:spacing w:line="312" w:lineRule="auto"/>
              <w:jc w:val="left"/>
              <w:rPr>
                <w:rFonts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31431747">
            <w:pPr>
              <w:widowControl/>
              <w:adjustRightInd w:val="0"/>
              <w:snapToGrid w:val="0"/>
              <w:spacing w:line="312" w:lineRule="auto"/>
              <w:jc w:val="left"/>
              <w:rPr>
                <w:rFonts w:ascii="宋体" w:hAnsi="宋体"/>
                <w:szCs w:val="21"/>
                <w:highlight w:val="none"/>
              </w:rPr>
            </w:pPr>
            <w:r>
              <w:rPr>
                <w:rFonts w:hint="eastAsia" w:ascii="宋体" w:hAnsi="宋体"/>
                <w:szCs w:val="21"/>
                <w:highlight w:val="none"/>
              </w:rPr>
              <w:t>1.响应报价低于采购项目预算50%的，即响应报价&lt;采购项目预算x50%；</w:t>
            </w:r>
          </w:p>
          <w:p w14:paraId="5E797307">
            <w:pPr>
              <w:widowControl/>
              <w:adjustRightInd w:val="0"/>
              <w:snapToGrid w:val="0"/>
              <w:spacing w:line="312" w:lineRule="auto"/>
              <w:jc w:val="left"/>
              <w:rPr>
                <w:rFonts w:ascii="宋体" w:hAnsi="宋体"/>
                <w:szCs w:val="21"/>
                <w:highlight w:val="none"/>
              </w:rPr>
            </w:pPr>
            <w:r>
              <w:rPr>
                <w:rFonts w:hint="eastAsia" w:ascii="宋体" w:hAnsi="宋体"/>
                <w:szCs w:val="21"/>
                <w:highlight w:val="none"/>
              </w:rPr>
              <w:t>2.响应报价低于采购项目最高限价45%的，即响应报价&lt;采购项目最高限价x45%；</w:t>
            </w:r>
          </w:p>
          <w:p w14:paraId="5B2D4FB2">
            <w:pPr>
              <w:widowControl/>
              <w:adjustRightInd w:val="0"/>
              <w:snapToGrid w:val="0"/>
              <w:spacing w:line="312" w:lineRule="auto"/>
              <w:jc w:val="left"/>
              <w:rPr>
                <w:rFonts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55292721">
            <w:pPr>
              <w:wordWrap w:val="0"/>
              <w:adjustRightInd w:val="0"/>
              <w:snapToGrid w:val="0"/>
              <w:spacing w:line="360" w:lineRule="auto"/>
              <w:jc w:val="left"/>
              <w:rPr>
                <w:rFonts w:ascii="宋体" w:hAnsi="宋体"/>
                <w:i/>
                <w:iCs/>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3239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1A091AC7">
            <w:pPr>
              <w:pBdr>
                <w:top w:val="none" w:color="000000" w:sz="0" w:space="0"/>
                <w:left w:val="none" w:color="000000" w:sz="0" w:space="0"/>
                <w:bottom w:val="none" w:color="000000" w:sz="0" w:space="0"/>
                <w:right w:val="none" w:color="000000" w:sz="0" w:space="0"/>
              </w:pBdr>
              <w:wordWrap w:val="0"/>
              <w:jc w:val="center"/>
              <w:rPr>
                <w:rFonts w:ascii="宋体" w:hAnsi="宋体" w:cs="宋体"/>
                <w:b/>
                <w:szCs w:val="21"/>
                <w:highlight w:val="none"/>
              </w:rPr>
            </w:pPr>
            <w:r>
              <w:rPr>
                <w:rFonts w:hint="eastAsia" w:ascii="宋体" w:hAnsi="宋体" w:cs="宋体"/>
                <w:b/>
                <w:szCs w:val="21"/>
                <w:highlight w:val="none"/>
              </w:rPr>
              <w:t>技术响应</w:t>
            </w:r>
          </w:p>
          <w:p w14:paraId="42D38B0E">
            <w:pPr>
              <w:pBdr>
                <w:top w:val="none" w:color="000000" w:sz="0" w:space="0"/>
                <w:left w:val="none" w:color="000000" w:sz="0" w:space="0"/>
                <w:bottom w:val="none" w:color="000000" w:sz="0" w:space="0"/>
                <w:right w:val="none" w:color="000000" w:sz="0" w:space="0"/>
              </w:pBdr>
              <w:wordWrap w:val="0"/>
              <w:jc w:val="center"/>
              <w:rPr>
                <w:rFonts w:ascii="宋体" w:hAnsi="宋体"/>
                <w:b/>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23</w:t>
            </w:r>
            <w:r>
              <w:rPr>
                <w:rFonts w:hint="eastAsia" w:ascii="宋体" w:hAnsi="宋体" w:cs="宋体"/>
                <w:b/>
                <w:szCs w:val="21"/>
                <w:highlight w:val="none"/>
              </w:rPr>
              <w:t>分）</w:t>
            </w:r>
          </w:p>
        </w:tc>
        <w:tc>
          <w:tcPr>
            <w:tcW w:w="5951" w:type="dxa"/>
            <w:vAlign w:val="center"/>
          </w:tcPr>
          <w:p w14:paraId="27E50F74">
            <w:pPr>
              <w:wordWrap w:val="0"/>
              <w:rPr>
                <w:rFonts w:ascii="宋体" w:hAnsi="宋体" w:cs="宋体"/>
                <w:szCs w:val="21"/>
                <w:highlight w:val="none"/>
              </w:rPr>
            </w:pPr>
            <w:r>
              <w:rPr>
                <w:rFonts w:hint="eastAsia" w:ascii="宋体" w:hAnsi="宋体" w:cs="宋体"/>
                <w:szCs w:val="21"/>
                <w:highlight w:val="none"/>
              </w:rPr>
              <w:t>根据对</w:t>
            </w:r>
            <w:r>
              <w:rPr>
                <w:rFonts w:hint="eastAsia" w:ascii="宋体" w:hAnsi="宋体" w:cs="宋体"/>
                <w:szCs w:val="21"/>
                <w:highlight w:val="none"/>
                <w:lang w:val="en-US" w:eastAsia="zh-CN"/>
              </w:rPr>
              <w:t>采购</w:t>
            </w:r>
            <w:r>
              <w:rPr>
                <w:rFonts w:hint="eastAsia" w:ascii="宋体" w:hAnsi="宋体" w:cs="宋体"/>
                <w:szCs w:val="21"/>
                <w:highlight w:val="none"/>
              </w:rPr>
              <w:t>文件第四章“三、技术要求”响应情况进行评分，全部满足得</w:t>
            </w:r>
            <w:r>
              <w:rPr>
                <w:rFonts w:hint="eastAsia" w:ascii="宋体" w:hAnsi="宋体" w:cs="宋体"/>
                <w:szCs w:val="21"/>
                <w:highlight w:val="none"/>
                <w:lang w:val="en-US" w:eastAsia="zh-CN"/>
              </w:rPr>
              <w:t>23</w:t>
            </w:r>
            <w:r>
              <w:rPr>
                <w:rFonts w:hint="eastAsia" w:ascii="宋体" w:hAnsi="宋体" w:cs="宋体"/>
                <w:szCs w:val="21"/>
                <w:highlight w:val="none"/>
              </w:rPr>
              <w:t>分，</w:t>
            </w:r>
            <w:r>
              <w:rPr>
                <w:rFonts w:hint="eastAsia" w:ascii="宋体" w:hAnsi="宋体" w:cs="宋体"/>
                <w:szCs w:val="21"/>
                <w:highlight w:val="none"/>
                <w:lang w:val="en-US" w:eastAsia="zh-CN"/>
              </w:rPr>
              <w:t>采购</w:t>
            </w:r>
            <w:r>
              <w:rPr>
                <w:rFonts w:hint="eastAsia" w:ascii="宋体" w:hAnsi="宋体" w:cs="宋体"/>
                <w:szCs w:val="21"/>
                <w:highlight w:val="none"/>
              </w:rPr>
              <w:t>文件中标注“★”为实质性指标，不满足为无效</w:t>
            </w:r>
            <w:r>
              <w:rPr>
                <w:rFonts w:hint="eastAsia" w:ascii="宋体" w:hAnsi="宋体" w:cs="宋体"/>
                <w:szCs w:val="21"/>
                <w:highlight w:val="none"/>
                <w:lang w:val="en-US" w:eastAsia="zh-CN"/>
              </w:rPr>
              <w:t>响应</w:t>
            </w:r>
            <w:r>
              <w:rPr>
                <w:rFonts w:hint="eastAsia" w:ascii="宋体" w:hAnsi="宋体" w:cs="宋体"/>
                <w:szCs w:val="21"/>
                <w:highlight w:val="none"/>
              </w:rPr>
              <w:t>。</w:t>
            </w:r>
          </w:p>
          <w:p w14:paraId="4FC4EA13">
            <w:pPr>
              <w:wordWrap w:val="0"/>
              <w:rPr>
                <w:rFonts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、标“▲”号技术指标（2项）为重要技术条款：完全满足，得</w:t>
            </w:r>
            <w:r>
              <w:rPr>
                <w:rFonts w:hint="eastAsia" w:ascii="宋体" w:hAnsi="宋体" w:cs="宋体"/>
                <w:szCs w:val="21"/>
                <w:highlight w:val="none"/>
                <w:lang w:val="en-US" w:eastAsia="zh-CN"/>
              </w:rPr>
              <w:t>12</w:t>
            </w:r>
            <w:r>
              <w:rPr>
                <w:rFonts w:hint="eastAsia" w:ascii="宋体" w:hAnsi="宋体" w:cs="宋体"/>
                <w:szCs w:val="21"/>
                <w:highlight w:val="none"/>
              </w:rPr>
              <w:t>分，每负偏离1条扣</w:t>
            </w:r>
            <w:r>
              <w:rPr>
                <w:rFonts w:hint="eastAsia" w:ascii="宋体" w:hAnsi="宋体" w:cs="宋体"/>
                <w:szCs w:val="21"/>
                <w:highlight w:val="none"/>
                <w:lang w:val="en-US" w:eastAsia="zh-CN"/>
              </w:rPr>
              <w:t>6</w:t>
            </w:r>
            <w:r>
              <w:rPr>
                <w:rFonts w:hint="eastAsia" w:ascii="宋体" w:hAnsi="宋体" w:cs="宋体"/>
                <w:szCs w:val="21"/>
                <w:highlight w:val="none"/>
              </w:rPr>
              <w:t>分。</w:t>
            </w:r>
          </w:p>
          <w:p w14:paraId="597F36BF">
            <w:pPr>
              <w:wordWrap w:val="0"/>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、其他未标记的指标项（1</w:t>
            </w:r>
            <w:r>
              <w:rPr>
                <w:rFonts w:hint="eastAsia" w:ascii="宋体" w:hAnsi="宋体" w:cs="宋体"/>
                <w:szCs w:val="21"/>
                <w:highlight w:val="none"/>
                <w:lang w:val="en-US" w:eastAsia="zh-CN"/>
              </w:rPr>
              <w:t>1</w:t>
            </w:r>
            <w:r>
              <w:rPr>
                <w:rFonts w:hint="eastAsia" w:ascii="宋体" w:hAnsi="宋体" w:cs="宋体"/>
                <w:szCs w:val="21"/>
                <w:highlight w:val="none"/>
              </w:rPr>
              <w:t>项）为一般技术条款：完全满足，得1</w:t>
            </w:r>
            <w:r>
              <w:rPr>
                <w:rFonts w:hint="eastAsia" w:ascii="宋体" w:hAnsi="宋体" w:cs="宋体"/>
                <w:szCs w:val="21"/>
                <w:highlight w:val="none"/>
                <w:lang w:val="en-US" w:eastAsia="zh-CN"/>
              </w:rPr>
              <w:t>1</w:t>
            </w:r>
            <w:r>
              <w:rPr>
                <w:rFonts w:hint="eastAsia" w:ascii="宋体" w:hAnsi="宋体" w:cs="宋体"/>
                <w:szCs w:val="21"/>
                <w:highlight w:val="none"/>
              </w:rPr>
              <w:t>分，每有一项负偏离扣1分。</w:t>
            </w:r>
          </w:p>
          <w:p w14:paraId="32F5C510">
            <w:pPr>
              <w:pStyle w:val="17"/>
              <w:pBdr>
                <w:top w:val="none" w:color="000000" w:sz="0" w:space="0"/>
                <w:left w:val="none" w:color="000000" w:sz="0" w:space="0"/>
                <w:right w:val="none" w:color="000000" w:sz="0" w:space="0"/>
              </w:pBdr>
              <w:wordWrap w:val="0"/>
              <w:rPr>
                <w:rFonts w:ascii="宋体" w:hAnsi="宋体" w:cs="宋体"/>
                <w:b/>
                <w:bCs/>
                <w:szCs w:val="21"/>
                <w:highlight w:val="none"/>
              </w:rPr>
            </w:pPr>
            <w:r>
              <w:rPr>
                <w:rFonts w:hint="eastAsia" w:ascii="宋体" w:hAnsi="宋体" w:cs="宋体"/>
                <w:b/>
                <w:bCs/>
                <w:szCs w:val="21"/>
                <w:highlight w:val="none"/>
              </w:rPr>
              <w:t>注：</w:t>
            </w:r>
          </w:p>
          <w:p w14:paraId="75C84F06">
            <w:pPr>
              <w:wordWrap w:val="0"/>
              <w:rPr>
                <w:rFonts w:ascii="宋体" w:hAnsi="宋体" w:cs="宋体"/>
                <w:b/>
                <w:bCs/>
                <w:szCs w:val="21"/>
                <w:highlight w:val="none"/>
              </w:rPr>
            </w:pPr>
            <w:r>
              <w:rPr>
                <w:rFonts w:hint="eastAsia" w:ascii="宋体" w:hAnsi="宋体" w:cs="宋体"/>
                <w:b/>
                <w:bCs/>
                <w:szCs w:val="21"/>
                <w:highlight w:val="none"/>
              </w:rPr>
              <w:t>（1）所有技术参数要求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p>
          <w:p w14:paraId="5967687A">
            <w:pPr>
              <w:wordWrap w:val="0"/>
              <w:rPr>
                <w:rFonts w:ascii="宋体" w:hAnsi="宋体"/>
                <w:szCs w:val="21"/>
                <w:highlight w:val="none"/>
              </w:rPr>
            </w:pPr>
            <w:r>
              <w:rPr>
                <w:rFonts w:hint="eastAsia" w:ascii="宋体" w:hAnsi="宋体" w:cs="宋体"/>
                <w:b/>
                <w:bCs/>
                <w:szCs w:val="21"/>
                <w:highlight w:val="none"/>
              </w:rPr>
              <w:t>所有证明材料应在技术规格偏离表中注明证明材料页码。</w:t>
            </w:r>
          </w:p>
        </w:tc>
      </w:tr>
      <w:tr w14:paraId="067B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78550A4C">
            <w:pPr>
              <w:adjustRightInd w:val="0"/>
              <w:snapToGrid w:val="0"/>
              <w:jc w:val="center"/>
              <w:rPr>
                <w:rFonts w:cs="宋体"/>
                <w:b/>
                <w:bCs/>
                <w:color w:val="auto"/>
                <w:highlight w:val="none"/>
              </w:rPr>
            </w:pPr>
            <w:r>
              <w:rPr>
                <w:rFonts w:hint="eastAsia" w:cs="宋体"/>
                <w:b/>
                <w:bCs/>
                <w:color w:val="auto"/>
                <w:highlight w:val="none"/>
              </w:rPr>
              <w:t>质量保证措施</w:t>
            </w:r>
          </w:p>
          <w:p w14:paraId="5EBB1D73">
            <w:pPr>
              <w:adjustRightInd w:val="0"/>
              <w:snapToGrid w:val="0"/>
              <w:jc w:val="center"/>
              <w:rPr>
                <w:rFonts w:ascii="宋体" w:hAnsi="宋体" w:cs="宋体"/>
                <w:b/>
                <w:color w:val="auto"/>
                <w:szCs w:val="21"/>
                <w:highlight w:val="none"/>
              </w:rPr>
            </w:pPr>
            <w:r>
              <w:rPr>
                <w:rFonts w:hint="eastAsia" w:cs="宋体"/>
                <w:b/>
                <w:bCs/>
                <w:color w:val="auto"/>
                <w:highlight w:val="none"/>
              </w:rPr>
              <w:t>（</w:t>
            </w:r>
            <w:r>
              <w:rPr>
                <w:rFonts w:hint="eastAsia" w:cs="宋体"/>
                <w:b/>
                <w:bCs/>
                <w:color w:val="auto"/>
                <w:highlight w:val="none"/>
                <w:lang w:val="en-US" w:eastAsia="zh-CN"/>
              </w:rPr>
              <w:t>8</w:t>
            </w:r>
            <w:r>
              <w:rPr>
                <w:rFonts w:hint="eastAsia" w:cs="宋体"/>
                <w:b/>
                <w:bCs/>
                <w:color w:val="auto"/>
                <w:highlight w:val="none"/>
              </w:rPr>
              <w:t>分）</w:t>
            </w:r>
          </w:p>
        </w:tc>
        <w:tc>
          <w:tcPr>
            <w:tcW w:w="5951" w:type="dxa"/>
            <w:vAlign w:val="center"/>
          </w:tcPr>
          <w:p w14:paraId="04FEFF92">
            <w:pPr>
              <w:jc w:val="left"/>
              <w:rPr>
                <w:rFonts w:cs="宋体"/>
                <w:color w:val="auto"/>
                <w:highlight w:val="none"/>
              </w:rPr>
            </w:pPr>
            <w:r>
              <w:rPr>
                <w:rFonts w:hint="eastAsia" w:cs="宋体"/>
                <w:color w:val="auto"/>
                <w:highlight w:val="none"/>
              </w:rPr>
              <w:t>根据供应商提供的质量保证措施内容（包括但不限于</w:t>
            </w:r>
            <w:r>
              <w:rPr>
                <w:rFonts w:cs="Calibri"/>
                <w:color w:val="auto"/>
                <w:highlight w:val="none"/>
              </w:rPr>
              <w:t>①</w:t>
            </w:r>
            <w:r>
              <w:rPr>
                <w:rFonts w:hint="eastAsia" w:cs="宋体"/>
                <w:color w:val="auto"/>
                <w:highlight w:val="none"/>
              </w:rPr>
              <w:t>产品的质量、因产品质量问题的责任承担及赔偿方案；</w:t>
            </w:r>
            <w:r>
              <w:rPr>
                <w:rFonts w:cs="Calibri"/>
                <w:color w:val="auto"/>
                <w:highlight w:val="none"/>
              </w:rPr>
              <w:t>②</w:t>
            </w:r>
            <w:r>
              <w:rPr>
                <w:rFonts w:hint="eastAsia" w:cs="宋体"/>
                <w:color w:val="auto"/>
                <w:highlight w:val="none"/>
              </w:rPr>
              <w:t>产品的三包、交货服务等）进行综合评分：</w:t>
            </w:r>
          </w:p>
          <w:p w14:paraId="44140BF5">
            <w:pPr>
              <w:numPr>
                <w:ilvl w:val="0"/>
                <w:numId w:val="0"/>
              </w:numPr>
              <w:ind w:leftChars="0"/>
              <w:jc w:val="left"/>
              <w:rPr>
                <w:rFonts w:cs="宋体"/>
                <w:color w:val="auto"/>
                <w:highlight w:val="none"/>
              </w:rPr>
            </w:pPr>
            <w:r>
              <w:rPr>
                <w:rFonts w:hint="eastAsia" w:cs="宋体"/>
                <w:color w:val="auto"/>
                <w:highlight w:val="none"/>
                <w:lang w:val="en-US" w:eastAsia="zh-CN"/>
              </w:rPr>
              <w:t>1、</w:t>
            </w:r>
            <w:r>
              <w:rPr>
                <w:rFonts w:hint="eastAsia" w:cs="宋体"/>
                <w:color w:val="auto"/>
                <w:highlight w:val="none"/>
              </w:rPr>
              <w:t>质量保证措施详细全面，完全</w:t>
            </w:r>
            <w:r>
              <w:rPr>
                <w:rFonts w:hint="eastAsia" w:cs="宋体"/>
                <w:color w:val="auto"/>
                <w:highlight w:val="none"/>
                <w:lang w:val="zh-CN"/>
              </w:rPr>
              <w:t>满足采购需求</w:t>
            </w:r>
            <w:r>
              <w:rPr>
                <w:rFonts w:hint="eastAsia" w:cs="宋体"/>
                <w:color w:val="auto"/>
                <w:highlight w:val="none"/>
              </w:rPr>
              <w:t>，得</w:t>
            </w:r>
            <w:r>
              <w:rPr>
                <w:rFonts w:hint="eastAsia" w:cs="宋体"/>
                <w:color w:val="auto"/>
                <w:highlight w:val="none"/>
                <w:lang w:val="en-US" w:eastAsia="zh-CN"/>
              </w:rPr>
              <w:t>8</w:t>
            </w:r>
            <w:r>
              <w:rPr>
                <w:rFonts w:hint="eastAsia" w:cs="宋体"/>
                <w:color w:val="auto"/>
                <w:highlight w:val="none"/>
              </w:rPr>
              <w:t>分；</w:t>
            </w:r>
          </w:p>
          <w:p w14:paraId="1D0BA01E">
            <w:pPr>
              <w:numPr>
                <w:ilvl w:val="0"/>
                <w:numId w:val="0"/>
              </w:numPr>
              <w:ind w:leftChars="0"/>
              <w:jc w:val="left"/>
              <w:rPr>
                <w:rFonts w:cs="宋体"/>
                <w:color w:val="auto"/>
                <w:highlight w:val="none"/>
              </w:rPr>
            </w:pPr>
            <w:r>
              <w:rPr>
                <w:rFonts w:hint="eastAsia" w:cs="宋体"/>
                <w:color w:val="auto"/>
                <w:highlight w:val="none"/>
                <w:lang w:val="en-US" w:eastAsia="zh-CN"/>
              </w:rPr>
              <w:t>2、</w:t>
            </w:r>
            <w:r>
              <w:rPr>
                <w:rFonts w:hint="eastAsia" w:cs="宋体"/>
                <w:color w:val="auto"/>
                <w:highlight w:val="none"/>
              </w:rPr>
              <w:t>质量保证措施较详细全面，</w:t>
            </w:r>
            <w:r>
              <w:rPr>
                <w:rFonts w:hint="eastAsia" w:cs="宋体"/>
                <w:color w:val="auto"/>
                <w:highlight w:val="none"/>
                <w:lang w:val="zh-CN"/>
              </w:rPr>
              <w:t>基本满足采购需求，</w:t>
            </w:r>
            <w:r>
              <w:rPr>
                <w:rFonts w:hint="eastAsia" w:cs="宋体"/>
                <w:color w:val="auto"/>
                <w:highlight w:val="none"/>
              </w:rPr>
              <w:t>得</w:t>
            </w:r>
            <w:r>
              <w:rPr>
                <w:rFonts w:hint="eastAsia" w:cs="宋体"/>
                <w:color w:val="auto"/>
                <w:highlight w:val="none"/>
                <w:lang w:val="en-US" w:eastAsia="zh-CN"/>
              </w:rPr>
              <w:t>4</w:t>
            </w:r>
            <w:r>
              <w:rPr>
                <w:rFonts w:hint="eastAsia" w:cs="宋体"/>
                <w:color w:val="auto"/>
                <w:highlight w:val="none"/>
              </w:rPr>
              <w:t>分；</w:t>
            </w:r>
          </w:p>
          <w:p w14:paraId="7C1A5C55">
            <w:pPr>
              <w:numPr>
                <w:ilvl w:val="0"/>
                <w:numId w:val="0"/>
              </w:numPr>
              <w:ind w:leftChars="0"/>
              <w:jc w:val="left"/>
              <w:rPr>
                <w:rFonts w:cs="宋体"/>
                <w:color w:val="auto"/>
                <w:highlight w:val="none"/>
              </w:rPr>
            </w:pPr>
            <w:r>
              <w:rPr>
                <w:rFonts w:hint="eastAsia" w:cs="宋体"/>
                <w:color w:val="auto"/>
                <w:highlight w:val="none"/>
                <w:lang w:val="en-US" w:eastAsia="zh-CN"/>
              </w:rPr>
              <w:t>3、</w:t>
            </w:r>
            <w:r>
              <w:rPr>
                <w:rFonts w:hint="eastAsia" w:cs="宋体"/>
                <w:color w:val="auto"/>
                <w:highlight w:val="none"/>
              </w:rPr>
              <w:t>质量保证措施不全面，部分</w:t>
            </w:r>
            <w:r>
              <w:rPr>
                <w:rFonts w:hint="eastAsia" w:cs="宋体"/>
                <w:color w:val="auto"/>
                <w:highlight w:val="none"/>
                <w:lang w:val="zh-CN"/>
              </w:rPr>
              <w:t>满足采购需求</w:t>
            </w:r>
            <w:r>
              <w:rPr>
                <w:rFonts w:hint="eastAsia" w:cs="宋体"/>
                <w:color w:val="auto"/>
                <w:highlight w:val="none"/>
              </w:rPr>
              <w:t>，得1分；</w:t>
            </w:r>
          </w:p>
          <w:p w14:paraId="5036D8FC">
            <w:pPr>
              <w:numPr>
                <w:ilvl w:val="0"/>
                <w:numId w:val="0"/>
              </w:numPr>
              <w:ind w:leftChars="0"/>
              <w:jc w:val="left"/>
              <w:rPr>
                <w:rFonts w:cs="宋体"/>
                <w:color w:val="auto"/>
                <w:highlight w:val="none"/>
              </w:rPr>
            </w:pPr>
            <w:r>
              <w:rPr>
                <w:rFonts w:hint="eastAsia" w:cs="宋体"/>
                <w:color w:val="auto"/>
                <w:highlight w:val="none"/>
                <w:lang w:val="en-US" w:eastAsia="zh-CN"/>
              </w:rPr>
              <w:t>4、</w:t>
            </w:r>
            <w:r>
              <w:rPr>
                <w:rFonts w:hint="eastAsia" w:cs="宋体"/>
                <w:color w:val="auto"/>
                <w:highlight w:val="none"/>
              </w:rPr>
              <w:t>保证措施内容未包含上述两点内容或者</w:t>
            </w:r>
            <w:r>
              <w:rPr>
                <w:rFonts w:cs="宋体"/>
                <w:color w:val="auto"/>
                <w:highlight w:val="none"/>
              </w:rPr>
              <w:t>不能满足本项目要求的不得分</w:t>
            </w:r>
            <w:r>
              <w:rPr>
                <w:rFonts w:hint="eastAsia" w:cs="宋体"/>
                <w:color w:val="auto"/>
                <w:highlight w:val="none"/>
              </w:rPr>
              <w:t>。</w:t>
            </w:r>
          </w:p>
        </w:tc>
      </w:tr>
      <w:tr w14:paraId="2E5A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5405552F">
            <w:pPr>
              <w:pStyle w:val="284"/>
              <w:widowControl w:val="0"/>
              <w:adjustRightInd w:val="0"/>
              <w:snapToGrid w:val="0"/>
              <w:jc w:val="center"/>
              <w:textAlignment w:val="baseline"/>
              <w:rPr>
                <w:rFonts w:cs="宋体"/>
                <w:b/>
                <w:bCs/>
                <w:color w:val="auto"/>
                <w:szCs w:val="24"/>
                <w:highlight w:val="none"/>
              </w:rPr>
            </w:pPr>
            <w:r>
              <w:rPr>
                <w:rFonts w:hint="eastAsia" w:cs="宋体"/>
                <w:b/>
                <w:bCs/>
                <w:color w:val="auto"/>
                <w:szCs w:val="24"/>
                <w:highlight w:val="none"/>
              </w:rPr>
              <w:t>项目实施方案</w:t>
            </w:r>
          </w:p>
          <w:p w14:paraId="4778BF76">
            <w:pPr>
              <w:pStyle w:val="284"/>
              <w:widowControl w:val="0"/>
              <w:adjustRightInd w:val="0"/>
              <w:snapToGrid w:val="0"/>
              <w:jc w:val="center"/>
              <w:textAlignment w:val="baseline"/>
              <w:rPr>
                <w:rFonts w:ascii="宋体" w:hAnsi="宋体" w:cs="宋体"/>
                <w:b/>
                <w:color w:val="auto"/>
                <w:szCs w:val="21"/>
                <w:highlight w:val="none"/>
              </w:rPr>
            </w:pPr>
            <w:r>
              <w:rPr>
                <w:rFonts w:hint="eastAsia" w:cs="宋体"/>
                <w:b/>
                <w:bCs/>
                <w:color w:val="auto"/>
                <w:szCs w:val="24"/>
                <w:highlight w:val="none"/>
                <w:lang w:bidi="ar"/>
              </w:rPr>
              <w:t>(</w:t>
            </w:r>
            <w:r>
              <w:rPr>
                <w:rFonts w:hint="eastAsia" w:cs="宋体"/>
                <w:b/>
                <w:bCs/>
                <w:color w:val="auto"/>
                <w:szCs w:val="24"/>
                <w:highlight w:val="none"/>
                <w:lang w:val="en-US" w:eastAsia="zh-CN" w:bidi="ar"/>
              </w:rPr>
              <w:t>10</w:t>
            </w:r>
            <w:r>
              <w:rPr>
                <w:rFonts w:hint="eastAsia" w:cs="宋体"/>
                <w:b/>
                <w:bCs/>
                <w:color w:val="auto"/>
                <w:szCs w:val="24"/>
                <w:highlight w:val="none"/>
                <w:lang w:bidi="ar"/>
              </w:rPr>
              <w:t>分)</w:t>
            </w:r>
          </w:p>
        </w:tc>
        <w:tc>
          <w:tcPr>
            <w:tcW w:w="5951" w:type="dxa"/>
            <w:vAlign w:val="center"/>
          </w:tcPr>
          <w:p w14:paraId="2CBD614D">
            <w:pPr>
              <w:jc w:val="left"/>
              <w:rPr>
                <w:rFonts w:cs="宋体"/>
                <w:color w:val="auto"/>
                <w:highlight w:val="none"/>
              </w:rPr>
            </w:pPr>
            <w:r>
              <w:rPr>
                <w:rFonts w:hint="eastAsia" w:cs="宋体"/>
                <w:color w:val="auto"/>
                <w:szCs w:val="21"/>
                <w:highlight w:val="none"/>
              </w:rPr>
              <w:t>根据供应商</w:t>
            </w:r>
            <w:r>
              <w:rPr>
                <w:rFonts w:hint="eastAsia" w:cs="宋体"/>
                <w:color w:val="auto"/>
                <w:highlight w:val="none"/>
              </w:rPr>
              <w:t>提供的项目实施方案内容（包括但不限于</w:t>
            </w:r>
            <w:r>
              <w:rPr>
                <w:rFonts w:cs="Calibri"/>
                <w:color w:val="auto"/>
                <w:highlight w:val="none"/>
              </w:rPr>
              <w:t>①</w:t>
            </w:r>
            <w:r>
              <w:rPr>
                <w:rFonts w:hint="eastAsia" w:cs="宋体"/>
                <w:color w:val="auto"/>
                <w:highlight w:val="none"/>
              </w:rPr>
              <w:t>供货方案；</w:t>
            </w:r>
            <w:r>
              <w:rPr>
                <w:rFonts w:cs="Calibri"/>
                <w:color w:val="auto"/>
                <w:highlight w:val="none"/>
              </w:rPr>
              <w:t>②</w:t>
            </w:r>
            <w:r>
              <w:rPr>
                <w:rFonts w:hint="eastAsia" w:cs="宋体"/>
                <w:color w:val="auto"/>
                <w:highlight w:val="none"/>
              </w:rPr>
              <w:t>进度安排、配送流程等）进行综合评分：</w:t>
            </w:r>
          </w:p>
          <w:p w14:paraId="530A3EFC">
            <w:pPr>
              <w:numPr>
                <w:ilvl w:val="0"/>
                <w:numId w:val="0"/>
              </w:numPr>
              <w:ind w:leftChars="0"/>
              <w:jc w:val="left"/>
              <w:rPr>
                <w:rFonts w:cs="宋体"/>
                <w:color w:val="auto"/>
                <w:highlight w:val="none"/>
              </w:rPr>
            </w:pPr>
            <w:r>
              <w:rPr>
                <w:rFonts w:hint="eastAsia" w:cs="宋体"/>
                <w:color w:val="auto"/>
                <w:highlight w:val="none"/>
                <w:lang w:val="en-US" w:eastAsia="zh-CN"/>
              </w:rPr>
              <w:t>1、</w:t>
            </w:r>
            <w:r>
              <w:rPr>
                <w:rFonts w:hint="eastAsia" w:cs="宋体"/>
                <w:color w:val="auto"/>
                <w:highlight w:val="none"/>
              </w:rPr>
              <w:t>方案详细全面，完全</w:t>
            </w:r>
            <w:r>
              <w:rPr>
                <w:rFonts w:hint="eastAsia" w:cs="宋体"/>
                <w:color w:val="auto"/>
                <w:highlight w:val="none"/>
                <w:lang w:val="zh-CN"/>
              </w:rPr>
              <w:t>满足采购需求</w:t>
            </w:r>
            <w:r>
              <w:rPr>
                <w:rFonts w:hint="eastAsia" w:cs="宋体"/>
                <w:color w:val="auto"/>
                <w:highlight w:val="none"/>
              </w:rPr>
              <w:t>，得10分；</w:t>
            </w:r>
          </w:p>
          <w:p w14:paraId="40A4E958">
            <w:pPr>
              <w:numPr>
                <w:ilvl w:val="0"/>
                <w:numId w:val="0"/>
              </w:numPr>
              <w:ind w:leftChars="0"/>
              <w:jc w:val="left"/>
              <w:rPr>
                <w:rFonts w:cs="宋体"/>
                <w:color w:val="auto"/>
                <w:highlight w:val="none"/>
              </w:rPr>
            </w:pPr>
            <w:r>
              <w:rPr>
                <w:rFonts w:hint="eastAsia" w:cs="宋体"/>
                <w:color w:val="auto"/>
                <w:highlight w:val="none"/>
                <w:lang w:val="en-US" w:eastAsia="zh-CN"/>
              </w:rPr>
              <w:t>2、</w:t>
            </w:r>
            <w:r>
              <w:rPr>
                <w:rFonts w:hint="eastAsia" w:cs="宋体"/>
                <w:color w:val="auto"/>
                <w:highlight w:val="none"/>
              </w:rPr>
              <w:t>方案较详细全面，</w:t>
            </w:r>
            <w:r>
              <w:rPr>
                <w:rFonts w:hint="eastAsia" w:cs="宋体"/>
                <w:color w:val="auto"/>
                <w:highlight w:val="none"/>
                <w:lang w:val="zh-CN"/>
              </w:rPr>
              <w:t>基本满足采购需求</w:t>
            </w:r>
            <w:r>
              <w:rPr>
                <w:rFonts w:hint="eastAsia" w:cs="宋体"/>
                <w:color w:val="auto"/>
                <w:highlight w:val="none"/>
              </w:rPr>
              <w:t>，得6分；</w:t>
            </w:r>
          </w:p>
          <w:p w14:paraId="33A75EAB">
            <w:pPr>
              <w:pStyle w:val="17"/>
              <w:numPr>
                <w:ilvl w:val="0"/>
                <w:numId w:val="0"/>
              </w:numPr>
              <w:ind w:leftChars="0"/>
              <w:rPr>
                <w:rFonts w:cs="宋体"/>
                <w:color w:val="auto"/>
                <w:szCs w:val="21"/>
                <w:highlight w:val="none"/>
              </w:rPr>
            </w:pPr>
            <w:r>
              <w:rPr>
                <w:rFonts w:hint="eastAsia" w:cs="宋体"/>
                <w:color w:val="auto"/>
                <w:szCs w:val="21"/>
                <w:highlight w:val="none"/>
                <w:lang w:val="en-US" w:eastAsia="zh-CN"/>
              </w:rPr>
              <w:t>3、</w:t>
            </w:r>
            <w:r>
              <w:rPr>
                <w:rFonts w:hint="eastAsia" w:cs="宋体"/>
                <w:color w:val="auto"/>
                <w:szCs w:val="21"/>
                <w:highlight w:val="none"/>
              </w:rPr>
              <w:t>方案不太全面，部分满足采购需求，得2分。</w:t>
            </w:r>
          </w:p>
          <w:p w14:paraId="2116F154">
            <w:pPr>
              <w:pStyle w:val="17"/>
              <w:numPr>
                <w:ilvl w:val="0"/>
                <w:numId w:val="0"/>
              </w:numPr>
              <w:ind w:leftChars="0"/>
              <w:rPr>
                <w:rFonts w:cs="宋体"/>
                <w:color w:val="auto"/>
                <w:szCs w:val="21"/>
                <w:highlight w:val="none"/>
              </w:rPr>
            </w:pPr>
            <w:r>
              <w:rPr>
                <w:rFonts w:hint="eastAsia" w:cs="宋体"/>
                <w:color w:val="auto"/>
                <w:highlight w:val="none"/>
                <w:lang w:val="en-US" w:eastAsia="zh-CN"/>
              </w:rPr>
              <w:t>4、</w:t>
            </w:r>
            <w:r>
              <w:rPr>
                <w:rFonts w:hint="eastAsia" w:cs="宋体"/>
                <w:color w:val="auto"/>
                <w:highlight w:val="none"/>
              </w:rPr>
              <w:t>实施方案内容未包含上述两点内容或者</w:t>
            </w:r>
            <w:r>
              <w:rPr>
                <w:rFonts w:cs="宋体"/>
                <w:color w:val="auto"/>
                <w:highlight w:val="none"/>
              </w:rPr>
              <w:t>不能满足本项目要求的不得分</w:t>
            </w:r>
            <w:r>
              <w:rPr>
                <w:rFonts w:hint="eastAsia" w:cs="宋体"/>
                <w:color w:val="auto"/>
                <w:highlight w:val="none"/>
              </w:rPr>
              <w:t>。</w:t>
            </w:r>
          </w:p>
        </w:tc>
      </w:tr>
      <w:tr w14:paraId="0F91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16DEED32">
            <w:pPr>
              <w:pStyle w:val="284"/>
              <w:widowControl w:val="0"/>
              <w:adjustRightInd w:val="0"/>
              <w:snapToGrid w:val="0"/>
              <w:jc w:val="center"/>
              <w:textAlignment w:val="baseline"/>
              <w:rPr>
                <w:rFonts w:cs="宋体"/>
                <w:b/>
                <w:bCs/>
                <w:color w:val="auto"/>
                <w:szCs w:val="24"/>
                <w:highlight w:val="none"/>
              </w:rPr>
            </w:pPr>
            <w:r>
              <w:rPr>
                <w:rFonts w:hint="eastAsia" w:cs="宋体"/>
                <w:b/>
                <w:bCs/>
                <w:color w:val="auto"/>
                <w:szCs w:val="24"/>
                <w:highlight w:val="none"/>
              </w:rPr>
              <w:t>售后服务方案</w:t>
            </w:r>
          </w:p>
          <w:p w14:paraId="22A318D2">
            <w:pPr>
              <w:pStyle w:val="284"/>
              <w:widowControl w:val="0"/>
              <w:adjustRightInd w:val="0"/>
              <w:snapToGrid w:val="0"/>
              <w:jc w:val="center"/>
              <w:textAlignment w:val="baseline"/>
              <w:rPr>
                <w:rFonts w:ascii="宋体" w:hAnsi="宋体" w:cs="宋体"/>
                <w:b/>
                <w:color w:val="auto"/>
                <w:szCs w:val="21"/>
                <w:highlight w:val="none"/>
              </w:rPr>
            </w:pPr>
            <w:r>
              <w:rPr>
                <w:rFonts w:hint="eastAsia" w:cs="宋体"/>
                <w:b/>
                <w:bCs/>
                <w:color w:val="auto"/>
                <w:szCs w:val="24"/>
                <w:highlight w:val="none"/>
                <w:lang w:bidi="ar"/>
              </w:rPr>
              <w:t>(</w:t>
            </w:r>
            <w:r>
              <w:rPr>
                <w:rFonts w:hint="eastAsia" w:cs="宋体"/>
                <w:b/>
                <w:bCs/>
                <w:color w:val="auto"/>
                <w:szCs w:val="24"/>
                <w:highlight w:val="none"/>
                <w:lang w:val="en-US" w:eastAsia="zh-CN" w:bidi="ar"/>
              </w:rPr>
              <w:t>10</w:t>
            </w:r>
            <w:r>
              <w:rPr>
                <w:rFonts w:hint="eastAsia" w:cs="宋体"/>
                <w:b/>
                <w:bCs/>
                <w:color w:val="auto"/>
                <w:szCs w:val="24"/>
                <w:highlight w:val="none"/>
                <w:lang w:bidi="ar"/>
              </w:rPr>
              <w:t>分)</w:t>
            </w:r>
          </w:p>
        </w:tc>
        <w:tc>
          <w:tcPr>
            <w:tcW w:w="5951" w:type="dxa"/>
            <w:vAlign w:val="center"/>
          </w:tcPr>
          <w:p w14:paraId="24FFA085">
            <w:pPr>
              <w:jc w:val="left"/>
              <w:rPr>
                <w:rFonts w:cs="宋体"/>
                <w:color w:val="auto"/>
                <w:highlight w:val="none"/>
              </w:rPr>
            </w:pPr>
            <w:r>
              <w:rPr>
                <w:rFonts w:hint="eastAsia" w:cs="宋体"/>
                <w:color w:val="auto"/>
                <w:highlight w:val="none"/>
              </w:rPr>
              <w:t>根据供应商提供的售后服务方案内容（包括但不限于</w:t>
            </w:r>
            <w:r>
              <w:rPr>
                <w:rFonts w:cs="Calibri"/>
                <w:color w:val="auto"/>
                <w:highlight w:val="none"/>
              </w:rPr>
              <w:t>①</w:t>
            </w:r>
            <w:r>
              <w:rPr>
                <w:rFonts w:hint="eastAsia" w:cs="宋体"/>
                <w:color w:val="auto"/>
                <w:highlight w:val="none"/>
              </w:rPr>
              <w:t>质保期间的承诺；</w:t>
            </w:r>
            <w:r>
              <w:rPr>
                <w:rFonts w:cs="Calibri"/>
                <w:color w:val="auto"/>
                <w:highlight w:val="none"/>
              </w:rPr>
              <w:t>②</w:t>
            </w:r>
            <w:r>
              <w:rPr>
                <w:rFonts w:hint="eastAsia" w:cs="宋体"/>
                <w:color w:val="auto"/>
                <w:highlight w:val="none"/>
              </w:rPr>
              <w:t>质保期满后的承诺）进行综合评审：</w:t>
            </w:r>
          </w:p>
          <w:p w14:paraId="5D27F37D">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cs="宋体"/>
                <w:color w:val="auto"/>
                <w:highlight w:val="none"/>
              </w:rPr>
            </w:pPr>
            <w:r>
              <w:rPr>
                <w:rFonts w:hint="eastAsia" w:cs="宋体"/>
                <w:color w:val="auto"/>
                <w:highlight w:val="none"/>
                <w:lang w:val="en-US" w:eastAsia="zh-CN"/>
              </w:rPr>
              <w:t>1、</w:t>
            </w:r>
            <w:r>
              <w:rPr>
                <w:rFonts w:hint="eastAsia" w:cs="宋体"/>
                <w:color w:val="auto"/>
                <w:highlight w:val="none"/>
              </w:rPr>
              <w:t>售后服务方案详细完善，完全</w:t>
            </w:r>
            <w:r>
              <w:rPr>
                <w:rFonts w:hint="eastAsia" w:cs="宋体"/>
                <w:color w:val="auto"/>
                <w:highlight w:val="none"/>
                <w:lang w:val="zh-CN"/>
              </w:rPr>
              <w:t>满足采购需求</w:t>
            </w:r>
            <w:r>
              <w:rPr>
                <w:rFonts w:hint="eastAsia" w:cs="宋体"/>
                <w:color w:val="auto"/>
                <w:highlight w:val="none"/>
              </w:rPr>
              <w:t>，得</w:t>
            </w:r>
            <w:r>
              <w:rPr>
                <w:rFonts w:hint="eastAsia" w:cs="宋体"/>
                <w:color w:val="auto"/>
                <w:highlight w:val="none"/>
                <w:lang w:val="en-US" w:eastAsia="zh-CN"/>
              </w:rPr>
              <w:t>10</w:t>
            </w:r>
            <w:r>
              <w:rPr>
                <w:rFonts w:hint="eastAsia" w:cs="宋体"/>
                <w:color w:val="auto"/>
                <w:highlight w:val="none"/>
              </w:rPr>
              <w:t>分；</w:t>
            </w:r>
          </w:p>
          <w:p w14:paraId="208716D5">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color w:val="auto"/>
                <w:highlight w:val="none"/>
              </w:rPr>
            </w:pPr>
            <w:r>
              <w:rPr>
                <w:rFonts w:hint="eastAsia" w:cs="宋体"/>
                <w:color w:val="auto"/>
                <w:highlight w:val="none"/>
                <w:lang w:val="en-US" w:eastAsia="zh-CN"/>
              </w:rPr>
              <w:t>2、</w:t>
            </w:r>
            <w:r>
              <w:rPr>
                <w:rFonts w:hint="eastAsia" w:cs="宋体"/>
                <w:color w:val="auto"/>
                <w:highlight w:val="none"/>
              </w:rPr>
              <w:t>售后服务方案较详细完善，</w:t>
            </w:r>
            <w:r>
              <w:rPr>
                <w:rFonts w:hint="eastAsia" w:cs="宋体"/>
                <w:color w:val="auto"/>
                <w:highlight w:val="none"/>
                <w:lang w:val="zh-CN"/>
              </w:rPr>
              <w:t>基本满足采购需求</w:t>
            </w:r>
            <w:r>
              <w:rPr>
                <w:rFonts w:hint="eastAsia" w:cs="宋体"/>
                <w:color w:val="auto"/>
                <w:highlight w:val="none"/>
              </w:rPr>
              <w:t>，得</w:t>
            </w:r>
            <w:r>
              <w:rPr>
                <w:rFonts w:hint="eastAsia" w:cs="宋体"/>
                <w:color w:val="auto"/>
                <w:highlight w:val="none"/>
                <w:lang w:val="en-US" w:eastAsia="zh-CN"/>
              </w:rPr>
              <w:t>6</w:t>
            </w:r>
            <w:r>
              <w:rPr>
                <w:rFonts w:hint="eastAsia" w:cs="宋体"/>
                <w:color w:val="auto"/>
                <w:highlight w:val="none"/>
              </w:rPr>
              <w:t>分；</w:t>
            </w:r>
          </w:p>
          <w:p w14:paraId="0B6ED10F">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ascii="宋体" w:hAnsi="宋体" w:cs="宋体"/>
                <w:b/>
                <w:bCs/>
                <w:color w:val="auto"/>
                <w:szCs w:val="21"/>
                <w:highlight w:val="none"/>
              </w:rPr>
            </w:pPr>
            <w:r>
              <w:rPr>
                <w:rFonts w:hint="eastAsia" w:cs="宋体"/>
                <w:color w:val="auto"/>
                <w:highlight w:val="none"/>
                <w:lang w:val="en-US" w:eastAsia="zh-CN"/>
              </w:rPr>
              <w:t>3、</w:t>
            </w:r>
            <w:r>
              <w:rPr>
                <w:rFonts w:hint="eastAsia" w:cs="宋体"/>
                <w:color w:val="auto"/>
                <w:highlight w:val="none"/>
              </w:rPr>
              <w:t>售后服务方案不够详细完善，部分</w:t>
            </w:r>
            <w:r>
              <w:rPr>
                <w:rFonts w:hint="eastAsia" w:cs="宋体"/>
                <w:color w:val="auto"/>
                <w:highlight w:val="none"/>
                <w:lang w:val="zh-CN"/>
              </w:rPr>
              <w:t>满足采购需求</w:t>
            </w:r>
            <w:r>
              <w:rPr>
                <w:rFonts w:hint="eastAsia" w:cs="宋体"/>
                <w:color w:val="auto"/>
                <w:highlight w:val="none"/>
              </w:rPr>
              <w:t>，得2分。</w:t>
            </w:r>
          </w:p>
          <w:p w14:paraId="5DED446B">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cs="宋体"/>
                <w:color w:val="auto"/>
                <w:highlight w:val="none"/>
              </w:rPr>
            </w:pPr>
            <w:r>
              <w:rPr>
                <w:rFonts w:hint="eastAsia" w:cs="宋体"/>
                <w:color w:val="auto"/>
                <w:highlight w:val="none"/>
                <w:lang w:val="en-US" w:eastAsia="zh-CN"/>
              </w:rPr>
              <w:t>4、</w:t>
            </w:r>
            <w:r>
              <w:rPr>
                <w:rFonts w:hint="eastAsia" w:cs="宋体"/>
                <w:color w:val="auto"/>
                <w:highlight w:val="none"/>
              </w:rPr>
              <w:t>售后服务方案内容未包含上述两点内容或者</w:t>
            </w:r>
            <w:r>
              <w:rPr>
                <w:rFonts w:cs="宋体"/>
                <w:color w:val="auto"/>
                <w:highlight w:val="none"/>
              </w:rPr>
              <w:t>不能满足本项目要求的不得分</w:t>
            </w:r>
            <w:r>
              <w:rPr>
                <w:rFonts w:hint="eastAsia" w:cs="宋体"/>
                <w:color w:val="auto"/>
                <w:highlight w:val="none"/>
              </w:rPr>
              <w:t>。</w:t>
            </w:r>
          </w:p>
        </w:tc>
      </w:tr>
      <w:tr w14:paraId="6731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77D4AEB2">
            <w:pPr>
              <w:widowControl/>
              <w:wordWrap w:val="0"/>
              <w:adjustRightInd w:val="0"/>
              <w:snapToGrid w:val="0"/>
              <w:jc w:val="center"/>
              <w:rPr>
                <w:rFonts w:cs="宋体"/>
                <w:b/>
                <w:bCs/>
                <w:color w:val="auto"/>
                <w:highlight w:val="none"/>
              </w:rPr>
            </w:pPr>
            <w:r>
              <w:rPr>
                <w:rFonts w:hint="eastAsia" w:cs="宋体"/>
                <w:b/>
                <w:bCs/>
                <w:color w:val="auto"/>
                <w:highlight w:val="none"/>
              </w:rPr>
              <w:t>培训方案</w:t>
            </w:r>
          </w:p>
          <w:p w14:paraId="24800A4E">
            <w:pPr>
              <w:widowControl/>
              <w:wordWrap w:val="0"/>
              <w:adjustRightInd w:val="0"/>
              <w:snapToGrid w:val="0"/>
              <w:jc w:val="center"/>
              <w:rPr>
                <w:rFonts w:ascii="宋体" w:hAnsi="宋体" w:cs="宋体"/>
                <w:b/>
                <w:color w:val="auto"/>
                <w:szCs w:val="21"/>
                <w:highlight w:val="none"/>
              </w:rPr>
            </w:pPr>
            <w:r>
              <w:rPr>
                <w:rFonts w:hint="eastAsia" w:cs="宋体"/>
                <w:b/>
                <w:bCs/>
                <w:color w:val="auto"/>
                <w:highlight w:val="none"/>
              </w:rPr>
              <w:t>(</w:t>
            </w:r>
            <w:r>
              <w:rPr>
                <w:rFonts w:hint="eastAsia" w:cs="宋体"/>
                <w:b/>
                <w:bCs/>
                <w:color w:val="auto"/>
                <w:highlight w:val="none"/>
                <w:lang w:val="en-US" w:eastAsia="zh-CN"/>
              </w:rPr>
              <w:t>9</w:t>
            </w:r>
            <w:r>
              <w:rPr>
                <w:rFonts w:hint="eastAsia" w:cs="宋体"/>
                <w:b/>
                <w:bCs/>
                <w:color w:val="auto"/>
                <w:highlight w:val="none"/>
              </w:rPr>
              <w:t>分)</w:t>
            </w:r>
          </w:p>
        </w:tc>
        <w:tc>
          <w:tcPr>
            <w:tcW w:w="5951" w:type="dxa"/>
            <w:vAlign w:val="center"/>
          </w:tcPr>
          <w:p w14:paraId="0A1A561B">
            <w:pPr>
              <w:jc w:val="left"/>
              <w:rPr>
                <w:rFonts w:cs="宋体"/>
                <w:color w:val="auto"/>
                <w:highlight w:val="none"/>
              </w:rPr>
            </w:pPr>
            <w:r>
              <w:rPr>
                <w:rFonts w:hint="eastAsia" w:cs="宋体"/>
                <w:color w:val="auto"/>
                <w:highlight w:val="none"/>
              </w:rPr>
              <w:t>根据供应商提供的培训方案（内容包括但不限于</w:t>
            </w:r>
            <w:r>
              <w:rPr>
                <w:rFonts w:cs="Calibri"/>
                <w:color w:val="auto"/>
                <w:highlight w:val="none"/>
              </w:rPr>
              <w:t>①</w:t>
            </w:r>
            <w:r>
              <w:rPr>
                <w:rFonts w:hint="eastAsia" w:cs="宋体"/>
                <w:color w:val="auto"/>
                <w:highlight w:val="none"/>
              </w:rPr>
              <w:t>培训计划、培训目标；</w:t>
            </w:r>
            <w:r>
              <w:rPr>
                <w:rFonts w:cs="Calibri"/>
                <w:color w:val="auto"/>
                <w:highlight w:val="none"/>
              </w:rPr>
              <w:t>②</w:t>
            </w:r>
            <w:r>
              <w:rPr>
                <w:rFonts w:hint="eastAsia" w:cs="宋体"/>
                <w:color w:val="auto"/>
                <w:highlight w:val="none"/>
              </w:rPr>
              <w:t>培训方式等）进行综合评审：</w:t>
            </w:r>
          </w:p>
          <w:p w14:paraId="27DC08CD">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cs="宋体"/>
                <w:color w:val="auto"/>
                <w:highlight w:val="none"/>
              </w:rPr>
            </w:pPr>
            <w:r>
              <w:rPr>
                <w:rFonts w:hint="eastAsia" w:cs="宋体"/>
                <w:color w:val="auto"/>
                <w:highlight w:val="none"/>
                <w:lang w:val="en-US" w:eastAsia="zh-CN"/>
              </w:rPr>
              <w:t>1、</w:t>
            </w:r>
            <w:r>
              <w:rPr>
                <w:rFonts w:hint="eastAsia" w:cs="宋体"/>
                <w:color w:val="auto"/>
                <w:highlight w:val="none"/>
              </w:rPr>
              <w:t>培训计划全面详实，有具体措施，培训目标明确清晰，培训方式合理可行，完全</w:t>
            </w:r>
            <w:r>
              <w:rPr>
                <w:rFonts w:hint="eastAsia" w:cs="宋体"/>
                <w:color w:val="auto"/>
                <w:highlight w:val="none"/>
                <w:lang w:val="zh-CN"/>
              </w:rPr>
              <w:t>满足采购需求，</w:t>
            </w:r>
            <w:r>
              <w:rPr>
                <w:rFonts w:hint="eastAsia" w:cs="宋体"/>
                <w:color w:val="auto"/>
                <w:highlight w:val="none"/>
              </w:rPr>
              <w:t>得</w:t>
            </w:r>
            <w:r>
              <w:rPr>
                <w:rFonts w:hint="eastAsia" w:cs="宋体"/>
                <w:color w:val="auto"/>
                <w:highlight w:val="none"/>
                <w:lang w:val="en-US" w:eastAsia="zh-CN"/>
              </w:rPr>
              <w:t>9</w:t>
            </w:r>
            <w:r>
              <w:rPr>
                <w:rFonts w:hint="eastAsia" w:cs="宋体"/>
                <w:color w:val="auto"/>
                <w:highlight w:val="none"/>
              </w:rPr>
              <w:t>分；</w:t>
            </w:r>
          </w:p>
          <w:p w14:paraId="06225AE0">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cs="宋体"/>
                <w:color w:val="auto"/>
                <w:highlight w:val="none"/>
              </w:rPr>
            </w:pPr>
            <w:r>
              <w:rPr>
                <w:rFonts w:hint="eastAsia" w:cs="宋体"/>
                <w:color w:val="auto"/>
                <w:highlight w:val="none"/>
                <w:lang w:val="en-US" w:eastAsia="zh-CN"/>
              </w:rPr>
              <w:t>2、</w:t>
            </w:r>
            <w:r>
              <w:rPr>
                <w:rFonts w:hint="eastAsia" w:cs="宋体"/>
                <w:color w:val="auto"/>
                <w:highlight w:val="none"/>
              </w:rPr>
              <w:t>培训计划较为全面详实，有较为具体的措施，培训目标较为明确清晰，培训方式较为合理可行，</w:t>
            </w:r>
            <w:r>
              <w:rPr>
                <w:rFonts w:hint="eastAsia" w:cs="宋体"/>
                <w:color w:val="auto"/>
                <w:highlight w:val="none"/>
                <w:lang w:val="zh-CN"/>
              </w:rPr>
              <w:t>基本满足采购需求，</w:t>
            </w:r>
            <w:r>
              <w:rPr>
                <w:rFonts w:hint="eastAsia" w:cs="宋体"/>
                <w:color w:val="auto"/>
                <w:highlight w:val="none"/>
              </w:rPr>
              <w:t>得</w:t>
            </w:r>
            <w:r>
              <w:rPr>
                <w:rFonts w:hint="eastAsia" w:cs="宋体"/>
                <w:color w:val="auto"/>
                <w:highlight w:val="none"/>
                <w:lang w:val="en-US" w:eastAsia="zh-CN"/>
              </w:rPr>
              <w:t>5</w:t>
            </w:r>
            <w:r>
              <w:rPr>
                <w:rFonts w:hint="eastAsia" w:cs="宋体"/>
                <w:color w:val="auto"/>
                <w:highlight w:val="none"/>
              </w:rPr>
              <w:t>分；</w:t>
            </w:r>
          </w:p>
          <w:p w14:paraId="42CA9CA7">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cs="宋体"/>
                <w:color w:val="auto"/>
                <w:highlight w:val="none"/>
              </w:rPr>
            </w:pPr>
            <w:r>
              <w:rPr>
                <w:rFonts w:hint="eastAsia" w:cs="宋体"/>
                <w:color w:val="auto"/>
                <w:highlight w:val="none"/>
                <w:lang w:val="en-US" w:eastAsia="zh-CN"/>
              </w:rPr>
              <w:t>3、</w:t>
            </w:r>
            <w:r>
              <w:rPr>
                <w:rFonts w:hint="eastAsia" w:cs="宋体"/>
                <w:color w:val="auto"/>
                <w:highlight w:val="none"/>
              </w:rPr>
              <w:t>培训计划片面简略，具体措施较少，培训目标部分不明确清晰，培训方式不合理可行，部分</w:t>
            </w:r>
            <w:r>
              <w:rPr>
                <w:rFonts w:hint="eastAsia" w:cs="宋体"/>
                <w:color w:val="auto"/>
                <w:highlight w:val="none"/>
                <w:lang w:val="zh-CN"/>
              </w:rPr>
              <w:t>满足采购需求，</w:t>
            </w:r>
            <w:r>
              <w:rPr>
                <w:rFonts w:hint="eastAsia" w:cs="宋体"/>
                <w:color w:val="auto"/>
                <w:highlight w:val="none"/>
              </w:rPr>
              <w:t>得</w:t>
            </w:r>
            <w:r>
              <w:rPr>
                <w:rFonts w:hint="eastAsia" w:cs="宋体"/>
                <w:color w:val="auto"/>
                <w:highlight w:val="none"/>
                <w:lang w:val="en-US" w:eastAsia="zh-CN"/>
              </w:rPr>
              <w:t>1</w:t>
            </w:r>
            <w:r>
              <w:rPr>
                <w:rFonts w:hint="eastAsia" w:cs="宋体"/>
                <w:color w:val="auto"/>
                <w:highlight w:val="none"/>
              </w:rPr>
              <w:t>分。</w:t>
            </w:r>
          </w:p>
          <w:p w14:paraId="469989D6">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cs="宋体"/>
                <w:color w:val="auto"/>
                <w:highlight w:val="none"/>
              </w:rPr>
            </w:pPr>
            <w:r>
              <w:rPr>
                <w:rFonts w:hint="eastAsia" w:cs="宋体"/>
                <w:color w:val="auto"/>
                <w:highlight w:val="none"/>
                <w:lang w:val="en-US" w:eastAsia="zh-CN"/>
              </w:rPr>
              <w:t>4、</w:t>
            </w:r>
            <w:r>
              <w:rPr>
                <w:rFonts w:hint="eastAsia" w:cs="宋体"/>
                <w:color w:val="auto"/>
                <w:highlight w:val="none"/>
              </w:rPr>
              <w:t>培训计划内容未包含上述两点内容或者不能满足本项目要求的不得分。</w:t>
            </w:r>
          </w:p>
        </w:tc>
      </w:tr>
      <w:tr w14:paraId="6BD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72BD4C6E">
            <w:pPr>
              <w:pBdr>
                <w:top w:val="none" w:color="000000" w:sz="0" w:space="0"/>
                <w:left w:val="none" w:color="000000" w:sz="0" w:space="0"/>
                <w:bottom w:val="none" w:color="000000" w:sz="0" w:space="0"/>
                <w:right w:val="none" w:color="000000" w:sz="0" w:space="0"/>
              </w:pBdr>
              <w:wordWrap w:val="0"/>
              <w:spacing w:before="210" w:after="210"/>
              <w:jc w:val="center"/>
              <w:rPr>
                <w:rFonts w:ascii="宋体" w:hAnsi="宋体" w:cs="宋体"/>
                <w:b/>
                <w:szCs w:val="21"/>
                <w:highlight w:val="none"/>
              </w:rPr>
            </w:pPr>
            <w:r>
              <w:rPr>
                <w:rFonts w:hint="eastAsia" w:ascii="宋体" w:hAnsi="宋体" w:cs="宋体"/>
                <w:b/>
                <w:szCs w:val="21"/>
                <w:highlight w:val="none"/>
              </w:rPr>
              <w:t>同类项目业绩</w:t>
            </w:r>
          </w:p>
          <w:p w14:paraId="3681BDDA">
            <w:pPr>
              <w:pBdr>
                <w:top w:val="none" w:color="000000" w:sz="0" w:space="0"/>
                <w:left w:val="none" w:color="000000" w:sz="0" w:space="0"/>
                <w:bottom w:val="none" w:color="000000" w:sz="0" w:space="0"/>
                <w:right w:val="none" w:color="000000" w:sz="0" w:space="0"/>
              </w:pBdr>
              <w:wordWrap w:val="0"/>
              <w:spacing w:before="210" w:after="210"/>
              <w:jc w:val="center"/>
              <w:rPr>
                <w:rFonts w:ascii="宋体" w:hAnsi="宋体"/>
                <w:b/>
                <w:highlight w:val="none"/>
              </w:rPr>
            </w:pPr>
            <w:r>
              <w:rPr>
                <w:rFonts w:hint="eastAsia" w:ascii="宋体" w:hAnsi="宋体" w:cs="宋体"/>
                <w:b/>
                <w:szCs w:val="21"/>
                <w:highlight w:val="none"/>
              </w:rPr>
              <w:t>（8分）</w:t>
            </w:r>
          </w:p>
        </w:tc>
        <w:tc>
          <w:tcPr>
            <w:tcW w:w="5951" w:type="dxa"/>
            <w:vAlign w:val="center"/>
          </w:tcPr>
          <w:p w14:paraId="3A2F8D38">
            <w:pPr>
              <w:wordWrap w:val="0"/>
              <w:rPr>
                <w:rFonts w:ascii="宋体" w:hAnsi="宋体" w:cs="宋体"/>
                <w:szCs w:val="21"/>
                <w:highlight w:val="none"/>
              </w:rPr>
            </w:pPr>
            <w:r>
              <w:rPr>
                <w:rFonts w:hint="eastAsia" w:ascii="宋体" w:hAnsi="宋体" w:cs="宋体"/>
                <w:szCs w:val="21"/>
                <w:highlight w:val="none"/>
                <w:lang w:val="en-US" w:eastAsia="zh-CN"/>
              </w:rPr>
              <w:t>根据</w:t>
            </w:r>
            <w:r>
              <w:rPr>
                <w:rFonts w:hint="eastAsia" w:ascii="宋体" w:hAnsi="宋体" w:cs="宋体"/>
                <w:szCs w:val="21"/>
                <w:highlight w:val="none"/>
              </w:rPr>
              <w:t>供应商或响应产品厂家或响应产品国内代理商自202</w:t>
            </w:r>
            <w:r>
              <w:rPr>
                <w:rFonts w:hint="eastAsia" w:ascii="宋体" w:hAnsi="宋体" w:cs="宋体"/>
                <w:szCs w:val="21"/>
                <w:highlight w:val="none"/>
                <w:lang w:val="en-US" w:eastAsia="zh-CN"/>
              </w:rPr>
              <w:t>3</w:t>
            </w:r>
            <w:r>
              <w:rPr>
                <w:rFonts w:hint="eastAsia" w:ascii="宋体" w:hAnsi="宋体" w:cs="宋体"/>
                <w:szCs w:val="21"/>
                <w:highlight w:val="none"/>
              </w:rPr>
              <w:t>年1月1日以来（以合同签订时间为准）完成过同类型项目业绩</w:t>
            </w:r>
            <w:r>
              <w:rPr>
                <w:rFonts w:hint="eastAsia" w:ascii="宋体" w:hAnsi="宋体" w:cs="宋体"/>
                <w:szCs w:val="21"/>
                <w:highlight w:val="none"/>
                <w:lang w:val="en-US" w:eastAsia="zh-CN"/>
              </w:rPr>
              <w:t>进行打分</w:t>
            </w:r>
            <w:r>
              <w:rPr>
                <w:rFonts w:hint="eastAsia" w:ascii="宋体" w:hAnsi="宋体" w:cs="宋体"/>
                <w:szCs w:val="21"/>
                <w:highlight w:val="none"/>
              </w:rPr>
              <w:t>，每提供一个得2分，最高得8分。</w:t>
            </w:r>
          </w:p>
          <w:p w14:paraId="271F8D0D">
            <w:pPr>
              <w:wordWrap w:val="0"/>
              <w:rPr>
                <w:rFonts w:ascii="宋体" w:hAnsi="宋体" w:cs="宋体"/>
                <w:szCs w:val="21"/>
                <w:highlight w:val="none"/>
              </w:rPr>
            </w:pPr>
            <w:r>
              <w:rPr>
                <w:rFonts w:hint="eastAsia" w:ascii="宋体" w:hAnsi="宋体" w:cs="宋体"/>
                <w:szCs w:val="21"/>
                <w:highlight w:val="none"/>
              </w:rPr>
              <w:t>（须提供合同复印件证明材料，并加盖供应商公章，否则不得分。）（上述证明材料缺一不可，原件备查）</w:t>
            </w:r>
          </w:p>
        </w:tc>
      </w:tr>
      <w:tr w14:paraId="70BD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486ECBB3">
            <w:pPr>
              <w:wordWrap w:val="0"/>
              <w:jc w:val="center"/>
              <w:rPr>
                <w:rFonts w:ascii="宋体" w:hAnsi="宋体" w:cs="宋体"/>
                <w:b/>
                <w:bCs/>
                <w:szCs w:val="21"/>
                <w:highlight w:val="none"/>
              </w:rPr>
            </w:pPr>
            <w:r>
              <w:rPr>
                <w:rFonts w:hint="eastAsia" w:ascii="宋体" w:hAnsi="宋体" w:cs="宋体"/>
                <w:b/>
                <w:bCs/>
                <w:szCs w:val="21"/>
                <w:highlight w:val="none"/>
              </w:rPr>
              <w:t>质保期</w:t>
            </w:r>
          </w:p>
          <w:p w14:paraId="52198195">
            <w:pPr>
              <w:wordWrap w:val="0"/>
              <w:jc w:val="center"/>
              <w:rPr>
                <w:rFonts w:ascii="宋体" w:hAnsi="宋体"/>
                <w:b/>
                <w:szCs w:val="21"/>
                <w:highlight w:val="none"/>
              </w:rPr>
            </w:pPr>
            <w:r>
              <w:rPr>
                <w:rFonts w:hint="eastAsia" w:ascii="宋体" w:hAnsi="宋体" w:cs="宋体"/>
                <w:b/>
                <w:bCs/>
                <w:szCs w:val="21"/>
                <w:highlight w:val="none"/>
              </w:rPr>
              <w:t>（</w:t>
            </w:r>
            <w:r>
              <w:rPr>
                <w:rFonts w:ascii="宋体" w:hAnsi="宋体" w:cs="宋体"/>
                <w:b/>
                <w:bCs/>
                <w:szCs w:val="21"/>
                <w:highlight w:val="none"/>
              </w:rPr>
              <w:t>2</w:t>
            </w:r>
            <w:r>
              <w:rPr>
                <w:rFonts w:hint="eastAsia" w:ascii="宋体" w:hAnsi="宋体" w:cs="宋体"/>
                <w:b/>
                <w:bCs/>
                <w:szCs w:val="21"/>
                <w:highlight w:val="none"/>
              </w:rPr>
              <w:t>分）</w:t>
            </w:r>
          </w:p>
        </w:tc>
        <w:tc>
          <w:tcPr>
            <w:tcW w:w="5951" w:type="dxa"/>
            <w:vAlign w:val="center"/>
          </w:tcPr>
          <w:p w14:paraId="673CE9E6">
            <w:pPr>
              <w:wordWrap w:val="0"/>
              <w:rPr>
                <w:rFonts w:ascii="宋体" w:hAnsi="宋体"/>
                <w:szCs w:val="21"/>
                <w:highlight w:val="none"/>
              </w:rPr>
            </w:pPr>
            <w:r>
              <w:rPr>
                <w:rFonts w:hint="eastAsia" w:ascii="宋体" w:hAnsi="宋体" w:cs="宋体"/>
                <w:szCs w:val="21"/>
                <w:highlight w:val="none"/>
              </w:rPr>
              <w:t xml:space="preserve">在满足采购文件要求的免费质保1年的基础上，每增加1年免费质保加 1 分，最多加 </w:t>
            </w:r>
            <w:r>
              <w:rPr>
                <w:rFonts w:ascii="宋体" w:hAnsi="宋体" w:cs="宋体"/>
                <w:szCs w:val="21"/>
                <w:highlight w:val="none"/>
              </w:rPr>
              <w:t>2</w:t>
            </w:r>
            <w:r>
              <w:rPr>
                <w:rFonts w:hint="eastAsia" w:ascii="宋体" w:hAnsi="宋体" w:cs="宋体"/>
                <w:szCs w:val="21"/>
                <w:highlight w:val="none"/>
              </w:rPr>
              <w:t>分。（提供质保承诺</w:t>
            </w:r>
            <w:r>
              <w:rPr>
                <w:rFonts w:hint="eastAsia" w:ascii="宋体" w:hAnsi="宋体" w:cs="宋体"/>
                <w:szCs w:val="21"/>
                <w:highlight w:val="none"/>
                <w:lang w:val="en-US" w:eastAsia="zh-CN"/>
              </w:rPr>
              <w:t>并</w:t>
            </w:r>
            <w:r>
              <w:rPr>
                <w:rFonts w:hint="eastAsia" w:ascii="宋体" w:hAnsi="宋体" w:cs="宋体"/>
                <w:szCs w:val="21"/>
                <w:highlight w:val="none"/>
              </w:rPr>
              <w:t>加盖</w:t>
            </w:r>
            <w:r>
              <w:rPr>
                <w:rFonts w:hint="eastAsia" w:ascii="宋体" w:hAnsi="宋体" w:cs="宋体"/>
                <w:szCs w:val="21"/>
                <w:highlight w:val="none"/>
                <w:lang w:val="en-US" w:eastAsia="zh-CN"/>
              </w:rPr>
              <w:t>供应商</w:t>
            </w:r>
            <w:r>
              <w:rPr>
                <w:rFonts w:hint="eastAsia" w:ascii="宋体" w:hAnsi="宋体" w:cs="宋体"/>
                <w:szCs w:val="21"/>
                <w:highlight w:val="none"/>
              </w:rPr>
              <w:t>公章，格式自拟）</w:t>
            </w:r>
          </w:p>
        </w:tc>
      </w:tr>
    </w:tbl>
    <w:p w14:paraId="6B156033">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E188721">
      <w:pPr>
        <w:pStyle w:val="266"/>
        <w:numPr>
          <w:ilvl w:val="0"/>
          <w:numId w:val="54"/>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采购需求</w:t>
      </w:r>
    </w:p>
    <w:p w14:paraId="7E04C78A">
      <w:pPr>
        <w:numPr>
          <w:ilvl w:val="0"/>
          <w:numId w:val="55"/>
        </w:numPr>
        <w:adjustRightInd w:val="0"/>
        <w:snapToGrid w:val="0"/>
        <w:spacing w:line="360" w:lineRule="auto"/>
        <w:outlineLvl w:val="2"/>
        <w:rPr>
          <w:b/>
          <w:sz w:val="28"/>
          <w:szCs w:val="28"/>
          <w:highlight w:val="none"/>
          <w:lang w:val="zh-CN"/>
        </w:rPr>
      </w:pPr>
      <w:bookmarkStart w:id="7" w:name="_Toc203665812"/>
      <w:r>
        <w:rPr>
          <w:rFonts w:hint="eastAsia"/>
          <w:b/>
          <w:sz w:val="28"/>
          <w:szCs w:val="28"/>
          <w:highlight w:val="none"/>
          <w:lang w:val="zh-CN"/>
        </w:rPr>
        <w:t>总则</w:t>
      </w:r>
      <w:bookmarkEnd w:id="7"/>
    </w:p>
    <w:p w14:paraId="5D81772C">
      <w:pPr>
        <w:pStyle w:val="4"/>
        <w:numPr>
          <w:ilvl w:val="2"/>
          <w:numId w:val="56"/>
        </w:numPr>
        <w:spacing w:line="360" w:lineRule="auto"/>
        <w:ind w:left="0" w:firstLine="707" w:firstLineChars="337"/>
        <w:jc w:val="left"/>
        <w:rPr>
          <w:rFonts w:ascii="宋体" w:hAnsi="宋体" w:cs="宋体"/>
          <w:highlight w:val="none"/>
        </w:rPr>
      </w:pPr>
      <w:r>
        <w:rPr>
          <w:rFonts w:hint="eastAsia" w:ascii="宋体" w:hAnsi="宋体" w:cs="宋体"/>
          <w:highlight w:val="none"/>
        </w:rPr>
        <w:t>本货物需求及规格要求适用于本次采购项下所有货物的</w:t>
      </w:r>
      <w:r>
        <w:rPr>
          <w:rFonts w:hint="eastAsia" w:ascii="宋体" w:hAnsi="宋体" w:cs="宋体"/>
          <w:highlight w:val="none"/>
          <w:lang w:val="en-US" w:eastAsia="zh-CN"/>
        </w:rPr>
        <w:t>采购</w:t>
      </w:r>
      <w:r>
        <w:rPr>
          <w:rFonts w:hint="eastAsia" w:ascii="宋体" w:hAnsi="宋体" w:cs="宋体"/>
          <w:highlight w:val="none"/>
        </w:rPr>
        <w:t>。</w:t>
      </w:r>
    </w:p>
    <w:p w14:paraId="7E10868F">
      <w:pPr>
        <w:pStyle w:val="4"/>
        <w:numPr>
          <w:ilvl w:val="2"/>
          <w:numId w:val="56"/>
        </w:numPr>
        <w:spacing w:line="360" w:lineRule="auto"/>
        <w:ind w:left="0" w:firstLine="707" w:firstLineChars="337"/>
        <w:jc w:val="left"/>
        <w:rPr>
          <w:rFonts w:ascii="宋体" w:hAnsi="宋体" w:cs="宋体"/>
          <w:highlight w:val="none"/>
        </w:rPr>
      </w:pPr>
      <w:r>
        <w:rPr>
          <w:rFonts w:hint="eastAsia" w:ascii="宋体" w:hAnsi="宋体" w:cs="宋体"/>
          <w:highlight w:val="none"/>
        </w:rPr>
        <w:t>标注带“★”号的为关键技术参数，供应商必须逐条响应，如出现任何负偏离或不满足将被否决。</w:t>
      </w:r>
    </w:p>
    <w:p w14:paraId="1BE8DD80">
      <w:pPr>
        <w:pStyle w:val="4"/>
        <w:numPr>
          <w:ilvl w:val="2"/>
          <w:numId w:val="56"/>
        </w:numPr>
        <w:spacing w:line="360" w:lineRule="auto"/>
        <w:ind w:left="0" w:firstLine="707" w:firstLineChars="337"/>
        <w:jc w:val="left"/>
        <w:rPr>
          <w:rFonts w:ascii="宋体" w:hAnsi="宋体" w:cs="宋体"/>
          <w:highlight w:val="none"/>
        </w:rPr>
      </w:pPr>
      <w:r>
        <w:rPr>
          <w:rFonts w:hint="eastAsia" w:ascii="宋体" w:hAnsi="宋体" w:cs="宋体"/>
          <w:highlight w:val="none"/>
        </w:rPr>
        <w:t>标注带“▲”号的为重要技术参数，供应商必须逐条响应，如出现任何负偏离或不满足将影响评分。</w:t>
      </w:r>
    </w:p>
    <w:p w14:paraId="17AC18C2">
      <w:pPr>
        <w:pStyle w:val="4"/>
        <w:numPr>
          <w:ilvl w:val="2"/>
          <w:numId w:val="56"/>
        </w:numPr>
        <w:spacing w:line="360" w:lineRule="auto"/>
        <w:ind w:left="0" w:firstLine="707" w:firstLineChars="337"/>
        <w:jc w:val="left"/>
        <w:rPr>
          <w:rFonts w:ascii="宋体" w:hAnsi="宋体" w:cs="宋体"/>
          <w:highlight w:val="none"/>
        </w:rPr>
      </w:pPr>
      <w:r>
        <w:rPr>
          <w:rFonts w:hint="eastAsia" w:ascii="宋体" w:hAnsi="宋体" w:cs="宋体"/>
          <w:highlight w:val="none"/>
        </w:rPr>
        <w:t>供应商须对比选文件“项目需求”的内容（标“▲”项内容除外）作出响应，若出现负偏离或不满足将影响评分。</w:t>
      </w:r>
    </w:p>
    <w:p w14:paraId="0D7D2E59">
      <w:pPr>
        <w:numPr>
          <w:ilvl w:val="0"/>
          <w:numId w:val="55"/>
        </w:numPr>
        <w:adjustRightInd w:val="0"/>
        <w:snapToGrid w:val="0"/>
        <w:spacing w:line="360" w:lineRule="auto"/>
        <w:outlineLvl w:val="2"/>
        <w:rPr>
          <w:rFonts w:ascii="宋体" w:hAnsi="宋体" w:cs="宋体"/>
          <w:highlight w:val="none"/>
        </w:rPr>
      </w:pPr>
      <w:r>
        <w:rPr>
          <w:rFonts w:hint="eastAsia"/>
          <w:b/>
          <w:sz w:val="28"/>
          <w:szCs w:val="28"/>
          <w:highlight w:val="none"/>
          <w:lang w:val="zh-CN"/>
        </w:rPr>
        <w:t>项目需求</w:t>
      </w:r>
    </w:p>
    <w:p w14:paraId="0B6B80E5">
      <w:pPr>
        <w:pStyle w:val="30"/>
        <w:spacing w:line="360" w:lineRule="auto"/>
        <w:ind w:firstLine="420" w:firstLineChars="200"/>
        <w:rPr>
          <w:rFonts w:ascii="宋体" w:hAnsi="宋体" w:cs="宋体"/>
          <w:highlight w:val="none"/>
        </w:rPr>
      </w:pPr>
      <w:r>
        <w:rPr>
          <w:rFonts w:hint="eastAsia" w:ascii="宋体" w:hAnsi="宋体" w:cs="宋体"/>
          <w:highlight w:val="none"/>
        </w:rPr>
        <w:t>本项目采购的面部表情分析系统需满足管理学院科研与教学工作需求，可应用于消费者行为研究、服务质量评估、组织行为学等领域的情绪分析场景。系统需具备实时捕捉与分析面部表情的能力，精准识别不同情绪状态，为消费决策、用户体验优化等研究提供客观数据支撑，支持结合实验刺激源开展情绪响应研究。同时需适配教学实践场景，助力学生掌握情绪分析研究方法，为管理类学科的科研创新与人才培养提供技术保障。</w:t>
      </w:r>
    </w:p>
    <w:p w14:paraId="3B365C30">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6"/>
        <w:tblW w:w="365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18"/>
        <w:gridCol w:w="2540"/>
        <w:gridCol w:w="586"/>
        <w:gridCol w:w="1498"/>
        <w:gridCol w:w="1429"/>
      </w:tblGrid>
      <w:tr w14:paraId="11A68E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2F7B7195">
            <w:pPr>
              <w:widowControl/>
              <w:jc w:val="center"/>
              <w:rPr>
                <w:rFonts w:ascii="宋体" w:hAnsi="宋体"/>
                <w:b/>
                <w:bCs/>
                <w:szCs w:val="21"/>
                <w:highlight w:val="none"/>
              </w:rPr>
            </w:pPr>
            <w:r>
              <w:rPr>
                <w:rFonts w:ascii="宋体" w:hAnsi="宋体"/>
                <w:b/>
                <w:bCs/>
                <w:szCs w:val="21"/>
                <w:highlight w:val="none"/>
              </w:rPr>
              <w:t>序号</w:t>
            </w:r>
          </w:p>
        </w:tc>
        <w:tc>
          <w:tcPr>
            <w:tcW w:w="1795" w:type="pct"/>
            <w:vAlign w:val="center"/>
          </w:tcPr>
          <w:p w14:paraId="2DC13A4C">
            <w:pPr>
              <w:widowControl/>
              <w:jc w:val="center"/>
              <w:rPr>
                <w:rFonts w:ascii="宋体" w:hAnsi="宋体"/>
                <w:b/>
                <w:bCs/>
                <w:szCs w:val="21"/>
                <w:highlight w:val="none"/>
              </w:rPr>
            </w:pPr>
            <w:r>
              <w:rPr>
                <w:rFonts w:hint="eastAsia" w:ascii="宋体" w:hAnsi="宋体"/>
                <w:b/>
                <w:bCs/>
                <w:szCs w:val="21"/>
                <w:highlight w:val="none"/>
              </w:rPr>
              <w:t>产品</w:t>
            </w:r>
          </w:p>
        </w:tc>
        <w:tc>
          <w:tcPr>
            <w:tcW w:w="414" w:type="pct"/>
            <w:vAlign w:val="center"/>
          </w:tcPr>
          <w:p w14:paraId="61A33893">
            <w:pPr>
              <w:widowControl/>
              <w:jc w:val="center"/>
              <w:rPr>
                <w:rFonts w:ascii="宋体" w:hAnsi="宋体"/>
                <w:b/>
                <w:bCs/>
                <w:szCs w:val="21"/>
                <w:highlight w:val="none"/>
              </w:rPr>
            </w:pPr>
            <w:r>
              <w:rPr>
                <w:rFonts w:ascii="宋体" w:hAnsi="宋体"/>
                <w:b/>
                <w:bCs/>
                <w:szCs w:val="21"/>
                <w:highlight w:val="none"/>
              </w:rPr>
              <w:t>数量</w:t>
            </w:r>
          </w:p>
        </w:tc>
        <w:tc>
          <w:tcPr>
            <w:tcW w:w="1059" w:type="pct"/>
            <w:vAlign w:val="center"/>
          </w:tcPr>
          <w:p w14:paraId="33CA695F">
            <w:pPr>
              <w:widowControl/>
              <w:jc w:val="center"/>
              <w:rPr>
                <w:rFonts w:ascii="宋体" w:hAnsi="宋体"/>
                <w:b/>
                <w:bCs/>
                <w:szCs w:val="21"/>
                <w:highlight w:val="none"/>
              </w:rPr>
            </w:pPr>
            <w:r>
              <w:rPr>
                <w:rFonts w:hint="eastAsia" w:ascii="宋体" w:hAnsi="宋体"/>
                <w:b/>
                <w:bCs/>
                <w:szCs w:val="21"/>
                <w:highlight w:val="none"/>
              </w:rPr>
              <w:t>是否核心产品</w:t>
            </w:r>
          </w:p>
        </w:tc>
        <w:tc>
          <w:tcPr>
            <w:tcW w:w="1010" w:type="pct"/>
            <w:vAlign w:val="center"/>
          </w:tcPr>
          <w:p w14:paraId="1927A8D9">
            <w:pPr>
              <w:widowControl/>
              <w:jc w:val="center"/>
              <w:rPr>
                <w:rFonts w:ascii="宋体" w:hAnsi="宋体"/>
                <w:b/>
                <w:bCs/>
                <w:szCs w:val="21"/>
                <w:highlight w:val="none"/>
              </w:rPr>
            </w:pPr>
            <w:r>
              <w:rPr>
                <w:rFonts w:hint="eastAsia" w:ascii="宋体" w:hAnsi="宋体"/>
                <w:b/>
                <w:bCs/>
                <w:szCs w:val="21"/>
                <w:highlight w:val="none"/>
              </w:rPr>
              <w:t>总价预算（万元）</w:t>
            </w:r>
          </w:p>
        </w:tc>
      </w:tr>
      <w:tr w14:paraId="1FB2B2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4C6F7771">
            <w:pPr>
              <w:widowControl/>
              <w:jc w:val="center"/>
              <w:rPr>
                <w:rFonts w:ascii="宋体" w:hAnsi="宋体"/>
                <w:szCs w:val="21"/>
                <w:highlight w:val="none"/>
              </w:rPr>
            </w:pPr>
            <w:r>
              <w:rPr>
                <w:rFonts w:ascii="宋体" w:hAnsi="宋体"/>
                <w:szCs w:val="21"/>
                <w:highlight w:val="none"/>
              </w:rPr>
              <w:t>1</w:t>
            </w:r>
          </w:p>
        </w:tc>
        <w:tc>
          <w:tcPr>
            <w:tcW w:w="1795" w:type="pct"/>
            <w:vAlign w:val="center"/>
          </w:tcPr>
          <w:p w14:paraId="6B460636">
            <w:pPr>
              <w:widowControl/>
              <w:jc w:val="left"/>
              <w:rPr>
                <w:rFonts w:ascii="宋体" w:hAnsi="宋体" w:cs="宋体"/>
                <w:szCs w:val="21"/>
                <w:highlight w:val="none"/>
              </w:rPr>
            </w:pPr>
            <w:r>
              <w:rPr>
                <w:rFonts w:hint="eastAsia" w:ascii="宋体" w:hAnsi="宋体" w:cs="宋体"/>
                <w:szCs w:val="21"/>
                <w:highlight w:val="none"/>
              </w:rPr>
              <w:t>人机交互及心理学实验研究系统-面部表情分析系统</w:t>
            </w:r>
          </w:p>
        </w:tc>
        <w:tc>
          <w:tcPr>
            <w:tcW w:w="414" w:type="pct"/>
            <w:vAlign w:val="center"/>
          </w:tcPr>
          <w:p w14:paraId="764FC192">
            <w:pPr>
              <w:widowControl/>
              <w:jc w:val="center"/>
              <w:rPr>
                <w:rFonts w:ascii="宋体" w:hAnsi="宋体" w:cs="宋体"/>
                <w:szCs w:val="21"/>
                <w:highlight w:val="none"/>
              </w:rPr>
            </w:pPr>
            <w:r>
              <w:rPr>
                <w:rFonts w:hint="eastAsia" w:ascii="宋体" w:hAnsi="宋体" w:cs="宋体"/>
                <w:szCs w:val="21"/>
                <w:highlight w:val="none"/>
              </w:rPr>
              <w:t>1套</w:t>
            </w:r>
          </w:p>
        </w:tc>
        <w:tc>
          <w:tcPr>
            <w:tcW w:w="1059" w:type="pct"/>
            <w:vAlign w:val="center"/>
          </w:tcPr>
          <w:p w14:paraId="37E35C28">
            <w:pPr>
              <w:widowControl/>
              <w:jc w:val="center"/>
              <w:rPr>
                <w:rFonts w:ascii="宋体" w:hAnsi="宋体" w:cs="宋体"/>
                <w:szCs w:val="21"/>
                <w:highlight w:val="none"/>
              </w:rPr>
            </w:pPr>
            <w:r>
              <w:rPr>
                <w:rFonts w:hint="eastAsia" w:ascii="宋体" w:hAnsi="宋体" w:cs="宋体"/>
                <w:szCs w:val="21"/>
                <w:highlight w:val="none"/>
              </w:rPr>
              <w:t>是</w:t>
            </w:r>
          </w:p>
        </w:tc>
        <w:tc>
          <w:tcPr>
            <w:tcW w:w="1010" w:type="pct"/>
            <w:vAlign w:val="center"/>
          </w:tcPr>
          <w:p w14:paraId="6A51961C">
            <w:pPr>
              <w:widowControl/>
              <w:jc w:val="center"/>
              <w:rPr>
                <w:rFonts w:ascii="宋体" w:hAnsi="宋体" w:cs="宋体"/>
                <w:szCs w:val="21"/>
                <w:highlight w:val="none"/>
              </w:rPr>
            </w:pPr>
            <w:r>
              <w:rPr>
                <w:rFonts w:hint="eastAsia" w:ascii="宋体" w:hAnsi="宋体" w:cs="宋体"/>
                <w:szCs w:val="21"/>
                <w:highlight w:val="none"/>
              </w:rPr>
              <w:t>20</w:t>
            </w:r>
          </w:p>
        </w:tc>
      </w:tr>
    </w:tbl>
    <w:p w14:paraId="0F878EF1">
      <w:pPr>
        <w:pStyle w:val="30"/>
        <w:spacing w:line="360" w:lineRule="auto"/>
        <w:rPr>
          <w:sz w:val="24"/>
          <w:szCs w:val="24"/>
          <w:highlight w:val="none"/>
          <w:lang w:bidi="ar"/>
        </w:rPr>
      </w:pPr>
    </w:p>
    <w:p w14:paraId="5E8373C4">
      <w:pPr>
        <w:numPr>
          <w:ilvl w:val="0"/>
          <w:numId w:val="55"/>
        </w:numPr>
        <w:adjustRightInd w:val="0"/>
        <w:snapToGrid w:val="0"/>
        <w:spacing w:after="240" w:afterLines="100" w:line="360" w:lineRule="auto"/>
        <w:outlineLvl w:val="2"/>
        <w:rPr>
          <w:b/>
          <w:sz w:val="28"/>
          <w:szCs w:val="28"/>
          <w:highlight w:val="none"/>
          <w:lang w:val="zh-CN"/>
        </w:rPr>
      </w:pPr>
      <w:r>
        <w:rPr>
          <w:rFonts w:hint="eastAsia"/>
          <w:b/>
          <w:sz w:val="28"/>
          <w:szCs w:val="28"/>
          <w:highlight w:val="none"/>
          <w:lang w:val="zh-CN"/>
        </w:rPr>
        <w:t>主要技术参数要求</w:t>
      </w:r>
    </w:p>
    <w:p w14:paraId="25DC4134">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系统可通过视频和图像识别技术来实现表情和情绪分析功能。</w:t>
      </w:r>
    </w:p>
    <w:p w14:paraId="212CF603">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★系统可以全自动识别和分类六种基本表情：高兴(happy),悲伤(sad), 生气(angry), 惊讶(surprised), 害怕(scared), 厌恶(disgusted), 另外还可以区分没有表情(neutral state)的状态。</w:t>
      </w:r>
    </w:p>
    <w:p w14:paraId="3859ABBE">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系统可接受三种以上数据输入类型及格式：分析视频文件，格式为MPEG1, MPEG2, XviD, DivX4, DivX5, DivX6, DV-AVI and uncompressed AVI；网络摄像头实时分析；分析图片文件， 格式为jpg,bmp,gif, png, tga等。</w:t>
      </w:r>
    </w:p>
    <w:p w14:paraId="50662DFB">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★系统采用三维模型，利用面部肌肉≥491个点的位置来计算和分类面部表情。</w:t>
      </w:r>
    </w:p>
    <w:p w14:paraId="2181450E">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★系统至少拥有通用表情分析模型、亚洲人表情分析模型、老年人表情分析模型等三种分析模型。</w:t>
      </w:r>
    </w:p>
    <w:p w14:paraId="2AD0F201">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系统能够对不同人之间表情常态差异进行校正。</w:t>
      </w:r>
    </w:p>
    <w:p w14:paraId="07B1A76D">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▲系统可以分类嘴部和眼睛开合状态，以及眉毛的位置变化。</w:t>
      </w:r>
    </w:p>
    <w:p w14:paraId="7D737E7B">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系统能够跟踪头部朝向并测定注视方向。</w:t>
      </w:r>
    </w:p>
    <w:p w14:paraId="3F080230">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系统能够提供多种数据可视化图表（如基础情绪占比、组间对比等），支持以饼图、曲线图，柱状图等形式进行体现。</w:t>
      </w:r>
    </w:p>
    <w:p w14:paraId="2DCD4D85">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系统包含视频质量状态零界线条。</w:t>
      </w:r>
    </w:p>
    <w:p w14:paraId="44E74616">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▲系统支持面部朝向小于30度的面部转动。</w:t>
      </w:r>
    </w:p>
    <w:p w14:paraId="5BD3A955">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系统支持视频文件批处理分析功能。</w:t>
      </w:r>
    </w:p>
    <w:p w14:paraId="6B76F5BE">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系统支持第三方软件对情绪实时反映的功能。</w:t>
      </w:r>
    </w:p>
    <w:p w14:paraId="0830C17D">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系统可以导出原始数据和统计分析数据，导出格式为xls或txt文件。</w:t>
      </w:r>
    </w:p>
    <w:p w14:paraId="7F57F8FA">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系统可兼容Windows 7 (32位)以上系统。</w:t>
      </w:r>
    </w:p>
    <w:p w14:paraId="76687DE6">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系统需要配置网络摄像头，置于面部的前方，摄像头需支持USB 3.0接口，具备至少200万像素物理分辨率，帧率≥30fps，并兼容Windows 10/11及Linux操作</w:t>
      </w:r>
      <w:r>
        <w:rPr>
          <w:rFonts w:hint="eastAsia" w:ascii="宋体" w:hAnsi="宋体" w:cs="宋体"/>
          <w:sz w:val="24"/>
          <w:szCs w:val="24"/>
          <w:highlight w:val="none"/>
          <w:lang w:val="en-US" w:eastAsia="zh-CN"/>
        </w:rPr>
        <w:t>系</w:t>
      </w:r>
      <w:r>
        <w:rPr>
          <w:rFonts w:hint="eastAsia" w:ascii="宋体" w:hAnsi="宋体" w:cs="宋体"/>
          <w:sz w:val="24"/>
          <w:szCs w:val="24"/>
          <w:highlight w:val="none"/>
        </w:rPr>
        <w:t>统。</w:t>
      </w:r>
    </w:p>
    <w:p w14:paraId="54E0E03D">
      <w:pPr>
        <w:pStyle w:val="4"/>
        <w:numPr>
          <w:ilvl w:val="0"/>
          <w:numId w:val="57"/>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认知评估模块具有测量手指运动技能、反应时间、注意警觉能力、工作及视觉记忆能力、执行抑制控制等功能；具有非言语类测试任务功能、具有基于移动端触屏的交互式任务功能；具有多移动终端同时在线测试功能，具有云平台数据备份功能，确保数据存储的安全性。</w:t>
      </w:r>
    </w:p>
    <w:p w14:paraId="4E36EF11">
      <w:pPr>
        <w:pStyle w:val="17"/>
        <w:spacing w:before="240" w:beforeLines="100" w:line="360" w:lineRule="auto"/>
        <w:ind w:firstLine="482" w:firstLineChars="200"/>
        <w:rPr>
          <w:sz w:val="24"/>
          <w:szCs w:val="24"/>
          <w:highlight w:val="none"/>
          <w:lang w:bidi="ar"/>
        </w:rPr>
      </w:pPr>
      <w:r>
        <w:rPr>
          <w:rFonts w:hint="eastAsia" w:ascii="宋体" w:hAnsi="宋体" w:cs="宋体"/>
          <w:b/>
          <w:bCs/>
          <w:sz w:val="24"/>
          <w:szCs w:val="24"/>
          <w:highlight w:val="none"/>
        </w:rPr>
        <w:t>所有技术参数要求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p>
    <w:p w14:paraId="2C7E471A">
      <w:pPr>
        <w:numPr>
          <w:ilvl w:val="0"/>
          <w:numId w:val="55"/>
        </w:numPr>
        <w:adjustRightInd w:val="0"/>
        <w:snapToGrid w:val="0"/>
        <w:spacing w:before="120" w:beforeLines="50" w:after="120" w:afterLines="50"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2A4CA4C6">
      <w:pPr>
        <w:numPr>
          <w:ilvl w:val="0"/>
          <w:numId w:val="58"/>
        </w:numPr>
        <w:snapToGrid w:val="0"/>
        <w:spacing w:line="360" w:lineRule="auto"/>
        <w:rPr>
          <w:rFonts w:ascii="宋体" w:hAnsi="宋体" w:cs="宋体"/>
          <w:b/>
          <w:bCs/>
          <w:sz w:val="24"/>
          <w:szCs w:val="24"/>
          <w:highlight w:val="none"/>
          <w:lang w:bidi="ar"/>
        </w:rPr>
      </w:pPr>
      <w:r>
        <w:rPr>
          <w:rFonts w:hint="eastAsia" w:ascii="Arial" w:hAnsi="Arial"/>
          <w:b/>
          <w:bCs/>
          <w:sz w:val="24"/>
          <w:szCs w:val="24"/>
          <w:highlight w:val="none"/>
          <w:lang w:bidi="ar"/>
        </w:rPr>
        <w:t>供货</w:t>
      </w:r>
      <w:r>
        <w:rPr>
          <w:rFonts w:hint="eastAsia" w:ascii="宋体" w:hAnsi="宋体" w:cs="宋体"/>
          <w:b/>
          <w:bCs/>
          <w:sz w:val="24"/>
          <w:szCs w:val="24"/>
          <w:highlight w:val="none"/>
          <w:lang w:bidi="ar"/>
        </w:rPr>
        <w:t>、运输及安装调试</w:t>
      </w:r>
    </w:p>
    <w:p w14:paraId="61C11723">
      <w:pPr>
        <w:numPr>
          <w:ilvl w:val="0"/>
          <w:numId w:val="59"/>
        </w:numPr>
        <w:snapToGrid w:val="0"/>
        <w:spacing w:line="360" w:lineRule="auto"/>
        <w:rPr>
          <w:rFonts w:ascii="宋体" w:hAnsi="宋体" w:cs="宋体"/>
          <w:sz w:val="24"/>
          <w:szCs w:val="24"/>
          <w:highlight w:val="none"/>
          <w:lang w:bidi="ar"/>
        </w:rPr>
      </w:pPr>
      <w:r>
        <w:rPr>
          <w:rFonts w:hint="eastAsia" w:ascii="宋体" w:hAnsi="宋体" w:cs="宋体"/>
          <w:highlight w:val="none"/>
        </w:rPr>
        <w:t>★</w:t>
      </w:r>
      <w:r>
        <w:rPr>
          <w:rFonts w:hint="eastAsia" w:ascii="宋体" w:hAnsi="宋体" w:cs="宋体"/>
          <w:sz w:val="24"/>
          <w:szCs w:val="24"/>
          <w:highlight w:val="none"/>
          <w:lang w:bidi="ar"/>
        </w:rPr>
        <w:t>合同签订后90天内完成供货、安装、调试及交付使用。</w:t>
      </w:r>
    </w:p>
    <w:p w14:paraId="33C58113">
      <w:pPr>
        <w:numPr>
          <w:ilvl w:val="0"/>
          <w:numId w:val="59"/>
        </w:numPr>
        <w:snapToGrid w:val="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供应商应将货物送到采购人指定地点，并负责办理运输和装卸、安装调试，费用由供应商负责。</w:t>
      </w:r>
    </w:p>
    <w:p w14:paraId="4690C7FC">
      <w:pPr>
        <w:numPr>
          <w:ilvl w:val="0"/>
          <w:numId w:val="59"/>
        </w:numPr>
        <w:snapToGrid w:val="0"/>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供应商负责按照</w:t>
      </w:r>
      <w:r>
        <w:rPr>
          <w:rFonts w:hint="eastAsia" w:ascii="宋体" w:hAnsi="宋体" w:cs="宋体"/>
          <w:sz w:val="24"/>
          <w:szCs w:val="24"/>
          <w:highlight w:val="none"/>
          <w:lang w:val="en-US" w:eastAsia="zh-CN" w:bidi="ar"/>
        </w:rPr>
        <w:t>采购</w:t>
      </w:r>
      <w:r>
        <w:rPr>
          <w:rFonts w:hint="eastAsia" w:ascii="宋体" w:hAnsi="宋体" w:cs="宋体"/>
          <w:sz w:val="24"/>
          <w:szCs w:val="24"/>
          <w:highlight w:val="none"/>
          <w:lang w:bidi="ar"/>
        </w:rPr>
        <w:t>文件及所签订合同的具体要求及产品数量，将货物运送到用户指定地点，负责设备及系统的安装调试，并经最后验收合格后交付采购方使用。</w:t>
      </w:r>
    </w:p>
    <w:p w14:paraId="2D636E74">
      <w:pPr>
        <w:numPr>
          <w:ilvl w:val="0"/>
          <w:numId w:val="58"/>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质保期服务：</w:t>
      </w:r>
    </w:p>
    <w:p w14:paraId="6C562B90">
      <w:pPr>
        <w:numPr>
          <w:ilvl w:val="0"/>
          <w:numId w:val="60"/>
        </w:numPr>
        <w:snapToGrid w:val="0"/>
        <w:spacing w:line="360" w:lineRule="auto"/>
        <w:ind w:left="0" w:firstLine="425"/>
        <w:rPr>
          <w:rFonts w:ascii="宋体" w:hAnsi="宋体" w:cs="宋体"/>
          <w:sz w:val="24"/>
          <w:szCs w:val="24"/>
          <w:highlight w:val="none"/>
          <w:lang w:bidi="ar"/>
        </w:rPr>
      </w:pPr>
      <w:r>
        <w:rPr>
          <w:rFonts w:hint="eastAsia" w:ascii="宋体" w:hAnsi="宋体" w:cs="宋体"/>
          <w:highlight w:val="none"/>
        </w:rPr>
        <w:t>★</w:t>
      </w:r>
      <w:r>
        <w:rPr>
          <w:rFonts w:hint="eastAsia" w:ascii="宋体" w:hAnsi="宋体" w:cs="宋体"/>
          <w:sz w:val="24"/>
          <w:szCs w:val="24"/>
          <w:highlight w:val="none"/>
          <w:lang w:bidi="ar"/>
        </w:rPr>
        <w:t>提供不少于1年免费质保，质保期从验收报告签署之日算起。</w:t>
      </w:r>
      <w:r>
        <w:rPr>
          <w:rFonts w:hint="eastAsia" w:ascii="宋体" w:hAnsi="宋体" w:cs="宋体"/>
          <w:sz w:val="24"/>
          <w:szCs w:val="24"/>
          <w:highlight w:val="none"/>
          <w:shd w:val="clear" w:color="auto" w:fill="auto"/>
          <w:lang w:bidi="ar"/>
        </w:rPr>
        <w:t>硬件免费质保、软件</w:t>
      </w:r>
      <w:r>
        <w:rPr>
          <w:rFonts w:hint="eastAsia" w:ascii="宋体" w:hAnsi="宋体" w:cs="宋体"/>
          <w:sz w:val="24"/>
          <w:szCs w:val="24"/>
          <w:highlight w:val="none"/>
          <w:shd w:val="clear" w:color="auto" w:fill="auto"/>
          <w:lang w:val="en-US" w:eastAsia="zh-CN" w:bidi="ar"/>
        </w:rPr>
        <w:t>终身</w:t>
      </w:r>
      <w:r>
        <w:rPr>
          <w:rFonts w:hint="eastAsia" w:ascii="宋体" w:hAnsi="宋体" w:cs="宋体"/>
          <w:sz w:val="24"/>
          <w:szCs w:val="24"/>
          <w:highlight w:val="none"/>
          <w:shd w:val="clear" w:color="auto" w:fill="auto"/>
          <w:lang w:bidi="ar"/>
        </w:rPr>
        <w:t>免费升级</w:t>
      </w:r>
      <w:r>
        <w:rPr>
          <w:rFonts w:hint="eastAsia" w:ascii="宋体" w:hAnsi="宋体" w:cs="宋体"/>
          <w:sz w:val="24"/>
          <w:szCs w:val="24"/>
          <w:highlight w:val="none"/>
          <w:shd w:val="clear" w:color="auto" w:fill="auto"/>
          <w:lang w:eastAsia="zh-CN" w:bidi="ar"/>
        </w:rPr>
        <w:t>。</w:t>
      </w:r>
    </w:p>
    <w:p w14:paraId="37C45974">
      <w:pPr>
        <w:numPr>
          <w:ilvl w:val="255"/>
          <w:numId w:val="0"/>
        </w:numPr>
        <w:snapToGrid w:val="0"/>
        <w:spacing w:line="360" w:lineRule="auto"/>
        <w:ind w:left="0" w:firstLine="480" w:firstLineChars="200"/>
        <w:rPr>
          <w:rFonts w:ascii="宋体" w:hAnsi="宋体" w:cs="宋体"/>
          <w:sz w:val="24"/>
          <w:szCs w:val="24"/>
          <w:highlight w:val="none"/>
          <w:lang w:bidi="ar"/>
        </w:rPr>
      </w:pPr>
      <w:r>
        <w:rPr>
          <w:rFonts w:hint="eastAsia" w:ascii="宋体" w:hAnsi="宋体" w:cs="宋体"/>
          <w:sz w:val="24"/>
          <w:szCs w:val="24"/>
          <w:highlight w:val="none"/>
          <w:lang w:bidi="ar"/>
        </w:rPr>
        <w:t>2）在质保期内，成交供应商将对货物出现的质量及安全问题负责处理解决并承担一切费用。</w:t>
      </w:r>
    </w:p>
    <w:p w14:paraId="7FBEEF62">
      <w:pPr>
        <w:pStyle w:val="41"/>
        <w:wordWrap w:val="0"/>
        <w:spacing w:beforeAutospacing="0" w:afterAutospacing="0" w:line="360" w:lineRule="auto"/>
        <w:ind w:firstLine="480" w:firstLineChars="200"/>
        <w:jc w:val="both"/>
        <w:outlineLvl w:val="9"/>
        <w:rPr>
          <w:highlight w:val="none"/>
          <w:shd w:val="clear" w:color="auto" w:fill="FFFFFF"/>
        </w:rPr>
      </w:pPr>
      <w:r>
        <w:rPr>
          <w:rFonts w:hint="eastAsia"/>
          <w:highlight w:val="none"/>
          <w:shd w:val="clear" w:color="auto" w:fill="FFFFFF"/>
        </w:rPr>
        <w:t>3）提供7*24小时售后服务，提供8小时内响应，48小时内解决问题并维修完毕。</w:t>
      </w:r>
    </w:p>
    <w:p w14:paraId="37FC8768">
      <w:pPr>
        <w:pStyle w:val="41"/>
        <w:wordWrap w:val="0"/>
        <w:spacing w:beforeAutospacing="0" w:afterAutospacing="0" w:line="360" w:lineRule="auto"/>
        <w:ind w:firstLine="480" w:firstLineChars="200"/>
        <w:jc w:val="both"/>
        <w:outlineLvl w:val="9"/>
        <w:rPr>
          <w:highlight w:val="none"/>
          <w:shd w:val="clear" w:color="auto" w:fill="FFFFFF"/>
        </w:rPr>
      </w:pPr>
      <w:r>
        <w:rPr>
          <w:rFonts w:hint="eastAsia"/>
          <w:highlight w:val="none"/>
          <w:shd w:val="clear" w:color="auto" w:fill="FFFFFF"/>
        </w:rPr>
        <w:t>4）可以提供免费的应用答疑和集中培训服务。</w:t>
      </w:r>
    </w:p>
    <w:p w14:paraId="12171B51">
      <w:pPr>
        <w:numPr>
          <w:ilvl w:val="0"/>
          <w:numId w:val="58"/>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技术培训</w:t>
      </w:r>
    </w:p>
    <w:p w14:paraId="28BE3610">
      <w:pPr>
        <w:snapToGrid w:val="0"/>
        <w:spacing w:line="360" w:lineRule="auto"/>
        <w:ind w:firstLine="480" w:firstLineChars="200"/>
        <w:textAlignment w:val="baseline"/>
        <w:rPr>
          <w:rFonts w:ascii="宋体" w:hAnsi="宋体" w:cs="宋体"/>
          <w:sz w:val="24"/>
          <w:szCs w:val="24"/>
          <w:highlight w:val="none"/>
          <w:lang w:bidi="ar"/>
        </w:rPr>
      </w:pPr>
      <w:r>
        <w:rPr>
          <w:rFonts w:hint="eastAsia" w:ascii="宋体" w:hAnsi="宋体" w:cs="宋体"/>
          <w:sz w:val="24"/>
          <w:szCs w:val="24"/>
          <w:highlight w:val="none"/>
          <w:lang w:bidi="ar"/>
        </w:rPr>
        <w:t>根据客户的具体需求及实际情况，制定详细的培训计划，免费对采购方使用人员进行不少于 1 天的系统培训，培训内容包括使用操作、维修、保养等，参加人数不限。</w:t>
      </w:r>
    </w:p>
    <w:p w14:paraId="1D81E4A7">
      <w:pPr>
        <w:numPr>
          <w:ilvl w:val="0"/>
          <w:numId w:val="58"/>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知识产权的归属和处理方式</w:t>
      </w:r>
    </w:p>
    <w:p w14:paraId="305221E6">
      <w:pPr>
        <w:adjustRightInd w:val="0"/>
        <w:snapToGrid w:val="0"/>
        <w:spacing w:line="360" w:lineRule="auto"/>
        <w:ind w:firstLine="480" w:firstLineChars="200"/>
        <w:rPr>
          <w:rFonts w:ascii="宋体" w:hAnsi="宋体" w:cs="宋体"/>
          <w:sz w:val="24"/>
          <w:szCs w:val="24"/>
          <w:highlight w:val="none"/>
          <w:lang w:bidi="ar"/>
        </w:rPr>
      </w:pPr>
      <w:r>
        <w:rPr>
          <w:rFonts w:hint="eastAsia" w:ascii="宋体" w:hAnsi="宋体" w:cs="宋体"/>
          <w:sz w:val="24"/>
          <w:szCs w:val="24"/>
          <w:highlight w:val="none"/>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77CB75ED">
      <w:pPr>
        <w:numPr>
          <w:ilvl w:val="0"/>
          <w:numId w:val="58"/>
        </w:numPr>
        <w:snapToGrid w:val="0"/>
        <w:spacing w:line="360" w:lineRule="auto"/>
        <w:rPr>
          <w:rFonts w:ascii="宋体" w:hAnsi="宋体" w:cs="宋体"/>
          <w:b/>
          <w:bCs/>
          <w:sz w:val="24"/>
          <w:szCs w:val="24"/>
          <w:highlight w:val="none"/>
          <w:lang w:bidi="ar"/>
        </w:rPr>
      </w:pPr>
      <w:r>
        <w:rPr>
          <w:rFonts w:hint="eastAsia" w:ascii="宋体" w:hAnsi="宋体" w:cs="宋体"/>
          <w:b/>
          <w:bCs/>
          <w:sz w:val="24"/>
          <w:szCs w:val="24"/>
          <w:highlight w:val="none"/>
          <w:lang w:bidi="ar"/>
        </w:rPr>
        <w:t>支付方式</w:t>
      </w:r>
    </w:p>
    <w:p w14:paraId="04943E99">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5.1如为国产设备：</w:t>
      </w:r>
      <w:r>
        <w:rPr>
          <w:rFonts w:hint="eastAsia" w:ascii="宋体" w:hAnsi="宋体" w:cs="宋体"/>
          <w:sz w:val="24"/>
          <w:szCs w:val="24"/>
          <w:highlight w:val="none"/>
          <w:lang w:val="en-US" w:eastAsia="zh-CN" w:bidi="ar"/>
        </w:rPr>
        <w:t>供应商完成到货安装调试后</w:t>
      </w:r>
      <w:r>
        <w:rPr>
          <w:rFonts w:hint="eastAsia" w:ascii="宋体" w:hAnsi="宋体" w:cs="宋体"/>
          <w:sz w:val="24"/>
          <w:szCs w:val="24"/>
          <w:highlight w:val="none"/>
          <w:lang w:bidi="ar"/>
        </w:rPr>
        <w:t>15天内，进行验收，</w:t>
      </w:r>
      <w:r>
        <w:rPr>
          <w:rFonts w:hint="eastAsia" w:ascii="宋体" w:hAnsi="宋体" w:cs="宋体"/>
          <w:sz w:val="24"/>
          <w:szCs w:val="24"/>
          <w:highlight w:val="none"/>
        </w:rPr>
        <w:t>验收合格后30日内支付合同总价的100%，付款金额不计利息。</w:t>
      </w:r>
    </w:p>
    <w:p w14:paraId="7A8EF155">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若产品存在质量问题，则不受该付款条件约束，应按照合同条款其他要求以及《中华人民共和国民法典》有关规定执行。</w:t>
      </w:r>
    </w:p>
    <w:p w14:paraId="58DD81F7">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5.2如为进口设备：采购人通过受其委托的外贸公司付款，以开具100%不可撤销信用证（L/C）方式进行支付。</w:t>
      </w:r>
    </w:p>
    <w:p w14:paraId="0FED3F97">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45732912">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若产品存在质量问题，则不受该付款条件约束，应按照合同条款其他要求以及《中华人民共和国民法典》有关规定执行。</w:t>
      </w:r>
    </w:p>
    <w:p w14:paraId="795C263D">
      <w:pPr>
        <w:rPr>
          <w:color w:val="000000" w:themeColor="text1"/>
          <w:highlight w:val="none"/>
          <w14:textFill>
            <w14:solidFill>
              <w14:schemeClr w14:val="tx1"/>
            </w14:solidFill>
          </w14:textFill>
        </w:rPr>
      </w:pPr>
    </w:p>
    <w:p w14:paraId="140A7637">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065E33C">
      <w:pPr>
        <w:pStyle w:val="18"/>
        <w:spacing w:line="360" w:lineRule="auto"/>
        <w:ind w:firstLine="480"/>
        <w:rPr>
          <w:color w:val="000000" w:themeColor="text1"/>
          <w:highlight w:val="none"/>
          <w14:textFill>
            <w14:solidFill>
              <w14:schemeClr w14:val="tx1"/>
            </w14:solidFill>
          </w14:textFill>
        </w:rPr>
      </w:pPr>
      <w:bookmarkStart w:id="8" w:name="_Toc513029243"/>
      <w:bookmarkStart w:id="9" w:name="_Toc20823315"/>
      <w:bookmarkStart w:id="10"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0FCB6B09">
      <w:pPr>
        <w:widowControl/>
        <w:snapToGrid w:val="0"/>
        <w:spacing w:before="19" w:line="360" w:lineRule="auto"/>
        <w:ind w:left="-358" w:leftChars="-255" w:right="-334" w:rightChars="-159" w:hanging="177" w:hangingChars="49"/>
        <w:jc w:val="center"/>
        <w:rPr>
          <w:rFonts w:ascii="仿宋_GB2312" w:eastAsia="仿宋_GB2312"/>
          <w:b/>
          <w:sz w:val="36"/>
          <w:highlight w:val="none"/>
        </w:rPr>
      </w:pPr>
      <w:bookmarkStart w:id="11" w:name="_Hlt16619369"/>
      <w:bookmarkEnd w:id="11"/>
      <w:r>
        <w:rPr>
          <w:rFonts w:hint="eastAsia" w:ascii="仿宋_GB2312" w:eastAsia="仿宋_GB2312"/>
          <w:b/>
          <w:sz w:val="36"/>
          <w:highlight w:val="none"/>
        </w:rPr>
        <w:t>南京邮电大学采购合同</w:t>
      </w:r>
    </w:p>
    <w:p w14:paraId="09D60407">
      <w:pPr>
        <w:spacing w:line="360" w:lineRule="auto"/>
        <w:rPr>
          <w:rFonts w:ascii="宋体" w:hAnsi="宋体"/>
          <w:szCs w:val="21"/>
          <w:highlight w:val="none"/>
        </w:rPr>
      </w:pPr>
      <w:r>
        <w:rPr>
          <w:rFonts w:hint="eastAsia" w:ascii="宋体" w:hAnsi="宋体"/>
          <w:szCs w:val="21"/>
          <w:highlight w:val="none"/>
        </w:rPr>
        <w:t>甲方：南京邮电大学                             签订地点：南京邮电大学</w:t>
      </w:r>
    </w:p>
    <w:p w14:paraId="72652627">
      <w:pPr>
        <w:widowControl/>
        <w:snapToGrid w:val="0"/>
        <w:spacing w:before="19" w:line="360" w:lineRule="auto"/>
        <w:rPr>
          <w:rFonts w:ascii="宋体" w:hAnsi="宋体"/>
          <w:szCs w:val="21"/>
          <w:highlight w:val="none"/>
        </w:rPr>
      </w:pPr>
      <w:r>
        <w:rPr>
          <w:rFonts w:hint="eastAsia" w:ascii="宋体" w:hAnsi="宋体"/>
          <w:szCs w:val="21"/>
          <w:highlight w:val="none"/>
        </w:rPr>
        <w:t xml:space="preserve">乙方：                                          </w:t>
      </w:r>
    </w:p>
    <w:p w14:paraId="2D75AD6A">
      <w:pPr>
        <w:widowControl/>
        <w:snapToGrid w:val="0"/>
        <w:spacing w:before="19" w:line="360" w:lineRule="auto"/>
        <w:rPr>
          <w:rFonts w:ascii="宋体" w:hAnsi="宋体"/>
          <w:szCs w:val="21"/>
          <w:highlight w:val="none"/>
        </w:rPr>
      </w:pPr>
      <w:r>
        <w:rPr>
          <w:rFonts w:hint="eastAsia" w:ascii="宋体" w:hAnsi="宋体"/>
          <w:szCs w:val="21"/>
          <w:highlight w:val="none"/>
        </w:rPr>
        <w:t xml:space="preserve">    甲乙双方根据</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项目采购结果，依据《中华人民共和国民法典》合同编及相关法律规定，达成如下货物购销合同:</w:t>
      </w:r>
    </w:p>
    <w:p w14:paraId="168A901B">
      <w:pPr>
        <w:widowControl/>
        <w:snapToGrid w:val="0"/>
        <w:spacing w:before="19" w:line="360" w:lineRule="auto"/>
        <w:rPr>
          <w:rFonts w:ascii="宋体" w:hAnsi="宋体"/>
          <w:szCs w:val="21"/>
          <w:highlight w:val="none"/>
        </w:rPr>
      </w:pPr>
      <w:r>
        <w:rPr>
          <w:rFonts w:hint="eastAsia" w:ascii="宋体" w:hAnsi="宋体"/>
          <w:szCs w:val="21"/>
          <w:highlight w:val="none"/>
        </w:rPr>
        <w:t>一、货物及其数量、金额：</w:t>
      </w:r>
    </w:p>
    <w:tbl>
      <w:tblPr>
        <w:tblStyle w:val="46"/>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5E9B9C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5CC7120E">
            <w:pPr>
              <w:snapToGrid w:val="0"/>
              <w:spacing w:line="360" w:lineRule="auto"/>
              <w:jc w:val="center"/>
              <w:rPr>
                <w:rFonts w:ascii="宋体" w:hAnsi="宋体"/>
                <w:b/>
                <w:szCs w:val="21"/>
                <w:highlight w:val="none"/>
              </w:rPr>
            </w:pPr>
            <w:r>
              <w:rPr>
                <w:rFonts w:hint="eastAsia" w:ascii="宋体" w:hAnsi="宋体"/>
                <w:b/>
                <w:szCs w:val="21"/>
                <w:highlight w:val="none"/>
              </w:rPr>
              <w:t>编号</w:t>
            </w:r>
          </w:p>
        </w:tc>
        <w:tc>
          <w:tcPr>
            <w:tcW w:w="1260" w:type="dxa"/>
            <w:tcBorders>
              <w:top w:val="single" w:color="auto" w:sz="18" w:space="0"/>
              <w:bottom w:val="single" w:color="auto" w:sz="18" w:space="0"/>
            </w:tcBorders>
            <w:shd w:val="pct10" w:color="auto" w:fill="FFFFFF"/>
            <w:vAlign w:val="center"/>
          </w:tcPr>
          <w:p w14:paraId="5C0C9068">
            <w:pPr>
              <w:snapToGrid w:val="0"/>
              <w:spacing w:line="360" w:lineRule="auto"/>
              <w:jc w:val="center"/>
              <w:rPr>
                <w:rFonts w:ascii="宋体" w:hAnsi="宋体"/>
                <w:b/>
                <w:szCs w:val="21"/>
                <w:highlight w:val="none"/>
              </w:rPr>
            </w:pPr>
            <w:r>
              <w:rPr>
                <w:rFonts w:hint="eastAsia" w:ascii="宋体" w:hAnsi="宋体"/>
                <w:b/>
                <w:szCs w:val="21"/>
                <w:highlight w:val="none"/>
              </w:rPr>
              <w:t>货物名称</w:t>
            </w:r>
          </w:p>
        </w:tc>
        <w:tc>
          <w:tcPr>
            <w:tcW w:w="4320" w:type="dxa"/>
            <w:tcBorders>
              <w:top w:val="single" w:color="auto" w:sz="18" w:space="0"/>
              <w:bottom w:val="single" w:color="auto" w:sz="18" w:space="0"/>
            </w:tcBorders>
            <w:shd w:val="pct10" w:color="auto" w:fill="FFFFFF"/>
            <w:vAlign w:val="center"/>
          </w:tcPr>
          <w:p w14:paraId="690CC025">
            <w:pPr>
              <w:snapToGrid w:val="0"/>
              <w:spacing w:line="360" w:lineRule="auto"/>
              <w:jc w:val="center"/>
              <w:rPr>
                <w:rFonts w:ascii="宋体" w:hAnsi="宋体"/>
                <w:b/>
                <w:szCs w:val="21"/>
                <w:highlight w:val="none"/>
              </w:rPr>
            </w:pPr>
            <w:r>
              <w:rPr>
                <w:rFonts w:hint="eastAsia" w:ascii="宋体" w:hAnsi="宋体"/>
                <w:b/>
                <w:szCs w:val="21"/>
                <w:highlight w:val="none"/>
              </w:rPr>
              <w:t>规</w:t>
            </w:r>
            <w:r>
              <w:rPr>
                <w:rFonts w:ascii="宋体" w:hAnsi="宋体"/>
                <w:b/>
                <w:szCs w:val="21"/>
                <w:highlight w:val="none"/>
              </w:rPr>
              <w:t xml:space="preserve"> </w:t>
            </w:r>
            <w:r>
              <w:rPr>
                <w:rFonts w:hint="eastAsia" w:ascii="宋体" w:hAnsi="宋体"/>
                <w:b/>
                <w:szCs w:val="21"/>
                <w:highlight w:val="none"/>
              </w:rPr>
              <w:t>格</w:t>
            </w:r>
            <w:r>
              <w:rPr>
                <w:rFonts w:ascii="宋体" w:hAnsi="宋体"/>
                <w:b/>
                <w:szCs w:val="21"/>
                <w:highlight w:val="none"/>
              </w:rPr>
              <w:t xml:space="preserve"> </w:t>
            </w:r>
            <w:r>
              <w:rPr>
                <w:rFonts w:hint="eastAsia" w:ascii="宋体" w:hAnsi="宋体"/>
                <w:b/>
                <w:szCs w:val="21"/>
                <w:highlight w:val="none"/>
              </w:rPr>
              <w:t>型</w:t>
            </w:r>
            <w:r>
              <w:rPr>
                <w:rFonts w:ascii="宋体" w:hAnsi="宋体"/>
                <w:b/>
                <w:szCs w:val="21"/>
                <w:highlight w:val="none"/>
              </w:rPr>
              <w:t xml:space="preserve"> </w:t>
            </w:r>
            <w:r>
              <w:rPr>
                <w:rFonts w:hint="eastAsia" w:ascii="宋体" w:hAnsi="宋体"/>
                <w:b/>
                <w:szCs w:val="21"/>
                <w:highlight w:val="none"/>
              </w:rPr>
              <w:t>号（品牌）</w:t>
            </w:r>
          </w:p>
        </w:tc>
        <w:tc>
          <w:tcPr>
            <w:tcW w:w="1080" w:type="dxa"/>
            <w:tcBorders>
              <w:top w:val="single" w:color="auto" w:sz="18" w:space="0"/>
              <w:bottom w:val="single" w:color="auto" w:sz="18" w:space="0"/>
            </w:tcBorders>
            <w:shd w:val="pct10" w:color="auto" w:fill="FFFFFF"/>
            <w:vAlign w:val="center"/>
          </w:tcPr>
          <w:p w14:paraId="29342788">
            <w:pPr>
              <w:snapToGrid w:val="0"/>
              <w:spacing w:line="360" w:lineRule="auto"/>
              <w:jc w:val="center"/>
              <w:rPr>
                <w:rFonts w:ascii="宋体" w:hAnsi="宋体"/>
                <w:b/>
                <w:szCs w:val="21"/>
                <w:highlight w:val="none"/>
              </w:rPr>
            </w:pPr>
            <w:r>
              <w:rPr>
                <w:rFonts w:hint="eastAsia" w:ascii="宋体" w:hAnsi="宋体"/>
                <w:b/>
                <w:szCs w:val="21"/>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0DD48F3">
            <w:pPr>
              <w:snapToGrid w:val="0"/>
              <w:spacing w:line="360" w:lineRule="auto"/>
              <w:jc w:val="center"/>
              <w:rPr>
                <w:rFonts w:ascii="宋体" w:hAnsi="宋体"/>
                <w:b/>
                <w:szCs w:val="21"/>
                <w:highlight w:val="none"/>
              </w:rPr>
            </w:pPr>
            <w:r>
              <w:rPr>
                <w:rFonts w:hint="eastAsia" w:ascii="宋体" w:hAnsi="宋体"/>
                <w:b/>
                <w:szCs w:val="21"/>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4446320">
            <w:pPr>
              <w:widowControl/>
              <w:spacing w:line="360" w:lineRule="auto"/>
              <w:jc w:val="left"/>
              <w:rPr>
                <w:rFonts w:ascii="宋体" w:hAnsi="宋体"/>
                <w:b/>
                <w:szCs w:val="21"/>
                <w:highlight w:val="none"/>
              </w:rPr>
            </w:pPr>
            <w:r>
              <w:rPr>
                <w:rFonts w:hint="eastAsia" w:ascii="宋体" w:hAnsi="宋体"/>
                <w:b/>
                <w:szCs w:val="21"/>
                <w:highlight w:val="none"/>
              </w:rPr>
              <w:t>总价（元）</w:t>
            </w:r>
          </w:p>
        </w:tc>
      </w:tr>
      <w:tr w14:paraId="752E5B8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2BFF38D">
            <w:pPr>
              <w:snapToGrid w:val="0"/>
              <w:spacing w:line="360" w:lineRule="auto"/>
              <w:rPr>
                <w:rFonts w:ascii="宋体" w:hAnsi="宋体"/>
                <w:b/>
                <w:szCs w:val="21"/>
                <w:highlight w:val="none"/>
              </w:rPr>
            </w:pPr>
            <w:r>
              <w:rPr>
                <w:rFonts w:hint="eastAsia" w:ascii="宋体" w:hAnsi="宋体"/>
                <w:b/>
                <w:szCs w:val="21"/>
                <w:highlight w:val="none"/>
              </w:rPr>
              <w:t>1</w:t>
            </w:r>
          </w:p>
        </w:tc>
        <w:tc>
          <w:tcPr>
            <w:tcW w:w="1260" w:type="dxa"/>
            <w:tcBorders>
              <w:top w:val="nil"/>
              <w:bottom w:val="single" w:color="auto" w:sz="4" w:space="0"/>
            </w:tcBorders>
            <w:vAlign w:val="center"/>
          </w:tcPr>
          <w:p w14:paraId="68EF2FDA">
            <w:pPr>
              <w:snapToGrid w:val="0"/>
              <w:spacing w:line="360" w:lineRule="auto"/>
              <w:jc w:val="center"/>
              <w:rPr>
                <w:rFonts w:ascii="宋体" w:hAnsi="宋体"/>
                <w:szCs w:val="21"/>
                <w:highlight w:val="none"/>
              </w:rPr>
            </w:pPr>
          </w:p>
        </w:tc>
        <w:tc>
          <w:tcPr>
            <w:tcW w:w="4320" w:type="dxa"/>
            <w:tcBorders>
              <w:top w:val="nil"/>
              <w:bottom w:val="single" w:color="auto" w:sz="4" w:space="0"/>
            </w:tcBorders>
            <w:vAlign w:val="center"/>
          </w:tcPr>
          <w:p w14:paraId="3B0BB0E9">
            <w:pPr>
              <w:spacing w:line="360" w:lineRule="auto"/>
              <w:rPr>
                <w:rFonts w:ascii="宋体" w:hAnsi="宋体" w:cs="宋体"/>
                <w:color w:val="000000"/>
                <w:szCs w:val="21"/>
                <w:highlight w:val="none"/>
              </w:rPr>
            </w:pPr>
          </w:p>
        </w:tc>
        <w:tc>
          <w:tcPr>
            <w:tcW w:w="1080" w:type="dxa"/>
            <w:tcBorders>
              <w:top w:val="nil"/>
              <w:bottom w:val="single" w:color="auto" w:sz="4" w:space="0"/>
            </w:tcBorders>
            <w:vAlign w:val="center"/>
          </w:tcPr>
          <w:p w14:paraId="4A8EB801">
            <w:pPr>
              <w:snapToGrid w:val="0"/>
              <w:spacing w:line="360" w:lineRule="auto"/>
              <w:ind w:firstLine="103" w:firstLineChars="49"/>
              <w:rPr>
                <w:rFonts w:ascii="宋体" w:hAnsi="宋体"/>
                <w:b/>
                <w:szCs w:val="21"/>
                <w:highlight w:val="none"/>
              </w:rPr>
            </w:pPr>
          </w:p>
        </w:tc>
        <w:tc>
          <w:tcPr>
            <w:tcW w:w="1080" w:type="dxa"/>
            <w:tcBorders>
              <w:top w:val="nil"/>
              <w:bottom w:val="single" w:color="auto" w:sz="4" w:space="0"/>
              <w:right w:val="single" w:color="auto" w:sz="4" w:space="0"/>
            </w:tcBorders>
            <w:vAlign w:val="center"/>
          </w:tcPr>
          <w:p w14:paraId="6035E4A4">
            <w:pPr>
              <w:spacing w:line="360" w:lineRule="auto"/>
              <w:jc w:val="center"/>
              <w:rPr>
                <w:rFonts w:ascii="宋体" w:hAnsi="宋体"/>
                <w:b/>
                <w:szCs w:val="21"/>
                <w:highlight w:val="none"/>
              </w:rPr>
            </w:pPr>
          </w:p>
        </w:tc>
        <w:tc>
          <w:tcPr>
            <w:tcW w:w="1260" w:type="dxa"/>
            <w:tcBorders>
              <w:top w:val="nil"/>
              <w:bottom w:val="single" w:color="auto" w:sz="4" w:space="0"/>
              <w:right w:val="single" w:color="auto" w:sz="4" w:space="0"/>
            </w:tcBorders>
            <w:vAlign w:val="center"/>
          </w:tcPr>
          <w:p w14:paraId="0E913F19">
            <w:pPr>
              <w:spacing w:line="360" w:lineRule="auto"/>
              <w:rPr>
                <w:rFonts w:ascii="宋体" w:hAnsi="宋体"/>
                <w:szCs w:val="21"/>
                <w:highlight w:val="none"/>
              </w:rPr>
            </w:pPr>
          </w:p>
        </w:tc>
      </w:tr>
      <w:tr w14:paraId="7756E2D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0E7B1647">
            <w:pPr>
              <w:snapToGrid w:val="0"/>
              <w:spacing w:line="360" w:lineRule="auto"/>
              <w:rPr>
                <w:rFonts w:ascii="宋体" w:hAnsi="宋体"/>
                <w:b/>
                <w:szCs w:val="21"/>
                <w:highlight w:val="none"/>
              </w:rPr>
            </w:pPr>
            <w:r>
              <w:rPr>
                <w:rFonts w:hint="eastAsia" w:ascii="宋体" w:hAnsi="宋体"/>
                <w:b/>
                <w:szCs w:val="21"/>
                <w:highlight w:val="none"/>
              </w:rPr>
              <w:t>2</w:t>
            </w:r>
          </w:p>
        </w:tc>
        <w:tc>
          <w:tcPr>
            <w:tcW w:w="1260" w:type="dxa"/>
            <w:tcBorders>
              <w:top w:val="single" w:color="auto" w:sz="4" w:space="0"/>
              <w:bottom w:val="single" w:color="auto" w:sz="4" w:space="0"/>
            </w:tcBorders>
            <w:vAlign w:val="center"/>
          </w:tcPr>
          <w:p w14:paraId="2312648E">
            <w:pPr>
              <w:snapToGrid w:val="0"/>
              <w:spacing w:line="360" w:lineRule="auto"/>
              <w:jc w:val="center"/>
              <w:rPr>
                <w:rFonts w:ascii="宋体" w:hAnsi="宋体"/>
                <w:szCs w:val="21"/>
                <w:highlight w:val="none"/>
              </w:rPr>
            </w:pPr>
          </w:p>
        </w:tc>
        <w:tc>
          <w:tcPr>
            <w:tcW w:w="4320" w:type="dxa"/>
            <w:tcBorders>
              <w:top w:val="single" w:color="auto" w:sz="4" w:space="0"/>
              <w:bottom w:val="single" w:color="auto" w:sz="4" w:space="0"/>
            </w:tcBorders>
            <w:vAlign w:val="center"/>
          </w:tcPr>
          <w:p w14:paraId="13A86F5C">
            <w:pPr>
              <w:spacing w:line="360" w:lineRule="auto"/>
              <w:rPr>
                <w:rFonts w:ascii="宋体" w:hAnsi="宋体"/>
                <w:b/>
                <w:szCs w:val="21"/>
                <w:highlight w:val="none"/>
              </w:rPr>
            </w:pPr>
          </w:p>
        </w:tc>
        <w:tc>
          <w:tcPr>
            <w:tcW w:w="1080" w:type="dxa"/>
            <w:tcBorders>
              <w:top w:val="single" w:color="auto" w:sz="4" w:space="0"/>
              <w:bottom w:val="single" w:color="auto" w:sz="4" w:space="0"/>
            </w:tcBorders>
            <w:vAlign w:val="center"/>
          </w:tcPr>
          <w:p w14:paraId="3FC4D2BF">
            <w:pPr>
              <w:snapToGrid w:val="0"/>
              <w:spacing w:line="360" w:lineRule="auto"/>
              <w:ind w:firstLine="103" w:firstLineChars="49"/>
              <w:rPr>
                <w:rFonts w:ascii="宋体" w:hAnsi="宋体"/>
                <w:b/>
                <w:szCs w:val="21"/>
                <w:highlight w:val="none"/>
              </w:rPr>
            </w:pPr>
          </w:p>
        </w:tc>
        <w:tc>
          <w:tcPr>
            <w:tcW w:w="1080" w:type="dxa"/>
            <w:tcBorders>
              <w:top w:val="single" w:color="auto" w:sz="4" w:space="0"/>
              <w:bottom w:val="single" w:color="auto" w:sz="4" w:space="0"/>
              <w:right w:val="single" w:color="auto" w:sz="4" w:space="0"/>
            </w:tcBorders>
            <w:vAlign w:val="center"/>
          </w:tcPr>
          <w:p w14:paraId="7CD5B74F">
            <w:pPr>
              <w:snapToGrid w:val="0"/>
              <w:spacing w:line="360" w:lineRule="auto"/>
              <w:ind w:firstLine="103" w:firstLineChars="49"/>
              <w:rPr>
                <w:rFonts w:ascii="宋体" w:hAnsi="宋体"/>
                <w:b/>
                <w:szCs w:val="21"/>
                <w:highlight w:val="none"/>
              </w:rPr>
            </w:pPr>
          </w:p>
        </w:tc>
        <w:tc>
          <w:tcPr>
            <w:tcW w:w="1260" w:type="dxa"/>
            <w:tcBorders>
              <w:top w:val="single" w:color="auto" w:sz="4" w:space="0"/>
              <w:bottom w:val="single" w:color="auto" w:sz="4" w:space="0"/>
              <w:right w:val="single" w:color="auto" w:sz="4" w:space="0"/>
            </w:tcBorders>
            <w:vAlign w:val="center"/>
          </w:tcPr>
          <w:p w14:paraId="2DE64E4E">
            <w:pPr>
              <w:spacing w:line="360" w:lineRule="auto"/>
              <w:rPr>
                <w:rFonts w:ascii="宋体" w:hAnsi="宋体"/>
                <w:szCs w:val="21"/>
                <w:highlight w:val="none"/>
              </w:rPr>
            </w:pPr>
          </w:p>
        </w:tc>
      </w:tr>
      <w:tr w14:paraId="5DBF4B2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B4A6B5D">
            <w:pPr>
              <w:snapToGrid w:val="0"/>
              <w:spacing w:line="360" w:lineRule="auto"/>
              <w:rPr>
                <w:rFonts w:ascii="宋体" w:hAnsi="宋体"/>
                <w:b/>
                <w:szCs w:val="21"/>
                <w:highlight w:val="none"/>
              </w:rPr>
            </w:pPr>
            <w:r>
              <w:rPr>
                <w:rFonts w:hint="eastAsia" w:ascii="宋体" w:hAnsi="宋体"/>
                <w:b/>
                <w:szCs w:val="21"/>
                <w:highlight w:val="none"/>
              </w:rPr>
              <w:t>3</w:t>
            </w:r>
          </w:p>
        </w:tc>
        <w:tc>
          <w:tcPr>
            <w:tcW w:w="1260" w:type="dxa"/>
            <w:tcBorders>
              <w:top w:val="single" w:color="auto" w:sz="4" w:space="0"/>
              <w:bottom w:val="single" w:color="auto" w:sz="4" w:space="0"/>
            </w:tcBorders>
            <w:vAlign w:val="center"/>
          </w:tcPr>
          <w:p w14:paraId="5105AD6B">
            <w:pPr>
              <w:snapToGrid w:val="0"/>
              <w:spacing w:line="360" w:lineRule="auto"/>
              <w:jc w:val="center"/>
              <w:rPr>
                <w:rFonts w:ascii="宋体" w:hAnsi="宋体"/>
                <w:szCs w:val="21"/>
                <w:highlight w:val="none"/>
              </w:rPr>
            </w:pPr>
          </w:p>
        </w:tc>
        <w:tc>
          <w:tcPr>
            <w:tcW w:w="4320" w:type="dxa"/>
            <w:tcBorders>
              <w:top w:val="single" w:color="auto" w:sz="4" w:space="0"/>
              <w:bottom w:val="single" w:color="auto" w:sz="4" w:space="0"/>
            </w:tcBorders>
            <w:vAlign w:val="center"/>
          </w:tcPr>
          <w:p w14:paraId="61DACB85">
            <w:pPr>
              <w:spacing w:line="360" w:lineRule="auto"/>
              <w:rPr>
                <w:rFonts w:ascii="宋体" w:hAnsi="宋体"/>
                <w:b/>
                <w:szCs w:val="21"/>
                <w:highlight w:val="none"/>
              </w:rPr>
            </w:pPr>
          </w:p>
        </w:tc>
        <w:tc>
          <w:tcPr>
            <w:tcW w:w="1080" w:type="dxa"/>
            <w:tcBorders>
              <w:top w:val="single" w:color="auto" w:sz="4" w:space="0"/>
              <w:bottom w:val="single" w:color="auto" w:sz="4" w:space="0"/>
            </w:tcBorders>
            <w:vAlign w:val="center"/>
          </w:tcPr>
          <w:p w14:paraId="21BE8B81">
            <w:pPr>
              <w:snapToGrid w:val="0"/>
              <w:spacing w:line="360" w:lineRule="auto"/>
              <w:ind w:firstLine="103" w:firstLineChars="49"/>
              <w:rPr>
                <w:rFonts w:ascii="宋体" w:hAnsi="宋体"/>
                <w:b/>
                <w:szCs w:val="21"/>
                <w:highlight w:val="none"/>
              </w:rPr>
            </w:pPr>
          </w:p>
        </w:tc>
        <w:tc>
          <w:tcPr>
            <w:tcW w:w="1080" w:type="dxa"/>
            <w:tcBorders>
              <w:top w:val="single" w:color="auto" w:sz="4" w:space="0"/>
              <w:bottom w:val="single" w:color="auto" w:sz="4" w:space="0"/>
              <w:right w:val="single" w:color="auto" w:sz="4" w:space="0"/>
            </w:tcBorders>
            <w:vAlign w:val="center"/>
          </w:tcPr>
          <w:p w14:paraId="25FA93B4">
            <w:pPr>
              <w:snapToGrid w:val="0"/>
              <w:spacing w:line="360" w:lineRule="auto"/>
              <w:ind w:firstLine="103" w:firstLineChars="49"/>
              <w:rPr>
                <w:rFonts w:ascii="宋体" w:hAnsi="宋体"/>
                <w:b/>
                <w:szCs w:val="21"/>
                <w:highlight w:val="none"/>
              </w:rPr>
            </w:pPr>
          </w:p>
        </w:tc>
        <w:tc>
          <w:tcPr>
            <w:tcW w:w="1260" w:type="dxa"/>
            <w:tcBorders>
              <w:top w:val="single" w:color="auto" w:sz="4" w:space="0"/>
              <w:bottom w:val="single" w:color="auto" w:sz="4" w:space="0"/>
              <w:right w:val="single" w:color="auto" w:sz="4" w:space="0"/>
            </w:tcBorders>
            <w:vAlign w:val="center"/>
          </w:tcPr>
          <w:p w14:paraId="190130F1">
            <w:pPr>
              <w:spacing w:line="360" w:lineRule="auto"/>
              <w:rPr>
                <w:rFonts w:ascii="宋体" w:hAnsi="宋体"/>
                <w:szCs w:val="21"/>
                <w:highlight w:val="none"/>
              </w:rPr>
            </w:pPr>
          </w:p>
        </w:tc>
      </w:tr>
      <w:tr w14:paraId="3FBA441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EB289C2">
            <w:pPr>
              <w:spacing w:line="360" w:lineRule="auto"/>
              <w:rPr>
                <w:rFonts w:ascii="宋体" w:hAnsi="宋体"/>
                <w:szCs w:val="21"/>
                <w:highlight w:val="none"/>
              </w:rPr>
            </w:pPr>
            <w:r>
              <w:rPr>
                <w:rFonts w:hint="eastAsia" w:ascii="宋体" w:hAnsi="宋体"/>
                <w:b/>
                <w:szCs w:val="21"/>
                <w:highlight w:val="none"/>
              </w:rPr>
              <w:t xml:space="preserve">总价（人民币大写）：                                     </w:t>
            </w:r>
            <w:r>
              <w:rPr>
                <w:rFonts w:hint="eastAsia" w:ascii="宋体" w:hAnsi="宋体"/>
                <w:szCs w:val="21"/>
                <w:highlight w:val="none"/>
              </w:rPr>
              <w:t>合计（小写）：        元</w:t>
            </w:r>
          </w:p>
          <w:p w14:paraId="725B9D9B">
            <w:pPr>
              <w:spacing w:line="360" w:lineRule="auto"/>
              <w:rPr>
                <w:rFonts w:ascii="宋体" w:hAnsi="宋体"/>
                <w:szCs w:val="21"/>
                <w:highlight w:val="none"/>
              </w:rPr>
            </w:pPr>
            <w:r>
              <w:rPr>
                <w:rFonts w:hint="eastAsia" w:ascii="宋体" w:hAnsi="宋体"/>
                <w:szCs w:val="21"/>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56461D25">
      <w:pPr>
        <w:widowControl/>
        <w:numPr>
          <w:ilvl w:val="0"/>
          <w:numId w:val="61"/>
        </w:numPr>
        <w:snapToGrid w:val="0"/>
        <w:spacing w:before="19" w:line="360" w:lineRule="auto"/>
        <w:rPr>
          <w:rFonts w:ascii="宋体" w:hAnsi="宋体"/>
          <w:szCs w:val="21"/>
          <w:highlight w:val="none"/>
          <w:u w:val="single"/>
        </w:rPr>
      </w:pPr>
      <w:r>
        <w:rPr>
          <w:rFonts w:hint="eastAsia" w:ascii="宋体" w:hAnsi="宋体"/>
          <w:szCs w:val="21"/>
          <w:highlight w:val="none"/>
        </w:rPr>
        <w:t>交货时间：</w:t>
      </w:r>
      <w:r>
        <w:rPr>
          <w:rFonts w:hint="eastAsia" w:ascii="宋体" w:hAnsi="宋体"/>
          <w:szCs w:val="21"/>
          <w:highlight w:val="none"/>
          <w:u w:val="single"/>
        </w:rPr>
        <w:t xml:space="preserve"> 合同签订后90天内完成供货、安装、调试及交付使用。</w:t>
      </w:r>
    </w:p>
    <w:p w14:paraId="42DE74BA">
      <w:pPr>
        <w:widowControl/>
        <w:snapToGrid w:val="0"/>
        <w:spacing w:before="19" w:line="360" w:lineRule="auto"/>
        <w:rPr>
          <w:rFonts w:ascii="宋体" w:hAnsi="宋体"/>
          <w:szCs w:val="21"/>
          <w:highlight w:val="none"/>
        </w:rPr>
      </w:pPr>
      <w:r>
        <w:rPr>
          <w:rFonts w:hint="eastAsia" w:ascii="宋体" w:hAnsi="宋体"/>
          <w:szCs w:val="21"/>
          <w:highlight w:val="none"/>
        </w:rPr>
        <w:t>三、交货地点：由乙方负责运输至</w:t>
      </w:r>
      <w:r>
        <w:rPr>
          <w:rFonts w:hint="eastAsia" w:ascii="宋体" w:hAnsi="宋体"/>
          <w:szCs w:val="21"/>
          <w:highlight w:val="none"/>
          <w:u w:val="single"/>
        </w:rPr>
        <w:t>甲方指定地点。</w:t>
      </w:r>
    </w:p>
    <w:p w14:paraId="625C5354">
      <w:pPr>
        <w:widowControl/>
        <w:snapToGrid w:val="0"/>
        <w:spacing w:before="19" w:line="360" w:lineRule="auto"/>
        <w:rPr>
          <w:rFonts w:ascii="宋体" w:hAnsi="宋体"/>
          <w:szCs w:val="21"/>
          <w:highlight w:val="none"/>
          <w:u w:val="single"/>
        </w:rPr>
      </w:pPr>
      <w:r>
        <w:rPr>
          <w:rFonts w:hint="eastAsia" w:ascii="宋体" w:hAnsi="宋体"/>
          <w:szCs w:val="21"/>
          <w:highlight w:val="none"/>
        </w:rPr>
        <w:t>四、付款方式：</w:t>
      </w:r>
      <w:r>
        <w:rPr>
          <w:rFonts w:hint="eastAsia" w:ascii="宋体" w:hAnsi="宋体" w:cs="宋体"/>
          <w:sz w:val="24"/>
          <w:szCs w:val="24"/>
          <w:highlight w:val="none"/>
          <w:lang w:val="en-US" w:eastAsia="zh-CN" w:bidi="ar"/>
        </w:rPr>
        <w:t>供应商完成到货安装调试后</w:t>
      </w:r>
      <w:r>
        <w:rPr>
          <w:rFonts w:hint="eastAsia" w:ascii="宋体" w:hAnsi="宋体" w:cs="宋体"/>
          <w:sz w:val="24"/>
          <w:szCs w:val="24"/>
          <w:highlight w:val="none"/>
          <w:lang w:bidi="ar"/>
        </w:rPr>
        <w:t>15天内，进行验收，</w:t>
      </w:r>
      <w:r>
        <w:rPr>
          <w:rFonts w:hint="eastAsia" w:ascii="宋体" w:hAnsi="宋体" w:cs="宋体"/>
          <w:sz w:val="24"/>
          <w:szCs w:val="24"/>
          <w:highlight w:val="none"/>
        </w:rPr>
        <w:t>验收合格后30日内支付合同总价的100%</w:t>
      </w:r>
      <w:r>
        <w:rPr>
          <w:rFonts w:hint="eastAsia" w:ascii="宋体" w:hAnsi="宋体" w:cs="宋体"/>
          <w:sz w:val="24"/>
          <w:szCs w:val="24"/>
          <w:highlight w:val="none"/>
          <w:lang w:eastAsia="zh-CN"/>
        </w:rPr>
        <w:t>，</w:t>
      </w:r>
      <w:r>
        <w:rPr>
          <w:rFonts w:hint="eastAsia" w:ascii="宋体" w:hAnsi="宋体"/>
          <w:szCs w:val="21"/>
          <w:highlight w:val="none"/>
        </w:rPr>
        <w:t>付款金额不计利息。</w:t>
      </w:r>
    </w:p>
    <w:p w14:paraId="4AC22CCD">
      <w:pPr>
        <w:widowControl/>
        <w:snapToGrid w:val="0"/>
        <w:spacing w:before="19" w:line="360" w:lineRule="auto"/>
        <w:rPr>
          <w:rFonts w:ascii="宋体" w:hAnsi="宋体"/>
          <w:szCs w:val="21"/>
          <w:highlight w:val="none"/>
        </w:rPr>
      </w:pPr>
      <w:r>
        <w:rPr>
          <w:rFonts w:hint="eastAsia" w:ascii="宋体" w:hAnsi="宋体"/>
          <w:szCs w:val="21"/>
          <w:highlight w:val="none"/>
        </w:rPr>
        <w:t>五、质保期：</w:t>
      </w:r>
      <w:r>
        <w:rPr>
          <w:rFonts w:hint="eastAsia" w:ascii="宋体" w:hAnsi="宋体"/>
          <w:szCs w:val="21"/>
          <w:highlight w:val="none"/>
          <w:u w:val="single"/>
        </w:rPr>
        <w:t xml:space="preserve">   个月（</w:t>
      </w:r>
      <w:r>
        <w:rPr>
          <w:rFonts w:hint="eastAsia" w:ascii="宋体" w:hAnsi="宋体"/>
          <w:szCs w:val="21"/>
          <w:highlight w:val="none"/>
        </w:rPr>
        <w:t>自验收合格之日起计。所有货物保修服务方式均为乙方派员到货物使用现场维修，由此产生的一切费用均由乙方承担。）</w:t>
      </w:r>
    </w:p>
    <w:p w14:paraId="163D97E8">
      <w:pPr>
        <w:widowControl/>
        <w:snapToGrid w:val="0"/>
        <w:spacing w:before="19" w:line="360" w:lineRule="auto"/>
        <w:rPr>
          <w:rFonts w:ascii="宋体" w:hAnsi="宋体"/>
          <w:szCs w:val="21"/>
          <w:highlight w:val="none"/>
        </w:rPr>
      </w:pPr>
      <w:r>
        <w:rPr>
          <w:rFonts w:hint="eastAsia" w:ascii="宋体" w:hAnsi="宋体"/>
          <w:szCs w:val="21"/>
          <w:highlight w:val="none"/>
        </w:rPr>
        <w:t>六、质量要求、技术标准、乙方对质量负责的条件和期限：</w:t>
      </w:r>
    </w:p>
    <w:p w14:paraId="53F9542E">
      <w:pPr>
        <w:widowControl/>
        <w:snapToGrid w:val="0"/>
        <w:spacing w:before="19" w:line="360" w:lineRule="auto"/>
        <w:ind w:left="555"/>
        <w:rPr>
          <w:rFonts w:ascii="宋体" w:hAnsi="宋体"/>
          <w:szCs w:val="21"/>
          <w:highlight w:val="none"/>
        </w:rPr>
      </w:pPr>
      <w:r>
        <w:rPr>
          <w:rFonts w:hint="eastAsia" w:ascii="宋体" w:hAnsi="宋体"/>
          <w:szCs w:val="21"/>
          <w:highlight w:val="none"/>
        </w:rPr>
        <w:t>1.乙方所提供的货物，若技术性能无特殊说明，则按生产企业或国家有关部门最新颁布的标准及规范为准。</w:t>
      </w:r>
    </w:p>
    <w:p w14:paraId="1F1F4BB2">
      <w:pPr>
        <w:widowControl/>
        <w:snapToGrid w:val="0"/>
        <w:spacing w:before="19" w:line="360" w:lineRule="auto"/>
        <w:ind w:firstLine="525" w:firstLineChars="250"/>
        <w:rPr>
          <w:rFonts w:ascii="宋体" w:hAnsi="宋体"/>
          <w:szCs w:val="21"/>
          <w:highlight w:val="none"/>
        </w:rPr>
      </w:pPr>
      <w:r>
        <w:rPr>
          <w:rFonts w:hint="eastAsia" w:ascii="宋体" w:hAnsi="宋体"/>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EA79D1F">
      <w:pPr>
        <w:widowControl/>
        <w:snapToGrid w:val="0"/>
        <w:spacing w:before="19" w:line="360" w:lineRule="auto"/>
        <w:rPr>
          <w:rFonts w:ascii="宋体" w:hAnsi="宋体"/>
          <w:szCs w:val="21"/>
          <w:highlight w:val="none"/>
        </w:rPr>
      </w:pPr>
      <w:r>
        <w:rPr>
          <w:rFonts w:hint="eastAsia" w:ascii="宋体" w:hAnsi="宋体"/>
          <w:szCs w:val="21"/>
          <w:highlight w:val="none"/>
        </w:rPr>
        <w:t>七、验收标准：甲方应当在到货且安装调试完成后__</w:t>
      </w:r>
      <w:r>
        <w:rPr>
          <w:rFonts w:hint="eastAsia" w:ascii="宋体" w:hAnsi="宋体"/>
          <w:szCs w:val="21"/>
          <w:highlight w:val="none"/>
          <w:u w:val="single"/>
        </w:rPr>
        <w:t>_15__</w:t>
      </w:r>
      <w:r>
        <w:rPr>
          <w:rFonts w:hint="eastAsia" w:ascii="宋体" w:hAnsi="宋体"/>
          <w:szCs w:val="21"/>
          <w:highlight w:val="none"/>
        </w:rPr>
        <w:t>_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4F435D3E">
      <w:pPr>
        <w:widowControl/>
        <w:snapToGrid w:val="0"/>
        <w:spacing w:before="19" w:line="360" w:lineRule="auto"/>
        <w:rPr>
          <w:rFonts w:ascii="宋体" w:hAnsi="宋体"/>
          <w:szCs w:val="21"/>
          <w:highlight w:val="none"/>
        </w:rPr>
      </w:pPr>
      <w:r>
        <w:rPr>
          <w:rFonts w:hint="eastAsia" w:ascii="宋体" w:hAnsi="宋体"/>
          <w:szCs w:val="21"/>
          <w:highlight w:val="none"/>
        </w:rPr>
        <w:t>八、 工程部分（两万元以上）需按南京邮电大学审计相关规定执行。</w:t>
      </w:r>
    </w:p>
    <w:p w14:paraId="665CE917">
      <w:pPr>
        <w:widowControl/>
        <w:snapToGrid w:val="0"/>
        <w:spacing w:before="19" w:line="360" w:lineRule="auto"/>
        <w:rPr>
          <w:rFonts w:ascii="宋体" w:hAnsi="宋体"/>
          <w:szCs w:val="21"/>
          <w:highlight w:val="none"/>
        </w:rPr>
      </w:pPr>
      <w:r>
        <w:rPr>
          <w:rFonts w:hint="eastAsia" w:ascii="宋体" w:hAnsi="宋体"/>
          <w:szCs w:val="21"/>
          <w:highlight w:val="none"/>
        </w:rPr>
        <w:t>九、采购文件及响应为本合同的附件，与本合同具有同等法律效力。甲乙双方商定的其他必要文件，附件与本合同不相符合之处，以本合同内容为准。上述文件内容互为补充。</w:t>
      </w:r>
    </w:p>
    <w:p w14:paraId="156701D5">
      <w:pPr>
        <w:widowControl/>
        <w:snapToGrid w:val="0"/>
        <w:spacing w:before="19" w:line="360" w:lineRule="auto"/>
        <w:rPr>
          <w:rFonts w:ascii="宋体" w:hAnsi="宋体"/>
          <w:szCs w:val="21"/>
          <w:highlight w:val="none"/>
        </w:rPr>
      </w:pPr>
      <w:r>
        <w:rPr>
          <w:rFonts w:hint="eastAsia" w:ascii="宋体" w:hAnsi="宋体"/>
          <w:szCs w:val="21"/>
          <w:highlight w:val="none"/>
        </w:rPr>
        <w:t>十、违约责任</w:t>
      </w:r>
    </w:p>
    <w:p w14:paraId="2BBE0021">
      <w:pPr>
        <w:widowControl/>
        <w:snapToGrid w:val="0"/>
        <w:spacing w:before="19" w:line="360" w:lineRule="auto"/>
        <w:rPr>
          <w:rFonts w:ascii="宋体" w:hAnsi="宋体"/>
          <w:szCs w:val="21"/>
          <w:highlight w:val="none"/>
        </w:rPr>
      </w:pPr>
      <w:r>
        <w:rPr>
          <w:rFonts w:hint="eastAsia" w:ascii="宋体" w:hAnsi="宋体"/>
          <w:szCs w:val="21"/>
          <w:highlight w:val="none"/>
        </w:rPr>
        <w:t>1.甲方无正当理由拒收货物、拒付货物款的，由甲方向乙方偿付合同总价的5%违约金。如乙方不能交付货物，乙方应向甲方支付合同总价5％的违约金。</w:t>
      </w:r>
    </w:p>
    <w:p w14:paraId="3317AADC">
      <w:pPr>
        <w:spacing w:before="19" w:line="360" w:lineRule="auto"/>
        <w:rPr>
          <w:rFonts w:ascii="宋体" w:hAnsi="宋体"/>
          <w:szCs w:val="21"/>
          <w:highlight w:val="none"/>
        </w:rPr>
      </w:pPr>
      <w:r>
        <w:rPr>
          <w:rFonts w:hint="eastAsia" w:ascii="宋体" w:hAnsi="宋体"/>
          <w:szCs w:val="21"/>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宋体" w:hAnsi="宋体"/>
          <w:szCs w:val="21"/>
          <w:highlight w:val="none"/>
        </w:rPr>
        <w:t>5%</w:t>
      </w:r>
      <w:r>
        <w:rPr>
          <w:rFonts w:hint="eastAsia" w:ascii="宋体" w:hAnsi="宋体"/>
          <w:szCs w:val="21"/>
          <w:highlight w:val="none"/>
        </w:rPr>
        <w:t>的违约金，如造成甲方损失超过违约金的，超出部分由乙方继续承担赔偿责任。</w:t>
      </w:r>
      <w:r>
        <w:rPr>
          <w:rFonts w:ascii="宋体" w:hAnsi="宋体"/>
          <w:szCs w:val="21"/>
          <w:highlight w:val="none"/>
        </w:rPr>
        <w:t xml:space="preserve"> </w:t>
      </w:r>
    </w:p>
    <w:p w14:paraId="2E028E98">
      <w:pPr>
        <w:spacing w:before="19" w:line="360" w:lineRule="auto"/>
        <w:rPr>
          <w:rFonts w:ascii="宋体" w:hAnsi="宋体"/>
          <w:szCs w:val="21"/>
          <w:highlight w:val="none"/>
        </w:rPr>
      </w:pPr>
      <w:r>
        <w:rPr>
          <w:rFonts w:hint="eastAsia" w:ascii="宋体" w:hAnsi="宋体"/>
          <w:szCs w:val="21"/>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3251A70">
      <w:pPr>
        <w:widowControl/>
        <w:snapToGrid w:val="0"/>
        <w:spacing w:before="19" w:line="360" w:lineRule="auto"/>
        <w:rPr>
          <w:rFonts w:ascii="宋体" w:hAnsi="宋体"/>
          <w:szCs w:val="21"/>
          <w:highlight w:val="none"/>
        </w:rPr>
      </w:pPr>
      <w:r>
        <w:rPr>
          <w:rFonts w:hint="eastAsia" w:ascii="宋体" w:hAnsi="宋体"/>
          <w:szCs w:val="21"/>
          <w:highlight w:val="none"/>
        </w:rPr>
        <w:t>4.在乙方承诺的或国家规定的质量保证期内（取两者中最长的期限），</w:t>
      </w:r>
      <w:r>
        <w:rPr>
          <w:rFonts w:ascii="宋体" w:hAnsi="宋体"/>
          <w:szCs w:val="21"/>
          <w:highlight w:val="none"/>
        </w:rPr>
        <w:t>如经乙方两次维修</w:t>
      </w:r>
      <w:r>
        <w:rPr>
          <w:rFonts w:hint="eastAsia" w:ascii="宋体" w:hAnsi="宋体"/>
          <w:szCs w:val="21"/>
          <w:highlight w:val="none"/>
        </w:rPr>
        <w:t>或更换</w:t>
      </w:r>
      <w:r>
        <w:rPr>
          <w:rFonts w:ascii="宋体" w:hAnsi="宋体"/>
          <w:szCs w:val="21"/>
          <w:highlight w:val="none"/>
        </w:rPr>
        <w:t>，货物仍不能达到合同约定</w:t>
      </w:r>
      <w:r>
        <w:rPr>
          <w:rFonts w:hint="eastAsia" w:ascii="宋体" w:hAnsi="宋体"/>
          <w:szCs w:val="21"/>
          <w:highlight w:val="none"/>
        </w:rPr>
        <w:t>的</w:t>
      </w:r>
      <w:r>
        <w:rPr>
          <w:rFonts w:ascii="宋体" w:hAnsi="宋体"/>
          <w:szCs w:val="21"/>
          <w:highlight w:val="none"/>
        </w:rPr>
        <w:t>质量标准，甲方有权退货，乙方</w:t>
      </w:r>
      <w:r>
        <w:rPr>
          <w:rFonts w:hint="eastAsia" w:ascii="宋体" w:hAnsi="宋体"/>
          <w:szCs w:val="21"/>
          <w:highlight w:val="none"/>
        </w:rPr>
        <w:t>应</w:t>
      </w:r>
      <w:r>
        <w:rPr>
          <w:rFonts w:ascii="宋体" w:hAnsi="宋体"/>
          <w:szCs w:val="21"/>
          <w:highlight w:val="none"/>
        </w:rPr>
        <w:t>退回全部货款</w:t>
      </w:r>
      <w:r>
        <w:rPr>
          <w:rFonts w:hint="eastAsia" w:ascii="宋体" w:hAnsi="宋体"/>
          <w:szCs w:val="21"/>
          <w:highlight w:val="none"/>
        </w:rPr>
        <w:t>。</w:t>
      </w:r>
      <w:r>
        <w:rPr>
          <w:rFonts w:ascii="宋体" w:hAnsi="宋体"/>
          <w:szCs w:val="21"/>
          <w:highlight w:val="none"/>
        </w:rPr>
        <w:t>同时，乙方还须赔偿甲方因此遭受的损失。</w:t>
      </w:r>
    </w:p>
    <w:p w14:paraId="3173FD86">
      <w:pPr>
        <w:widowControl/>
        <w:snapToGrid w:val="0"/>
        <w:spacing w:before="19" w:line="360" w:lineRule="auto"/>
        <w:rPr>
          <w:rFonts w:ascii="宋体" w:hAnsi="宋体"/>
          <w:szCs w:val="21"/>
          <w:highlight w:val="none"/>
        </w:rPr>
      </w:pPr>
      <w:r>
        <w:rPr>
          <w:rFonts w:hint="eastAsia" w:ascii="宋体" w:hAnsi="宋体"/>
          <w:szCs w:val="21"/>
          <w:highlight w:val="none"/>
        </w:rPr>
        <w:t>十一、 合同的变更和终止</w:t>
      </w:r>
    </w:p>
    <w:p w14:paraId="49D1D86B">
      <w:pPr>
        <w:widowControl/>
        <w:snapToGrid w:val="0"/>
        <w:spacing w:before="19" w:line="360" w:lineRule="auto"/>
        <w:rPr>
          <w:rFonts w:ascii="宋体" w:hAnsi="宋体"/>
          <w:szCs w:val="21"/>
          <w:highlight w:val="none"/>
        </w:rPr>
      </w:pPr>
      <w:r>
        <w:rPr>
          <w:rFonts w:hint="eastAsia" w:ascii="宋体" w:hAnsi="宋体"/>
          <w:szCs w:val="21"/>
          <w:highlight w:val="none"/>
        </w:rPr>
        <w:t>依据《政府采购法》第五十条，本合同一经签订，甲乙双方不得擅自变更、中止或终止合同。</w:t>
      </w:r>
    </w:p>
    <w:p w14:paraId="12685970">
      <w:pPr>
        <w:widowControl/>
        <w:snapToGrid w:val="0"/>
        <w:spacing w:before="19" w:line="360" w:lineRule="auto"/>
        <w:rPr>
          <w:rFonts w:ascii="宋体" w:hAnsi="宋体"/>
          <w:szCs w:val="21"/>
          <w:highlight w:val="none"/>
        </w:rPr>
      </w:pPr>
      <w:r>
        <w:rPr>
          <w:rFonts w:hint="eastAsia" w:ascii="宋体" w:hAnsi="宋体"/>
          <w:szCs w:val="21"/>
          <w:highlight w:val="none"/>
        </w:rPr>
        <w:t>十二、合同的转让</w:t>
      </w:r>
    </w:p>
    <w:p w14:paraId="483BEBFD">
      <w:pPr>
        <w:widowControl/>
        <w:snapToGrid w:val="0"/>
        <w:spacing w:before="19" w:line="360" w:lineRule="auto"/>
        <w:rPr>
          <w:rFonts w:ascii="宋体" w:hAnsi="宋体"/>
          <w:szCs w:val="21"/>
          <w:highlight w:val="none"/>
        </w:rPr>
      </w:pPr>
      <w:r>
        <w:rPr>
          <w:rFonts w:hint="eastAsia" w:ascii="宋体" w:hAnsi="宋体"/>
          <w:szCs w:val="21"/>
          <w:highlight w:val="none"/>
        </w:rPr>
        <w:t>乙方不得擅自部分或全部转让其应履行的合同义务。</w:t>
      </w:r>
    </w:p>
    <w:p w14:paraId="3DD91BA2">
      <w:pPr>
        <w:widowControl/>
        <w:snapToGrid w:val="0"/>
        <w:spacing w:before="19" w:line="360" w:lineRule="auto"/>
        <w:rPr>
          <w:rFonts w:ascii="宋体" w:hAnsi="宋体"/>
          <w:szCs w:val="21"/>
          <w:highlight w:val="none"/>
        </w:rPr>
      </w:pPr>
      <w:r>
        <w:rPr>
          <w:rFonts w:hint="eastAsia" w:ascii="宋体" w:hAnsi="宋体"/>
          <w:szCs w:val="21"/>
          <w:highlight w:val="none"/>
        </w:rPr>
        <w:t>十三、 争议的解决</w:t>
      </w:r>
    </w:p>
    <w:p w14:paraId="4D05DDB5">
      <w:pPr>
        <w:widowControl/>
        <w:snapToGrid w:val="0"/>
        <w:spacing w:before="19" w:line="360" w:lineRule="auto"/>
        <w:rPr>
          <w:rFonts w:ascii="宋体" w:hAnsi="宋体"/>
          <w:szCs w:val="21"/>
          <w:highlight w:val="none"/>
        </w:rPr>
      </w:pPr>
      <w:r>
        <w:rPr>
          <w:rFonts w:hint="eastAsia" w:ascii="宋体" w:hAnsi="宋体"/>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75174A02">
      <w:pPr>
        <w:widowControl/>
        <w:snapToGrid w:val="0"/>
        <w:spacing w:before="19" w:line="360" w:lineRule="auto"/>
        <w:rPr>
          <w:rFonts w:ascii="宋体" w:hAnsi="宋体"/>
          <w:szCs w:val="21"/>
          <w:highlight w:val="none"/>
        </w:rPr>
      </w:pPr>
      <w:r>
        <w:rPr>
          <w:rFonts w:hint="eastAsia" w:ascii="宋体" w:hAnsi="宋体"/>
          <w:szCs w:val="21"/>
          <w:highlight w:val="none"/>
        </w:rPr>
        <w:t>2.因履行本合同引起的或与本合同有关的争议，甲、乙双方应首先通过友好协商解决，如果协商不能解决争议，任何一方均可向甲方所在地人民法院起诉解决。</w:t>
      </w:r>
    </w:p>
    <w:p w14:paraId="197F2617">
      <w:pPr>
        <w:widowControl/>
        <w:snapToGrid w:val="0"/>
        <w:spacing w:before="19" w:line="360" w:lineRule="auto"/>
        <w:rPr>
          <w:rFonts w:ascii="宋体" w:hAnsi="宋体"/>
          <w:szCs w:val="21"/>
          <w:highlight w:val="none"/>
        </w:rPr>
      </w:pPr>
      <w:r>
        <w:rPr>
          <w:rFonts w:hint="eastAsia" w:ascii="宋体" w:hAnsi="宋体"/>
          <w:szCs w:val="21"/>
          <w:highlight w:val="none"/>
        </w:rPr>
        <w:t>十四、付款前</w:t>
      </w:r>
      <w:r>
        <w:rPr>
          <w:rFonts w:ascii="宋体" w:hAnsi="宋体"/>
          <w:szCs w:val="21"/>
          <w:highlight w:val="none"/>
        </w:rPr>
        <w:t>乙方</w:t>
      </w:r>
      <w:r>
        <w:rPr>
          <w:rFonts w:hint="eastAsia" w:ascii="宋体" w:hAnsi="宋体"/>
          <w:szCs w:val="21"/>
          <w:highlight w:val="none"/>
        </w:rPr>
        <w:t>须提供</w:t>
      </w:r>
      <w:r>
        <w:rPr>
          <w:rFonts w:hint="eastAsia" w:ascii="宋体" w:hAnsi="宋体"/>
          <w:szCs w:val="21"/>
          <w:highlight w:val="none"/>
          <w:u w:val="single"/>
        </w:rPr>
        <w:t>增值税专用发票</w:t>
      </w:r>
      <w:r>
        <w:rPr>
          <w:rFonts w:hint="eastAsia" w:ascii="宋体" w:hAnsi="宋体"/>
          <w:szCs w:val="21"/>
          <w:highlight w:val="none"/>
        </w:rPr>
        <w:t>，总价不变。</w:t>
      </w:r>
    </w:p>
    <w:p w14:paraId="3DE50178">
      <w:pPr>
        <w:widowControl/>
        <w:snapToGrid w:val="0"/>
        <w:spacing w:before="19" w:line="360" w:lineRule="auto"/>
        <w:rPr>
          <w:rFonts w:ascii="宋体" w:hAnsi="宋体"/>
          <w:szCs w:val="21"/>
          <w:highlight w:val="none"/>
        </w:rPr>
      </w:pPr>
      <w:r>
        <w:rPr>
          <w:rFonts w:hint="eastAsia" w:ascii="宋体" w:hAnsi="宋体"/>
          <w:szCs w:val="21"/>
          <w:highlight w:val="none"/>
        </w:rPr>
        <w:t>十五、</w:t>
      </w:r>
      <w:r>
        <w:rPr>
          <w:rFonts w:ascii="宋体" w:hAnsi="宋体"/>
          <w:szCs w:val="21"/>
          <w:highlight w:val="none"/>
        </w:rPr>
        <w:t>本合同由甲、乙双方</w:t>
      </w:r>
      <w:r>
        <w:rPr>
          <w:rFonts w:hint="eastAsia" w:ascii="宋体" w:hAnsi="宋体"/>
          <w:szCs w:val="21"/>
          <w:highlight w:val="none"/>
        </w:rPr>
        <w:t>共同</w:t>
      </w:r>
      <w:r>
        <w:rPr>
          <w:rFonts w:ascii="宋体" w:hAnsi="宋体"/>
          <w:szCs w:val="21"/>
          <w:highlight w:val="none"/>
        </w:rPr>
        <w:t>签订，合同一式</w:t>
      </w:r>
      <w:r>
        <w:rPr>
          <w:rFonts w:hint="eastAsia" w:ascii="宋体" w:hAnsi="宋体"/>
          <w:szCs w:val="21"/>
          <w:highlight w:val="none"/>
        </w:rPr>
        <w:t>四</w:t>
      </w:r>
      <w:r>
        <w:rPr>
          <w:rFonts w:ascii="宋体" w:hAnsi="宋体"/>
          <w:szCs w:val="21"/>
          <w:highlight w:val="none"/>
        </w:rPr>
        <w:t>份，甲</w:t>
      </w:r>
      <w:r>
        <w:rPr>
          <w:rFonts w:hint="eastAsia" w:ascii="宋体" w:hAnsi="宋体"/>
          <w:szCs w:val="21"/>
          <w:highlight w:val="none"/>
        </w:rPr>
        <w:t>方叁</w:t>
      </w:r>
      <w:r>
        <w:rPr>
          <w:rFonts w:ascii="宋体" w:hAnsi="宋体"/>
          <w:szCs w:val="21"/>
          <w:highlight w:val="none"/>
        </w:rPr>
        <w:t>份、乙</w:t>
      </w:r>
      <w:r>
        <w:rPr>
          <w:rFonts w:hint="eastAsia" w:ascii="宋体" w:hAnsi="宋体"/>
          <w:szCs w:val="21"/>
          <w:highlight w:val="none"/>
        </w:rPr>
        <w:t>方壹</w:t>
      </w:r>
      <w:r>
        <w:rPr>
          <w:rFonts w:ascii="宋体" w:hAnsi="宋体"/>
          <w:szCs w:val="21"/>
          <w:highlight w:val="none"/>
        </w:rPr>
        <w:t>份。</w:t>
      </w:r>
      <w:r>
        <w:rPr>
          <w:rFonts w:hint="eastAsia" w:ascii="宋体" w:hAnsi="宋体"/>
          <w:szCs w:val="21"/>
          <w:highlight w:val="none"/>
        </w:rPr>
        <w:t>自双方签字、盖章之日起生效。</w:t>
      </w:r>
    </w:p>
    <w:p w14:paraId="15762C84">
      <w:pPr>
        <w:widowControl/>
        <w:snapToGrid w:val="0"/>
        <w:spacing w:before="19" w:line="360" w:lineRule="auto"/>
        <w:ind w:firstLine="420" w:firstLineChars="200"/>
        <w:rPr>
          <w:rFonts w:ascii="宋体" w:hAnsi="宋体"/>
          <w:szCs w:val="21"/>
          <w:highlight w:val="none"/>
        </w:rPr>
      </w:pPr>
      <w:r>
        <w:rPr>
          <w:rFonts w:hint="eastAsia" w:ascii="宋体" w:hAnsi="宋体"/>
          <w:szCs w:val="21"/>
          <w:highlight w:val="none"/>
        </w:rPr>
        <w:t>甲方                                               乙方</w:t>
      </w:r>
    </w:p>
    <w:p w14:paraId="71968836">
      <w:pPr>
        <w:widowControl/>
        <w:snapToGrid w:val="0"/>
        <w:spacing w:before="19" w:line="360" w:lineRule="auto"/>
        <w:ind w:firstLine="420" w:firstLineChars="200"/>
        <w:rPr>
          <w:rFonts w:ascii="宋体" w:hAnsi="宋体"/>
          <w:szCs w:val="21"/>
          <w:highlight w:val="none"/>
        </w:rPr>
      </w:pPr>
      <w:r>
        <w:rPr>
          <w:rFonts w:hint="eastAsia" w:ascii="宋体" w:hAnsi="宋体"/>
          <w:szCs w:val="21"/>
          <w:highlight w:val="none"/>
        </w:rPr>
        <w:t>单位名称：南京邮电大学                             单位名称：</w:t>
      </w:r>
    </w:p>
    <w:p w14:paraId="36F46BAA">
      <w:pPr>
        <w:widowControl/>
        <w:snapToGrid w:val="0"/>
        <w:spacing w:before="19" w:line="360" w:lineRule="auto"/>
        <w:ind w:firstLine="420" w:firstLineChars="200"/>
        <w:rPr>
          <w:rFonts w:ascii="宋体" w:hAnsi="宋体"/>
          <w:szCs w:val="21"/>
          <w:highlight w:val="none"/>
        </w:rPr>
      </w:pPr>
      <w:r>
        <w:rPr>
          <w:rFonts w:hint="eastAsia" w:ascii="宋体" w:hAnsi="宋体"/>
          <w:szCs w:val="21"/>
          <w:highlight w:val="none"/>
        </w:rPr>
        <w:t>单位地址：                                         单位地址：</w:t>
      </w:r>
    </w:p>
    <w:p w14:paraId="59D32FE6">
      <w:pPr>
        <w:widowControl/>
        <w:snapToGrid w:val="0"/>
        <w:spacing w:before="19" w:line="360" w:lineRule="auto"/>
        <w:ind w:firstLine="140" w:firstLineChars="67"/>
        <w:rPr>
          <w:rFonts w:ascii="宋体" w:hAnsi="宋体"/>
          <w:szCs w:val="21"/>
          <w:highlight w:val="none"/>
        </w:rPr>
      </w:pPr>
      <w:r>
        <w:rPr>
          <w:rFonts w:hint="eastAsia" w:ascii="宋体" w:hAnsi="宋体"/>
          <w:szCs w:val="21"/>
          <w:highlight w:val="none"/>
        </w:rPr>
        <w:t>法定代表人：                                           法定代表人：</w:t>
      </w:r>
    </w:p>
    <w:p w14:paraId="15E16DEA">
      <w:pPr>
        <w:widowControl/>
        <w:snapToGrid w:val="0"/>
        <w:spacing w:before="19" w:line="360" w:lineRule="auto"/>
        <w:ind w:firstLine="140" w:firstLineChars="67"/>
        <w:rPr>
          <w:rFonts w:ascii="宋体" w:hAnsi="宋体"/>
          <w:szCs w:val="21"/>
          <w:highlight w:val="none"/>
        </w:rPr>
      </w:pPr>
      <w:r>
        <w:rPr>
          <w:rFonts w:hint="eastAsia" w:ascii="宋体" w:hAnsi="宋体"/>
          <w:szCs w:val="21"/>
          <w:highlight w:val="none"/>
        </w:rPr>
        <w:t>委托代理人（签字）：                                   委托代理人（签字）：</w:t>
      </w:r>
    </w:p>
    <w:p w14:paraId="044257F1">
      <w:pPr>
        <w:widowControl/>
        <w:snapToGrid w:val="0"/>
        <w:spacing w:before="19" w:line="360" w:lineRule="auto"/>
        <w:ind w:firstLine="140" w:firstLineChars="67"/>
        <w:rPr>
          <w:rFonts w:ascii="宋体" w:hAnsi="宋体"/>
          <w:szCs w:val="21"/>
          <w:highlight w:val="none"/>
        </w:rPr>
      </w:pPr>
      <w:r>
        <w:rPr>
          <w:rFonts w:hint="eastAsia" w:ascii="宋体" w:hAnsi="宋体"/>
          <w:szCs w:val="21"/>
          <w:highlight w:val="none"/>
        </w:rPr>
        <w:t xml:space="preserve">联系电话：                                             联系电话：                                            </w:t>
      </w:r>
    </w:p>
    <w:p w14:paraId="0034794B">
      <w:pPr>
        <w:widowControl/>
        <w:snapToGrid w:val="0"/>
        <w:spacing w:before="19" w:line="360" w:lineRule="auto"/>
        <w:ind w:firstLine="140" w:firstLineChars="67"/>
        <w:rPr>
          <w:rFonts w:ascii="宋体" w:hAnsi="宋体"/>
          <w:szCs w:val="21"/>
          <w:highlight w:val="none"/>
        </w:rPr>
      </w:pPr>
      <w:r>
        <w:rPr>
          <w:rFonts w:hint="eastAsia" w:ascii="宋体" w:hAnsi="宋体"/>
          <w:szCs w:val="21"/>
          <w:highlight w:val="none"/>
        </w:rPr>
        <w:t xml:space="preserve">开户银行：                                             开户银行： </w:t>
      </w:r>
    </w:p>
    <w:p w14:paraId="781DE352">
      <w:pPr>
        <w:widowControl/>
        <w:snapToGrid w:val="0"/>
        <w:spacing w:before="19" w:line="360" w:lineRule="auto"/>
        <w:ind w:firstLine="140" w:firstLineChars="67"/>
        <w:rPr>
          <w:rFonts w:ascii="宋体" w:hAnsi="宋体"/>
          <w:szCs w:val="21"/>
          <w:highlight w:val="none"/>
        </w:rPr>
      </w:pPr>
      <w:r>
        <w:rPr>
          <w:rFonts w:hint="eastAsia" w:ascii="宋体" w:hAnsi="宋体"/>
          <w:szCs w:val="21"/>
          <w:highlight w:val="none"/>
        </w:rPr>
        <w:t xml:space="preserve">户名： 南京邮电大学                                    户名： </w:t>
      </w:r>
    </w:p>
    <w:p w14:paraId="2DA6C005">
      <w:pPr>
        <w:widowControl/>
        <w:snapToGrid w:val="0"/>
        <w:spacing w:before="19" w:line="360" w:lineRule="auto"/>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账号： </w:t>
      </w:r>
    </w:p>
    <w:p w14:paraId="71215203">
      <w:pPr>
        <w:widowControl/>
        <w:snapToGrid w:val="0"/>
        <w:spacing w:before="19" w:line="360" w:lineRule="auto"/>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行号：  </w:t>
      </w:r>
    </w:p>
    <w:p w14:paraId="265420E5">
      <w:pPr>
        <w:widowControl/>
        <w:snapToGrid w:val="0"/>
        <w:spacing w:before="19" w:line="360" w:lineRule="auto"/>
        <w:ind w:firstLine="140" w:firstLineChars="67"/>
        <w:rPr>
          <w:rFonts w:ascii="宋体" w:hAnsi="宋体"/>
          <w:szCs w:val="21"/>
          <w:highlight w:val="none"/>
        </w:rPr>
      </w:pPr>
      <w:r>
        <w:rPr>
          <w:rFonts w:hint="eastAsia" w:ascii="宋体" w:hAnsi="宋体"/>
          <w:szCs w:val="21"/>
          <w:highlight w:val="none"/>
        </w:rPr>
        <w:t>地址、电话：南京市栖霞区文苑路9 号　025-</w:t>
      </w:r>
      <w:r>
        <w:rPr>
          <w:rFonts w:ascii="宋体" w:hAnsi="宋体"/>
          <w:szCs w:val="21"/>
          <w:highlight w:val="none"/>
        </w:rPr>
        <w:t>85866388</w:t>
      </w:r>
      <w:r>
        <w:rPr>
          <w:rFonts w:hint="eastAsia" w:ascii="宋体" w:hAnsi="宋体"/>
          <w:szCs w:val="21"/>
          <w:highlight w:val="none"/>
        </w:rPr>
        <w:t xml:space="preserve">      项目联系人：</w:t>
      </w:r>
    </w:p>
    <w:p w14:paraId="44448A35">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签约日期（即合同生效日期）：    年     月     日       联系电话：</w:t>
      </w:r>
    </w:p>
    <w:p w14:paraId="047EC8F0">
      <w:pPr>
        <w:rPr>
          <w:rFonts w:hint="eastAsia" w:ascii="宋体" w:hAnsi="宋体"/>
          <w:szCs w:val="21"/>
          <w:highlight w:val="none"/>
        </w:rPr>
      </w:pPr>
      <w:r>
        <w:rPr>
          <w:rFonts w:hint="eastAsia" w:ascii="宋体" w:hAnsi="宋体"/>
          <w:szCs w:val="21"/>
          <w:highlight w:val="none"/>
        </w:rPr>
        <w:br w:type="page"/>
      </w:r>
    </w:p>
    <w:p w14:paraId="6A8DB813">
      <w:pPr>
        <w:jc w:val="center"/>
        <w:rPr>
          <w:rFonts w:hint="eastAsia" w:ascii="宋体" w:hAnsi="宋体" w:eastAsia="宋体" w:cs="宋体"/>
          <w:color w:val="auto"/>
          <w:szCs w:val="21"/>
          <w:highlight w:val="none"/>
        </w:rPr>
      </w:pPr>
      <w:r>
        <w:rPr>
          <w:rFonts w:hint="eastAsia" w:ascii="宋体" w:hAnsi="宋体" w:eastAsia="宋体" w:cs="宋体"/>
          <w:b/>
          <w:bCs/>
          <w:color w:val="auto"/>
          <w:sz w:val="28"/>
          <w:szCs w:val="28"/>
          <w:highlight w:val="none"/>
        </w:rPr>
        <w:t>进口设备供货及技术服务协议 （进口设备）</w:t>
      </w:r>
    </w:p>
    <w:p w14:paraId="58DD0C8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tbl>
      <w:tblPr>
        <w:tblStyle w:val="46"/>
        <w:tblW w:w="0" w:type="auto"/>
        <w:jc w:val="center"/>
        <w:tblLayout w:type="autofit"/>
        <w:tblCellMar>
          <w:top w:w="0" w:type="dxa"/>
          <w:left w:w="108" w:type="dxa"/>
          <w:bottom w:w="0" w:type="dxa"/>
          <w:right w:w="108" w:type="dxa"/>
        </w:tblCellMar>
      </w:tblPr>
      <w:tblGrid>
        <w:gridCol w:w="5328"/>
        <w:gridCol w:w="3600"/>
      </w:tblGrid>
      <w:tr w14:paraId="1D32FA6E">
        <w:tblPrEx>
          <w:tblCellMar>
            <w:top w:w="0" w:type="dxa"/>
            <w:left w:w="108" w:type="dxa"/>
            <w:bottom w:w="0" w:type="dxa"/>
            <w:right w:w="108" w:type="dxa"/>
          </w:tblCellMar>
        </w:tblPrEx>
        <w:trPr>
          <w:jc w:val="center"/>
        </w:trPr>
        <w:tc>
          <w:tcPr>
            <w:tcW w:w="5328" w:type="dxa"/>
            <w:noWrap w:val="0"/>
            <w:vAlign w:val="top"/>
          </w:tcPr>
          <w:p w14:paraId="396C1A3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w:t>
            </w:r>
            <w:r>
              <w:rPr>
                <w:rFonts w:hint="eastAsia" w:ascii="宋体" w:hAnsi="宋体" w:eastAsia="宋体" w:cs="宋体"/>
                <w:b/>
                <w:color w:val="auto"/>
                <w:szCs w:val="21"/>
                <w:highlight w:val="none"/>
              </w:rPr>
              <w:t>南京邮电大学</w:t>
            </w:r>
          </w:p>
        </w:tc>
        <w:tc>
          <w:tcPr>
            <w:tcW w:w="3600" w:type="dxa"/>
            <w:noWrap w:val="0"/>
            <w:vAlign w:val="top"/>
          </w:tcPr>
          <w:p w14:paraId="53EE8B2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招标编号：</w:t>
            </w:r>
            <w:r>
              <w:rPr>
                <w:rFonts w:hint="eastAsia" w:ascii="宋体" w:hAnsi="宋体" w:eastAsia="宋体" w:cs="宋体"/>
                <w:color w:val="auto"/>
                <w:szCs w:val="21"/>
                <w:highlight w:val="none"/>
                <w:u w:val="single"/>
              </w:rPr>
              <w:t xml:space="preserve">                </w:t>
            </w:r>
          </w:p>
        </w:tc>
      </w:tr>
      <w:tr w14:paraId="44E952F8">
        <w:tblPrEx>
          <w:tblCellMar>
            <w:top w:w="0" w:type="dxa"/>
            <w:left w:w="108" w:type="dxa"/>
            <w:bottom w:w="0" w:type="dxa"/>
            <w:right w:w="108" w:type="dxa"/>
          </w:tblCellMar>
        </w:tblPrEx>
        <w:trPr>
          <w:jc w:val="center"/>
        </w:trPr>
        <w:tc>
          <w:tcPr>
            <w:tcW w:w="5328" w:type="dxa"/>
            <w:noWrap w:val="0"/>
            <w:vAlign w:val="top"/>
          </w:tcPr>
          <w:p w14:paraId="07BB5A8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b/>
                <w:color w:val="auto"/>
                <w:szCs w:val="21"/>
                <w:highlight w:val="none"/>
              </w:rPr>
              <w:t xml:space="preserve"> </w:t>
            </w:r>
          </w:p>
        </w:tc>
        <w:tc>
          <w:tcPr>
            <w:tcW w:w="3600" w:type="dxa"/>
            <w:noWrap w:val="0"/>
            <w:vAlign w:val="top"/>
          </w:tcPr>
          <w:p w14:paraId="52C59E0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协议编号：</w:t>
            </w:r>
            <w:bookmarkStart w:id="12" w:name="xy"/>
            <w:r>
              <w:rPr>
                <w:rFonts w:hint="eastAsia" w:ascii="宋体" w:hAnsi="宋体" w:eastAsia="宋体" w:cs="宋体"/>
                <w:color w:val="auto"/>
                <w:szCs w:val="21"/>
                <w:highlight w:val="none"/>
                <w:u w:val="single"/>
              </w:rPr>
              <w:t xml:space="preserve">        </w:t>
            </w:r>
            <w:bookmarkEnd w:id="12"/>
            <w:r>
              <w:rPr>
                <w:rFonts w:hint="eastAsia" w:ascii="宋体" w:hAnsi="宋体" w:eastAsia="宋体" w:cs="宋体"/>
                <w:color w:val="auto"/>
                <w:szCs w:val="21"/>
                <w:highlight w:val="none"/>
                <w:u w:val="single"/>
              </w:rPr>
              <w:t xml:space="preserve">        </w:t>
            </w:r>
          </w:p>
        </w:tc>
      </w:tr>
    </w:tbl>
    <w:p w14:paraId="4CA0642E">
      <w:pPr>
        <w:spacing w:line="360" w:lineRule="auto"/>
        <w:ind w:firstLine="420" w:firstLineChars="200"/>
        <w:rPr>
          <w:rFonts w:hint="eastAsia" w:ascii="宋体" w:hAnsi="宋体" w:eastAsia="宋体" w:cs="宋体"/>
          <w:color w:val="auto"/>
          <w:szCs w:val="21"/>
          <w:highlight w:val="none"/>
        </w:rPr>
      </w:pPr>
    </w:p>
    <w:p w14:paraId="5C2A11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经甲乙双方友好协商，就甲方向乙方购买进口</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及售后服务等事宜达成以下协议：</w:t>
      </w:r>
    </w:p>
    <w:p w14:paraId="6DF16528">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第一条：</w:t>
      </w:r>
      <w:r>
        <w:rPr>
          <w:rFonts w:hint="eastAsia" w:ascii="宋体" w:hAnsi="宋体" w:eastAsia="宋体" w:cs="宋体"/>
          <w:color w:val="auto"/>
          <w:szCs w:val="21"/>
          <w:highlight w:val="none"/>
        </w:rPr>
        <w:t>设备名称、型号规格、配置及技术指标要求、数量及成交价格</w:t>
      </w:r>
    </w:p>
    <w:tbl>
      <w:tblPr>
        <w:tblStyle w:val="46"/>
        <w:tblpPr w:leftFromText="180" w:rightFromText="180" w:vertAnchor="text" w:horzAnchor="page" w:tblpX="1709" w:tblpY="153"/>
        <w:tblOverlap w:val="never"/>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2105E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12" w:type="dxa"/>
            <w:noWrap w:val="0"/>
            <w:vAlign w:val="center"/>
          </w:tcPr>
          <w:p w14:paraId="0E907228">
            <w:pPr>
              <w:spacing w:line="360" w:lineRule="auto"/>
              <w:ind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762" w:type="dxa"/>
            <w:noWrap w:val="0"/>
            <w:vAlign w:val="center"/>
          </w:tcPr>
          <w:p w14:paraId="4082671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 备 名 称 \ 型 号</w:t>
            </w:r>
          </w:p>
        </w:tc>
        <w:tc>
          <w:tcPr>
            <w:tcW w:w="1063" w:type="dxa"/>
            <w:noWrap w:val="0"/>
            <w:vAlign w:val="center"/>
          </w:tcPr>
          <w:p w14:paraId="4F9886F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775" w:type="dxa"/>
            <w:noWrap w:val="0"/>
            <w:vAlign w:val="center"/>
          </w:tcPr>
          <w:p w14:paraId="42748FE8">
            <w:pPr>
              <w:spacing w:line="360" w:lineRule="auto"/>
              <w:ind w:firstLine="210" w:firstLine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合同总价</w:t>
            </w:r>
          </w:p>
          <w:p w14:paraId="66EA70E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p>
        </w:tc>
        <w:tc>
          <w:tcPr>
            <w:tcW w:w="1388" w:type="dxa"/>
            <w:noWrap w:val="0"/>
            <w:vAlign w:val="center"/>
          </w:tcPr>
          <w:p w14:paraId="573796D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生产厂家</w:t>
            </w:r>
          </w:p>
        </w:tc>
        <w:tc>
          <w:tcPr>
            <w:tcW w:w="1804" w:type="dxa"/>
            <w:noWrap w:val="0"/>
            <w:vAlign w:val="center"/>
          </w:tcPr>
          <w:p w14:paraId="15F3B5EB">
            <w:pPr>
              <w:spacing w:line="360" w:lineRule="auto"/>
              <w:ind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生产地</w:t>
            </w:r>
          </w:p>
        </w:tc>
      </w:tr>
      <w:tr w14:paraId="2B13F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noWrap w:val="0"/>
            <w:vAlign w:val="center"/>
          </w:tcPr>
          <w:p w14:paraId="41285B5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62" w:type="dxa"/>
            <w:noWrap w:val="0"/>
            <w:vAlign w:val="center"/>
          </w:tcPr>
          <w:p w14:paraId="233231A5">
            <w:pPr>
              <w:jc w:val="center"/>
              <w:rPr>
                <w:rFonts w:hint="eastAsia" w:ascii="宋体" w:hAnsi="宋体" w:eastAsia="宋体" w:cs="宋体"/>
                <w:color w:val="auto"/>
                <w:szCs w:val="21"/>
                <w:highlight w:val="none"/>
              </w:rPr>
            </w:pPr>
          </w:p>
        </w:tc>
        <w:tc>
          <w:tcPr>
            <w:tcW w:w="1063" w:type="dxa"/>
            <w:noWrap w:val="0"/>
            <w:vAlign w:val="center"/>
          </w:tcPr>
          <w:p w14:paraId="5BD6E65B">
            <w:pPr>
              <w:jc w:val="center"/>
              <w:rPr>
                <w:rFonts w:hint="eastAsia" w:ascii="宋体" w:hAnsi="宋体" w:eastAsia="宋体" w:cs="宋体"/>
                <w:color w:val="auto"/>
                <w:szCs w:val="21"/>
                <w:highlight w:val="none"/>
              </w:rPr>
            </w:pPr>
          </w:p>
        </w:tc>
        <w:tc>
          <w:tcPr>
            <w:tcW w:w="1775" w:type="dxa"/>
            <w:noWrap w:val="0"/>
            <w:vAlign w:val="center"/>
          </w:tcPr>
          <w:p w14:paraId="56C7A408">
            <w:pPr>
              <w:jc w:val="center"/>
              <w:rPr>
                <w:rFonts w:hint="eastAsia" w:ascii="宋体" w:hAnsi="宋体" w:eastAsia="宋体" w:cs="宋体"/>
                <w:color w:val="auto"/>
                <w:szCs w:val="21"/>
                <w:highlight w:val="none"/>
              </w:rPr>
            </w:pPr>
          </w:p>
        </w:tc>
        <w:tc>
          <w:tcPr>
            <w:tcW w:w="1388" w:type="dxa"/>
            <w:noWrap w:val="0"/>
            <w:vAlign w:val="center"/>
          </w:tcPr>
          <w:p w14:paraId="037923A4">
            <w:pPr>
              <w:jc w:val="center"/>
              <w:rPr>
                <w:rFonts w:hint="eastAsia" w:ascii="宋体" w:hAnsi="宋体" w:eastAsia="宋体" w:cs="宋体"/>
                <w:color w:val="auto"/>
                <w:szCs w:val="21"/>
                <w:highlight w:val="none"/>
              </w:rPr>
            </w:pPr>
          </w:p>
        </w:tc>
        <w:tc>
          <w:tcPr>
            <w:tcW w:w="1804" w:type="dxa"/>
            <w:noWrap w:val="0"/>
            <w:vAlign w:val="center"/>
          </w:tcPr>
          <w:p w14:paraId="15009730">
            <w:pPr>
              <w:tabs>
                <w:tab w:val="left" w:pos="792"/>
              </w:tabs>
              <w:spacing w:line="360" w:lineRule="auto"/>
              <w:ind w:right="-52"/>
              <w:jc w:val="center"/>
              <w:rPr>
                <w:rFonts w:hint="eastAsia" w:ascii="宋体" w:hAnsi="宋体" w:eastAsia="宋体" w:cs="宋体"/>
                <w:color w:val="auto"/>
                <w:szCs w:val="21"/>
                <w:highlight w:val="none"/>
              </w:rPr>
            </w:pPr>
          </w:p>
        </w:tc>
      </w:tr>
      <w:tr w14:paraId="22FE5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noWrap w:val="0"/>
            <w:vAlign w:val="center"/>
          </w:tcPr>
          <w:p w14:paraId="4981BF1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762" w:type="dxa"/>
            <w:noWrap w:val="0"/>
            <w:vAlign w:val="center"/>
          </w:tcPr>
          <w:p w14:paraId="5DBBD9BA">
            <w:pPr>
              <w:jc w:val="center"/>
              <w:rPr>
                <w:rFonts w:hint="eastAsia" w:ascii="宋体" w:hAnsi="宋体" w:eastAsia="宋体" w:cs="宋体"/>
                <w:color w:val="auto"/>
                <w:szCs w:val="21"/>
                <w:highlight w:val="none"/>
              </w:rPr>
            </w:pPr>
          </w:p>
        </w:tc>
        <w:tc>
          <w:tcPr>
            <w:tcW w:w="1063" w:type="dxa"/>
            <w:noWrap w:val="0"/>
            <w:vAlign w:val="center"/>
          </w:tcPr>
          <w:p w14:paraId="76EE173B">
            <w:pPr>
              <w:jc w:val="center"/>
              <w:rPr>
                <w:rFonts w:hint="eastAsia" w:ascii="宋体" w:hAnsi="宋体" w:eastAsia="宋体" w:cs="宋体"/>
                <w:color w:val="auto"/>
                <w:szCs w:val="21"/>
                <w:highlight w:val="none"/>
              </w:rPr>
            </w:pPr>
          </w:p>
        </w:tc>
        <w:tc>
          <w:tcPr>
            <w:tcW w:w="1775" w:type="dxa"/>
            <w:noWrap w:val="0"/>
            <w:vAlign w:val="center"/>
          </w:tcPr>
          <w:p w14:paraId="76B188B7">
            <w:pPr>
              <w:jc w:val="center"/>
              <w:rPr>
                <w:rFonts w:hint="eastAsia" w:ascii="宋体" w:hAnsi="宋体" w:eastAsia="宋体" w:cs="宋体"/>
                <w:color w:val="auto"/>
                <w:szCs w:val="21"/>
                <w:highlight w:val="none"/>
              </w:rPr>
            </w:pPr>
          </w:p>
        </w:tc>
        <w:tc>
          <w:tcPr>
            <w:tcW w:w="1388" w:type="dxa"/>
            <w:noWrap w:val="0"/>
            <w:vAlign w:val="center"/>
          </w:tcPr>
          <w:p w14:paraId="37852993">
            <w:pPr>
              <w:jc w:val="center"/>
              <w:rPr>
                <w:rFonts w:hint="eastAsia" w:ascii="宋体" w:hAnsi="宋体" w:eastAsia="宋体" w:cs="宋体"/>
                <w:color w:val="auto"/>
                <w:szCs w:val="21"/>
                <w:highlight w:val="none"/>
              </w:rPr>
            </w:pPr>
          </w:p>
        </w:tc>
        <w:tc>
          <w:tcPr>
            <w:tcW w:w="1804" w:type="dxa"/>
            <w:noWrap w:val="0"/>
            <w:vAlign w:val="center"/>
          </w:tcPr>
          <w:p w14:paraId="13C13951">
            <w:pPr>
              <w:tabs>
                <w:tab w:val="left" w:pos="792"/>
              </w:tabs>
              <w:spacing w:line="360" w:lineRule="auto"/>
              <w:ind w:right="-52"/>
              <w:jc w:val="center"/>
              <w:rPr>
                <w:rFonts w:hint="eastAsia" w:ascii="宋体" w:hAnsi="宋体" w:eastAsia="宋体" w:cs="宋体"/>
                <w:color w:val="auto"/>
                <w:szCs w:val="21"/>
                <w:highlight w:val="none"/>
              </w:rPr>
            </w:pPr>
          </w:p>
        </w:tc>
      </w:tr>
      <w:tr w14:paraId="69B0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noWrap w:val="0"/>
            <w:vAlign w:val="center"/>
          </w:tcPr>
          <w:p w14:paraId="04CB974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762" w:type="dxa"/>
            <w:noWrap w:val="0"/>
            <w:vAlign w:val="center"/>
          </w:tcPr>
          <w:p w14:paraId="725D72C6">
            <w:pPr>
              <w:jc w:val="center"/>
              <w:rPr>
                <w:rFonts w:hint="eastAsia" w:ascii="宋体" w:hAnsi="宋体" w:eastAsia="宋体" w:cs="宋体"/>
                <w:color w:val="auto"/>
                <w:szCs w:val="21"/>
                <w:highlight w:val="none"/>
              </w:rPr>
            </w:pPr>
          </w:p>
        </w:tc>
        <w:tc>
          <w:tcPr>
            <w:tcW w:w="1063" w:type="dxa"/>
            <w:noWrap w:val="0"/>
            <w:vAlign w:val="center"/>
          </w:tcPr>
          <w:p w14:paraId="003F1C66">
            <w:pPr>
              <w:jc w:val="center"/>
              <w:rPr>
                <w:rFonts w:hint="eastAsia" w:ascii="宋体" w:hAnsi="宋体" w:eastAsia="宋体" w:cs="宋体"/>
                <w:color w:val="auto"/>
                <w:szCs w:val="21"/>
                <w:highlight w:val="none"/>
              </w:rPr>
            </w:pPr>
          </w:p>
        </w:tc>
        <w:tc>
          <w:tcPr>
            <w:tcW w:w="1775" w:type="dxa"/>
            <w:noWrap w:val="0"/>
            <w:vAlign w:val="center"/>
          </w:tcPr>
          <w:p w14:paraId="4D5FC0A7">
            <w:pPr>
              <w:jc w:val="center"/>
              <w:rPr>
                <w:rFonts w:hint="eastAsia" w:ascii="宋体" w:hAnsi="宋体" w:eastAsia="宋体" w:cs="宋体"/>
                <w:color w:val="auto"/>
                <w:szCs w:val="21"/>
                <w:highlight w:val="none"/>
              </w:rPr>
            </w:pPr>
          </w:p>
        </w:tc>
        <w:tc>
          <w:tcPr>
            <w:tcW w:w="1388" w:type="dxa"/>
            <w:noWrap w:val="0"/>
            <w:vAlign w:val="center"/>
          </w:tcPr>
          <w:p w14:paraId="50BFDB96">
            <w:pPr>
              <w:jc w:val="center"/>
              <w:rPr>
                <w:rFonts w:hint="eastAsia" w:ascii="宋体" w:hAnsi="宋体" w:eastAsia="宋体" w:cs="宋体"/>
                <w:color w:val="auto"/>
                <w:szCs w:val="21"/>
                <w:highlight w:val="none"/>
              </w:rPr>
            </w:pPr>
          </w:p>
        </w:tc>
        <w:tc>
          <w:tcPr>
            <w:tcW w:w="1804" w:type="dxa"/>
            <w:noWrap w:val="0"/>
            <w:vAlign w:val="center"/>
          </w:tcPr>
          <w:p w14:paraId="74D58418">
            <w:pPr>
              <w:tabs>
                <w:tab w:val="left" w:pos="792"/>
              </w:tabs>
              <w:spacing w:line="360" w:lineRule="auto"/>
              <w:ind w:right="-52"/>
              <w:jc w:val="center"/>
              <w:rPr>
                <w:rFonts w:hint="eastAsia" w:ascii="宋体" w:hAnsi="宋体" w:eastAsia="宋体" w:cs="宋体"/>
                <w:color w:val="auto"/>
                <w:szCs w:val="21"/>
                <w:highlight w:val="none"/>
              </w:rPr>
            </w:pPr>
          </w:p>
        </w:tc>
      </w:tr>
      <w:tr w14:paraId="3F41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noWrap w:val="0"/>
            <w:vAlign w:val="center"/>
          </w:tcPr>
          <w:p w14:paraId="2BEB193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762" w:type="dxa"/>
            <w:noWrap w:val="0"/>
            <w:vAlign w:val="center"/>
          </w:tcPr>
          <w:p w14:paraId="49D8ADF8">
            <w:pPr>
              <w:jc w:val="center"/>
              <w:rPr>
                <w:rFonts w:hint="eastAsia" w:ascii="宋体" w:hAnsi="宋体" w:eastAsia="宋体" w:cs="宋体"/>
                <w:color w:val="auto"/>
                <w:szCs w:val="21"/>
                <w:highlight w:val="none"/>
              </w:rPr>
            </w:pPr>
          </w:p>
        </w:tc>
        <w:tc>
          <w:tcPr>
            <w:tcW w:w="1063" w:type="dxa"/>
            <w:noWrap w:val="0"/>
            <w:vAlign w:val="center"/>
          </w:tcPr>
          <w:p w14:paraId="356DE692">
            <w:pPr>
              <w:jc w:val="center"/>
              <w:rPr>
                <w:rFonts w:hint="eastAsia" w:ascii="宋体" w:hAnsi="宋体" w:eastAsia="宋体" w:cs="宋体"/>
                <w:color w:val="auto"/>
                <w:szCs w:val="21"/>
                <w:highlight w:val="none"/>
              </w:rPr>
            </w:pPr>
          </w:p>
        </w:tc>
        <w:tc>
          <w:tcPr>
            <w:tcW w:w="1775" w:type="dxa"/>
            <w:noWrap w:val="0"/>
            <w:vAlign w:val="center"/>
          </w:tcPr>
          <w:p w14:paraId="2E62F258">
            <w:pPr>
              <w:jc w:val="center"/>
              <w:rPr>
                <w:rFonts w:hint="eastAsia" w:ascii="宋体" w:hAnsi="宋体" w:eastAsia="宋体" w:cs="宋体"/>
                <w:color w:val="auto"/>
                <w:szCs w:val="21"/>
                <w:highlight w:val="none"/>
              </w:rPr>
            </w:pPr>
          </w:p>
        </w:tc>
        <w:tc>
          <w:tcPr>
            <w:tcW w:w="1388" w:type="dxa"/>
            <w:noWrap w:val="0"/>
            <w:vAlign w:val="center"/>
          </w:tcPr>
          <w:p w14:paraId="1B886ADC">
            <w:pPr>
              <w:jc w:val="center"/>
              <w:rPr>
                <w:rFonts w:hint="eastAsia" w:ascii="宋体" w:hAnsi="宋体" w:eastAsia="宋体" w:cs="宋体"/>
                <w:color w:val="auto"/>
                <w:szCs w:val="21"/>
                <w:highlight w:val="none"/>
              </w:rPr>
            </w:pPr>
          </w:p>
        </w:tc>
        <w:tc>
          <w:tcPr>
            <w:tcW w:w="1804" w:type="dxa"/>
            <w:noWrap w:val="0"/>
            <w:vAlign w:val="center"/>
          </w:tcPr>
          <w:p w14:paraId="5557EABC">
            <w:pPr>
              <w:tabs>
                <w:tab w:val="left" w:pos="792"/>
              </w:tabs>
              <w:spacing w:line="360" w:lineRule="auto"/>
              <w:ind w:right="-52"/>
              <w:jc w:val="center"/>
              <w:rPr>
                <w:rFonts w:hint="eastAsia" w:ascii="宋体" w:hAnsi="宋体" w:eastAsia="宋体" w:cs="宋体"/>
                <w:color w:val="auto"/>
                <w:szCs w:val="21"/>
                <w:highlight w:val="none"/>
              </w:rPr>
            </w:pPr>
          </w:p>
        </w:tc>
      </w:tr>
      <w:tr w14:paraId="5A8D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noWrap w:val="0"/>
            <w:vAlign w:val="center"/>
          </w:tcPr>
          <w:p w14:paraId="7FC6B00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762" w:type="dxa"/>
            <w:noWrap w:val="0"/>
            <w:vAlign w:val="center"/>
          </w:tcPr>
          <w:p w14:paraId="010EDDF8">
            <w:pPr>
              <w:jc w:val="center"/>
              <w:rPr>
                <w:rFonts w:hint="eastAsia" w:ascii="宋体" w:hAnsi="宋体" w:eastAsia="宋体" w:cs="宋体"/>
                <w:color w:val="auto"/>
                <w:szCs w:val="21"/>
                <w:highlight w:val="none"/>
              </w:rPr>
            </w:pPr>
          </w:p>
        </w:tc>
        <w:tc>
          <w:tcPr>
            <w:tcW w:w="1063" w:type="dxa"/>
            <w:noWrap w:val="0"/>
            <w:vAlign w:val="center"/>
          </w:tcPr>
          <w:p w14:paraId="1DE5666C">
            <w:pPr>
              <w:jc w:val="center"/>
              <w:rPr>
                <w:rFonts w:hint="eastAsia" w:ascii="宋体" w:hAnsi="宋体" w:eastAsia="宋体" w:cs="宋体"/>
                <w:color w:val="auto"/>
                <w:szCs w:val="21"/>
                <w:highlight w:val="none"/>
              </w:rPr>
            </w:pPr>
          </w:p>
        </w:tc>
        <w:tc>
          <w:tcPr>
            <w:tcW w:w="1775" w:type="dxa"/>
            <w:noWrap w:val="0"/>
            <w:vAlign w:val="center"/>
          </w:tcPr>
          <w:p w14:paraId="2E930A57">
            <w:pPr>
              <w:jc w:val="center"/>
              <w:rPr>
                <w:rFonts w:hint="eastAsia" w:ascii="宋体" w:hAnsi="宋体" w:eastAsia="宋体" w:cs="宋体"/>
                <w:color w:val="auto"/>
                <w:szCs w:val="21"/>
                <w:highlight w:val="none"/>
              </w:rPr>
            </w:pPr>
          </w:p>
        </w:tc>
        <w:tc>
          <w:tcPr>
            <w:tcW w:w="1388" w:type="dxa"/>
            <w:noWrap w:val="0"/>
            <w:vAlign w:val="center"/>
          </w:tcPr>
          <w:p w14:paraId="4873048B">
            <w:pPr>
              <w:jc w:val="center"/>
              <w:rPr>
                <w:rFonts w:hint="eastAsia" w:ascii="宋体" w:hAnsi="宋体" w:eastAsia="宋体" w:cs="宋体"/>
                <w:color w:val="auto"/>
                <w:szCs w:val="21"/>
                <w:highlight w:val="none"/>
              </w:rPr>
            </w:pPr>
          </w:p>
        </w:tc>
        <w:tc>
          <w:tcPr>
            <w:tcW w:w="1804" w:type="dxa"/>
            <w:noWrap w:val="0"/>
            <w:vAlign w:val="center"/>
          </w:tcPr>
          <w:p w14:paraId="1205F645">
            <w:pPr>
              <w:tabs>
                <w:tab w:val="left" w:pos="792"/>
              </w:tabs>
              <w:spacing w:line="360" w:lineRule="auto"/>
              <w:ind w:right="-52"/>
              <w:jc w:val="center"/>
              <w:rPr>
                <w:rFonts w:hint="eastAsia" w:ascii="宋体" w:hAnsi="宋体" w:eastAsia="宋体" w:cs="宋体"/>
                <w:color w:val="auto"/>
                <w:szCs w:val="21"/>
                <w:highlight w:val="none"/>
              </w:rPr>
            </w:pPr>
          </w:p>
        </w:tc>
      </w:tr>
    </w:tbl>
    <w:p w14:paraId="1F33E227">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第二条：</w:t>
      </w:r>
      <w:r>
        <w:rPr>
          <w:rFonts w:hint="eastAsia" w:ascii="宋体" w:hAnsi="宋体" w:eastAsia="宋体" w:cs="宋体"/>
          <w:color w:val="auto"/>
          <w:szCs w:val="21"/>
          <w:highlight w:val="none"/>
        </w:rPr>
        <w:t>交货期</w:t>
      </w:r>
    </w:p>
    <w:p w14:paraId="5CC8C0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签订外贸合同之日起_________周内设备到达南京邮电大学项目现场。</w:t>
      </w:r>
    </w:p>
    <w:p w14:paraId="24E5D853">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第三条：</w:t>
      </w:r>
      <w:r>
        <w:rPr>
          <w:rFonts w:hint="eastAsia" w:ascii="宋体" w:hAnsi="宋体" w:eastAsia="宋体" w:cs="宋体"/>
          <w:color w:val="auto"/>
          <w:szCs w:val="21"/>
          <w:highlight w:val="none"/>
        </w:rPr>
        <w:t xml:space="preserve">付款方式及条件 </w:t>
      </w:r>
    </w:p>
    <w:p w14:paraId="79888B65">
      <w:pPr>
        <w:pStyle w:val="17"/>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甲方委托的外贸代理公司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向乙方委托的公司/制造商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直接支付款项，受甲方委托的外贸代理公司按以下方式支付货款：预算金额10万元人民币以上（含10）的货物，货款分两次付清，第一次付款为总金额的90%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厂家发货后，乙方可凭装运单据兑付合同总金额的90%信用证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L/C），如货物自装运日起两个月内未能到达约定目的地的，乙方应在甲方发出书面通知后的五个工作日内，无条件向甲方全额退还已收取的合同款项，本条款不影响甲方因乙方迟延交货享有的其他合同权利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，第二次付款待设备验收合格后运行一个月无故障，经甲方用户书面确认后15天内付清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T/T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08F3EF94">
      <w:pPr>
        <w:pStyle w:val="17"/>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第四条：</w:t>
      </w:r>
      <w:r>
        <w:rPr>
          <w:rFonts w:hint="eastAsia" w:ascii="宋体" w:hAnsi="宋体" w:eastAsia="宋体" w:cs="宋体"/>
          <w:color w:val="auto"/>
          <w:szCs w:val="21"/>
          <w:highlight w:val="none"/>
        </w:rPr>
        <w:t>原产地、生产商与运输方式及包装。</w:t>
      </w:r>
    </w:p>
    <w:p w14:paraId="35E46F6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原产地： </w:t>
      </w:r>
    </w:p>
    <w:p w14:paraId="0402A5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生产商： </w:t>
      </w:r>
    </w:p>
    <w:p w14:paraId="583AA6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发货港： </w:t>
      </w:r>
    </w:p>
    <w:p w14:paraId="665DCF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运输方式：</w:t>
      </w:r>
      <w:r>
        <w:rPr>
          <w:rFonts w:hint="eastAsia" w:ascii="宋体" w:hAnsi="宋体" w:eastAsia="宋体" w:cs="宋体"/>
          <w:color w:val="auto"/>
          <w:szCs w:val="21"/>
          <w:highlight w:val="none"/>
          <w:u w:val="single"/>
        </w:rPr>
        <w:t xml:space="preserve">  空运   </w:t>
      </w:r>
      <w:r>
        <w:rPr>
          <w:rFonts w:hint="eastAsia" w:ascii="宋体" w:hAnsi="宋体" w:eastAsia="宋体" w:cs="宋体"/>
          <w:color w:val="auto"/>
          <w:szCs w:val="21"/>
          <w:highlight w:val="none"/>
        </w:rPr>
        <w:t>。货物从发送地至南京机场的运费及保险费由乙方承担。乙方负责为交运设备投保合同总价110%的空运保险。南京机场至南京邮电大学项目现场的部分由甲方指定的外贸公司代为运输。</w:t>
      </w:r>
    </w:p>
    <w:p w14:paraId="58EDF69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到货港：南京机场。</w:t>
      </w:r>
    </w:p>
    <w:p w14:paraId="28E368E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包装：提供货物的包装需适合远距离的海运/包裹邮递/空运和气候的变化，能防护野蛮装卸、潮湿、雨淋、腐蚀、震动和冷冻。</w:t>
      </w:r>
    </w:p>
    <w:p w14:paraId="2517EDE7">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第五条：</w:t>
      </w:r>
      <w:r>
        <w:rPr>
          <w:rFonts w:hint="eastAsia" w:ascii="宋体" w:hAnsi="宋体" w:eastAsia="宋体" w:cs="宋体"/>
          <w:bCs/>
          <w:color w:val="auto"/>
          <w:szCs w:val="21"/>
          <w:highlight w:val="none"/>
        </w:rPr>
        <w:t>外贸合同签订方：</w:t>
      </w:r>
      <w:r>
        <w:rPr>
          <w:rFonts w:hint="eastAsia" w:ascii="宋体" w:hAnsi="宋体" w:eastAsia="宋体" w:cs="宋体"/>
          <w:color w:val="auto"/>
          <w:szCs w:val="21"/>
          <w:highlight w:val="none"/>
        </w:rPr>
        <w:t xml:space="preserve"> </w:t>
      </w:r>
    </w:p>
    <w:p w14:paraId="7A96989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乙方的代理（中英文名）、地址</w:t>
      </w:r>
    </w:p>
    <w:p w14:paraId="21CB7951">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第六条：</w:t>
      </w:r>
      <w:r>
        <w:rPr>
          <w:rFonts w:hint="eastAsia" w:ascii="宋体" w:hAnsi="宋体" w:eastAsia="宋体" w:cs="宋体"/>
          <w:color w:val="auto"/>
          <w:szCs w:val="21"/>
          <w:highlight w:val="none"/>
        </w:rPr>
        <w:t>乙方应在交货时同时向甲方提供与本合同项下货物相符且完整的技术资料。</w:t>
      </w:r>
    </w:p>
    <w:p w14:paraId="162D791D">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第七条：</w:t>
      </w:r>
      <w:r>
        <w:rPr>
          <w:rFonts w:hint="eastAsia" w:ascii="宋体" w:hAnsi="宋体" w:eastAsia="宋体" w:cs="宋体"/>
          <w:color w:val="auto"/>
          <w:szCs w:val="21"/>
          <w:highlight w:val="none"/>
        </w:rPr>
        <w:t>质量保证与售后服务</w:t>
      </w:r>
    </w:p>
    <w:p w14:paraId="20E5F28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乙方保证供应的设备完全符合本协议所规定的原生产厂商所规定的质量、规格、性能和技术指标，确保该产品为全新未使用过的仪器，否则允许甲方退货或应保证更换并向甲方支付相关损失。</w:t>
      </w:r>
    </w:p>
    <w:p w14:paraId="7B47F74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设备的免费质保期为交货经验收合格后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个月。</w:t>
      </w:r>
    </w:p>
    <w:p w14:paraId="3F86FE2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乙方在接到甲方用户故障通知后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小时内作出响应</w:t>
      </w:r>
      <w:r>
        <w:rPr>
          <w:rFonts w:hint="eastAsia" w:ascii="宋体" w:hAnsi="宋体" w:eastAsia="宋体" w:cs="宋体"/>
          <w:bCs/>
          <w:color w:val="auto"/>
          <w:szCs w:val="21"/>
          <w:highlight w:val="none"/>
        </w:rPr>
        <w:t xml:space="preserve">。 </w:t>
      </w:r>
    </w:p>
    <w:p w14:paraId="04169A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eastAsia="zh-CN"/>
        </w:rPr>
        <w:t>4.</w:t>
      </w:r>
      <w:r>
        <w:rPr>
          <w:rFonts w:hint="eastAsia" w:ascii="宋体" w:hAnsi="宋体" w:eastAsia="宋体" w:cs="宋体"/>
          <w:bCs/>
          <w:color w:val="auto"/>
          <w:szCs w:val="21"/>
          <w:highlight w:val="none"/>
        </w:rPr>
        <w:t>乙方违反质量保证和售后服务条款，甲方可要求合同金额5%的违约金。</w:t>
      </w:r>
    </w:p>
    <w:p w14:paraId="221FD609">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第八条：</w:t>
      </w:r>
      <w:r>
        <w:rPr>
          <w:rFonts w:hint="eastAsia" w:ascii="宋体" w:hAnsi="宋体" w:eastAsia="宋体" w:cs="宋体"/>
          <w:color w:val="auto"/>
          <w:szCs w:val="21"/>
          <w:highlight w:val="none"/>
        </w:rPr>
        <w:t>安装调试及验收</w:t>
      </w:r>
    </w:p>
    <w:p w14:paraId="325FFC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乙方在仪器设备抵达甲方</w:t>
      </w:r>
      <w:r>
        <w:rPr>
          <w:rFonts w:hint="eastAsia" w:ascii="宋体" w:hAnsi="宋体" w:eastAsia="宋体" w:cs="宋体"/>
          <w:color w:val="auto"/>
          <w:szCs w:val="21"/>
          <w:highlight w:val="none"/>
          <w:u w:val="single"/>
        </w:rPr>
        <w:t>20</w:t>
      </w:r>
      <w:r>
        <w:rPr>
          <w:rFonts w:hint="eastAsia" w:ascii="宋体" w:hAnsi="宋体" w:eastAsia="宋体" w:cs="宋体"/>
          <w:color w:val="auto"/>
          <w:szCs w:val="21"/>
          <w:highlight w:val="none"/>
        </w:rPr>
        <w:t>个工作日前书面通知甲方设备安装所需条件，以利设备的正常安装调试。</w:t>
      </w:r>
    </w:p>
    <w:p w14:paraId="11AB231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66059F0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182812FF">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第九条：</w:t>
      </w:r>
      <w:r>
        <w:rPr>
          <w:rFonts w:hint="eastAsia" w:ascii="宋体" w:hAnsi="宋体" w:eastAsia="宋体" w:cs="宋体"/>
          <w:color w:val="auto"/>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1CD324F8">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第十条：</w:t>
      </w:r>
      <w:r>
        <w:rPr>
          <w:rFonts w:hint="eastAsia" w:ascii="宋体" w:hAnsi="宋体" w:eastAsia="宋体" w:cs="宋体"/>
          <w:color w:val="auto"/>
          <w:szCs w:val="21"/>
          <w:highlight w:val="none"/>
        </w:rPr>
        <w:t>违约责任</w:t>
      </w:r>
    </w:p>
    <w:p w14:paraId="4DB504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乙方未能交付物品，则向甲方支付合同总额</w:t>
      </w:r>
      <w:r>
        <w:rPr>
          <w:rFonts w:hint="eastAsia" w:ascii="宋体" w:hAnsi="宋体" w:eastAsia="宋体" w:cs="宋体"/>
          <w:b/>
          <w:color w:val="auto"/>
          <w:szCs w:val="21"/>
          <w:highlight w:val="none"/>
          <w:u w:val="words"/>
        </w:rPr>
        <w:t>5%</w:t>
      </w:r>
      <w:r>
        <w:rPr>
          <w:rFonts w:hint="eastAsia" w:ascii="宋体" w:hAnsi="宋体" w:eastAsia="宋体" w:cs="宋体"/>
          <w:color w:val="auto"/>
          <w:szCs w:val="21"/>
          <w:highlight w:val="none"/>
        </w:rPr>
        <w:t>的违约金。</w:t>
      </w:r>
    </w:p>
    <w:p w14:paraId="2DF918E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乙方交付的物品不符合合同规定的，甲方有权拒收，乙方向甲方支付合同总额</w:t>
      </w:r>
      <w:r>
        <w:rPr>
          <w:rFonts w:hint="eastAsia" w:ascii="宋体" w:hAnsi="宋体" w:eastAsia="宋体" w:cs="宋体"/>
          <w:b/>
          <w:color w:val="auto"/>
          <w:szCs w:val="21"/>
          <w:highlight w:val="none"/>
          <w:u w:val="words"/>
        </w:rPr>
        <w:t>5%</w:t>
      </w:r>
      <w:r>
        <w:rPr>
          <w:rFonts w:hint="eastAsia" w:ascii="宋体" w:hAnsi="宋体" w:eastAsia="宋体" w:cs="宋体"/>
          <w:color w:val="auto"/>
          <w:szCs w:val="21"/>
          <w:highlight w:val="none"/>
        </w:rPr>
        <w:t>的违约金。</w:t>
      </w:r>
    </w:p>
    <w:p w14:paraId="6CBE1E0F">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乙方逾期交付物品，则每日按合同总额</w:t>
      </w:r>
      <w:r>
        <w:rPr>
          <w:rFonts w:hint="eastAsia" w:ascii="宋体" w:hAnsi="宋体" w:eastAsia="宋体" w:cs="宋体"/>
          <w:b/>
          <w:color w:val="auto"/>
          <w:szCs w:val="21"/>
          <w:highlight w:val="none"/>
          <w:u w:val="words"/>
        </w:rPr>
        <w:t>0.5%</w:t>
      </w:r>
      <w:r>
        <w:rPr>
          <w:rFonts w:hint="eastAsia" w:ascii="宋体" w:hAnsi="宋体" w:eastAsia="宋体" w:cs="宋体"/>
          <w:color w:val="auto"/>
          <w:szCs w:val="21"/>
          <w:highlight w:val="none"/>
        </w:rPr>
        <w:t>向甲方偿付违约金。逾期交付超过</w:t>
      </w:r>
      <w:r>
        <w:rPr>
          <w:rFonts w:hint="eastAsia" w:ascii="宋体" w:hAnsi="宋体" w:eastAsia="宋体" w:cs="宋体"/>
          <w:b/>
          <w:color w:val="auto"/>
          <w:szCs w:val="21"/>
          <w:highlight w:val="none"/>
          <w:u w:val="words"/>
        </w:rPr>
        <w:t>30</w:t>
      </w:r>
      <w:r>
        <w:rPr>
          <w:rFonts w:hint="eastAsia" w:ascii="宋体" w:hAnsi="宋体" w:eastAsia="宋体" w:cs="宋体"/>
          <w:color w:val="auto"/>
          <w:szCs w:val="21"/>
          <w:highlight w:val="none"/>
        </w:rPr>
        <w:t>天，甲方有权终止合同。</w:t>
      </w:r>
    </w:p>
    <w:p w14:paraId="53ECEF36">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第十一条：</w:t>
      </w:r>
      <w:r>
        <w:rPr>
          <w:rFonts w:hint="eastAsia" w:ascii="宋体" w:hAnsi="宋体" w:eastAsia="宋体" w:cs="宋体"/>
          <w:color w:val="auto"/>
          <w:szCs w:val="21"/>
          <w:highlight w:val="none"/>
        </w:rPr>
        <w:t>争端解决：</w:t>
      </w:r>
    </w:p>
    <w:p w14:paraId="26C56D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70FBD356">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第十二条：</w:t>
      </w:r>
      <w:r>
        <w:rPr>
          <w:rFonts w:hint="eastAsia" w:ascii="宋体" w:hAnsi="宋体" w:eastAsia="宋体" w:cs="宋体"/>
          <w:color w:val="auto"/>
          <w:szCs w:val="21"/>
          <w:highlight w:val="none"/>
        </w:rPr>
        <w:t>本协议甲乙双方签字盖章后生效，并作为签订进口合同的有效依据。</w:t>
      </w:r>
    </w:p>
    <w:p w14:paraId="33FCB6A8">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第十三条：</w:t>
      </w:r>
      <w:r>
        <w:rPr>
          <w:rFonts w:hint="eastAsia" w:ascii="宋体" w:hAnsi="宋体" w:eastAsia="宋体" w:cs="宋体"/>
          <w:color w:val="auto"/>
          <w:szCs w:val="21"/>
          <w:highlight w:val="none"/>
        </w:rPr>
        <w:t>本协议一式陆份，甲方伍份、乙方壹份。自双方签字、盖章之日起生效，具有同等的法律效力。</w:t>
      </w:r>
    </w:p>
    <w:p w14:paraId="796A397F">
      <w:pPr>
        <w:spacing w:line="360" w:lineRule="auto"/>
        <w:ind w:firstLine="420" w:firstLineChars="200"/>
        <w:rPr>
          <w:rFonts w:hint="eastAsia" w:ascii="宋体" w:hAnsi="宋体" w:eastAsia="宋体" w:cs="宋体"/>
          <w:color w:val="auto"/>
          <w:szCs w:val="21"/>
          <w:highlight w:val="none"/>
        </w:rPr>
      </w:pPr>
    </w:p>
    <w:p w14:paraId="63FB6A92">
      <w:pPr>
        <w:spacing w:line="360" w:lineRule="auto"/>
        <w:rPr>
          <w:rFonts w:hint="eastAsia" w:ascii="宋体" w:hAnsi="宋体" w:eastAsia="宋体" w:cs="宋体"/>
          <w:color w:val="auto"/>
          <w:szCs w:val="21"/>
          <w:highlight w:val="none"/>
        </w:rPr>
      </w:pPr>
    </w:p>
    <w:tbl>
      <w:tblPr>
        <w:tblStyle w:val="46"/>
        <w:tblW w:w="5000" w:type="pct"/>
        <w:tblInd w:w="-108" w:type="dxa"/>
        <w:tblLayout w:type="autofit"/>
        <w:tblCellMar>
          <w:top w:w="0" w:type="dxa"/>
          <w:left w:w="108" w:type="dxa"/>
          <w:bottom w:w="0" w:type="dxa"/>
          <w:right w:w="108" w:type="dxa"/>
        </w:tblCellMar>
      </w:tblPr>
      <w:tblGrid>
        <w:gridCol w:w="4633"/>
        <w:gridCol w:w="5051"/>
      </w:tblGrid>
      <w:tr w14:paraId="6F690E20">
        <w:tblPrEx>
          <w:tblCellMar>
            <w:top w:w="0" w:type="dxa"/>
            <w:left w:w="108" w:type="dxa"/>
            <w:bottom w:w="0" w:type="dxa"/>
            <w:right w:w="108" w:type="dxa"/>
          </w:tblCellMar>
        </w:tblPrEx>
        <w:trPr>
          <w:trHeight w:val="680" w:hRule="atLeast"/>
        </w:trPr>
        <w:tc>
          <w:tcPr>
            <w:tcW w:w="2392" w:type="pct"/>
            <w:noWrap w:val="0"/>
            <w:vAlign w:val="top"/>
          </w:tcPr>
          <w:p w14:paraId="0C5B01A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甲方（公章）：</w:t>
            </w:r>
            <w:r>
              <w:rPr>
                <w:rFonts w:hint="eastAsia" w:ascii="宋体" w:hAnsi="宋体" w:eastAsia="宋体" w:cs="宋体"/>
                <w:b/>
                <w:color w:val="auto"/>
                <w:szCs w:val="21"/>
                <w:highlight w:val="none"/>
              </w:rPr>
              <w:t>南京邮电大学</w:t>
            </w:r>
          </w:p>
        </w:tc>
        <w:tc>
          <w:tcPr>
            <w:tcW w:w="2608" w:type="pct"/>
            <w:noWrap w:val="0"/>
            <w:vAlign w:val="top"/>
          </w:tcPr>
          <w:p w14:paraId="77383A2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乙方（公章）：</w:t>
            </w:r>
            <w:r>
              <w:rPr>
                <w:rFonts w:hint="eastAsia" w:ascii="宋体" w:hAnsi="宋体" w:eastAsia="宋体" w:cs="宋体"/>
                <w:b/>
                <w:color w:val="auto"/>
                <w:szCs w:val="21"/>
                <w:highlight w:val="none"/>
              </w:rPr>
              <w:t xml:space="preserve"> </w:t>
            </w:r>
          </w:p>
        </w:tc>
      </w:tr>
      <w:tr w14:paraId="32D0C6FE">
        <w:tblPrEx>
          <w:tblCellMar>
            <w:top w:w="0" w:type="dxa"/>
            <w:left w:w="108" w:type="dxa"/>
            <w:bottom w:w="0" w:type="dxa"/>
            <w:right w:w="108" w:type="dxa"/>
          </w:tblCellMar>
        </w:tblPrEx>
        <w:trPr>
          <w:trHeight w:val="680" w:hRule="atLeast"/>
        </w:trPr>
        <w:tc>
          <w:tcPr>
            <w:tcW w:w="2392" w:type="pct"/>
            <w:noWrap w:val="0"/>
            <w:vAlign w:val="top"/>
          </w:tcPr>
          <w:p w14:paraId="18196DD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w:t>
            </w:r>
          </w:p>
        </w:tc>
        <w:tc>
          <w:tcPr>
            <w:tcW w:w="2608" w:type="pct"/>
            <w:noWrap w:val="0"/>
            <w:vAlign w:val="top"/>
          </w:tcPr>
          <w:p w14:paraId="2B73FBA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法人代表（委托代理人）： </w:t>
            </w:r>
          </w:p>
        </w:tc>
      </w:tr>
      <w:tr w14:paraId="32CEAB34">
        <w:tblPrEx>
          <w:tblCellMar>
            <w:top w:w="0" w:type="dxa"/>
            <w:left w:w="108" w:type="dxa"/>
            <w:bottom w:w="0" w:type="dxa"/>
            <w:right w:w="108" w:type="dxa"/>
          </w:tblCellMar>
        </w:tblPrEx>
        <w:trPr>
          <w:trHeight w:val="680" w:hRule="atLeast"/>
        </w:trPr>
        <w:tc>
          <w:tcPr>
            <w:tcW w:w="2392" w:type="pct"/>
            <w:noWrap w:val="0"/>
            <w:vAlign w:val="top"/>
          </w:tcPr>
          <w:p w14:paraId="077E045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用户代表：</w:t>
            </w:r>
          </w:p>
        </w:tc>
        <w:tc>
          <w:tcPr>
            <w:tcW w:w="2608" w:type="pct"/>
            <w:noWrap w:val="0"/>
            <w:vAlign w:val="top"/>
          </w:tcPr>
          <w:p w14:paraId="0C017E7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经办人： </w:t>
            </w:r>
          </w:p>
        </w:tc>
      </w:tr>
      <w:tr w14:paraId="5DCD54C9">
        <w:tblPrEx>
          <w:tblCellMar>
            <w:top w:w="0" w:type="dxa"/>
            <w:left w:w="108" w:type="dxa"/>
            <w:bottom w:w="0" w:type="dxa"/>
            <w:right w:w="108" w:type="dxa"/>
          </w:tblCellMar>
        </w:tblPrEx>
        <w:trPr>
          <w:trHeight w:val="680" w:hRule="atLeast"/>
        </w:trPr>
        <w:tc>
          <w:tcPr>
            <w:tcW w:w="2392" w:type="pct"/>
            <w:noWrap w:val="0"/>
            <w:vAlign w:val="top"/>
          </w:tcPr>
          <w:p w14:paraId="48733A2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p>
        </w:tc>
        <w:tc>
          <w:tcPr>
            <w:tcW w:w="2608" w:type="pct"/>
            <w:noWrap w:val="0"/>
            <w:vAlign w:val="top"/>
          </w:tcPr>
          <w:p w14:paraId="3DD1F20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p>
        </w:tc>
      </w:tr>
      <w:tr w14:paraId="6AD5EFF6">
        <w:tblPrEx>
          <w:tblCellMar>
            <w:top w:w="0" w:type="dxa"/>
            <w:left w:w="108" w:type="dxa"/>
            <w:bottom w:w="0" w:type="dxa"/>
            <w:right w:w="108" w:type="dxa"/>
          </w:tblCellMar>
        </w:tblPrEx>
        <w:trPr>
          <w:trHeight w:val="680" w:hRule="atLeast"/>
        </w:trPr>
        <w:tc>
          <w:tcPr>
            <w:tcW w:w="2392" w:type="pct"/>
            <w:noWrap w:val="0"/>
            <w:vAlign w:val="top"/>
          </w:tcPr>
          <w:p w14:paraId="046DEFE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2608" w:type="pct"/>
            <w:noWrap w:val="0"/>
            <w:vAlign w:val="top"/>
          </w:tcPr>
          <w:p w14:paraId="1D1E856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r>
      <w:tr w14:paraId="3376AED8">
        <w:tblPrEx>
          <w:tblCellMar>
            <w:top w:w="0" w:type="dxa"/>
            <w:left w:w="108" w:type="dxa"/>
            <w:bottom w:w="0" w:type="dxa"/>
            <w:right w:w="108" w:type="dxa"/>
          </w:tblCellMar>
        </w:tblPrEx>
        <w:trPr>
          <w:trHeight w:val="680" w:hRule="atLeast"/>
        </w:trPr>
        <w:tc>
          <w:tcPr>
            <w:tcW w:w="2392" w:type="pct"/>
            <w:noWrap w:val="0"/>
            <w:vAlign w:val="top"/>
          </w:tcPr>
          <w:p w14:paraId="0DA936A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年    月    日</w:t>
            </w:r>
          </w:p>
        </w:tc>
        <w:tc>
          <w:tcPr>
            <w:tcW w:w="2608" w:type="pct"/>
            <w:noWrap w:val="0"/>
            <w:vAlign w:val="top"/>
          </w:tcPr>
          <w:p w14:paraId="13D39AF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年     月    日</w:t>
            </w:r>
          </w:p>
        </w:tc>
      </w:tr>
    </w:tbl>
    <w:p w14:paraId="1818DE70">
      <w:pPr>
        <w:widowControl/>
        <w:snapToGrid w:val="0"/>
        <w:spacing w:before="19" w:line="360" w:lineRule="auto"/>
        <w:ind w:firstLine="140" w:firstLineChars="67"/>
        <w:rPr>
          <w:rFonts w:hint="eastAsia" w:ascii="宋体" w:hAnsi="宋体"/>
          <w:szCs w:val="21"/>
          <w:highlight w:val="none"/>
        </w:rPr>
      </w:pPr>
    </w:p>
    <w:p w14:paraId="0EEF4734">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C8B4938">
      <w:pPr>
        <w:pStyle w:val="266"/>
        <w:rPr>
          <w:rFonts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5684AD14">
      <w:pPr>
        <w:spacing w:line="36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3AF0B9E6">
      <w:pPr>
        <w:spacing w:line="360" w:lineRule="auto"/>
        <w:ind w:firstLine="2472" w:firstLineChars="1026"/>
        <w:rPr>
          <w:rFonts w:ascii="宋体" w:hAnsi="宋体"/>
          <w:b/>
          <w:color w:val="000000" w:themeColor="text1"/>
          <w:sz w:val="24"/>
          <w:highlight w:val="none"/>
          <w14:textFill>
            <w14:solidFill>
              <w14:schemeClr w14:val="tx1"/>
            </w14:solidFill>
          </w14:textFill>
        </w:rPr>
      </w:pPr>
    </w:p>
    <w:p w14:paraId="40187A08">
      <w:pPr>
        <w:spacing w:line="360" w:lineRule="auto"/>
        <w:jc w:val="center"/>
        <w:rPr>
          <w:rFonts w:ascii="宋体" w:hAnsi="宋体"/>
          <w:b/>
          <w:color w:val="000000" w:themeColor="text1"/>
          <w:sz w:val="24"/>
          <w:highlight w:val="none"/>
          <w14:textFill>
            <w14:solidFill>
              <w14:schemeClr w14:val="tx1"/>
            </w14:solidFill>
          </w14:textFill>
        </w:rPr>
      </w:pPr>
    </w:p>
    <w:p w14:paraId="060E57B5">
      <w:pPr>
        <w:spacing w:line="360" w:lineRule="auto"/>
        <w:jc w:val="center"/>
        <w:rPr>
          <w:rFonts w:ascii="宋体" w:hAnsi="宋体"/>
          <w:b/>
          <w:color w:val="000000" w:themeColor="text1"/>
          <w:sz w:val="24"/>
          <w:highlight w:val="none"/>
          <w14:textFill>
            <w14:solidFill>
              <w14:schemeClr w14:val="tx1"/>
            </w14:solidFill>
          </w14:textFill>
        </w:rPr>
      </w:pPr>
    </w:p>
    <w:p w14:paraId="6F476336">
      <w:pPr>
        <w:spacing w:before="480" w:beforeLines="200" w:line="360" w:lineRule="auto"/>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20B6121E">
      <w:pPr>
        <w:spacing w:line="360" w:lineRule="auto"/>
        <w:jc w:val="center"/>
        <w:rPr>
          <w:rFonts w:ascii="宋体" w:hAnsi="宋体"/>
          <w:b/>
          <w:color w:val="000000" w:themeColor="text1"/>
          <w:sz w:val="24"/>
          <w:highlight w:val="none"/>
          <w14:textFill>
            <w14:solidFill>
              <w14:schemeClr w14:val="tx1"/>
            </w14:solidFill>
          </w14:textFill>
        </w:rPr>
      </w:pPr>
    </w:p>
    <w:p w14:paraId="03E1DA59">
      <w:pPr>
        <w:spacing w:line="360" w:lineRule="auto"/>
        <w:rPr>
          <w:rFonts w:ascii="宋体" w:hAnsi="宋体"/>
          <w:b/>
          <w:color w:val="000000" w:themeColor="text1"/>
          <w:sz w:val="24"/>
          <w:highlight w:val="none"/>
          <w14:textFill>
            <w14:solidFill>
              <w14:schemeClr w14:val="tx1"/>
            </w14:solidFill>
          </w14:textFill>
        </w:rPr>
      </w:pPr>
    </w:p>
    <w:p w14:paraId="0A824CD2">
      <w:pPr>
        <w:spacing w:line="360" w:lineRule="auto"/>
        <w:jc w:val="center"/>
        <w:rPr>
          <w:rFonts w:ascii="宋体" w:hAnsi="宋体"/>
          <w:b/>
          <w:color w:val="000000" w:themeColor="text1"/>
          <w:sz w:val="24"/>
          <w:highlight w:val="none"/>
          <w14:textFill>
            <w14:solidFill>
              <w14:schemeClr w14:val="tx1"/>
            </w14:solidFill>
          </w14:textFill>
        </w:rPr>
      </w:pPr>
    </w:p>
    <w:p w14:paraId="43C9C884">
      <w:pPr>
        <w:spacing w:line="360" w:lineRule="auto"/>
        <w:rPr>
          <w:rFonts w:ascii="宋体" w:hAnsi="宋体"/>
          <w:b/>
          <w:color w:val="000000" w:themeColor="text1"/>
          <w:sz w:val="24"/>
          <w:highlight w:val="none"/>
          <w14:textFill>
            <w14:solidFill>
              <w14:schemeClr w14:val="tx1"/>
            </w14:solidFill>
          </w14:textFill>
        </w:rPr>
      </w:pPr>
    </w:p>
    <w:p w14:paraId="2F1E3A95">
      <w:pPr>
        <w:spacing w:line="360" w:lineRule="auto"/>
        <w:jc w:val="center"/>
        <w:rPr>
          <w:rFonts w:ascii="宋体" w:hAnsi="宋体"/>
          <w:b/>
          <w:color w:val="000000" w:themeColor="text1"/>
          <w:sz w:val="24"/>
          <w:highlight w:val="none"/>
          <w14:textFill>
            <w14:solidFill>
              <w14:schemeClr w14:val="tx1"/>
            </w14:solidFill>
          </w14:textFill>
        </w:rPr>
      </w:pPr>
    </w:p>
    <w:p w14:paraId="35BA3CAC">
      <w:pPr>
        <w:pStyle w:val="258"/>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44B66475">
      <w:pPr>
        <w:spacing w:line="360" w:lineRule="auto"/>
        <w:ind w:firstLine="843" w:firstLineChars="300"/>
        <w:rPr>
          <w:rFonts w:ascii="宋体" w:hAnsi="宋体"/>
          <w:b/>
          <w:color w:val="000000" w:themeColor="text1"/>
          <w:sz w:val="28"/>
          <w:szCs w:val="28"/>
          <w:highlight w:val="none"/>
          <w14:textFill>
            <w14:solidFill>
              <w14:schemeClr w14:val="tx1"/>
            </w14:solidFill>
          </w14:textFill>
        </w:rPr>
      </w:pPr>
    </w:p>
    <w:p w14:paraId="2438AB68">
      <w:pPr>
        <w:pStyle w:val="258"/>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2D147286">
      <w:pPr>
        <w:spacing w:line="360" w:lineRule="auto"/>
        <w:ind w:firstLine="843" w:firstLineChars="300"/>
        <w:rPr>
          <w:rFonts w:ascii="宋体" w:hAnsi="宋体"/>
          <w:b/>
          <w:color w:val="000000" w:themeColor="text1"/>
          <w:sz w:val="28"/>
          <w:szCs w:val="28"/>
          <w:highlight w:val="none"/>
          <w:u w:val="single"/>
          <w14:textFill>
            <w14:solidFill>
              <w14:schemeClr w14:val="tx1"/>
            </w14:solidFill>
          </w14:textFill>
        </w:rPr>
      </w:pPr>
    </w:p>
    <w:p w14:paraId="047A4BEF">
      <w:pPr>
        <w:spacing w:line="360" w:lineRule="auto"/>
        <w:rPr>
          <w:rFonts w:ascii="宋体" w:hAnsi="宋体"/>
          <w:b/>
          <w:color w:val="000000" w:themeColor="text1"/>
          <w:sz w:val="28"/>
          <w:szCs w:val="28"/>
          <w:highlight w:val="none"/>
          <w14:textFill>
            <w14:solidFill>
              <w14:schemeClr w14:val="tx1"/>
            </w14:solidFill>
          </w14:textFill>
        </w:rPr>
      </w:pPr>
    </w:p>
    <w:p w14:paraId="62BFCDB7">
      <w:pPr>
        <w:spacing w:line="360" w:lineRule="auto"/>
        <w:rPr>
          <w:rFonts w:ascii="宋体" w:hAnsi="宋体"/>
          <w:b/>
          <w:color w:val="000000" w:themeColor="text1"/>
          <w:sz w:val="28"/>
          <w:szCs w:val="28"/>
          <w:highlight w:val="none"/>
          <w14:textFill>
            <w14:solidFill>
              <w14:schemeClr w14:val="tx1"/>
            </w14:solidFill>
          </w14:textFill>
        </w:rPr>
      </w:pPr>
    </w:p>
    <w:p w14:paraId="7343C0AA">
      <w:pPr>
        <w:spacing w:line="360" w:lineRule="auto"/>
        <w:rPr>
          <w:rFonts w:ascii="宋体" w:hAnsi="宋体"/>
          <w:b/>
          <w:color w:val="000000" w:themeColor="text1"/>
          <w:sz w:val="28"/>
          <w:szCs w:val="28"/>
          <w:highlight w:val="none"/>
          <w14:textFill>
            <w14:solidFill>
              <w14:schemeClr w14:val="tx1"/>
            </w14:solidFill>
          </w14:textFill>
        </w:rPr>
      </w:pPr>
    </w:p>
    <w:p w14:paraId="09433C23">
      <w:pPr>
        <w:spacing w:line="360" w:lineRule="auto"/>
        <w:rPr>
          <w:rFonts w:ascii="宋体" w:hAnsi="宋体"/>
          <w:b/>
          <w:color w:val="000000" w:themeColor="text1"/>
          <w:sz w:val="28"/>
          <w:szCs w:val="28"/>
          <w:highlight w:val="none"/>
          <w14:textFill>
            <w14:solidFill>
              <w14:schemeClr w14:val="tx1"/>
            </w14:solidFill>
          </w14:textFill>
        </w:rPr>
      </w:pPr>
    </w:p>
    <w:p w14:paraId="7366C049">
      <w:pPr>
        <w:spacing w:line="360" w:lineRule="auto"/>
        <w:rPr>
          <w:rFonts w:ascii="宋体" w:hAnsi="宋体"/>
          <w:b/>
          <w:color w:val="000000" w:themeColor="text1"/>
          <w:sz w:val="28"/>
          <w:szCs w:val="28"/>
          <w:highlight w:val="none"/>
          <w14:textFill>
            <w14:solidFill>
              <w14:schemeClr w14:val="tx1"/>
            </w14:solidFill>
          </w14:textFill>
        </w:rPr>
      </w:pPr>
    </w:p>
    <w:p w14:paraId="47EBABDA">
      <w:pPr>
        <w:spacing w:line="360" w:lineRule="auto"/>
        <w:rPr>
          <w:rFonts w:ascii="宋体" w:hAnsi="宋体"/>
          <w:b/>
          <w:color w:val="000000" w:themeColor="text1"/>
          <w:sz w:val="28"/>
          <w:szCs w:val="28"/>
          <w:highlight w:val="none"/>
          <w14:textFill>
            <w14:solidFill>
              <w14:schemeClr w14:val="tx1"/>
            </w14:solidFill>
          </w14:textFill>
        </w:rPr>
      </w:pPr>
    </w:p>
    <w:p w14:paraId="372CA370">
      <w:pPr>
        <w:spacing w:line="360" w:lineRule="auto"/>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4686BFFA">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3A7FADD1">
      <w:pPr>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3"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3E12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3BF627">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4A5F1E18">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26BF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07D5BE3">
            <w:pPr>
              <w:spacing w:line="360" w:lineRule="auto"/>
              <w:rPr>
                <w:rFonts w:ascii="宋体" w:hAnsi="宋体"/>
                <w:b/>
                <w:color w:val="000000" w:themeColor="text1"/>
                <w:highlight w:val="none"/>
                <w14:textFill>
                  <w14:solidFill>
                    <w14:schemeClr w14:val="tx1"/>
                  </w14:solidFill>
                </w14:textFill>
              </w:rPr>
            </w:pPr>
          </w:p>
        </w:tc>
        <w:tc>
          <w:tcPr>
            <w:tcW w:w="1783" w:type="pct"/>
          </w:tcPr>
          <w:p w14:paraId="443B01C2">
            <w:pPr>
              <w:spacing w:line="360" w:lineRule="auto"/>
              <w:rPr>
                <w:rFonts w:ascii="宋体" w:hAnsi="宋体"/>
                <w:b/>
                <w:color w:val="000000" w:themeColor="text1"/>
                <w:highlight w:val="none"/>
                <w14:textFill>
                  <w14:solidFill>
                    <w14:schemeClr w14:val="tx1"/>
                  </w14:solidFill>
                </w14:textFill>
              </w:rPr>
            </w:pPr>
          </w:p>
        </w:tc>
      </w:tr>
      <w:tr w14:paraId="786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15946145">
            <w:pPr>
              <w:spacing w:line="360" w:lineRule="auto"/>
              <w:rPr>
                <w:rFonts w:ascii="宋体" w:hAnsi="宋体"/>
                <w:b/>
                <w:color w:val="000000" w:themeColor="text1"/>
                <w:highlight w:val="none"/>
                <w14:textFill>
                  <w14:solidFill>
                    <w14:schemeClr w14:val="tx1"/>
                  </w14:solidFill>
                </w14:textFill>
              </w:rPr>
            </w:pPr>
          </w:p>
        </w:tc>
      </w:tr>
      <w:tr w14:paraId="690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C30191D">
            <w:pPr>
              <w:spacing w:line="360" w:lineRule="auto"/>
              <w:rPr>
                <w:rFonts w:ascii="宋体" w:hAnsi="宋体"/>
                <w:b/>
                <w:color w:val="000000" w:themeColor="text1"/>
                <w:highlight w:val="none"/>
                <w14:textFill>
                  <w14:solidFill>
                    <w14:schemeClr w14:val="tx1"/>
                  </w14:solidFill>
                </w14:textFill>
              </w:rPr>
            </w:pPr>
          </w:p>
        </w:tc>
        <w:tc>
          <w:tcPr>
            <w:tcW w:w="1783" w:type="pct"/>
          </w:tcPr>
          <w:p w14:paraId="1C4047AD">
            <w:pPr>
              <w:spacing w:line="360" w:lineRule="auto"/>
              <w:rPr>
                <w:rFonts w:ascii="宋体" w:hAnsi="宋体"/>
                <w:b/>
                <w:color w:val="000000" w:themeColor="text1"/>
                <w:highlight w:val="none"/>
                <w14:textFill>
                  <w14:solidFill>
                    <w14:schemeClr w14:val="tx1"/>
                  </w14:solidFill>
                </w14:textFill>
              </w:rPr>
            </w:pPr>
          </w:p>
        </w:tc>
      </w:tr>
      <w:tr w14:paraId="4409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2B81ED0">
            <w:pPr>
              <w:spacing w:line="360" w:lineRule="auto"/>
              <w:rPr>
                <w:rFonts w:ascii="宋体" w:hAnsi="宋体"/>
                <w:b/>
                <w:color w:val="000000" w:themeColor="text1"/>
                <w:highlight w:val="none"/>
                <w14:textFill>
                  <w14:solidFill>
                    <w14:schemeClr w14:val="tx1"/>
                  </w14:solidFill>
                </w14:textFill>
              </w:rPr>
            </w:pPr>
          </w:p>
        </w:tc>
        <w:tc>
          <w:tcPr>
            <w:tcW w:w="1783" w:type="pct"/>
          </w:tcPr>
          <w:p w14:paraId="7C82E148">
            <w:pPr>
              <w:spacing w:line="360" w:lineRule="auto"/>
              <w:rPr>
                <w:rFonts w:ascii="宋体" w:hAnsi="宋体"/>
                <w:b/>
                <w:color w:val="000000" w:themeColor="text1"/>
                <w:highlight w:val="none"/>
                <w14:textFill>
                  <w14:solidFill>
                    <w14:schemeClr w14:val="tx1"/>
                  </w14:solidFill>
                </w14:textFill>
              </w:rPr>
            </w:pPr>
          </w:p>
        </w:tc>
      </w:tr>
      <w:tr w14:paraId="2BC1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E219495">
            <w:pPr>
              <w:spacing w:line="360" w:lineRule="auto"/>
              <w:rPr>
                <w:rFonts w:ascii="宋体" w:hAnsi="宋体"/>
                <w:b/>
                <w:color w:val="000000" w:themeColor="text1"/>
                <w:highlight w:val="none"/>
                <w14:textFill>
                  <w14:solidFill>
                    <w14:schemeClr w14:val="tx1"/>
                  </w14:solidFill>
                </w14:textFill>
              </w:rPr>
            </w:pPr>
          </w:p>
        </w:tc>
        <w:tc>
          <w:tcPr>
            <w:tcW w:w="1783" w:type="pct"/>
          </w:tcPr>
          <w:p w14:paraId="294DE11C">
            <w:pPr>
              <w:spacing w:line="360" w:lineRule="auto"/>
              <w:rPr>
                <w:rFonts w:ascii="宋体" w:hAnsi="宋体"/>
                <w:b/>
                <w:color w:val="000000" w:themeColor="text1"/>
                <w:highlight w:val="none"/>
                <w14:textFill>
                  <w14:solidFill>
                    <w14:schemeClr w14:val="tx1"/>
                  </w14:solidFill>
                </w14:textFill>
              </w:rPr>
            </w:pPr>
          </w:p>
        </w:tc>
      </w:tr>
      <w:tr w14:paraId="5CF4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3D08F32">
            <w:pPr>
              <w:spacing w:line="360" w:lineRule="auto"/>
              <w:rPr>
                <w:rFonts w:ascii="宋体" w:hAnsi="宋体"/>
                <w:b/>
                <w:color w:val="000000" w:themeColor="text1"/>
                <w:highlight w:val="none"/>
                <w14:textFill>
                  <w14:solidFill>
                    <w14:schemeClr w14:val="tx1"/>
                  </w14:solidFill>
                </w14:textFill>
              </w:rPr>
            </w:pPr>
          </w:p>
        </w:tc>
        <w:tc>
          <w:tcPr>
            <w:tcW w:w="1783" w:type="pct"/>
          </w:tcPr>
          <w:p w14:paraId="331237D3">
            <w:pPr>
              <w:spacing w:line="360" w:lineRule="auto"/>
              <w:rPr>
                <w:rFonts w:ascii="宋体" w:hAnsi="宋体"/>
                <w:b/>
                <w:color w:val="000000" w:themeColor="text1"/>
                <w:highlight w:val="none"/>
                <w14:textFill>
                  <w14:solidFill>
                    <w14:schemeClr w14:val="tx1"/>
                  </w14:solidFill>
                </w14:textFill>
              </w:rPr>
            </w:pPr>
          </w:p>
        </w:tc>
      </w:tr>
      <w:tr w14:paraId="0639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E649A7">
            <w:pPr>
              <w:spacing w:line="360" w:lineRule="auto"/>
              <w:rPr>
                <w:rFonts w:ascii="宋体" w:hAnsi="宋体"/>
                <w:b/>
                <w:color w:val="000000" w:themeColor="text1"/>
                <w:highlight w:val="none"/>
                <w14:textFill>
                  <w14:solidFill>
                    <w14:schemeClr w14:val="tx1"/>
                  </w14:solidFill>
                </w14:textFill>
              </w:rPr>
            </w:pPr>
          </w:p>
        </w:tc>
        <w:tc>
          <w:tcPr>
            <w:tcW w:w="1783" w:type="pct"/>
          </w:tcPr>
          <w:p w14:paraId="31A446B6">
            <w:pPr>
              <w:spacing w:line="360" w:lineRule="auto"/>
              <w:rPr>
                <w:rFonts w:ascii="宋体" w:hAnsi="宋体"/>
                <w:b/>
                <w:color w:val="000000" w:themeColor="text1"/>
                <w:highlight w:val="none"/>
                <w14:textFill>
                  <w14:solidFill>
                    <w14:schemeClr w14:val="tx1"/>
                  </w14:solidFill>
                </w14:textFill>
              </w:rPr>
            </w:pPr>
          </w:p>
        </w:tc>
      </w:tr>
      <w:tr w14:paraId="3452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9CB38E1">
            <w:pPr>
              <w:spacing w:line="360" w:lineRule="auto"/>
              <w:rPr>
                <w:rFonts w:ascii="宋体" w:hAnsi="宋体"/>
                <w:b/>
                <w:color w:val="000000" w:themeColor="text1"/>
                <w:highlight w:val="none"/>
                <w14:textFill>
                  <w14:solidFill>
                    <w14:schemeClr w14:val="tx1"/>
                  </w14:solidFill>
                </w14:textFill>
              </w:rPr>
            </w:pPr>
          </w:p>
        </w:tc>
      </w:tr>
      <w:tr w14:paraId="5194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968B72C">
            <w:pPr>
              <w:spacing w:line="360" w:lineRule="auto"/>
              <w:rPr>
                <w:rFonts w:ascii="宋体" w:hAnsi="宋体"/>
                <w:b/>
                <w:color w:val="000000" w:themeColor="text1"/>
                <w:highlight w:val="none"/>
                <w14:textFill>
                  <w14:solidFill>
                    <w14:schemeClr w14:val="tx1"/>
                  </w14:solidFill>
                </w14:textFill>
              </w:rPr>
            </w:pPr>
          </w:p>
        </w:tc>
        <w:tc>
          <w:tcPr>
            <w:tcW w:w="1783" w:type="pct"/>
          </w:tcPr>
          <w:p w14:paraId="5147FBCF">
            <w:pPr>
              <w:spacing w:line="360" w:lineRule="auto"/>
              <w:rPr>
                <w:rFonts w:ascii="宋体" w:hAnsi="宋体"/>
                <w:b/>
                <w:color w:val="000000" w:themeColor="text1"/>
                <w:highlight w:val="none"/>
                <w14:textFill>
                  <w14:solidFill>
                    <w14:schemeClr w14:val="tx1"/>
                  </w14:solidFill>
                </w14:textFill>
              </w:rPr>
            </w:pPr>
          </w:p>
        </w:tc>
      </w:tr>
      <w:tr w14:paraId="65DD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894FFAD">
            <w:pPr>
              <w:spacing w:line="360" w:lineRule="auto"/>
              <w:rPr>
                <w:rFonts w:ascii="宋体" w:hAnsi="宋体"/>
                <w:b/>
                <w:color w:val="000000" w:themeColor="text1"/>
                <w:highlight w:val="none"/>
                <w14:textFill>
                  <w14:solidFill>
                    <w14:schemeClr w14:val="tx1"/>
                  </w14:solidFill>
                </w14:textFill>
              </w:rPr>
            </w:pPr>
          </w:p>
        </w:tc>
        <w:tc>
          <w:tcPr>
            <w:tcW w:w="1783" w:type="pct"/>
          </w:tcPr>
          <w:p w14:paraId="47215C46">
            <w:pPr>
              <w:spacing w:line="360" w:lineRule="auto"/>
              <w:rPr>
                <w:rFonts w:ascii="宋体" w:hAnsi="宋体"/>
                <w:b/>
                <w:color w:val="000000" w:themeColor="text1"/>
                <w:highlight w:val="none"/>
                <w14:textFill>
                  <w14:solidFill>
                    <w14:schemeClr w14:val="tx1"/>
                  </w14:solidFill>
                </w14:textFill>
              </w:rPr>
            </w:pPr>
          </w:p>
        </w:tc>
      </w:tr>
      <w:tr w14:paraId="0F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2B6DA3">
            <w:pPr>
              <w:spacing w:line="360" w:lineRule="auto"/>
              <w:rPr>
                <w:rFonts w:ascii="宋体" w:hAnsi="宋体"/>
                <w:b/>
                <w:color w:val="000000" w:themeColor="text1"/>
                <w:highlight w:val="none"/>
                <w14:textFill>
                  <w14:solidFill>
                    <w14:schemeClr w14:val="tx1"/>
                  </w14:solidFill>
                </w14:textFill>
              </w:rPr>
            </w:pPr>
          </w:p>
        </w:tc>
        <w:tc>
          <w:tcPr>
            <w:tcW w:w="1783" w:type="pct"/>
          </w:tcPr>
          <w:p w14:paraId="6219B7BE">
            <w:pPr>
              <w:spacing w:line="360" w:lineRule="auto"/>
              <w:rPr>
                <w:rFonts w:ascii="宋体" w:hAnsi="宋体"/>
                <w:b/>
                <w:color w:val="000000" w:themeColor="text1"/>
                <w:highlight w:val="none"/>
                <w14:textFill>
                  <w14:solidFill>
                    <w14:schemeClr w14:val="tx1"/>
                  </w14:solidFill>
                </w14:textFill>
              </w:rPr>
            </w:pPr>
          </w:p>
        </w:tc>
      </w:tr>
      <w:tr w14:paraId="0B5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70744B1">
            <w:pPr>
              <w:spacing w:line="360" w:lineRule="auto"/>
              <w:rPr>
                <w:rFonts w:ascii="宋体" w:hAnsi="宋体"/>
                <w:b/>
                <w:color w:val="000000" w:themeColor="text1"/>
                <w:highlight w:val="none"/>
                <w14:textFill>
                  <w14:solidFill>
                    <w14:schemeClr w14:val="tx1"/>
                  </w14:solidFill>
                </w14:textFill>
              </w:rPr>
            </w:pPr>
          </w:p>
        </w:tc>
        <w:tc>
          <w:tcPr>
            <w:tcW w:w="1783" w:type="pct"/>
          </w:tcPr>
          <w:p w14:paraId="5CE2FEC9">
            <w:pPr>
              <w:spacing w:line="360" w:lineRule="auto"/>
              <w:rPr>
                <w:rFonts w:ascii="宋体" w:hAnsi="宋体"/>
                <w:b/>
                <w:color w:val="000000" w:themeColor="text1"/>
                <w:highlight w:val="none"/>
                <w14:textFill>
                  <w14:solidFill>
                    <w14:schemeClr w14:val="tx1"/>
                  </w14:solidFill>
                </w14:textFill>
              </w:rPr>
            </w:pPr>
          </w:p>
        </w:tc>
      </w:tr>
      <w:tr w14:paraId="6842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0760E4C">
            <w:pPr>
              <w:spacing w:line="360" w:lineRule="auto"/>
              <w:rPr>
                <w:rFonts w:ascii="宋体" w:hAnsi="宋体"/>
                <w:b/>
                <w:color w:val="000000" w:themeColor="text1"/>
                <w:highlight w:val="none"/>
                <w14:textFill>
                  <w14:solidFill>
                    <w14:schemeClr w14:val="tx1"/>
                  </w14:solidFill>
                </w14:textFill>
              </w:rPr>
            </w:pPr>
          </w:p>
        </w:tc>
        <w:tc>
          <w:tcPr>
            <w:tcW w:w="1783" w:type="pct"/>
          </w:tcPr>
          <w:p w14:paraId="2C0F7684">
            <w:pPr>
              <w:spacing w:line="360" w:lineRule="auto"/>
              <w:rPr>
                <w:rFonts w:ascii="宋体" w:hAnsi="宋体"/>
                <w:b/>
                <w:color w:val="000000" w:themeColor="text1"/>
                <w:highlight w:val="none"/>
                <w14:textFill>
                  <w14:solidFill>
                    <w14:schemeClr w14:val="tx1"/>
                  </w14:solidFill>
                </w14:textFill>
              </w:rPr>
            </w:pPr>
          </w:p>
        </w:tc>
      </w:tr>
      <w:tr w14:paraId="5EF7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8FF8DFF">
            <w:pPr>
              <w:spacing w:line="360" w:lineRule="auto"/>
              <w:rPr>
                <w:rFonts w:ascii="宋体" w:hAnsi="宋体"/>
                <w:b/>
                <w:color w:val="000000" w:themeColor="text1"/>
                <w:highlight w:val="none"/>
                <w14:textFill>
                  <w14:solidFill>
                    <w14:schemeClr w14:val="tx1"/>
                  </w14:solidFill>
                </w14:textFill>
              </w:rPr>
            </w:pPr>
          </w:p>
        </w:tc>
      </w:tr>
      <w:tr w14:paraId="6DC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1546D46">
            <w:pPr>
              <w:spacing w:line="360" w:lineRule="auto"/>
              <w:rPr>
                <w:rFonts w:ascii="宋体" w:hAnsi="宋体"/>
                <w:b/>
                <w:color w:val="000000" w:themeColor="text1"/>
                <w:highlight w:val="none"/>
                <w14:textFill>
                  <w14:solidFill>
                    <w14:schemeClr w14:val="tx1"/>
                  </w14:solidFill>
                </w14:textFill>
              </w:rPr>
            </w:pPr>
          </w:p>
        </w:tc>
        <w:tc>
          <w:tcPr>
            <w:tcW w:w="1783" w:type="pct"/>
          </w:tcPr>
          <w:p w14:paraId="2EF0FAAF">
            <w:pPr>
              <w:spacing w:line="360" w:lineRule="auto"/>
              <w:rPr>
                <w:rFonts w:ascii="宋体" w:hAnsi="宋体"/>
                <w:b/>
                <w:color w:val="000000" w:themeColor="text1"/>
                <w:highlight w:val="none"/>
                <w14:textFill>
                  <w14:solidFill>
                    <w14:schemeClr w14:val="tx1"/>
                  </w14:solidFill>
                </w14:textFill>
              </w:rPr>
            </w:pPr>
          </w:p>
        </w:tc>
      </w:tr>
      <w:tr w14:paraId="2029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F1AA2DB">
            <w:pPr>
              <w:spacing w:line="360" w:lineRule="auto"/>
              <w:rPr>
                <w:rFonts w:ascii="宋体" w:hAnsi="宋体"/>
                <w:b/>
                <w:color w:val="000000" w:themeColor="text1"/>
                <w:highlight w:val="none"/>
                <w14:textFill>
                  <w14:solidFill>
                    <w14:schemeClr w14:val="tx1"/>
                  </w14:solidFill>
                </w14:textFill>
              </w:rPr>
            </w:pPr>
          </w:p>
        </w:tc>
        <w:tc>
          <w:tcPr>
            <w:tcW w:w="1783" w:type="pct"/>
          </w:tcPr>
          <w:p w14:paraId="0BE66123">
            <w:pPr>
              <w:spacing w:line="360" w:lineRule="auto"/>
              <w:rPr>
                <w:rFonts w:ascii="宋体" w:hAnsi="宋体"/>
                <w:b/>
                <w:color w:val="000000" w:themeColor="text1"/>
                <w:highlight w:val="none"/>
                <w14:textFill>
                  <w14:solidFill>
                    <w14:schemeClr w14:val="tx1"/>
                  </w14:solidFill>
                </w14:textFill>
              </w:rPr>
            </w:pPr>
          </w:p>
        </w:tc>
      </w:tr>
      <w:tr w14:paraId="7EDC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64964E0">
            <w:pPr>
              <w:spacing w:line="360" w:lineRule="auto"/>
              <w:rPr>
                <w:rFonts w:ascii="宋体" w:hAnsi="宋体"/>
                <w:b/>
                <w:color w:val="000000" w:themeColor="text1"/>
                <w:highlight w:val="none"/>
                <w14:textFill>
                  <w14:solidFill>
                    <w14:schemeClr w14:val="tx1"/>
                  </w14:solidFill>
                </w14:textFill>
              </w:rPr>
            </w:pPr>
          </w:p>
        </w:tc>
        <w:tc>
          <w:tcPr>
            <w:tcW w:w="1783" w:type="pct"/>
          </w:tcPr>
          <w:p w14:paraId="28AFE475">
            <w:pPr>
              <w:spacing w:line="360" w:lineRule="auto"/>
              <w:rPr>
                <w:rFonts w:ascii="宋体" w:hAnsi="宋体"/>
                <w:b/>
                <w:color w:val="000000" w:themeColor="text1"/>
                <w:highlight w:val="none"/>
                <w14:textFill>
                  <w14:solidFill>
                    <w14:schemeClr w14:val="tx1"/>
                  </w14:solidFill>
                </w14:textFill>
              </w:rPr>
            </w:pPr>
          </w:p>
        </w:tc>
      </w:tr>
      <w:tr w14:paraId="047B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BB9DDB7">
            <w:pPr>
              <w:spacing w:line="360" w:lineRule="auto"/>
              <w:rPr>
                <w:rFonts w:ascii="宋体" w:hAnsi="宋体"/>
                <w:b/>
                <w:color w:val="000000" w:themeColor="text1"/>
                <w:highlight w:val="none"/>
                <w14:textFill>
                  <w14:solidFill>
                    <w14:schemeClr w14:val="tx1"/>
                  </w14:solidFill>
                </w14:textFill>
              </w:rPr>
            </w:pPr>
          </w:p>
        </w:tc>
      </w:tr>
      <w:tr w14:paraId="15CE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66669BC">
            <w:pPr>
              <w:spacing w:line="360" w:lineRule="auto"/>
              <w:rPr>
                <w:rFonts w:ascii="宋体" w:hAnsi="宋体"/>
                <w:b/>
                <w:color w:val="000000" w:themeColor="text1"/>
                <w:highlight w:val="none"/>
                <w14:textFill>
                  <w14:solidFill>
                    <w14:schemeClr w14:val="tx1"/>
                  </w14:solidFill>
                </w14:textFill>
              </w:rPr>
            </w:pPr>
          </w:p>
        </w:tc>
        <w:tc>
          <w:tcPr>
            <w:tcW w:w="1783" w:type="pct"/>
          </w:tcPr>
          <w:p w14:paraId="71F31734">
            <w:pPr>
              <w:spacing w:line="360" w:lineRule="auto"/>
              <w:rPr>
                <w:rFonts w:ascii="宋体" w:hAnsi="宋体"/>
                <w:b/>
                <w:color w:val="000000" w:themeColor="text1"/>
                <w:highlight w:val="none"/>
                <w14:textFill>
                  <w14:solidFill>
                    <w14:schemeClr w14:val="tx1"/>
                  </w14:solidFill>
                </w14:textFill>
              </w:rPr>
            </w:pPr>
          </w:p>
        </w:tc>
      </w:tr>
      <w:tr w14:paraId="58F5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D8D3B71">
            <w:pPr>
              <w:spacing w:line="360" w:lineRule="auto"/>
              <w:rPr>
                <w:rFonts w:ascii="宋体" w:hAnsi="宋体"/>
                <w:b/>
                <w:color w:val="000000" w:themeColor="text1"/>
                <w:highlight w:val="none"/>
                <w14:textFill>
                  <w14:solidFill>
                    <w14:schemeClr w14:val="tx1"/>
                  </w14:solidFill>
                </w14:textFill>
              </w:rPr>
            </w:pPr>
          </w:p>
        </w:tc>
        <w:tc>
          <w:tcPr>
            <w:tcW w:w="1783" w:type="pct"/>
          </w:tcPr>
          <w:p w14:paraId="4E2E1559">
            <w:pPr>
              <w:spacing w:line="360" w:lineRule="auto"/>
              <w:rPr>
                <w:rFonts w:ascii="宋体" w:hAnsi="宋体"/>
                <w:b/>
                <w:color w:val="000000" w:themeColor="text1"/>
                <w:highlight w:val="none"/>
                <w14:textFill>
                  <w14:solidFill>
                    <w14:schemeClr w14:val="tx1"/>
                  </w14:solidFill>
                </w14:textFill>
              </w:rPr>
            </w:pPr>
          </w:p>
        </w:tc>
      </w:tr>
    </w:tbl>
    <w:p w14:paraId="69B1134B">
      <w:pPr>
        <w:spacing w:line="360" w:lineRule="auto"/>
        <w:rPr>
          <w:rFonts w:ascii="宋体" w:hAnsi="宋体"/>
          <w:color w:val="000000" w:themeColor="text1"/>
          <w:highlight w:val="none"/>
          <w14:textFill>
            <w14:solidFill>
              <w14:schemeClr w14:val="tx1"/>
            </w14:solidFill>
          </w14:textFill>
        </w:rPr>
      </w:pPr>
    </w:p>
    <w:p w14:paraId="493E0594">
      <w:pPr>
        <w:spacing w:line="360" w:lineRule="auto"/>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4" w:name="_Toc489655320"/>
    </w:p>
    <w:p w14:paraId="6B68D6BB">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3"/>
      <w:bookmarkEnd w:id="14"/>
      <w:r>
        <w:rPr>
          <w:color w:val="000000" w:themeColor="text1"/>
          <w:highlight w:val="none"/>
          <w14:textFill>
            <w14:solidFill>
              <w14:schemeClr w14:val="tx1"/>
            </w14:solidFill>
          </w14:textFill>
        </w:rPr>
        <w:t>及相关证明材料格式、附件</w:t>
      </w:r>
    </w:p>
    <w:p w14:paraId="3002A737">
      <w:pPr>
        <w:spacing w:line="360" w:lineRule="auto"/>
        <w:rPr>
          <w:rFonts w:ascii="宋体" w:hAnsi="宋体"/>
          <w:color w:val="000000" w:themeColor="text1"/>
          <w:sz w:val="28"/>
          <w:szCs w:val="28"/>
          <w:highlight w:val="none"/>
          <w14:textFill>
            <w14:solidFill>
              <w14:schemeClr w14:val="tx1"/>
            </w14:solidFill>
          </w14:textFill>
        </w:rPr>
      </w:pPr>
    </w:p>
    <w:p w14:paraId="70D5B661">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一、响应申请及声明格式</w:t>
      </w:r>
    </w:p>
    <w:p w14:paraId="51C2996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二、法定代表人授权书格式</w:t>
      </w:r>
    </w:p>
    <w:p w14:paraId="3184E3E8">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5228180B">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672F32E3">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18C026F4">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1EA3151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716DD565">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1DA0780F">
      <w:pPr>
        <w:spacing w:line="360" w:lineRule="auto"/>
        <w:rPr>
          <w:rFonts w:ascii="宋体" w:hAnsi="宋体"/>
          <w:color w:val="000000" w:themeColor="text1"/>
          <w:sz w:val="28"/>
          <w:szCs w:val="28"/>
          <w:highlight w:val="none"/>
          <w14:textFill>
            <w14:solidFill>
              <w14:schemeClr w14:val="tx1"/>
            </w14:solidFill>
          </w14:textFill>
        </w:rPr>
      </w:pPr>
    </w:p>
    <w:p w14:paraId="302A8E5F">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6BA4B1D1">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2846A0EE">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389883A2">
      <w:pPr>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4DFEA808">
      <w:pPr>
        <w:pStyle w:val="18"/>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3D810E01">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1B0300B3">
      <w:pPr>
        <w:pStyle w:val="18"/>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D3E9FAD">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4680A915">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50E3606C">
      <w:pPr>
        <w:pStyle w:val="18"/>
        <w:numPr>
          <w:ilvl w:val="0"/>
          <w:numId w:val="62"/>
        </w:numPr>
        <w:spacing w:line="360"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3DF6E840">
      <w:pPr>
        <w:pStyle w:val="18"/>
        <w:numPr>
          <w:ilvl w:val="0"/>
          <w:numId w:val="6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4438B0FF">
      <w:pPr>
        <w:pStyle w:val="18"/>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4DEB06FE">
      <w:pPr>
        <w:pStyle w:val="18"/>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4C782EBE">
      <w:pPr>
        <w:pStyle w:val="18"/>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39A5FB27">
      <w:pPr>
        <w:pStyle w:val="18"/>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FA0CFA0">
      <w:pPr>
        <w:pStyle w:val="18"/>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4749F967">
      <w:pPr>
        <w:pStyle w:val="18"/>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BF1BACF">
      <w:pPr>
        <w:pStyle w:val="18"/>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398819A">
      <w:pPr>
        <w:pStyle w:val="18"/>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CB0A1BA">
      <w:pPr>
        <w:pStyle w:val="18"/>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6F39198F">
      <w:pPr>
        <w:pStyle w:val="18"/>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7C967D9A">
      <w:pPr>
        <w:pStyle w:val="18"/>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w:t>
      </w:r>
      <w:r>
        <w:rPr>
          <w:rFonts w:hint="eastAsia"/>
          <w:color w:val="000000" w:themeColor="text1"/>
          <w:highlight w:val="none"/>
          <w:lang w:val="en-US" w:eastAsia="zh-CN"/>
          <w14:textFill>
            <w14:solidFill>
              <w14:schemeClr w14:val="tx1"/>
            </w14:solidFill>
          </w14:textFill>
        </w:rPr>
        <w:t>委托代理</w:t>
      </w:r>
      <w:r>
        <w:rPr>
          <w:rFonts w:hint="eastAsia"/>
          <w:color w:val="000000" w:themeColor="text1"/>
          <w:highlight w:val="none"/>
          <w14:textFill>
            <w14:solidFill>
              <w14:schemeClr w14:val="tx1"/>
            </w14:solidFill>
          </w14:textFill>
        </w:rPr>
        <w:t>姓名（签字）：</w:t>
      </w:r>
    </w:p>
    <w:p w14:paraId="345D8A7C">
      <w:pPr>
        <w:pStyle w:val="18"/>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03969589">
      <w:pPr>
        <w:pStyle w:val="18"/>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0D6E8B54">
      <w:pPr>
        <w:pStyle w:val="18"/>
        <w:spacing w:before="240" w:beforeLines="100"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64E3D49A">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136015E7">
      <w:pPr>
        <w:pStyle w:val="18"/>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834FF5B">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w:t>
      </w:r>
      <w:r>
        <w:rPr>
          <w:color w:val="000000" w:themeColor="text1"/>
          <w:highlight w:val="none"/>
          <w:u w:val="single"/>
          <w14:textFill>
            <w14:solidFill>
              <w14:schemeClr w14:val="tx1"/>
            </w14:solidFill>
          </w14:textFill>
        </w:rPr>
        <w:t>（供应商住址）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w:t>
      </w:r>
      <w:r>
        <w:rPr>
          <w:color w:val="000000" w:themeColor="text1"/>
          <w:highlight w:val="none"/>
          <w:u w:val="single"/>
          <w14:textFill>
            <w14:solidFill>
              <w14:schemeClr w14:val="tx1"/>
            </w14:solidFill>
          </w14:textFill>
        </w:rPr>
        <w:t>（法定代表人姓名、职务）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w:t>
      </w:r>
      <w:r>
        <w:rPr>
          <w:rFonts w:ascii="Times New Roman" w:hAnsi="Times New Roman" w:eastAsia="宋体" w:cs="Times New Roman"/>
          <w:color w:val="000000" w:themeColor="text1"/>
          <w:highlight w:val="none"/>
          <w:u w:val="single"/>
          <w14:textFill>
            <w14:solidFill>
              <w14:schemeClr w14:val="tx1"/>
            </w14:solidFill>
          </w14:textFill>
        </w:rPr>
        <w:t xml:space="preserve">（供应商代表姓名、职务）   </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543527FD">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164BFE43">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7C6612A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72E660FD">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en-US" w:eastAsia="zh-CN"/>
          <w14:textFill>
            <w14:solidFill>
              <w14:schemeClr w14:val="tx1"/>
            </w14:solidFill>
          </w14:textFill>
        </w:rPr>
        <w:t>委托</w:t>
      </w:r>
      <w:r>
        <w:rPr>
          <w:rFonts w:hint="eastAsia" w:ascii="Times New Roman" w:hAnsi="Times New Roman"/>
          <w:color w:val="000000" w:themeColor="text1"/>
          <w:sz w:val="24"/>
          <w:szCs w:val="21"/>
          <w:highlight w:val="none"/>
          <w14:textFill>
            <w14:solidFill>
              <w14:schemeClr w14:val="tx1"/>
            </w14:solidFill>
          </w14:textFill>
        </w:rPr>
        <w:t>代理人</w:t>
      </w:r>
      <w:r>
        <w:rPr>
          <w:rFonts w:hint="eastAsia" w:ascii="Times New Roman" w:hAnsi="Times New Roman"/>
          <w:color w:val="000000" w:themeColor="text1"/>
          <w:sz w:val="24"/>
          <w:szCs w:val="21"/>
          <w:highlight w:val="none"/>
          <w:lang w:val="zh-CN"/>
          <w14:textFill>
            <w14:solidFill>
              <w14:schemeClr w14:val="tx1"/>
            </w14:solidFill>
          </w14:textFill>
        </w:rPr>
        <w:t>（签字）：</w:t>
      </w:r>
    </w:p>
    <w:p w14:paraId="0B23BF54">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1DE78A63">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756F9EE7">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法定代表人身份证复印件：</w:t>
      </w:r>
    </w:p>
    <w:p w14:paraId="345A94FB">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562FF642">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en-US" w:eastAsia="zh-CN"/>
          <w14:textFill>
            <w14:solidFill>
              <w14:schemeClr w14:val="tx1"/>
            </w14:solidFill>
          </w14:textFill>
        </w:rPr>
        <w:t>委托</w:t>
      </w:r>
      <w:r>
        <w:rPr>
          <w:rFonts w:hint="eastAsia" w:ascii="Times New Roman" w:hAnsi="Times New Roman"/>
          <w:color w:val="000000" w:themeColor="text1"/>
          <w:sz w:val="24"/>
          <w:szCs w:val="21"/>
          <w:highlight w:val="none"/>
          <w14:textFill>
            <w14:solidFill>
              <w14:schemeClr w14:val="tx1"/>
            </w14:solidFill>
          </w14:textFill>
        </w:rPr>
        <w:t>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09072303">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71D6E62E">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5C496679">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en-US" w:eastAsia="zh-CN"/>
          <w14:textFill>
            <w14:solidFill>
              <w14:schemeClr w14:val="tx1"/>
            </w14:solidFill>
          </w14:textFill>
        </w:rPr>
        <w:t>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06ED223A">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5246BE9F">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7F0BB266">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EC7EEAF">
      <w:pPr>
        <w:pStyle w:val="18"/>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571CA4B0">
      <w:pPr>
        <w:spacing w:line="360" w:lineRule="auto"/>
        <w:jc w:val="center"/>
        <w:rPr>
          <w:rFonts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00E6CA2F">
      <w:pPr>
        <w:pStyle w:val="14"/>
        <w:spacing w:line="360" w:lineRule="auto"/>
        <w:rPr>
          <w:sz w:val="22"/>
          <w:szCs w:val="22"/>
          <w:highlight w:val="none"/>
        </w:rPr>
      </w:pPr>
      <w:bookmarkStart w:id="15" w:name="_Hlk179882269"/>
      <w:r>
        <w:rPr>
          <w:rFonts w:hint="eastAsia" w:ascii="宋体" w:hAnsi="宋体" w:cs="宋体"/>
          <w:sz w:val="22"/>
          <w:szCs w:val="22"/>
          <w:highlight w:val="none"/>
        </w:rPr>
        <w:t>项目编号：</w:t>
      </w:r>
    </w:p>
    <w:p w14:paraId="30E7232C">
      <w:pPr>
        <w:pStyle w:val="14"/>
        <w:spacing w:line="360" w:lineRule="auto"/>
        <w:ind w:left="840" w:hanging="420"/>
        <w:rPr>
          <w:rFonts w:ascii="宋体" w:hAnsi="宋体" w:cs="宋体"/>
          <w:sz w:val="22"/>
          <w:szCs w:val="22"/>
          <w:highlight w:val="none"/>
        </w:rPr>
      </w:pPr>
      <w:r>
        <w:rPr>
          <w:rFonts w:hint="eastAsia" w:ascii="宋体" w:hAnsi="宋体" w:cs="宋体"/>
          <w:sz w:val="22"/>
          <w:szCs w:val="22"/>
          <w:highlight w:val="none"/>
        </w:rPr>
        <w:t>项目名称：</w:t>
      </w:r>
    </w:p>
    <w:bookmarkEnd w:id="15"/>
    <w:tbl>
      <w:tblPr>
        <w:tblStyle w:val="46"/>
        <w:tblW w:w="419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932"/>
        <w:gridCol w:w="1321"/>
        <w:gridCol w:w="2397"/>
        <w:gridCol w:w="1745"/>
        <w:gridCol w:w="732"/>
      </w:tblGrid>
      <w:tr w14:paraId="5690A5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454" w:hRule="atLeast"/>
          <w:jc w:val="center"/>
        </w:trPr>
        <w:tc>
          <w:tcPr>
            <w:tcW w:w="1188" w:type="pct"/>
            <w:vAlign w:val="center"/>
          </w:tcPr>
          <w:p w14:paraId="38EE3372">
            <w:pPr>
              <w:widowControl/>
              <w:jc w:val="center"/>
              <w:rPr>
                <w:rFonts w:ascii="宋体" w:hAnsi="宋体"/>
                <w:b/>
                <w:bCs/>
                <w:szCs w:val="21"/>
                <w:highlight w:val="none"/>
              </w:rPr>
            </w:pPr>
            <w:r>
              <w:rPr>
                <w:rFonts w:hint="eastAsia" w:ascii="宋体" w:hAnsi="宋体"/>
                <w:b/>
                <w:bCs/>
                <w:szCs w:val="21"/>
                <w:highlight w:val="none"/>
              </w:rPr>
              <w:t>产品</w:t>
            </w:r>
          </w:p>
        </w:tc>
        <w:tc>
          <w:tcPr>
            <w:tcW w:w="812" w:type="pct"/>
            <w:vAlign w:val="center"/>
          </w:tcPr>
          <w:p w14:paraId="015FB5D3">
            <w:pPr>
              <w:widowControl/>
              <w:jc w:val="center"/>
              <w:rPr>
                <w:rFonts w:ascii="宋体" w:hAnsi="宋体"/>
                <w:b/>
                <w:bCs/>
                <w:szCs w:val="21"/>
                <w:highlight w:val="none"/>
              </w:rPr>
            </w:pPr>
            <w:r>
              <w:rPr>
                <w:rFonts w:ascii="宋体" w:hAnsi="宋体"/>
                <w:b/>
                <w:bCs/>
                <w:szCs w:val="21"/>
                <w:highlight w:val="none"/>
              </w:rPr>
              <w:t>数量</w:t>
            </w:r>
          </w:p>
        </w:tc>
        <w:tc>
          <w:tcPr>
            <w:tcW w:w="1474" w:type="pct"/>
            <w:vAlign w:val="center"/>
          </w:tcPr>
          <w:p w14:paraId="1BB14BEC">
            <w:pPr>
              <w:widowControl/>
              <w:jc w:val="center"/>
              <w:rPr>
                <w:rFonts w:ascii="宋体" w:hAnsi="宋体" w:cs="宋体"/>
                <w:b/>
                <w:bCs/>
                <w:sz w:val="24"/>
                <w:highlight w:val="none"/>
              </w:rPr>
            </w:pPr>
            <w:r>
              <w:rPr>
                <w:rFonts w:hint="eastAsia" w:ascii="宋体" w:hAnsi="宋体" w:cs="宋体"/>
                <w:b/>
                <w:bCs/>
                <w:sz w:val="24"/>
                <w:highlight w:val="none"/>
              </w:rPr>
              <w:t>报价金额（人民币）</w:t>
            </w:r>
          </w:p>
        </w:tc>
        <w:tc>
          <w:tcPr>
            <w:tcW w:w="1073" w:type="pct"/>
            <w:vAlign w:val="center"/>
          </w:tcPr>
          <w:p w14:paraId="565B6F7C">
            <w:pPr>
              <w:widowControl/>
              <w:jc w:val="center"/>
              <w:rPr>
                <w:rFonts w:ascii="宋体" w:hAnsi="宋体"/>
                <w:b/>
                <w:bCs/>
                <w:szCs w:val="21"/>
                <w:highlight w:val="none"/>
              </w:rPr>
            </w:pPr>
            <w:r>
              <w:rPr>
                <w:rFonts w:hint="eastAsia" w:ascii="宋体" w:hAnsi="宋体" w:cs="宋体"/>
                <w:b/>
                <w:bCs/>
                <w:sz w:val="24"/>
                <w:highlight w:val="none"/>
              </w:rPr>
              <w:t>产品品牌/型号</w:t>
            </w:r>
          </w:p>
        </w:tc>
        <w:tc>
          <w:tcPr>
            <w:tcW w:w="450" w:type="pct"/>
            <w:vAlign w:val="center"/>
          </w:tcPr>
          <w:p w14:paraId="4FCF1620">
            <w:pPr>
              <w:widowControl/>
              <w:jc w:val="center"/>
              <w:rPr>
                <w:rFonts w:ascii="宋体" w:hAnsi="宋体"/>
                <w:b/>
                <w:bCs/>
                <w:szCs w:val="21"/>
                <w:highlight w:val="none"/>
              </w:rPr>
            </w:pPr>
            <w:r>
              <w:rPr>
                <w:rFonts w:hint="eastAsia" w:ascii="宋体" w:hAnsi="宋体" w:cs="宋体"/>
                <w:b/>
                <w:bCs/>
                <w:sz w:val="24"/>
                <w:highlight w:val="none"/>
              </w:rPr>
              <w:t>限价</w:t>
            </w:r>
          </w:p>
        </w:tc>
      </w:tr>
      <w:tr w14:paraId="295768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88" w:type="pct"/>
            <w:vAlign w:val="center"/>
          </w:tcPr>
          <w:p w14:paraId="0201B793">
            <w:pPr>
              <w:widowControl/>
              <w:jc w:val="center"/>
              <w:rPr>
                <w:rFonts w:ascii="宋体" w:hAnsi="宋体" w:cs="宋体"/>
                <w:szCs w:val="21"/>
                <w:highlight w:val="none"/>
              </w:rPr>
            </w:pPr>
            <w:r>
              <w:rPr>
                <w:rFonts w:hint="eastAsia" w:asciiTheme="majorEastAsia" w:hAnsiTheme="majorEastAsia" w:eastAsiaTheme="majorEastAsia"/>
                <w:szCs w:val="24"/>
                <w:highlight w:val="none"/>
              </w:rPr>
              <w:t>南京邮电大学人机交互及心理学实验研究系统-面部表情分析系统采购项目购项目</w:t>
            </w:r>
          </w:p>
        </w:tc>
        <w:tc>
          <w:tcPr>
            <w:tcW w:w="812" w:type="pct"/>
            <w:vAlign w:val="center"/>
          </w:tcPr>
          <w:p w14:paraId="7C2149D6">
            <w:pPr>
              <w:widowControl/>
              <w:jc w:val="center"/>
              <w:rPr>
                <w:rFonts w:hint="default" w:ascii="宋体" w:hAnsi="宋体" w:cs="宋体"/>
                <w:szCs w:val="21"/>
                <w:highlight w:val="none"/>
                <w:lang w:val="en-US"/>
              </w:rPr>
            </w:pPr>
            <w:r>
              <w:rPr>
                <w:rFonts w:hint="eastAsia" w:ascii="宋体" w:hAnsi="宋体" w:cs="宋体"/>
                <w:szCs w:val="21"/>
                <w:highlight w:val="none"/>
                <w:lang w:val="en-US" w:eastAsia="zh-CN"/>
              </w:rPr>
              <w:t>1套</w:t>
            </w:r>
          </w:p>
        </w:tc>
        <w:tc>
          <w:tcPr>
            <w:tcW w:w="1474" w:type="pct"/>
            <w:vAlign w:val="center"/>
          </w:tcPr>
          <w:p w14:paraId="03FB193F">
            <w:pPr>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126A7A2B">
            <w:pPr>
              <w:widowControl/>
              <w:rPr>
                <w:rFonts w:ascii="宋体" w:hAnsi="宋体" w:cs="宋体"/>
                <w:sz w:val="24"/>
                <w:szCs w:val="24"/>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p>
        </w:tc>
        <w:tc>
          <w:tcPr>
            <w:tcW w:w="1073" w:type="pct"/>
            <w:vAlign w:val="center"/>
          </w:tcPr>
          <w:p w14:paraId="4131E18C">
            <w:pPr>
              <w:spacing w:line="360" w:lineRule="auto"/>
              <w:jc w:val="center"/>
              <w:rPr>
                <w:rFonts w:ascii="宋体" w:hAnsi="宋体" w:cs="宋体"/>
                <w:szCs w:val="21"/>
                <w:highlight w:val="none"/>
              </w:rPr>
            </w:pPr>
          </w:p>
        </w:tc>
        <w:tc>
          <w:tcPr>
            <w:tcW w:w="450" w:type="pct"/>
            <w:vAlign w:val="center"/>
          </w:tcPr>
          <w:p w14:paraId="241A8B1C">
            <w:pPr>
              <w:widowControl/>
              <w:jc w:val="center"/>
              <w:rPr>
                <w:rFonts w:ascii="宋体" w:hAnsi="宋体" w:cs="宋体"/>
                <w:b/>
                <w:bCs/>
                <w:szCs w:val="21"/>
                <w:highlight w:val="none"/>
              </w:rPr>
            </w:pPr>
            <w:r>
              <w:rPr>
                <w:rFonts w:hint="eastAsia" w:ascii="宋体" w:hAnsi="宋体" w:cs="宋体"/>
                <w:b/>
                <w:bCs/>
                <w:szCs w:val="21"/>
                <w:highlight w:val="none"/>
                <w:lang w:val="en-US" w:eastAsia="zh-CN"/>
              </w:rPr>
              <w:t>20</w:t>
            </w:r>
            <w:r>
              <w:rPr>
                <w:rFonts w:hint="eastAsia" w:ascii="宋体" w:hAnsi="宋体"/>
                <w:b/>
                <w:bCs/>
                <w:szCs w:val="21"/>
                <w:highlight w:val="none"/>
              </w:rPr>
              <w:t>万元</w:t>
            </w:r>
          </w:p>
        </w:tc>
      </w:tr>
    </w:tbl>
    <w:p w14:paraId="7027B2E9">
      <w:pPr>
        <w:spacing w:before="480" w:beforeLines="2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3E079885">
      <w:pPr>
        <w:spacing w:before="240" w:beforeLines="100" w:after="240" w:afterLines="100" w:line="360" w:lineRule="auto"/>
        <w:jc w:val="right"/>
        <w:rPr>
          <w:rFonts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4472F42B">
      <w:pPr>
        <w:spacing w:before="240" w:beforeLines="1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090DE4E6">
      <w:pPr>
        <w:spacing w:line="360" w:lineRule="auto"/>
        <w:rPr>
          <w:rFonts w:asciiTheme="majorEastAsia" w:hAnsiTheme="majorEastAsia" w:eastAsiaTheme="majorEastAsia"/>
          <w:b/>
          <w:bCs/>
          <w:highlight w:val="none"/>
        </w:rPr>
      </w:pPr>
      <w:r>
        <w:rPr>
          <w:rFonts w:asciiTheme="majorEastAsia" w:hAnsiTheme="majorEastAsia" w:eastAsiaTheme="majorEastAsia"/>
          <w:b/>
          <w:bCs/>
          <w:highlight w:val="none"/>
        </w:rPr>
        <w:t>注：</w:t>
      </w:r>
    </w:p>
    <w:p w14:paraId="751305C5">
      <w:pPr>
        <w:pStyle w:val="20"/>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75D15BF0">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提供一份单独密封的响应一览表及响应报价清单（如有），单独密封的响应一览表及响应报价清单（如有）仅是为方便唱标所用</w:t>
      </w:r>
      <w:r>
        <w:rPr>
          <w:rFonts w:hint="eastAsia"/>
          <w:highlight w:val="none"/>
        </w:rPr>
        <w:t>，如未提供，不构成响应文件的完整性偏离。</w:t>
      </w:r>
    </w:p>
    <w:p w14:paraId="7BC0EC50">
      <w:pPr>
        <w:spacing w:line="360" w:lineRule="auto"/>
        <w:rPr>
          <w:rFonts w:hint="eastAsia" w:asciiTheme="majorEastAsia" w:hAnsiTheme="majorEastAsia" w:eastAsiaTheme="majorEastAsia"/>
          <w:highlight w:val="none"/>
        </w:rPr>
      </w:pPr>
      <w:r>
        <w:rPr>
          <w:rFonts w:hint="eastAsia"/>
          <w:highlight w:val="none"/>
        </w:rPr>
        <w:t>3</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w:t>
      </w:r>
      <w:r>
        <w:rPr>
          <w:rFonts w:hint="eastAsia" w:asciiTheme="majorEastAsia" w:hAnsiTheme="majorEastAsia" w:eastAsiaTheme="majorEastAsia"/>
          <w:highlight w:val="none"/>
        </w:rPr>
        <w:t>响应</w:t>
      </w:r>
      <w:r>
        <w:rPr>
          <w:rFonts w:asciiTheme="majorEastAsia" w:hAnsiTheme="majorEastAsia" w:eastAsiaTheme="majorEastAsia"/>
          <w:highlight w:val="none"/>
        </w:rPr>
        <w:t>处理</w:t>
      </w:r>
      <w:r>
        <w:rPr>
          <w:rFonts w:hint="eastAsia" w:asciiTheme="majorEastAsia" w:hAnsiTheme="majorEastAsia" w:eastAsiaTheme="majorEastAsia"/>
          <w:highlight w:val="none"/>
        </w:rPr>
        <w:t>。</w:t>
      </w:r>
    </w:p>
    <w:p w14:paraId="0BBF7492">
      <w:pPr>
        <w:pStyle w:val="285"/>
        <w:ind w:left="0" w:leftChars="0" w:firstLine="0" w:firstLineChars="0"/>
        <w:rPr>
          <w:rFonts w:hint="eastAsia" w:ascii="宋体" w:hAnsi="宋体" w:eastAsia="宋体" w:cs="宋体"/>
          <w:color w:val="auto"/>
          <w:sz w:val="21"/>
          <w:highlight w:val="none"/>
        </w:rPr>
      </w:pPr>
      <w:r>
        <w:rPr>
          <w:rFonts w:hint="eastAsia" w:cs="宋体"/>
          <w:color w:val="auto"/>
          <w:sz w:val="21"/>
          <w:highlight w:val="none"/>
          <w:lang w:val="en-US" w:eastAsia="zh-CN"/>
        </w:rPr>
        <w:t>4.</w:t>
      </w:r>
      <w:r>
        <w:rPr>
          <w:rFonts w:hint="eastAsia" w:ascii="宋体" w:hAnsi="宋体" w:eastAsia="宋体" w:cs="宋体"/>
          <w:color w:val="auto"/>
          <w:sz w:val="21"/>
          <w:highlight w:val="none"/>
        </w:rPr>
        <w:t>本项目选定的外贸代理公司为南京邮电大学入围范围内的代理公司，南京邮电大学协助办理入关、免税等相关证明材料手续。</w:t>
      </w:r>
    </w:p>
    <w:p w14:paraId="75DC002E">
      <w:pPr>
        <w:pStyle w:val="285"/>
        <w:ind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本项目外贸代理包干服务费率为：0.0</w:t>
      </w:r>
      <w:r>
        <w:rPr>
          <w:rFonts w:hint="eastAsia" w:cs="宋体"/>
          <w:color w:val="auto"/>
          <w:sz w:val="21"/>
          <w:highlight w:val="none"/>
          <w:lang w:val="en-US" w:eastAsia="zh-CN"/>
        </w:rPr>
        <w:t>3</w:t>
      </w:r>
      <w:r>
        <w:rPr>
          <w:rFonts w:hint="eastAsia" w:ascii="宋体" w:hAnsi="宋体" w:eastAsia="宋体" w:cs="宋体"/>
          <w:color w:val="auto"/>
          <w:sz w:val="21"/>
          <w:highlight w:val="none"/>
        </w:rPr>
        <w:t>美元。若代理服务费金额＜2000元人民币，则按2000元人民币收取；若代理服务费金额＞20000元人民币，则按20000元人民币收取。</w:t>
      </w:r>
    </w:p>
    <w:p w14:paraId="681FDC6B">
      <w:pPr>
        <w:pStyle w:val="285"/>
        <w:ind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外贸代理包干服务费包含：银行费用、国内运费、报关费用、港杂费用、港口至甲方目的现场运保费、办理各项证书、代理报酬等一切费用。</w:t>
      </w:r>
    </w:p>
    <w:p w14:paraId="2BE448FB">
      <w:pPr>
        <w:pStyle w:val="285"/>
        <w:ind w:firstLineChars="200"/>
        <w:rPr>
          <w:rFonts w:hint="eastAsia" w:ascii="宋体" w:hAnsi="宋体" w:eastAsia="宋体" w:cs="宋体"/>
          <w:color w:val="auto"/>
          <w:sz w:val="21"/>
          <w:highlight w:val="none"/>
        </w:rPr>
      </w:pPr>
      <w:r>
        <w:rPr>
          <w:rFonts w:hint="eastAsia" w:cs="宋体"/>
          <w:color w:val="auto"/>
          <w:sz w:val="21"/>
          <w:highlight w:val="none"/>
          <w:lang w:val="en-US" w:eastAsia="zh-CN"/>
        </w:rPr>
        <w:t>供应商</w:t>
      </w:r>
      <w:r>
        <w:rPr>
          <w:rFonts w:hint="eastAsia" w:ascii="宋体" w:hAnsi="宋体" w:eastAsia="宋体" w:cs="宋体"/>
          <w:color w:val="auto"/>
          <w:sz w:val="21"/>
          <w:highlight w:val="none"/>
        </w:rPr>
        <w:t>所投产品如为进口产品，外贸代理费应包含在人民币总报价中，请在报价时综合考虑相关费用。</w:t>
      </w:r>
    </w:p>
    <w:p w14:paraId="399843E2">
      <w:pPr>
        <w:spacing w:line="360" w:lineRule="auto"/>
        <w:rPr>
          <w:rFonts w:hint="eastAsia" w:asciiTheme="majorEastAsia" w:hAnsiTheme="majorEastAsia" w:eastAsiaTheme="majorEastAsia"/>
          <w:highlight w:val="none"/>
        </w:rPr>
      </w:pPr>
    </w:p>
    <w:p w14:paraId="3336A915">
      <w:pPr>
        <w:spacing w:line="360" w:lineRule="auto"/>
        <w:rPr>
          <w:rFonts w:asciiTheme="majorEastAsia" w:hAnsiTheme="majorEastAsia" w:eastAsiaTheme="majorEastAsia"/>
          <w:highlight w:val="none"/>
        </w:rPr>
      </w:pPr>
    </w:p>
    <w:p w14:paraId="53015362">
      <w:pPr>
        <w:spacing w:line="360" w:lineRule="auto"/>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4E8BEC0">
      <w:pPr>
        <w:pStyle w:val="18"/>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1FEAB806">
      <w:pPr>
        <w:pStyle w:val="269"/>
        <w:shd w:val="clear" w:color="auto" w:fill="auto"/>
        <w:spacing w:line="360" w:lineRule="auto"/>
        <w:outlineLvl w:val="9"/>
        <w:rPr>
          <w:color w:val="000000" w:themeColor="text1"/>
          <w:highlight w:val="none"/>
          <w14:textFill>
            <w14:solidFill>
              <w14:schemeClr w14:val="tx1"/>
            </w14:solidFill>
          </w14:textFill>
        </w:rPr>
      </w:pPr>
      <w:bookmarkStart w:id="16" w:name="_Toc489655335"/>
      <w:r>
        <w:rPr>
          <w:color w:val="000000" w:themeColor="text1"/>
          <w:highlight w:val="none"/>
          <w14:textFill>
            <w14:solidFill>
              <w14:schemeClr w14:val="tx1"/>
            </w14:solidFill>
          </w14:textFill>
        </w:rPr>
        <w:t>资格证明文件</w:t>
      </w:r>
      <w:bookmarkEnd w:id="16"/>
    </w:p>
    <w:p w14:paraId="0AA283CB">
      <w:pPr>
        <w:pStyle w:val="18"/>
        <w:numPr>
          <w:ilvl w:val="0"/>
          <w:numId w:val="6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17A6AC69">
      <w:pPr>
        <w:pStyle w:val="18"/>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030EB51">
      <w:pPr>
        <w:pStyle w:val="18"/>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w:t>
      </w:r>
      <w:r>
        <w:rPr>
          <w:rFonts w:hint="eastAsia"/>
          <w:color w:val="000000" w:themeColor="text1"/>
          <w:highlight w:val="none"/>
          <w14:textFill>
            <w14:solidFill>
              <w14:schemeClr w14:val="tx1"/>
            </w14:solidFill>
          </w14:textFill>
        </w:rPr>
        <w:t>2024年度的审计报告复印件加盖公章或响应截止时间前半年内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2025年7月至2025年12月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FC084F4">
      <w:pPr>
        <w:pStyle w:val="18"/>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7B9484D">
      <w:pPr>
        <w:pStyle w:val="18"/>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2025年7月至2025年12月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A178CA2">
      <w:pPr>
        <w:pStyle w:val="18"/>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47B1AD0">
      <w:pPr>
        <w:pStyle w:val="18"/>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1C06FFD">
      <w:pPr>
        <w:pStyle w:val="18"/>
        <w:numPr>
          <w:ilvl w:val="0"/>
          <w:numId w:val="6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1E94E8E5">
      <w:pPr>
        <w:pStyle w:val="18"/>
        <w:spacing w:line="360" w:lineRule="auto"/>
        <w:ind w:left="482"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51B76492">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039A048B">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6ACF142">
      <w:pPr>
        <w:pStyle w:val="18"/>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73B0439F">
      <w:pPr>
        <w:spacing w:line="360" w:lineRule="auto"/>
        <w:rPr>
          <w:rFonts w:ascii="宋体" w:hAnsi="宋体" w:cs="宋体"/>
          <w:b/>
          <w:color w:val="000000" w:themeColor="text1"/>
          <w:szCs w:val="21"/>
          <w:highlight w:val="none"/>
          <w14:textFill>
            <w14:solidFill>
              <w14:schemeClr w14:val="tx1"/>
            </w14:solidFill>
          </w14:textFill>
        </w:rPr>
      </w:pPr>
    </w:p>
    <w:p w14:paraId="4C1F1203">
      <w:pPr>
        <w:pStyle w:val="18"/>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5F02E29E">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6"/>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66EC773D">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0CBCA5F6">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C378AAF">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2E4181CC">
            <w:pPr>
              <w:adjustRightInd w:val="0"/>
              <w:jc w:val="left"/>
              <w:rPr>
                <w:rFonts w:ascii="宋体" w:hAnsi="宋体" w:cs="宋体"/>
                <w:color w:val="000000" w:themeColor="text1"/>
                <w:szCs w:val="21"/>
                <w:highlight w:val="none"/>
                <w:lang w:val="zh-CN"/>
                <w14:textFill>
                  <w14:solidFill>
                    <w14:schemeClr w14:val="tx1"/>
                  </w14:solidFill>
                </w14:textFill>
              </w:rPr>
            </w:pPr>
          </w:p>
        </w:tc>
      </w:tr>
      <w:tr w14:paraId="0ACBF20A">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4E2C69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AE87CC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14067D96">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0CA0EF">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7786C89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1BF7F2EC">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对应页码</w:t>
            </w:r>
          </w:p>
        </w:tc>
      </w:tr>
      <w:tr w14:paraId="232B7C5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96B999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FEEFA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E1F6EF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6EFBB6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5F59D4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A5E2D62">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03E6C4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BEA074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C27363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757D7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005CFF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A08F6E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6405A9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807A18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AD6DD6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FF8ADC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2EB03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429EA9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718A14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D05EC9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83CDD38">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759BEC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F8697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F2517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2C49A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911619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078698F1">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E42916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00C533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E1F7B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EA10C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492C3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0D72BA2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5BBD4F4A">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DDFA4F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D9E5A8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0347F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BEC38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04DDB8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55EBF68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FE861E0">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14D650B9">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7CE38EAA">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0E4F835">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B12EB30">
      <w:pPr>
        <w:pStyle w:val="18"/>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FD5536D">
      <w:pPr>
        <w:pStyle w:val="18"/>
        <w:widowControl/>
        <w:numPr>
          <w:ilvl w:val="0"/>
          <w:numId w:val="65"/>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05EE3EEA">
      <w:pPr>
        <w:pStyle w:val="18"/>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1FF040F8">
      <w:pPr>
        <w:pStyle w:val="18"/>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5EF93924">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A120C1F">
      <w:pPr>
        <w:pStyle w:val="18"/>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4167C645">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9E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52E2A12">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1710C8B0">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68C6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DBC457">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16083C2A">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4F8C2CA">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6655ADAD">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7FF4AE1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3AD6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EA493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A07C0B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678D80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503D96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7FB76CD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82E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A58BC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32EF427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FD63A9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8922E0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1AFDDDA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99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2E3A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094A8D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21F272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02E39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870C70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30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06981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604BCE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5ECF1BD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A6BFCF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BD4853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B8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F8DC2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022F64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84EAC0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1D2B59A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31AF08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849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5D94A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1C1C4C6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04AB78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14D418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BD793AF">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BD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9485F62">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5880034C">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420B6C80">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4B4E47EF">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152A8913">
            <w:pPr>
              <w:jc w:val="center"/>
              <w:rPr>
                <w:rFonts w:ascii="宋体" w:hAnsi="宋体" w:cs="Arial"/>
                <w:color w:val="000000" w:themeColor="text1"/>
                <w:szCs w:val="21"/>
                <w:highlight w:val="none"/>
                <w14:textFill>
                  <w14:solidFill>
                    <w14:schemeClr w14:val="tx1"/>
                  </w14:solidFill>
                </w14:textFill>
              </w:rPr>
            </w:pPr>
          </w:p>
        </w:tc>
      </w:tr>
    </w:tbl>
    <w:p w14:paraId="7A1C9307">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35417C70">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C4FA922">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07184C08">
      <w:pPr>
        <w:pStyle w:val="18"/>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4A2977BE">
      <w:pPr>
        <w:pStyle w:val="18"/>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3E38DA4">
      <w:pPr>
        <w:pStyle w:val="18"/>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3BBD8958">
      <w:pPr>
        <w:pStyle w:val="18"/>
        <w:widowControl/>
        <w:numPr>
          <w:ilvl w:val="0"/>
          <w:numId w:val="66"/>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供应商必须仔细阅读比选文件第四章“项目需求”以及第五章“合同主要条款及格式”中所有商务条款和相关服务要求，并对所有商务条款和服务要求偏离的条目列入上表。</w:t>
      </w: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714ADAB8">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5FB5B84F">
      <w:pPr>
        <w:pStyle w:val="18"/>
        <w:numPr>
          <w:ilvl w:val="255"/>
          <w:numId w:val="0"/>
        </w:numPr>
        <w:spacing w:line="360" w:lineRule="auto"/>
        <w:ind w:left="420"/>
        <w:outlineLvl w:val="1"/>
        <w:rPr>
          <w:b/>
          <w:color w:val="000000" w:themeColor="text1"/>
          <w:highlight w:val="none"/>
          <w14:textFill>
            <w14:solidFill>
              <w14:schemeClr w14:val="tx1"/>
            </w14:solidFill>
          </w14:textFill>
        </w:rPr>
      </w:pPr>
      <w:bookmarkStart w:id="17" w:name="_Toc202786551"/>
      <w:bookmarkStart w:id="18" w:name="_Toc87364929"/>
      <w:r>
        <w:rPr>
          <w:rFonts w:hint="eastAsia"/>
          <w:b/>
          <w:color w:val="000000" w:themeColor="text1"/>
          <w:highlight w:val="none"/>
          <w14:textFill>
            <w14:solidFill>
              <w14:schemeClr w14:val="tx1"/>
            </w14:solidFill>
          </w14:textFill>
        </w:rPr>
        <w:t>七、</w:t>
      </w:r>
      <w:bookmarkEnd w:id="17"/>
      <w:bookmarkEnd w:id="18"/>
      <w:r>
        <w:rPr>
          <w:b/>
          <w:color w:val="000000" w:themeColor="text1"/>
          <w:highlight w:val="none"/>
          <w14:textFill>
            <w14:solidFill>
              <w14:schemeClr w14:val="tx1"/>
            </w14:solidFill>
          </w14:textFill>
        </w:rPr>
        <w:t>评分项审查材料</w:t>
      </w:r>
    </w:p>
    <w:p w14:paraId="174D5648">
      <w:pPr>
        <w:spacing w:line="360" w:lineRule="auto"/>
        <w:jc w:val="left"/>
        <w:rPr>
          <w:rFonts w:hint="eastAsia"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rPr>
        <w:t>1</w:t>
      </w:r>
      <w:r>
        <w:rPr>
          <w:rFonts w:hint="eastAsia" w:asciiTheme="majorEastAsia" w:hAnsiTheme="majorEastAsia" w:eastAsiaTheme="majorEastAsia"/>
          <w:b/>
          <w:sz w:val="24"/>
          <w:szCs w:val="24"/>
          <w:highlight w:val="none"/>
          <w:lang w:val="en-US" w:eastAsia="zh-CN"/>
        </w:rPr>
        <w:t>质量保证措施</w:t>
      </w:r>
    </w:p>
    <w:p w14:paraId="750DB0DE">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7AE2CFC1">
      <w:pPr>
        <w:spacing w:line="360" w:lineRule="auto"/>
        <w:jc w:val="left"/>
        <w:rPr>
          <w:rFonts w:hint="default" w:asciiTheme="majorEastAsia" w:hAnsiTheme="majorEastAsia" w:eastAsiaTheme="majorEastAsia"/>
          <w:b/>
          <w:sz w:val="24"/>
          <w:szCs w:val="24"/>
          <w:highlight w:val="none"/>
          <w:lang w:val="en-US" w:eastAsia="zh-CN"/>
        </w:rPr>
      </w:pPr>
    </w:p>
    <w:p w14:paraId="5E29C5FE">
      <w:pPr>
        <w:spacing w:line="360" w:lineRule="auto"/>
        <w:jc w:val="left"/>
        <w:rPr>
          <w:rFonts w:hint="eastAsia" w:cs="宋体"/>
          <w:b/>
          <w:bCs/>
          <w:color w:val="auto"/>
          <w:szCs w:val="24"/>
          <w:highlight w:val="none"/>
        </w:rPr>
      </w:pPr>
      <w:r>
        <w:rPr>
          <w:rFonts w:hint="eastAsia" w:asciiTheme="majorEastAsia" w:hAnsiTheme="majorEastAsia" w:eastAsiaTheme="majorEastAsia"/>
          <w:b/>
          <w:sz w:val="24"/>
          <w:szCs w:val="24"/>
          <w:highlight w:val="none"/>
          <w:lang w:val="en-US" w:eastAsia="zh-CN"/>
        </w:rPr>
        <w:t>7.2</w:t>
      </w:r>
      <w:r>
        <w:rPr>
          <w:rFonts w:hint="eastAsia" w:cs="宋体"/>
          <w:b/>
          <w:bCs/>
          <w:color w:val="auto"/>
          <w:szCs w:val="24"/>
          <w:highlight w:val="none"/>
        </w:rPr>
        <w:t>项目实施方案</w:t>
      </w:r>
    </w:p>
    <w:p w14:paraId="696A192E">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724349EF">
      <w:pPr>
        <w:spacing w:line="360" w:lineRule="auto"/>
        <w:jc w:val="left"/>
        <w:rPr>
          <w:rFonts w:hint="default" w:cs="宋体"/>
          <w:b/>
          <w:bCs/>
          <w:color w:val="auto"/>
          <w:szCs w:val="24"/>
          <w:highlight w:val="none"/>
          <w:lang w:val="en-US" w:eastAsia="zh-CN"/>
        </w:rPr>
      </w:pPr>
    </w:p>
    <w:p w14:paraId="685A6258">
      <w:pPr>
        <w:spacing w:line="360" w:lineRule="auto"/>
        <w:jc w:val="left"/>
        <w:rPr>
          <w:rFonts w:hint="eastAsia"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lang w:val="en-US" w:eastAsia="zh-CN"/>
        </w:rPr>
        <w:t>7.3售后服务方案</w:t>
      </w:r>
    </w:p>
    <w:p w14:paraId="7244D16B">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2BFDAC39">
      <w:pPr>
        <w:spacing w:line="360" w:lineRule="auto"/>
        <w:jc w:val="left"/>
        <w:rPr>
          <w:rFonts w:hint="default" w:asciiTheme="majorEastAsia" w:hAnsiTheme="majorEastAsia" w:eastAsiaTheme="majorEastAsia"/>
          <w:b/>
          <w:sz w:val="24"/>
          <w:szCs w:val="24"/>
          <w:highlight w:val="none"/>
          <w:lang w:val="en-US" w:eastAsia="zh-CN"/>
        </w:rPr>
      </w:pPr>
    </w:p>
    <w:p w14:paraId="5BE6E4BD">
      <w:pPr>
        <w:spacing w:line="360" w:lineRule="auto"/>
        <w:jc w:val="left"/>
        <w:rPr>
          <w:rFonts w:hint="eastAsia"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lang w:val="en-US" w:eastAsia="zh-CN"/>
        </w:rPr>
        <w:t>7.4培训方案</w:t>
      </w:r>
    </w:p>
    <w:p w14:paraId="769425CF">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567DDB00">
      <w:pPr>
        <w:spacing w:line="360" w:lineRule="auto"/>
        <w:jc w:val="left"/>
        <w:rPr>
          <w:rFonts w:hint="default" w:asciiTheme="majorEastAsia" w:hAnsiTheme="majorEastAsia" w:eastAsiaTheme="majorEastAsia"/>
          <w:b/>
          <w:sz w:val="24"/>
          <w:szCs w:val="24"/>
          <w:highlight w:val="none"/>
          <w:lang w:val="en-US" w:eastAsia="zh-CN"/>
        </w:rPr>
      </w:pPr>
    </w:p>
    <w:p w14:paraId="62A178BD">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lang w:val="en-US" w:eastAsia="zh-CN"/>
        </w:rPr>
        <w:t>7.5 同类</w:t>
      </w:r>
      <w:r>
        <w:rPr>
          <w:rFonts w:hint="eastAsia" w:asciiTheme="majorEastAsia" w:hAnsiTheme="majorEastAsia" w:eastAsiaTheme="majorEastAsia"/>
          <w:b/>
          <w:sz w:val="24"/>
          <w:szCs w:val="24"/>
          <w:highlight w:val="none"/>
        </w:rPr>
        <w:t>业绩</w:t>
      </w:r>
    </w:p>
    <w:p w14:paraId="6E49146B">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根据要求提供，格式仅供参考</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677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64C4C7E">
            <w:pPr>
              <w:jc w:val="center"/>
              <w:rPr>
                <w:rFonts w:ascii="宋体" w:hAnsi="宋体"/>
                <w:sz w:val="24"/>
                <w:szCs w:val="24"/>
                <w:highlight w:val="none"/>
              </w:rPr>
            </w:pPr>
            <w:r>
              <w:rPr>
                <w:rFonts w:hint="eastAsia" w:ascii="宋体" w:hAnsi="宋体"/>
                <w:sz w:val="24"/>
                <w:szCs w:val="24"/>
                <w:highlight w:val="none"/>
              </w:rPr>
              <w:t>序号</w:t>
            </w:r>
          </w:p>
        </w:tc>
        <w:tc>
          <w:tcPr>
            <w:tcW w:w="1392" w:type="pct"/>
            <w:vAlign w:val="center"/>
          </w:tcPr>
          <w:p w14:paraId="7216DFBF">
            <w:pPr>
              <w:jc w:val="center"/>
              <w:rPr>
                <w:rFonts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2D838593">
            <w:pPr>
              <w:jc w:val="center"/>
              <w:rPr>
                <w:rFonts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0E25A2AD">
            <w:pPr>
              <w:jc w:val="center"/>
              <w:rPr>
                <w:rFonts w:ascii="宋体" w:hAnsi="宋体"/>
                <w:sz w:val="24"/>
                <w:szCs w:val="24"/>
                <w:highlight w:val="none"/>
              </w:rPr>
            </w:pPr>
            <w:r>
              <w:rPr>
                <w:rFonts w:hint="eastAsia" w:ascii="宋体" w:hAnsi="宋体"/>
                <w:sz w:val="24"/>
                <w:szCs w:val="24"/>
                <w:highlight w:val="none"/>
              </w:rPr>
              <w:t>涉及产品</w:t>
            </w:r>
          </w:p>
        </w:tc>
      </w:tr>
      <w:tr w14:paraId="2129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7D1642C6">
            <w:pPr>
              <w:jc w:val="left"/>
              <w:rPr>
                <w:rFonts w:ascii="宋体" w:hAnsi="宋体"/>
                <w:sz w:val="24"/>
                <w:szCs w:val="24"/>
                <w:highlight w:val="none"/>
              </w:rPr>
            </w:pPr>
          </w:p>
        </w:tc>
        <w:tc>
          <w:tcPr>
            <w:tcW w:w="1392" w:type="pct"/>
            <w:vAlign w:val="center"/>
          </w:tcPr>
          <w:p w14:paraId="68162F1E">
            <w:pPr>
              <w:jc w:val="left"/>
              <w:rPr>
                <w:rFonts w:ascii="宋体" w:hAnsi="宋体"/>
                <w:sz w:val="24"/>
                <w:szCs w:val="24"/>
                <w:highlight w:val="none"/>
              </w:rPr>
            </w:pPr>
          </w:p>
        </w:tc>
        <w:tc>
          <w:tcPr>
            <w:tcW w:w="1392" w:type="pct"/>
            <w:vAlign w:val="center"/>
          </w:tcPr>
          <w:p w14:paraId="6A9B10FA">
            <w:pPr>
              <w:jc w:val="left"/>
              <w:rPr>
                <w:rFonts w:ascii="宋体" w:hAnsi="宋体"/>
                <w:sz w:val="24"/>
                <w:szCs w:val="24"/>
                <w:highlight w:val="none"/>
              </w:rPr>
            </w:pPr>
          </w:p>
        </w:tc>
        <w:tc>
          <w:tcPr>
            <w:tcW w:w="1392" w:type="pct"/>
            <w:vAlign w:val="center"/>
          </w:tcPr>
          <w:p w14:paraId="491B0F30">
            <w:pPr>
              <w:jc w:val="left"/>
              <w:rPr>
                <w:rFonts w:ascii="宋体" w:hAnsi="宋体"/>
                <w:sz w:val="24"/>
                <w:szCs w:val="24"/>
                <w:highlight w:val="none"/>
              </w:rPr>
            </w:pPr>
          </w:p>
        </w:tc>
      </w:tr>
      <w:tr w14:paraId="23A7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0E4EB21">
            <w:pPr>
              <w:jc w:val="left"/>
              <w:rPr>
                <w:rFonts w:ascii="宋体" w:hAnsi="宋体"/>
                <w:sz w:val="24"/>
                <w:szCs w:val="24"/>
                <w:highlight w:val="none"/>
              </w:rPr>
            </w:pPr>
          </w:p>
        </w:tc>
        <w:tc>
          <w:tcPr>
            <w:tcW w:w="1392" w:type="pct"/>
            <w:vAlign w:val="center"/>
          </w:tcPr>
          <w:p w14:paraId="42E272EE">
            <w:pPr>
              <w:jc w:val="left"/>
              <w:rPr>
                <w:rFonts w:ascii="宋体" w:hAnsi="宋体"/>
                <w:sz w:val="24"/>
                <w:szCs w:val="24"/>
                <w:highlight w:val="none"/>
              </w:rPr>
            </w:pPr>
          </w:p>
        </w:tc>
        <w:tc>
          <w:tcPr>
            <w:tcW w:w="1392" w:type="pct"/>
            <w:vAlign w:val="center"/>
          </w:tcPr>
          <w:p w14:paraId="75E176E9">
            <w:pPr>
              <w:jc w:val="left"/>
              <w:rPr>
                <w:rFonts w:ascii="宋体" w:hAnsi="宋体"/>
                <w:sz w:val="24"/>
                <w:szCs w:val="24"/>
                <w:highlight w:val="none"/>
              </w:rPr>
            </w:pPr>
          </w:p>
        </w:tc>
        <w:tc>
          <w:tcPr>
            <w:tcW w:w="1392" w:type="pct"/>
            <w:vAlign w:val="center"/>
          </w:tcPr>
          <w:p w14:paraId="6A071FC6">
            <w:pPr>
              <w:jc w:val="left"/>
              <w:rPr>
                <w:rFonts w:ascii="宋体" w:hAnsi="宋体"/>
                <w:sz w:val="24"/>
                <w:szCs w:val="24"/>
                <w:highlight w:val="none"/>
              </w:rPr>
            </w:pPr>
          </w:p>
        </w:tc>
      </w:tr>
    </w:tbl>
    <w:p w14:paraId="23A947AD">
      <w:pPr>
        <w:spacing w:line="360" w:lineRule="auto"/>
        <w:jc w:val="left"/>
        <w:rPr>
          <w:rFonts w:asciiTheme="majorEastAsia" w:hAnsiTheme="majorEastAsia" w:eastAsiaTheme="majorEastAsia"/>
          <w:b/>
          <w:sz w:val="24"/>
          <w:szCs w:val="24"/>
          <w:highlight w:val="none"/>
        </w:rPr>
      </w:pPr>
    </w:p>
    <w:p w14:paraId="67EAB800">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hint="eastAsia" w:asciiTheme="majorEastAsia" w:hAnsiTheme="majorEastAsia" w:eastAsiaTheme="majorEastAsia"/>
          <w:b/>
          <w:sz w:val="24"/>
          <w:szCs w:val="24"/>
          <w:highlight w:val="none"/>
          <w:lang w:val="en-US" w:eastAsia="zh-CN"/>
        </w:rPr>
        <w:t xml:space="preserve">6 </w:t>
      </w:r>
      <w:r>
        <w:rPr>
          <w:rFonts w:hint="eastAsia" w:asciiTheme="majorEastAsia" w:hAnsiTheme="majorEastAsia" w:eastAsiaTheme="majorEastAsia"/>
          <w:b/>
          <w:sz w:val="24"/>
          <w:szCs w:val="24"/>
          <w:highlight w:val="none"/>
        </w:rPr>
        <w:t>质保期（格式自拟）</w:t>
      </w:r>
    </w:p>
    <w:p w14:paraId="32A1CB77">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提供《质保期承诺书》（格式自拟）</w:t>
      </w:r>
    </w:p>
    <w:p w14:paraId="58A25ED9">
      <w:pPr>
        <w:pStyle w:val="61"/>
        <w:rPr>
          <w:highlight w:val="none"/>
        </w:rPr>
      </w:pPr>
    </w:p>
    <w:p w14:paraId="681D965A">
      <w:pPr>
        <w:spacing w:line="360" w:lineRule="auto"/>
        <w:rPr>
          <w:rFonts w:ascii="宋体" w:hAnsi="宋体"/>
          <w:b/>
          <w:color w:val="000000" w:themeColor="text1"/>
          <w:highlight w:val="none"/>
          <w14:textFill>
            <w14:solidFill>
              <w14:schemeClr w14:val="tx1"/>
            </w14:solidFill>
          </w14:textFill>
        </w:rPr>
      </w:pPr>
    </w:p>
    <w:p w14:paraId="521DEDA2">
      <w:pPr>
        <w:spacing w:line="360" w:lineRule="auto"/>
        <w:rPr>
          <w:rFonts w:ascii="宋体" w:hAnsi="宋体"/>
          <w:b/>
          <w:color w:val="000000" w:themeColor="text1"/>
          <w:highlight w:val="none"/>
          <w14:textFill>
            <w14:solidFill>
              <w14:schemeClr w14:val="tx1"/>
            </w14:solidFill>
          </w14:textFill>
        </w:rPr>
      </w:pPr>
    </w:p>
    <w:p w14:paraId="6132521E">
      <w:pPr>
        <w:widowControl/>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628522D0">
      <w:pPr>
        <w:pStyle w:val="18"/>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28955E34">
      <w:pPr>
        <w:spacing w:line="360" w:lineRule="auto"/>
        <w:rPr>
          <w:rFonts w:ascii="宋体" w:hAnsi="宋体"/>
          <w:b/>
          <w:color w:val="000000" w:themeColor="text1"/>
          <w:highlight w:val="none"/>
          <w14:textFill>
            <w14:solidFill>
              <w14:schemeClr w14:val="tx1"/>
            </w14:solidFill>
          </w14:textFill>
        </w:rPr>
      </w:pPr>
    </w:p>
    <w:p w14:paraId="054BC62A">
      <w:pPr>
        <w:spacing w:line="360" w:lineRule="auto"/>
        <w:ind w:firstLine="480" w:firstLineChars="200"/>
        <w:jc w:val="left"/>
        <w:rPr>
          <w:rFonts w:ascii="宋体" w:hAnsi="宋体"/>
          <w:sz w:val="24"/>
          <w:szCs w:val="24"/>
          <w:highlight w:val="none"/>
        </w:rPr>
      </w:pPr>
    </w:p>
    <w:p w14:paraId="46FDE17F">
      <w:pPr>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响应需要的其他证明文件及材料（若有）</w:t>
      </w:r>
    </w:p>
    <w:p w14:paraId="14C08D5F">
      <w:pPr>
        <w:pStyle w:val="264"/>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color w:val="000000" w:themeColor="text1"/>
          <w:highlight w:val="none"/>
          <w14:textFill>
            <w14:solidFill>
              <w14:schemeClr w14:val="tx1"/>
            </w14:solidFill>
          </w14:textFill>
        </w:rPr>
        <w:t>附件一、无重大违法记录声明格式</w:t>
      </w:r>
    </w:p>
    <w:p w14:paraId="39FC2CE2">
      <w:pPr>
        <w:adjustRightInd w:val="0"/>
        <w:spacing w:line="360" w:lineRule="auto"/>
        <w:rPr>
          <w:rFonts w:ascii="宋体" w:hAnsi="宋体"/>
          <w:b/>
          <w:color w:val="000000" w:themeColor="text1"/>
          <w:highlight w:val="none"/>
          <w14:textFill>
            <w14:solidFill>
              <w14:schemeClr w14:val="tx1"/>
            </w14:solidFill>
          </w14:textFill>
        </w:rPr>
      </w:pPr>
    </w:p>
    <w:p w14:paraId="1A52BCDC">
      <w:pPr>
        <w:pStyle w:val="269"/>
        <w:shd w:val="clear" w:color="auto" w:fill="auto"/>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732406D4">
      <w:pPr>
        <w:spacing w:line="360" w:lineRule="auto"/>
        <w:rPr>
          <w:rFonts w:ascii="宋体" w:hAnsi="宋体"/>
          <w:color w:val="000000" w:themeColor="text1"/>
          <w:highlight w:val="none"/>
          <w14:textFill>
            <w14:solidFill>
              <w14:schemeClr w14:val="tx1"/>
            </w14:solidFill>
          </w14:textFill>
        </w:rPr>
      </w:pPr>
    </w:p>
    <w:p w14:paraId="4826FB16">
      <w:pPr>
        <w:pStyle w:val="18"/>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A7B4F70">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07A34A5E">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1E68A0FD">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2EF4BD2A">
      <w:pPr>
        <w:spacing w:line="360" w:lineRule="auto"/>
        <w:rPr>
          <w:rFonts w:ascii="宋体" w:hAnsi="宋体" w:cs="宋体"/>
          <w:color w:val="000000" w:themeColor="text1"/>
          <w:sz w:val="24"/>
          <w:szCs w:val="24"/>
          <w:highlight w:val="none"/>
          <w14:textFill>
            <w14:solidFill>
              <w14:schemeClr w14:val="tx1"/>
            </w14:solidFill>
          </w14:textFill>
        </w:rPr>
      </w:pPr>
    </w:p>
    <w:p w14:paraId="7E09B105">
      <w:pPr>
        <w:spacing w:line="360" w:lineRule="auto"/>
        <w:rPr>
          <w:rFonts w:ascii="宋体" w:hAnsi="宋体" w:cs="宋体"/>
          <w:color w:val="000000" w:themeColor="text1"/>
          <w:sz w:val="24"/>
          <w:szCs w:val="24"/>
          <w:highlight w:val="none"/>
          <w14:textFill>
            <w14:solidFill>
              <w14:schemeClr w14:val="tx1"/>
            </w14:solidFill>
          </w14:textFill>
        </w:rPr>
      </w:pPr>
    </w:p>
    <w:p w14:paraId="54D918EE">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279E5614">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70A808B7">
      <w:pPr>
        <w:spacing w:line="360" w:lineRule="auto"/>
        <w:rPr>
          <w:color w:val="000000" w:themeColor="text1"/>
          <w:highlight w:val="none"/>
          <w14:textFill>
            <w14:solidFill>
              <w14:schemeClr w14:val="tx1"/>
            </w14:solidFill>
          </w14:textFill>
        </w:rPr>
      </w:pPr>
    </w:p>
    <w:p w14:paraId="796356DB">
      <w:pPr>
        <w:spacing w:line="360" w:lineRule="auto"/>
        <w:rPr>
          <w:rFonts w:ascii="宋体" w:hAnsi="宋体"/>
          <w:b/>
          <w:color w:val="000000" w:themeColor="text1"/>
          <w:highlight w:val="none"/>
          <w14:textFill>
            <w14:solidFill>
              <w14:schemeClr w14:val="tx1"/>
            </w14:solidFill>
          </w14:textFill>
        </w:rPr>
      </w:pPr>
    </w:p>
    <w:p w14:paraId="7307F9E1">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40A235A">
      <w:pPr>
        <w:pStyle w:val="269"/>
        <w:shd w:val="clear" w:color="auto" w:fill="auto"/>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63FAFBD9">
      <w:pPr>
        <w:pStyle w:val="18"/>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E9CB0F7">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4C3DB43E">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638976C">
      <w:pPr>
        <w:pStyle w:val="18"/>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415EF76">
      <w:pPr>
        <w:spacing w:line="360" w:lineRule="auto"/>
        <w:rPr>
          <w:rFonts w:ascii="宋体" w:hAnsi="宋体" w:cs="宋体"/>
          <w:color w:val="000000" w:themeColor="text1"/>
          <w:sz w:val="24"/>
          <w:highlight w:val="none"/>
          <w14:textFill>
            <w14:solidFill>
              <w14:schemeClr w14:val="tx1"/>
            </w14:solidFill>
          </w14:textFill>
        </w:rPr>
      </w:pPr>
    </w:p>
    <w:p w14:paraId="08906AFF">
      <w:pPr>
        <w:spacing w:line="360" w:lineRule="auto"/>
        <w:rPr>
          <w:rFonts w:ascii="宋体" w:hAnsi="宋体" w:cs="宋体"/>
          <w:color w:val="000000" w:themeColor="text1"/>
          <w:sz w:val="24"/>
          <w:highlight w:val="none"/>
          <w14:textFill>
            <w14:solidFill>
              <w14:schemeClr w14:val="tx1"/>
            </w14:solidFill>
          </w14:textFill>
        </w:rPr>
      </w:pPr>
    </w:p>
    <w:p w14:paraId="2765661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780B708D">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5080CFB9">
      <w:pPr>
        <w:pStyle w:val="26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78ADD939">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40736AED">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26D9CC75">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0C856D7D">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75C604B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48B0A691">
      <w:pPr>
        <w:spacing w:line="360" w:lineRule="auto"/>
        <w:rPr>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93FF">
    <w:pPr>
      <w:pStyle w:val="29"/>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3117FA21">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3117FA21">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E2D8C">
    <w:pPr>
      <w:pStyle w:val="31"/>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8A8489"/>
    <w:multiLevelType w:val="singleLevel"/>
    <w:tmpl w:val="918A8489"/>
    <w:lvl w:ilvl="0" w:tentative="0">
      <w:start w:val="1"/>
      <w:numFmt w:val="decimal"/>
      <w:suff w:val="nothing"/>
      <w:lvlText w:val="（%1）"/>
      <w:lvlJc w:val="left"/>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1ABF00"/>
    <w:multiLevelType w:val="singleLevel"/>
    <w:tmpl w:val="9E1ABF00"/>
    <w:lvl w:ilvl="0" w:tentative="0">
      <w:start w:val="1"/>
      <w:numFmt w:val="decimal"/>
      <w:lvlText w:val="%1)"/>
      <w:lvlJc w:val="left"/>
      <w:pPr>
        <w:ind w:left="425" w:hanging="425"/>
      </w:pPr>
      <w:rPr>
        <w:rFonts w:hint="default"/>
      </w:rPr>
    </w:lvl>
  </w:abstractNum>
  <w:abstractNum w:abstractNumId="11">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2">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3">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4">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5">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6">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7">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8">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9">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20">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1">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2">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3">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4">
    <w:nsid w:val="CB2CB0D4"/>
    <w:multiLevelType w:val="singleLevel"/>
    <w:tmpl w:val="CB2CB0D4"/>
    <w:lvl w:ilvl="0" w:tentative="0">
      <w:start w:val="2"/>
      <w:numFmt w:val="chineseCounting"/>
      <w:suff w:val="nothing"/>
      <w:lvlText w:val="%1、"/>
      <w:lvlJc w:val="left"/>
      <w:rPr>
        <w:rFonts w:hint="eastAsia"/>
      </w:rPr>
    </w:lvl>
  </w:abstractNum>
  <w:abstractNum w:abstractNumId="25">
    <w:nsid w:val="D0BC508B"/>
    <w:multiLevelType w:val="singleLevel"/>
    <w:tmpl w:val="D0BC508B"/>
    <w:lvl w:ilvl="0" w:tentative="0">
      <w:start w:val="1"/>
      <w:numFmt w:val="decimal"/>
      <w:lvlText w:val="%1)"/>
      <w:lvlJc w:val="left"/>
      <w:pPr>
        <w:ind w:left="425" w:hanging="425"/>
      </w:pPr>
      <w:rPr>
        <w:rFonts w:hint="default"/>
      </w:rPr>
    </w:lvl>
  </w:abstractNum>
  <w:abstractNum w:abstractNumId="26">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7">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8">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9">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30">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31">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2">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3">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4">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5">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6">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7">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8">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9">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0">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1">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2">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3">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4">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5">
    <w:nsid w:val="318533B0"/>
    <w:multiLevelType w:val="singleLevel"/>
    <w:tmpl w:val="318533B0"/>
    <w:lvl w:ilvl="0" w:tentative="0">
      <w:start w:val="4"/>
      <w:numFmt w:val="chineseCounting"/>
      <w:suff w:val="space"/>
      <w:lvlText w:val="第%1章"/>
      <w:lvlJc w:val="left"/>
      <w:rPr>
        <w:rFonts w:hint="eastAsia"/>
      </w:rPr>
    </w:lvl>
  </w:abstractNum>
  <w:abstractNum w:abstractNumId="46">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7">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8">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9">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0">
    <w:nsid w:val="4ADF52D3"/>
    <w:multiLevelType w:val="singleLevel"/>
    <w:tmpl w:val="4ADF52D3"/>
    <w:lvl w:ilvl="0" w:tentative="0">
      <w:start w:val="1"/>
      <w:numFmt w:val="decimalEnclosedCircleChinese"/>
      <w:suff w:val="nothing"/>
      <w:lvlText w:val="%1　"/>
      <w:lvlJc w:val="left"/>
      <w:pPr>
        <w:ind w:left="0" w:firstLine="400"/>
      </w:pPr>
      <w:rPr>
        <w:rFonts w:hint="eastAsia"/>
      </w:rPr>
    </w:lvl>
  </w:abstractNum>
  <w:abstractNum w:abstractNumId="51">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2">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3">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5"/>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5">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6">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7">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8">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9">
    <w:nsid w:val="64A0FCEA"/>
    <w:multiLevelType w:val="singleLevel"/>
    <w:tmpl w:val="64A0FCEA"/>
    <w:lvl w:ilvl="0" w:tentative="0">
      <w:start w:val="1"/>
      <w:numFmt w:val="decimal"/>
      <w:lvlText w:val="%1."/>
      <w:lvlJc w:val="left"/>
      <w:pPr>
        <w:ind w:left="425" w:hanging="425"/>
      </w:pPr>
      <w:rPr>
        <w:rFonts w:hint="default"/>
      </w:rPr>
    </w:lvl>
  </w:abstractNum>
  <w:abstractNum w:abstractNumId="60">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1">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2">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3">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4">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5">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3"/>
  </w:num>
  <w:num w:numId="2">
    <w:abstractNumId w:val="16"/>
  </w:num>
  <w:num w:numId="3">
    <w:abstractNumId w:val="41"/>
  </w:num>
  <w:num w:numId="4">
    <w:abstractNumId w:val="64"/>
  </w:num>
  <w:num w:numId="5">
    <w:abstractNumId w:val="61"/>
  </w:num>
  <w:num w:numId="6">
    <w:abstractNumId w:val="37"/>
  </w:num>
  <w:num w:numId="7">
    <w:abstractNumId w:val="23"/>
  </w:num>
  <w:num w:numId="8">
    <w:abstractNumId w:val="48"/>
  </w:num>
  <w:num w:numId="9">
    <w:abstractNumId w:val="44"/>
  </w:num>
  <w:num w:numId="10">
    <w:abstractNumId w:val="9"/>
  </w:num>
  <w:num w:numId="11">
    <w:abstractNumId w:val="19"/>
  </w:num>
  <w:num w:numId="12">
    <w:abstractNumId w:val="52"/>
  </w:num>
  <w:num w:numId="13">
    <w:abstractNumId w:val="65"/>
  </w:num>
  <w:num w:numId="14">
    <w:abstractNumId w:val="14"/>
  </w:num>
  <w:num w:numId="15">
    <w:abstractNumId w:val="62"/>
  </w:num>
  <w:num w:numId="16">
    <w:abstractNumId w:val="43"/>
  </w:num>
  <w:num w:numId="17">
    <w:abstractNumId w:val="58"/>
  </w:num>
  <w:num w:numId="18">
    <w:abstractNumId w:val="46"/>
  </w:num>
  <w:num w:numId="19">
    <w:abstractNumId w:val="36"/>
  </w:num>
  <w:num w:numId="20">
    <w:abstractNumId w:val="40"/>
  </w:num>
  <w:num w:numId="21">
    <w:abstractNumId w:val="17"/>
  </w:num>
  <w:num w:numId="22">
    <w:abstractNumId w:val="29"/>
  </w:num>
  <w:num w:numId="23">
    <w:abstractNumId w:val="35"/>
  </w:num>
  <w:num w:numId="24">
    <w:abstractNumId w:val="49"/>
  </w:num>
  <w:num w:numId="25">
    <w:abstractNumId w:val="31"/>
  </w:num>
  <w:num w:numId="26">
    <w:abstractNumId w:val="7"/>
  </w:num>
  <w:num w:numId="27">
    <w:abstractNumId w:val="51"/>
  </w:num>
  <w:num w:numId="28">
    <w:abstractNumId w:val="18"/>
  </w:num>
  <w:num w:numId="29">
    <w:abstractNumId w:val="2"/>
  </w:num>
  <w:num w:numId="30">
    <w:abstractNumId w:val="54"/>
  </w:num>
  <w:num w:numId="31">
    <w:abstractNumId w:val="47"/>
  </w:num>
  <w:num w:numId="32">
    <w:abstractNumId w:val="38"/>
  </w:num>
  <w:num w:numId="33">
    <w:abstractNumId w:val="8"/>
  </w:num>
  <w:num w:numId="34">
    <w:abstractNumId w:val="39"/>
  </w:num>
  <w:num w:numId="35">
    <w:abstractNumId w:val="56"/>
  </w:num>
  <w:num w:numId="36">
    <w:abstractNumId w:val="55"/>
  </w:num>
  <w:num w:numId="37">
    <w:abstractNumId w:val="3"/>
  </w:num>
  <w:num w:numId="38">
    <w:abstractNumId w:val="32"/>
  </w:num>
  <w:num w:numId="39">
    <w:abstractNumId w:val="57"/>
  </w:num>
  <w:num w:numId="40">
    <w:abstractNumId w:val="28"/>
  </w:num>
  <w:num w:numId="41">
    <w:abstractNumId w:val="11"/>
  </w:num>
  <w:num w:numId="42">
    <w:abstractNumId w:val="4"/>
  </w:num>
  <w:num w:numId="43">
    <w:abstractNumId w:val="12"/>
  </w:num>
  <w:num w:numId="44">
    <w:abstractNumId w:val="33"/>
  </w:num>
  <w:num w:numId="45">
    <w:abstractNumId w:val="20"/>
  </w:num>
  <w:num w:numId="46">
    <w:abstractNumId w:val="30"/>
  </w:num>
  <w:num w:numId="47">
    <w:abstractNumId w:val="21"/>
  </w:num>
  <w:num w:numId="48">
    <w:abstractNumId w:val="63"/>
  </w:num>
  <w:num w:numId="49">
    <w:abstractNumId w:val="22"/>
  </w:num>
  <w:num w:numId="50">
    <w:abstractNumId w:val="27"/>
  </w:num>
  <w:num w:numId="51">
    <w:abstractNumId w:val="1"/>
  </w:num>
  <w:num w:numId="52">
    <w:abstractNumId w:val="6"/>
  </w:num>
  <w:num w:numId="53">
    <w:abstractNumId w:val="50"/>
  </w:num>
  <w:num w:numId="54">
    <w:abstractNumId w:val="45"/>
  </w:num>
  <w:num w:numId="55">
    <w:abstractNumId w:val="15"/>
  </w:num>
  <w:num w:numId="56">
    <w:abstractNumId w:val="60"/>
  </w:num>
  <w:num w:numId="57">
    <w:abstractNumId w:val="5"/>
  </w:num>
  <w:num w:numId="58">
    <w:abstractNumId w:val="59"/>
  </w:num>
  <w:num w:numId="59">
    <w:abstractNumId w:val="25"/>
  </w:num>
  <w:num w:numId="60">
    <w:abstractNumId w:val="10"/>
  </w:num>
  <w:num w:numId="61">
    <w:abstractNumId w:val="24"/>
  </w:num>
  <w:num w:numId="62">
    <w:abstractNumId w:val="0"/>
  </w:num>
  <w:num w:numId="63">
    <w:abstractNumId w:val="42"/>
  </w:num>
  <w:num w:numId="64">
    <w:abstractNumId w:val="13"/>
  </w:num>
  <w:num w:numId="65">
    <w:abstractNumId w:val="34"/>
  </w:num>
  <w:num w:numId="6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55B15"/>
    <w:rsid w:val="000603A8"/>
    <w:rsid w:val="00072371"/>
    <w:rsid w:val="00077B10"/>
    <w:rsid w:val="0008213F"/>
    <w:rsid w:val="000A3089"/>
    <w:rsid w:val="000A5DE6"/>
    <w:rsid w:val="000A61ED"/>
    <w:rsid w:val="000A6973"/>
    <w:rsid w:val="000C2BA5"/>
    <w:rsid w:val="000C4F86"/>
    <w:rsid w:val="000E0C2D"/>
    <w:rsid w:val="000F5611"/>
    <w:rsid w:val="00120A4B"/>
    <w:rsid w:val="00140B1D"/>
    <w:rsid w:val="00141BEC"/>
    <w:rsid w:val="001607E5"/>
    <w:rsid w:val="001646F3"/>
    <w:rsid w:val="00165164"/>
    <w:rsid w:val="00193608"/>
    <w:rsid w:val="00195606"/>
    <w:rsid w:val="001A6483"/>
    <w:rsid w:val="001B4835"/>
    <w:rsid w:val="001D0594"/>
    <w:rsid w:val="001D7CE8"/>
    <w:rsid w:val="001E1C4B"/>
    <w:rsid w:val="001E28D6"/>
    <w:rsid w:val="001E28E2"/>
    <w:rsid w:val="001F355D"/>
    <w:rsid w:val="00203B11"/>
    <w:rsid w:val="0021068C"/>
    <w:rsid w:val="00210AEA"/>
    <w:rsid w:val="002213ED"/>
    <w:rsid w:val="00221EF9"/>
    <w:rsid w:val="00222A23"/>
    <w:rsid w:val="002302C2"/>
    <w:rsid w:val="00234822"/>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7D8E"/>
    <w:rsid w:val="002E05B3"/>
    <w:rsid w:val="002F2520"/>
    <w:rsid w:val="002F2FEE"/>
    <w:rsid w:val="00300310"/>
    <w:rsid w:val="0030132B"/>
    <w:rsid w:val="00301983"/>
    <w:rsid w:val="0030478B"/>
    <w:rsid w:val="00304B99"/>
    <w:rsid w:val="00307A95"/>
    <w:rsid w:val="0031316D"/>
    <w:rsid w:val="00313589"/>
    <w:rsid w:val="003269B7"/>
    <w:rsid w:val="003345C0"/>
    <w:rsid w:val="00337CC0"/>
    <w:rsid w:val="00341E4E"/>
    <w:rsid w:val="00346C93"/>
    <w:rsid w:val="003567D1"/>
    <w:rsid w:val="00361D2E"/>
    <w:rsid w:val="00365F93"/>
    <w:rsid w:val="0039013E"/>
    <w:rsid w:val="00395A8A"/>
    <w:rsid w:val="003A766D"/>
    <w:rsid w:val="003B7A90"/>
    <w:rsid w:val="003D0883"/>
    <w:rsid w:val="003D2072"/>
    <w:rsid w:val="003D59C2"/>
    <w:rsid w:val="0040250A"/>
    <w:rsid w:val="00411A2A"/>
    <w:rsid w:val="00421CCE"/>
    <w:rsid w:val="00423B77"/>
    <w:rsid w:val="00425CED"/>
    <w:rsid w:val="004526E8"/>
    <w:rsid w:val="00464986"/>
    <w:rsid w:val="00465C30"/>
    <w:rsid w:val="00473E69"/>
    <w:rsid w:val="00477FD9"/>
    <w:rsid w:val="00484E24"/>
    <w:rsid w:val="004A2C5E"/>
    <w:rsid w:val="004A5AF1"/>
    <w:rsid w:val="004A68BE"/>
    <w:rsid w:val="004B035C"/>
    <w:rsid w:val="004B4FB8"/>
    <w:rsid w:val="004B6B53"/>
    <w:rsid w:val="004E4EF1"/>
    <w:rsid w:val="004E7292"/>
    <w:rsid w:val="004F11AB"/>
    <w:rsid w:val="004F692A"/>
    <w:rsid w:val="00503F76"/>
    <w:rsid w:val="005114F3"/>
    <w:rsid w:val="0051245A"/>
    <w:rsid w:val="00520001"/>
    <w:rsid w:val="005277EE"/>
    <w:rsid w:val="0053715F"/>
    <w:rsid w:val="00553C9B"/>
    <w:rsid w:val="00555045"/>
    <w:rsid w:val="00573039"/>
    <w:rsid w:val="00581E47"/>
    <w:rsid w:val="00585734"/>
    <w:rsid w:val="005A379C"/>
    <w:rsid w:val="005A7CDA"/>
    <w:rsid w:val="005A7EF9"/>
    <w:rsid w:val="005B2948"/>
    <w:rsid w:val="005B3758"/>
    <w:rsid w:val="005B5295"/>
    <w:rsid w:val="005B6EF6"/>
    <w:rsid w:val="005C5753"/>
    <w:rsid w:val="005C62CC"/>
    <w:rsid w:val="005C6410"/>
    <w:rsid w:val="005D3AD4"/>
    <w:rsid w:val="005D6EF2"/>
    <w:rsid w:val="005D7B60"/>
    <w:rsid w:val="005F107E"/>
    <w:rsid w:val="006339E3"/>
    <w:rsid w:val="00636A37"/>
    <w:rsid w:val="0064295D"/>
    <w:rsid w:val="00662F68"/>
    <w:rsid w:val="00667126"/>
    <w:rsid w:val="00670EFA"/>
    <w:rsid w:val="00680EDD"/>
    <w:rsid w:val="006A146B"/>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745E1"/>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2C5C"/>
    <w:rsid w:val="0088428D"/>
    <w:rsid w:val="008B191D"/>
    <w:rsid w:val="008B57CF"/>
    <w:rsid w:val="008C5D36"/>
    <w:rsid w:val="008D2521"/>
    <w:rsid w:val="008E14D6"/>
    <w:rsid w:val="008E7262"/>
    <w:rsid w:val="008F157A"/>
    <w:rsid w:val="008F15BA"/>
    <w:rsid w:val="00903A81"/>
    <w:rsid w:val="00921E54"/>
    <w:rsid w:val="00931F61"/>
    <w:rsid w:val="009378E7"/>
    <w:rsid w:val="009408C8"/>
    <w:rsid w:val="009465DD"/>
    <w:rsid w:val="009479A2"/>
    <w:rsid w:val="00973A28"/>
    <w:rsid w:val="009936D4"/>
    <w:rsid w:val="00995FCA"/>
    <w:rsid w:val="009A03A3"/>
    <w:rsid w:val="009A33F5"/>
    <w:rsid w:val="009A6545"/>
    <w:rsid w:val="009B597F"/>
    <w:rsid w:val="009B7079"/>
    <w:rsid w:val="009C48C8"/>
    <w:rsid w:val="009D2587"/>
    <w:rsid w:val="009D2D7C"/>
    <w:rsid w:val="009D4E0C"/>
    <w:rsid w:val="009D6207"/>
    <w:rsid w:val="009D7CCA"/>
    <w:rsid w:val="009F4E50"/>
    <w:rsid w:val="00A07524"/>
    <w:rsid w:val="00A14355"/>
    <w:rsid w:val="00A26B87"/>
    <w:rsid w:val="00A3056A"/>
    <w:rsid w:val="00A40800"/>
    <w:rsid w:val="00A422CB"/>
    <w:rsid w:val="00A45515"/>
    <w:rsid w:val="00A5032B"/>
    <w:rsid w:val="00A53229"/>
    <w:rsid w:val="00A628B2"/>
    <w:rsid w:val="00A62B46"/>
    <w:rsid w:val="00A67E2D"/>
    <w:rsid w:val="00A80CEF"/>
    <w:rsid w:val="00A84602"/>
    <w:rsid w:val="00A9334D"/>
    <w:rsid w:val="00AA3CA0"/>
    <w:rsid w:val="00AC74E8"/>
    <w:rsid w:val="00AC7581"/>
    <w:rsid w:val="00AD2769"/>
    <w:rsid w:val="00AD4178"/>
    <w:rsid w:val="00AE00DC"/>
    <w:rsid w:val="00B04449"/>
    <w:rsid w:val="00B1285D"/>
    <w:rsid w:val="00B13547"/>
    <w:rsid w:val="00B2311B"/>
    <w:rsid w:val="00B235A5"/>
    <w:rsid w:val="00B256C9"/>
    <w:rsid w:val="00B274DD"/>
    <w:rsid w:val="00B308BD"/>
    <w:rsid w:val="00B32CF6"/>
    <w:rsid w:val="00B33E55"/>
    <w:rsid w:val="00B346F0"/>
    <w:rsid w:val="00B37DED"/>
    <w:rsid w:val="00B47858"/>
    <w:rsid w:val="00B57769"/>
    <w:rsid w:val="00B57FFC"/>
    <w:rsid w:val="00B61499"/>
    <w:rsid w:val="00B630AF"/>
    <w:rsid w:val="00B73193"/>
    <w:rsid w:val="00B733C1"/>
    <w:rsid w:val="00B817F0"/>
    <w:rsid w:val="00B96B3B"/>
    <w:rsid w:val="00B97D58"/>
    <w:rsid w:val="00BA1051"/>
    <w:rsid w:val="00BA6126"/>
    <w:rsid w:val="00BA76DF"/>
    <w:rsid w:val="00BD0A88"/>
    <w:rsid w:val="00BE2A0F"/>
    <w:rsid w:val="00C018A8"/>
    <w:rsid w:val="00C055FA"/>
    <w:rsid w:val="00C113FA"/>
    <w:rsid w:val="00C30720"/>
    <w:rsid w:val="00C34208"/>
    <w:rsid w:val="00C377BA"/>
    <w:rsid w:val="00C63349"/>
    <w:rsid w:val="00C674FF"/>
    <w:rsid w:val="00C71F96"/>
    <w:rsid w:val="00C752D4"/>
    <w:rsid w:val="00C9393E"/>
    <w:rsid w:val="00C954C2"/>
    <w:rsid w:val="00CB199D"/>
    <w:rsid w:val="00CC1675"/>
    <w:rsid w:val="00CC25B4"/>
    <w:rsid w:val="00CC3BA0"/>
    <w:rsid w:val="00CD635D"/>
    <w:rsid w:val="00CE3089"/>
    <w:rsid w:val="00CF13FB"/>
    <w:rsid w:val="00CF4A40"/>
    <w:rsid w:val="00D076F3"/>
    <w:rsid w:val="00D223FB"/>
    <w:rsid w:val="00D225D7"/>
    <w:rsid w:val="00D22F68"/>
    <w:rsid w:val="00D242FD"/>
    <w:rsid w:val="00D40340"/>
    <w:rsid w:val="00D42DE8"/>
    <w:rsid w:val="00D47A7B"/>
    <w:rsid w:val="00D51672"/>
    <w:rsid w:val="00D54978"/>
    <w:rsid w:val="00D55695"/>
    <w:rsid w:val="00D56795"/>
    <w:rsid w:val="00D62C19"/>
    <w:rsid w:val="00D7063B"/>
    <w:rsid w:val="00D73674"/>
    <w:rsid w:val="00D82857"/>
    <w:rsid w:val="00D8640E"/>
    <w:rsid w:val="00D940AE"/>
    <w:rsid w:val="00D97143"/>
    <w:rsid w:val="00DA1657"/>
    <w:rsid w:val="00DB0A08"/>
    <w:rsid w:val="00DB2D58"/>
    <w:rsid w:val="00DC6097"/>
    <w:rsid w:val="00DD44B4"/>
    <w:rsid w:val="00E007CD"/>
    <w:rsid w:val="00E00FE0"/>
    <w:rsid w:val="00E067E2"/>
    <w:rsid w:val="00E14F6D"/>
    <w:rsid w:val="00E15200"/>
    <w:rsid w:val="00E20604"/>
    <w:rsid w:val="00E2102F"/>
    <w:rsid w:val="00E32E7E"/>
    <w:rsid w:val="00E430F5"/>
    <w:rsid w:val="00E45BF0"/>
    <w:rsid w:val="00E516F5"/>
    <w:rsid w:val="00E5761D"/>
    <w:rsid w:val="00E62155"/>
    <w:rsid w:val="00E65A28"/>
    <w:rsid w:val="00E677D7"/>
    <w:rsid w:val="00E678A2"/>
    <w:rsid w:val="00E75B0C"/>
    <w:rsid w:val="00E807AE"/>
    <w:rsid w:val="00E839D7"/>
    <w:rsid w:val="00E85EB0"/>
    <w:rsid w:val="00E919E1"/>
    <w:rsid w:val="00E91B32"/>
    <w:rsid w:val="00E9364A"/>
    <w:rsid w:val="00EB2111"/>
    <w:rsid w:val="00ED420B"/>
    <w:rsid w:val="00ED4B05"/>
    <w:rsid w:val="00ED5683"/>
    <w:rsid w:val="00EE1746"/>
    <w:rsid w:val="00EF2007"/>
    <w:rsid w:val="00F05CD2"/>
    <w:rsid w:val="00F1154C"/>
    <w:rsid w:val="00F14CAE"/>
    <w:rsid w:val="00F17DC1"/>
    <w:rsid w:val="00F22C8D"/>
    <w:rsid w:val="00F24E2C"/>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70FB"/>
    <w:rsid w:val="00FF7ADF"/>
    <w:rsid w:val="012B64AF"/>
    <w:rsid w:val="018308D6"/>
    <w:rsid w:val="01933CA1"/>
    <w:rsid w:val="01933E55"/>
    <w:rsid w:val="01BF6469"/>
    <w:rsid w:val="025F09F0"/>
    <w:rsid w:val="027C6AB9"/>
    <w:rsid w:val="02DF21EF"/>
    <w:rsid w:val="037417FA"/>
    <w:rsid w:val="04201EC7"/>
    <w:rsid w:val="045046FF"/>
    <w:rsid w:val="047E36A9"/>
    <w:rsid w:val="047F24B6"/>
    <w:rsid w:val="048A5A25"/>
    <w:rsid w:val="057069E3"/>
    <w:rsid w:val="05CB3586"/>
    <w:rsid w:val="060D10D2"/>
    <w:rsid w:val="060F7A29"/>
    <w:rsid w:val="066C72D7"/>
    <w:rsid w:val="06B83FCF"/>
    <w:rsid w:val="070D3E84"/>
    <w:rsid w:val="0727545E"/>
    <w:rsid w:val="07D23954"/>
    <w:rsid w:val="07EF7321"/>
    <w:rsid w:val="080539AF"/>
    <w:rsid w:val="085A6539"/>
    <w:rsid w:val="086A2D1A"/>
    <w:rsid w:val="08823813"/>
    <w:rsid w:val="08A40BE4"/>
    <w:rsid w:val="08B07D72"/>
    <w:rsid w:val="090E36BE"/>
    <w:rsid w:val="091D123B"/>
    <w:rsid w:val="09684681"/>
    <w:rsid w:val="096B4234"/>
    <w:rsid w:val="098053F7"/>
    <w:rsid w:val="09865C52"/>
    <w:rsid w:val="09C930AF"/>
    <w:rsid w:val="0A1318AA"/>
    <w:rsid w:val="0A1554BB"/>
    <w:rsid w:val="0A170B9C"/>
    <w:rsid w:val="0A1D4625"/>
    <w:rsid w:val="0A702F25"/>
    <w:rsid w:val="0A9F4195"/>
    <w:rsid w:val="0B0D419A"/>
    <w:rsid w:val="0B0F20FA"/>
    <w:rsid w:val="0BAA1044"/>
    <w:rsid w:val="0C06116B"/>
    <w:rsid w:val="0C9534E4"/>
    <w:rsid w:val="0CAD1F59"/>
    <w:rsid w:val="0CB1622C"/>
    <w:rsid w:val="0CCD71E3"/>
    <w:rsid w:val="0D4B59D5"/>
    <w:rsid w:val="0DC64FDA"/>
    <w:rsid w:val="0E5626EA"/>
    <w:rsid w:val="0E5A28FE"/>
    <w:rsid w:val="0EE92F84"/>
    <w:rsid w:val="0EF9321E"/>
    <w:rsid w:val="0EFA6269"/>
    <w:rsid w:val="0F944C2D"/>
    <w:rsid w:val="0FE50224"/>
    <w:rsid w:val="1015640E"/>
    <w:rsid w:val="10AF23A2"/>
    <w:rsid w:val="10E904CB"/>
    <w:rsid w:val="1101240C"/>
    <w:rsid w:val="112E6C64"/>
    <w:rsid w:val="11755E44"/>
    <w:rsid w:val="119D6FA6"/>
    <w:rsid w:val="11ED31A7"/>
    <w:rsid w:val="12210087"/>
    <w:rsid w:val="1222375D"/>
    <w:rsid w:val="124A36D5"/>
    <w:rsid w:val="12721277"/>
    <w:rsid w:val="12A83E03"/>
    <w:rsid w:val="12B979DD"/>
    <w:rsid w:val="130726B9"/>
    <w:rsid w:val="134358DA"/>
    <w:rsid w:val="1345230E"/>
    <w:rsid w:val="13544F51"/>
    <w:rsid w:val="13B8520A"/>
    <w:rsid w:val="141E6E0D"/>
    <w:rsid w:val="14203E74"/>
    <w:rsid w:val="14BF452D"/>
    <w:rsid w:val="14BF7D76"/>
    <w:rsid w:val="15365ECB"/>
    <w:rsid w:val="15B33C35"/>
    <w:rsid w:val="160A26DF"/>
    <w:rsid w:val="16924E29"/>
    <w:rsid w:val="17163A31"/>
    <w:rsid w:val="1720639D"/>
    <w:rsid w:val="177B5642"/>
    <w:rsid w:val="18056F1E"/>
    <w:rsid w:val="184862DB"/>
    <w:rsid w:val="18691919"/>
    <w:rsid w:val="18824714"/>
    <w:rsid w:val="18AE6841"/>
    <w:rsid w:val="18E611E1"/>
    <w:rsid w:val="19063631"/>
    <w:rsid w:val="19230A2E"/>
    <w:rsid w:val="1951749F"/>
    <w:rsid w:val="1959610D"/>
    <w:rsid w:val="19933EEE"/>
    <w:rsid w:val="19CB13F6"/>
    <w:rsid w:val="19E55985"/>
    <w:rsid w:val="19F85670"/>
    <w:rsid w:val="1A0836F9"/>
    <w:rsid w:val="1A4426FE"/>
    <w:rsid w:val="1A5852A5"/>
    <w:rsid w:val="1A6C60CD"/>
    <w:rsid w:val="1A875FC6"/>
    <w:rsid w:val="1B1875CE"/>
    <w:rsid w:val="1B835B95"/>
    <w:rsid w:val="1BA842D2"/>
    <w:rsid w:val="1BC7354C"/>
    <w:rsid w:val="1BCD48DA"/>
    <w:rsid w:val="1C844F99"/>
    <w:rsid w:val="1C8E057A"/>
    <w:rsid w:val="1CA11867"/>
    <w:rsid w:val="1CBA19FF"/>
    <w:rsid w:val="1D2422D8"/>
    <w:rsid w:val="1D7F5DED"/>
    <w:rsid w:val="1D88230D"/>
    <w:rsid w:val="1DD91315"/>
    <w:rsid w:val="1E036392"/>
    <w:rsid w:val="1EF63F47"/>
    <w:rsid w:val="1F1C595D"/>
    <w:rsid w:val="1F484BC1"/>
    <w:rsid w:val="1F951903"/>
    <w:rsid w:val="200636BC"/>
    <w:rsid w:val="200A1DD2"/>
    <w:rsid w:val="207E43F5"/>
    <w:rsid w:val="209D066C"/>
    <w:rsid w:val="209D7852"/>
    <w:rsid w:val="20C067BC"/>
    <w:rsid w:val="21A63602"/>
    <w:rsid w:val="21AF7EF2"/>
    <w:rsid w:val="21C30CB0"/>
    <w:rsid w:val="21D104C4"/>
    <w:rsid w:val="21E6112F"/>
    <w:rsid w:val="22017635"/>
    <w:rsid w:val="222334A6"/>
    <w:rsid w:val="229D231D"/>
    <w:rsid w:val="23325476"/>
    <w:rsid w:val="234014DA"/>
    <w:rsid w:val="235E3DED"/>
    <w:rsid w:val="23A41AA9"/>
    <w:rsid w:val="241E2177"/>
    <w:rsid w:val="2445396E"/>
    <w:rsid w:val="247D6DFF"/>
    <w:rsid w:val="24AA6C94"/>
    <w:rsid w:val="24EB4A9F"/>
    <w:rsid w:val="24F829C8"/>
    <w:rsid w:val="2557368E"/>
    <w:rsid w:val="25643BBA"/>
    <w:rsid w:val="25C909A2"/>
    <w:rsid w:val="25FE6C33"/>
    <w:rsid w:val="26203303"/>
    <w:rsid w:val="26B03760"/>
    <w:rsid w:val="2772402F"/>
    <w:rsid w:val="27DE4458"/>
    <w:rsid w:val="27E9484A"/>
    <w:rsid w:val="28043921"/>
    <w:rsid w:val="283F5126"/>
    <w:rsid w:val="288844C9"/>
    <w:rsid w:val="28920A3E"/>
    <w:rsid w:val="28CC0E2E"/>
    <w:rsid w:val="291B6C85"/>
    <w:rsid w:val="293B10D5"/>
    <w:rsid w:val="293E6CA2"/>
    <w:rsid w:val="29945580"/>
    <w:rsid w:val="29FD7462"/>
    <w:rsid w:val="2A337FFE"/>
    <w:rsid w:val="2B1E2A5D"/>
    <w:rsid w:val="2B2140BD"/>
    <w:rsid w:val="2B6B7DD7"/>
    <w:rsid w:val="2B867186"/>
    <w:rsid w:val="2B92485A"/>
    <w:rsid w:val="2B9C1C62"/>
    <w:rsid w:val="2BDB3C20"/>
    <w:rsid w:val="2BFA5278"/>
    <w:rsid w:val="2BFF27DA"/>
    <w:rsid w:val="2C312C91"/>
    <w:rsid w:val="2C4C35F9"/>
    <w:rsid w:val="2C9E0A15"/>
    <w:rsid w:val="2CA040B5"/>
    <w:rsid w:val="2D003340"/>
    <w:rsid w:val="2D232094"/>
    <w:rsid w:val="2D900EBE"/>
    <w:rsid w:val="2DB27BB8"/>
    <w:rsid w:val="2DBE0EDA"/>
    <w:rsid w:val="2DE31D62"/>
    <w:rsid w:val="2E165C6D"/>
    <w:rsid w:val="2E41718E"/>
    <w:rsid w:val="2ECA3E2D"/>
    <w:rsid w:val="2EDD678B"/>
    <w:rsid w:val="2EEC39D8"/>
    <w:rsid w:val="2EED10C4"/>
    <w:rsid w:val="2F057E2F"/>
    <w:rsid w:val="2F3321FA"/>
    <w:rsid w:val="2F544C9F"/>
    <w:rsid w:val="2F751905"/>
    <w:rsid w:val="2FFB046F"/>
    <w:rsid w:val="304B06CD"/>
    <w:rsid w:val="3052124B"/>
    <w:rsid w:val="305A25CD"/>
    <w:rsid w:val="305B2CCE"/>
    <w:rsid w:val="309E0B21"/>
    <w:rsid w:val="30AD0B0B"/>
    <w:rsid w:val="30B8216E"/>
    <w:rsid w:val="30D56E57"/>
    <w:rsid w:val="31B00187"/>
    <w:rsid w:val="31FC517A"/>
    <w:rsid w:val="326A4276"/>
    <w:rsid w:val="32D36F23"/>
    <w:rsid w:val="33091D56"/>
    <w:rsid w:val="331D184C"/>
    <w:rsid w:val="33637328"/>
    <w:rsid w:val="336A5B1D"/>
    <w:rsid w:val="338F44F8"/>
    <w:rsid w:val="339C4E66"/>
    <w:rsid w:val="33B201E6"/>
    <w:rsid w:val="33B43DDA"/>
    <w:rsid w:val="33DC1003"/>
    <w:rsid w:val="34017A8A"/>
    <w:rsid w:val="350B7DFE"/>
    <w:rsid w:val="35CD57AB"/>
    <w:rsid w:val="35ED3757"/>
    <w:rsid w:val="367A15B2"/>
    <w:rsid w:val="36B24E78"/>
    <w:rsid w:val="36EA513D"/>
    <w:rsid w:val="36F01751"/>
    <w:rsid w:val="37315AF4"/>
    <w:rsid w:val="373A0C1E"/>
    <w:rsid w:val="3768058B"/>
    <w:rsid w:val="37C64260"/>
    <w:rsid w:val="37FA7A6D"/>
    <w:rsid w:val="38496D6C"/>
    <w:rsid w:val="38806B33"/>
    <w:rsid w:val="388D1222"/>
    <w:rsid w:val="3892621E"/>
    <w:rsid w:val="38B663C8"/>
    <w:rsid w:val="38C157B9"/>
    <w:rsid w:val="38C904AC"/>
    <w:rsid w:val="38CA2129"/>
    <w:rsid w:val="38E05B90"/>
    <w:rsid w:val="39035521"/>
    <w:rsid w:val="39E633D8"/>
    <w:rsid w:val="3A1D123D"/>
    <w:rsid w:val="3A744447"/>
    <w:rsid w:val="3AA30888"/>
    <w:rsid w:val="3ADD5E57"/>
    <w:rsid w:val="3AFB3576"/>
    <w:rsid w:val="3B715FBA"/>
    <w:rsid w:val="3BC44F5A"/>
    <w:rsid w:val="3BD74CEB"/>
    <w:rsid w:val="3BED091B"/>
    <w:rsid w:val="3C531561"/>
    <w:rsid w:val="3C60699C"/>
    <w:rsid w:val="3C806563"/>
    <w:rsid w:val="3CF60458"/>
    <w:rsid w:val="3D042809"/>
    <w:rsid w:val="3E8743FE"/>
    <w:rsid w:val="3EA17748"/>
    <w:rsid w:val="3F992808"/>
    <w:rsid w:val="3FB83028"/>
    <w:rsid w:val="3FBE048B"/>
    <w:rsid w:val="3FEB6F5A"/>
    <w:rsid w:val="40602C8E"/>
    <w:rsid w:val="4067627C"/>
    <w:rsid w:val="409265EE"/>
    <w:rsid w:val="415218E2"/>
    <w:rsid w:val="41983619"/>
    <w:rsid w:val="41B67E09"/>
    <w:rsid w:val="41C9151C"/>
    <w:rsid w:val="41F221ED"/>
    <w:rsid w:val="41F82970"/>
    <w:rsid w:val="431C742A"/>
    <w:rsid w:val="43CA5267"/>
    <w:rsid w:val="440832CD"/>
    <w:rsid w:val="444F53BD"/>
    <w:rsid w:val="44737C99"/>
    <w:rsid w:val="44ED5664"/>
    <w:rsid w:val="44F22CFD"/>
    <w:rsid w:val="44F364BA"/>
    <w:rsid w:val="44F550BD"/>
    <w:rsid w:val="452242CE"/>
    <w:rsid w:val="45437BF3"/>
    <w:rsid w:val="456A6701"/>
    <w:rsid w:val="45A1630C"/>
    <w:rsid w:val="45D64208"/>
    <w:rsid w:val="45D756FD"/>
    <w:rsid w:val="45F24ED8"/>
    <w:rsid w:val="46275962"/>
    <w:rsid w:val="46DA15C8"/>
    <w:rsid w:val="46E4575A"/>
    <w:rsid w:val="473A796F"/>
    <w:rsid w:val="47726C6E"/>
    <w:rsid w:val="4789176B"/>
    <w:rsid w:val="48453A87"/>
    <w:rsid w:val="48616533"/>
    <w:rsid w:val="486C49B0"/>
    <w:rsid w:val="489610DE"/>
    <w:rsid w:val="48E73DE4"/>
    <w:rsid w:val="494476DB"/>
    <w:rsid w:val="496F29A9"/>
    <w:rsid w:val="49A454A8"/>
    <w:rsid w:val="49B22A94"/>
    <w:rsid w:val="49BC0661"/>
    <w:rsid w:val="49BF63F4"/>
    <w:rsid w:val="49C66341"/>
    <w:rsid w:val="49E55F8D"/>
    <w:rsid w:val="4A383DFB"/>
    <w:rsid w:val="4A8E3303"/>
    <w:rsid w:val="4AA743C5"/>
    <w:rsid w:val="4AD52586"/>
    <w:rsid w:val="4AF34F14"/>
    <w:rsid w:val="4B1E03E7"/>
    <w:rsid w:val="4B30329B"/>
    <w:rsid w:val="4B920494"/>
    <w:rsid w:val="4BA95F1B"/>
    <w:rsid w:val="4BD9754E"/>
    <w:rsid w:val="4BE920DE"/>
    <w:rsid w:val="4C054A64"/>
    <w:rsid w:val="4C472813"/>
    <w:rsid w:val="4C4C4730"/>
    <w:rsid w:val="4C537145"/>
    <w:rsid w:val="4C583205"/>
    <w:rsid w:val="4C6D6F48"/>
    <w:rsid w:val="4C6E642C"/>
    <w:rsid w:val="4CD644AB"/>
    <w:rsid w:val="4D1A109E"/>
    <w:rsid w:val="4D371A30"/>
    <w:rsid w:val="4D3B5C7F"/>
    <w:rsid w:val="4D8602C2"/>
    <w:rsid w:val="4DA30E74"/>
    <w:rsid w:val="4DD74EB3"/>
    <w:rsid w:val="4E0C23A2"/>
    <w:rsid w:val="4E6B1D10"/>
    <w:rsid w:val="4E922C96"/>
    <w:rsid w:val="4E934692"/>
    <w:rsid w:val="4EA053B3"/>
    <w:rsid w:val="4EC77780"/>
    <w:rsid w:val="4EF3271A"/>
    <w:rsid w:val="4F824A56"/>
    <w:rsid w:val="4F8A257E"/>
    <w:rsid w:val="4FA94B75"/>
    <w:rsid w:val="4FB02EF2"/>
    <w:rsid w:val="4FD55530"/>
    <w:rsid w:val="50000343"/>
    <w:rsid w:val="504656BE"/>
    <w:rsid w:val="50AF3052"/>
    <w:rsid w:val="50B667D3"/>
    <w:rsid w:val="511B709E"/>
    <w:rsid w:val="512E27E4"/>
    <w:rsid w:val="51922560"/>
    <w:rsid w:val="51E11D57"/>
    <w:rsid w:val="52562E9B"/>
    <w:rsid w:val="52C84ED8"/>
    <w:rsid w:val="5314255F"/>
    <w:rsid w:val="53402E60"/>
    <w:rsid w:val="535029F5"/>
    <w:rsid w:val="536F0303"/>
    <w:rsid w:val="53733096"/>
    <w:rsid w:val="53C15FC4"/>
    <w:rsid w:val="53EE716F"/>
    <w:rsid w:val="5402266C"/>
    <w:rsid w:val="542C77C3"/>
    <w:rsid w:val="543842E0"/>
    <w:rsid w:val="54803E83"/>
    <w:rsid w:val="54A67309"/>
    <w:rsid w:val="54CF6057"/>
    <w:rsid w:val="55EA433F"/>
    <w:rsid w:val="563228AA"/>
    <w:rsid w:val="563B3C13"/>
    <w:rsid w:val="567C046F"/>
    <w:rsid w:val="56BE6D1E"/>
    <w:rsid w:val="56C43C09"/>
    <w:rsid w:val="56EA18C1"/>
    <w:rsid w:val="57106FCA"/>
    <w:rsid w:val="57A23F4A"/>
    <w:rsid w:val="57A46D66"/>
    <w:rsid w:val="57B42F13"/>
    <w:rsid w:val="58070251"/>
    <w:rsid w:val="584C2108"/>
    <w:rsid w:val="5870229A"/>
    <w:rsid w:val="58827087"/>
    <w:rsid w:val="58BD5526"/>
    <w:rsid w:val="58F5454D"/>
    <w:rsid w:val="592D018B"/>
    <w:rsid w:val="599A2988"/>
    <w:rsid w:val="59CC6E29"/>
    <w:rsid w:val="5A253D2B"/>
    <w:rsid w:val="5A7B154E"/>
    <w:rsid w:val="5B7420A1"/>
    <w:rsid w:val="5B7F1DF1"/>
    <w:rsid w:val="5BCF7320"/>
    <w:rsid w:val="5BDE1EE0"/>
    <w:rsid w:val="5C292E8C"/>
    <w:rsid w:val="5C6F779B"/>
    <w:rsid w:val="5CA761D1"/>
    <w:rsid w:val="5CB807C5"/>
    <w:rsid w:val="5CD2438D"/>
    <w:rsid w:val="5CF54B1C"/>
    <w:rsid w:val="5CFF31EA"/>
    <w:rsid w:val="5D1834C1"/>
    <w:rsid w:val="5D24191A"/>
    <w:rsid w:val="5D627860"/>
    <w:rsid w:val="5D7A728A"/>
    <w:rsid w:val="5D87607F"/>
    <w:rsid w:val="5DB91881"/>
    <w:rsid w:val="5DC559D7"/>
    <w:rsid w:val="5E007347"/>
    <w:rsid w:val="5E2B4AF7"/>
    <w:rsid w:val="5E394EDC"/>
    <w:rsid w:val="5E4F64AE"/>
    <w:rsid w:val="5E6466ED"/>
    <w:rsid w:val="5E954808"/>
    <w:rsid w:val="5EB84053"/>
    <w:rsid w:val="5EC92704"/>
    <w:rsid w:val="5F4C3A48"/>
    <w:rsid w:val="60373891"/>
    <w:rsid w:val="605303A5"/>
    <w:rsid w:val="60687CFB"/>
    <w:rsid w:val="61042A88"/>
    <w:rsid w:val="613864C7"/>
    <w:rsid w:val="61614E76"/>
    <w:rsid w:val="62451DF4"/>
    <w:rsid w:val="624D53FA"/>
    <w:rsid w:val="62A019CE"/>
    <w:rsid w:val="63006F74"/>
    <w:rsid w:val="633A597E"/>
    <w:rsid w:val="63CA6D1A"/>
    <w:rsid w:val="63F024E1"/>
    <w:rsid w:val="64276A3B"/>
    <w:rsid w:val="64702433"/>
    <w:rsid w:val="6497136C"/>
    <w:rsid w:val="64B31B16"/>
    <w:rsid w:val="64C45DE1"/>
    <w:rsid w:val="64D03589"/>
    <w:rsid w:val="65420B1A"/>
    <w:rsid w:val="65817895"/>
    <w:rsid w:val="66123504"/>
    <w:rsid w:val="66B2560C"/>
    <w:rsid w:val="66C93F6D"/>
    <w:rsid w:val="671F556E"/>
    <w:rsid w:val="67E27EFB"/>
    <w:rsid w:val="67E934CF"/>
    <w:rsid w:val="686F7E78"/>
    <w:rsid w:val="69154ABB"/>
    <w:rsid w:val="6A040A94"/>
    <w:rsid w:val="6A31115D"/>
    <w:rsid w:val="6A8E3174"/>
    <w:rsid w:val="6A927A03"/>
    <w:rsid w:val="6AF503DD"/>
    <w:rsid w:val="6B3E1592"/>
    <w:rsid w:val="6B603B25"/>
    <w:rsid w:val="6B7457A6"/>
    <w:rsid w:val="6BE67C7C"/>
    <w:rsid w:val="6C863145"/>
    <w:rsid w:val="6D0244F4"/>
    <w:rsid w:val="6D843BF1"/>
    <w:rsid w:val="6DA93E2C"/>
    <w:rsid w:val="6E2D0DB9"/>
    <w:rsid w:val="6E477DFD"/>
    <w:rsid w:val="6EB44962"/>
    <w:rsid w:val="6F0A08FB"/>
    <w:rsid w:val="6F7A7103"/>
    <w:rsid w:val="6FA26D85"/>
    <w:rsid w:val="6FB70357"/>
    <w:rsid w:val="6FDC61FC"/>
    <w:rsid w:val="7009478C"/>
    <w:rsid w:val="7023779A"/>
    <w:rsid w:val="70813A4D"/>
    <w:rsid w:val="70A703CB"/>
    <w:rsid w:val="70E33C39"/>
    <w:rsid w:val="710A57AD"/>
    <w:rsid w:val="713E2810"/>
    <w:rsid w:val="71CB3CB6"/>
    <w:rsid w:val="725718DB"/>
    <w:rsid w:val="72624905"/>
    <w:rsid w:val="728C28C5"/>
    <w:rsid w:val="72AC4C7F"/>
    <w:rsid w:val="72C5133A"/>
    <w:rsid w:val="7371347D"/>
    <w:rsid w:val="73F9783D"/>
    <w:rsid w:val="742B7ECE"/>
    <w:rsid w:val="742C30C1"/>
    <w:rsid w:val="74547A54"/>
    <w:rsid w:val="74591FEB"/>
    <w:rsid w:val="745E7518"/>
    <w:rsid w:val="748B4BCA"/>
    <w:rsid w:val="74CF1C9F"/>
    <w:rsid w:val="74E00EDF"/>
    <w:rsid w:val="757C1E26"/>
    <w:rsid w:val="759C08E3"/>
    <w:rsid w:val="75CF430F"/>
    <w:rsid w:val="75EF25F8"/>
    <w:rsid w:val="75F2239C"/>
    <w:rsid w:val="76373B19"/>
    <w:rsid w:val="76597BBA"/>
    <w:rsid w:val="76650B0D"/>
    <w:rsid w:val="76BD44A5"/>
    <w:rsid w:val="770152F0"/>
    <w:rsid w:val="77456248"/>
    <w:rsid w:val="777338E8"/>
    <w:rsid w:val="77CA69D9"/>
    <w:rsid w:val="77FA652A"/>
    <w:rsid w:val="78283BA0"/>
    <w:rsid w:val="788E6CCB"/>
    <w:rsid w:val="78CF754F"/>
    <w:rsid w:val="78EC4EA5"/>
    <w:rsid w:val="78FB362F"/>
    <w:rsid w:val="7904730A"/>
    <w:rsid w:val="790D55A6"/>
    <w:rsid w:val="79312F28"/>
    <w:rsid w:val="7987746E"/>
    <w:rsid w:val="79BF22E2"/>
    <w:rsid w:val="79C45B4A"/>
    <w:rsid w:val="79FC2B89"/>
    <w:rsid w:val="7A094544"/>
    <w:rsid w:val="7A2E1215"/>
    <w:rsid w:val="7AF81F4F"/>
    <w:rsid w:val="7B0004F2"/>
    <w:rsid w:val="7B1C3E77"/>
    <w:rsid w:val="7B8C08E9"/>
    <w:rsid w:val="7BA51879"/>
    <w:rsid w:val="7D1961AD"/>
    <w:rsid w:val="7D285296"/>
    <w:rsid w:val="7D3812BF"/>
    <w:rsid w:val="7D3927A9"/>
    <w:rsid w:val="7D553A71"/>
    <w:rsid w:val="7DA67B57"/>
    <w:rsid w:val="7E0D1B42"/>
    <w:rsid w:val="7E464D80"/>
    <w:rsid w:val="7E912651"/>
    <w:rsid w:val="7EB51837"/>
    <w:rsid w:val="7EDE320A"/>
    <w:rsid w:val="7F13473F"/>
    <w:rsid w:val="7F264BB1"/>
    <w:rsid w:val="7F5D1721"/>
    <w:rsid w:val="7FA507A0"/>
    <w:rsid w:val="7FD45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4"/>
    <w:next w:val="1"/>
    <w:link w:val="68"/>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1"/>
    <w:link w:val="69"/>
    <w:qFormat/>
    <w:uiPriority w:val="0"/>
    <w:pPr>
      <w:spacing w:before="120" w:after="120" w:line="360" w:lineRule="auto"/>
      <w:outlineLvl w:val="1"/>
    </w:pPr>
    <w:rPr>
      <w:rFonts w:ascii="Times New Roman" w:hAnsi="Times New Roman"/>
      <w:b/>
      <w:sz w:val="24"/>
    </w:rPr>
  </w:style>
  <w:style w:type="paragraph" w:styleId="6">
    <w:name w:val="heading 3"/>
    <w:basedOn w:val="1"/>
    <w:next w:val="1"/>
    <w:link w:val="70"/>
    <w:qFormat/>
    <w:uiPriority w:val="0"/>
    <w:pPr>
      <w:spacing w:before="120" w:after="120" w:line="360" w:lineRule="auto"/>
      <w:outlineLvl w:val="2"/>
    </w:pPr>
    <w:rPr>
      <w:rFonts w:ascii="Times New Roman" w:hAnsi="Times New Roman"/>
      <w:b/>
      <w:sz w:val="24"/>
    </w:rPr>
  </w:style>
  <w:style w:type="paragraph" w:styleId="7">
    <w:name w:val="heading 4"/>
    <w:next w:val="1"/>
    <w:link w:val="71"/>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72"/>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3"/>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4"/>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5"/>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6"/>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qFormat/>
    <w:uiPriority w:val="99"/>
    <w:rPr>
      <w:rFonts w:ascii="楷体_GB2312" w:hAnsi="Arial" w:eastAsia="楷体_GB2312"/>
      <w:sz w:val="28"/>
      <w:szCs w:val="20"/>
    </w:rPr>
  </w:style>
  <w:style w:type="paragraph" w:styleId="4">
    <w:name w:val="List Paragraph"/>
    <w:basedOn w:val="1"/>
    <w:link w:val="278"/>
    <w:qFormat/>
    <w:uiPriority w:val="99"/>
    <w:pPr>
      <w:ind w:firstLine="420" w:firstLineChars="200"/>
    </w:p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7"/>
    <w:unhideWhenUsed/>
    <w:qFormat/>
    <w:uiPriority w:val="99"/>
    <w:pPr>
      <w:jc w:val="left"/>
    </w:pPr>
  </w:style>
  <w:style w:type="paragraph" w:styleId="18">
    <w:name w:val="Body Text"/>
    <w:basedOn w:val="1"/>
    <w:link w:val="78"/>
    <w:qFormat/>
    <w:uiPriority w:val="99"/>
    <w:pPr>
      <w:spacing w:after="120" w:line="300" w:lineRule="auto"/>
      <w:ind w:firstLine="420" w:firstLineChars="200"/>
    </w:pPr>
    <w:rPr>
      <w:rFonts w:ascii="Times New Roman" w:hAnsi="Times New Roman"/>
      <w:sz w:val="24"/>
    </w:rPr>
  </w:style>
  <w:style w:type="paragraph" w:styleId="19">
    <w:name w:val="Body Text Indent"/>
    <w:basedOn w:val="1"/>
    <w:next w:val="1"/>
    <w:qFormat/>
    <w:uiPriority w:val="0"/>
    <w:pPr>
      <w:spacing w:line="480" w:lineRule="exact"/>
      <w:ind w:firstLine="480" w:firstLineChars="200"/>
    </w:pPr>
    <w:rPr>
      <w:rFonts w:ascii="宋体" w:hAnsi="宋体"/>
      <w:sz w:val="24"/>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9"/>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80"/>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81"/>
    <w:unhideWhenUsed/>
    <w:qFormat/>
    <w:uiPriority w:val="99"/>
    <w:rPr>
      <w:sz w:val="20"/>
    </w:rPr>
  </w:style>
  <w:style w:type="paragraph" w:styleId="28">
    <w:name w:val="Balloon Text"/>
    <w:basedOn w:val="1"/>
    <w:link w:val="82"/>
    <w:unhideWhenUsed/>
    <w:qFormat/>
    <w:uiPriority w:val="99"/>
    <w:rPr>
      <w:sz w:val="18"/>
      <w:szCs w:val="18"/>
    </w:rPr>
  </w:style>
  <w:style w:type="paragraph" w:styleId="29">
    <w:name w:val="footer"/>
    <w:basedOn w:val="1"/>
    <w:link w:val="83"/>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4"/>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5"/>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6"/>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HTML Preformatted"/>
    <w:basedOn w:val="1"/>
    <w:link w:val="8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next w:val="1"/>
    <w:link w:val="88"/>
    <w:qFormat/>
    <w:uiPriority w:val="0"/>
    <w:pPr>
      <w:spacing w:line="360" w:lineRule="auto"/>
      <w:jc w:val="center"/>
    </w:pPr>
    <w:rPr>
      <w:rFonts w:ascii="Times New Roman" w:hAnsi="Times New Roman" w:eastAsia="黑体" w:cs="Times New Roman"/>
      <w:sz w:val="44"/>
      <w:lang w:val="en-US" w:eastAsia="zh-CN" w:bidi="ar-SA"/>
    </w:rPr>
  </w:style>
  <w:style w:type="paragraph" w:styleId="43">
    <w:name w:val="annotation subject"/>
    <w:basedOn w:val="17"/>
    <w:next w:val="17"/>
    <w:link w:val="89"/>
    <w:unhideWhenUsed/>
    <w:qFormat/>
    <w:uiPriority w:val="99"/>
    <w:rPr>
      <w:b/>
      <w:bCs/>
    </w:rPr>
  </w:style>
  <w:style w:type="paragraph" w:styleId="44">
    <w:name w:val="Body Text First Indent"/>
    <w:basedOn w:val="18"/>
    <w:link w:val="277"/>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5">
    <w:name w:val="Body Text First Indent 2"/>
    <w:basedOn w:val="19"/>
    <w:next w:val="1"/>
    <w:qFormat/>
    <w:uiPriority w:val="0"/>
    <w:pPr>
      <w:spacing w:after="120" w:line="240" w:lineRule="auto"/>
      <w:ind w:left="420" w:leftChars="200" w:firstLine="200"/>
    </w:pPr>
    <w:rPr>
      <w:sz w:val="21"/>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22"/>
    <w:rPr>
      <w:b/>
      <w:bCs/>
    </w:rPr>
  </w:style>
  <w:style w:type="character" w:styleId="50">
    <w:name w:val="endnote reference"/>
    <w:unhideWhenUsed/>
    <w:qFormat/>
    <w:uiPriority w:val="99"/>
    <w:rPr>
      <w:vertAlign w:val="superscript"/>
    </w:rPr>
  </w:style>
  <w:style w:type="character" w:styleId="51">
    <w:name w:val="FollowedHyperlink"/>
    <w:qFormat/>
    <w:uiPriority w:val="0"/>
    <w:rPr>
      <w:color w:val="800080"/>
      <w:u w:val="single"/>
    </w:rPr>
  </w:style>
  <w:style w:type="character" w:styleId="52">
    <w:name w:val="Emphasis"/>
    <w:qFormat/>
    <w:uiPriority w:val="20"/>
    <w:rPr>
      <w:i/>
    </w:rPr>
  </w:style>
  <w:style w:type="character" w:styleId="53">
    <w:name w:val="HTML Typewriter"/>
    <w:basedOn w:val="48"/>
    <w:semiHidden/>
    <w:unhideWhenUsed/>
    <w:qFormat/>
    <w:uiPriority w:val="99"/>
    <w:rPr>
      <w:rFonts w:hint="default" w:ascii="monospace" w:hAnsi="monospace" w:eastAsia="monospace" w:cs="monospace"/>
      <w:sz w:val="20"/>
    </w:rPr>
  </w:style>
  <w:style w:type="character" w:styleId="54">
    <w:name w:val="HTML Acronym"/>
    <w:basedOn w:val="48"/>
    <w:semiHidden/>
    <w:unhideWhenUsed/>
    <w:qFormat/>
    <w:uiPriority w:val="99"/>
  </w:style>
  <w:style w:type="character" w:styleId="55">
    <w:name w:val="Hyperlink"/>
    <w:unhideWhenUsed/>
    <w:qFormat/>
    <w:uiPriority w:val="99"/>
    <w:rPr>
      <w:color w:val="0563C1"/>
      <w:u w:val="single"/>
    </w:rPr>
  </w:style>
  <w:style w:type="character" w:styleId="56">
    <w:name w:val="HTML Code"/>
    <w:basedOn w:val="48"/>
    <w:semiHidden/>
    <w:unhideWhenUsed/>
    <w:qFormat/>
    <w:uiPriority w:val="99"/>
    <w:rPr>
      <w:rFonts w:hint="default" w:ascii="monospace" w:hAnsi="monospace" w:eastAsia="monospace" w:cs="monospace"/>
      <w:sz w:val="20"/>
    </w:rPr>
  </w:style>
  <w:style w:type="character" w:styleId="57">
    <w:name w:val="annotation reference"/>
    <w:basedOn w:val="48"/>
    <w:unhideWhenUsed/>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8"/>
    <w:semiHidden/>
    <w:unhideWhenUsed/>
    <w:qFormat/>
    <w:uiPriority w:val="99"/>
    <w:rPr>
      <w:rFonts w:hint="default" w:ascii="monospace" w:hAnsi="monospace" w:eastAsia="monospace" w:cs="monospace"/>
      <w:sz w:val="20"/>
    </w:rPr>
  </w:style>
  <w:style w:type="character" w:styleId="60">
    <w:name w:val="HTML Sample"/>
    <w:basedOn w:val="48"/>
    <w:semiHidden/>
    <w:unhideWhenUsed/>
    <w:qFormat/>
    <w:uiPriority w:val="99"/>
    <w:rPr>
      <w:rFonts w:ascii="monospace" w:hAnsi="monospace" w:eastAsia="monospace" w:cs="monospace"/>
    </w:rPr>
  </w:style>
  <w:style w:type="paragraph" w:customStyle="1" w:styleId="61">
    <w:name w:val="BodyText1I2"/>
    <w:basedOn w:val="62"/>
    <w:next w:val="1"/>
    <w:autoRedefine/>
    <w:qFormat/>
    <w:uiPriority w:val="0"/>
    <w:pPr>
      <w:spacing w:line="360" w:lineRule="auto"/>
      <w:ind w:firstLine="0" w:firstLineChars="0"/>
      <w:jc w:val="center"/>
    </w:pPr>
    <w:rPr>
      <w:rFonts w:ascii="Calibri" w:hAnsi="Calibri"/>
      <w:b/>
      <w:bCs/>
    </w:rPr>
  </w:style>
  <w:style w:type="paragraph" w:customStyle="1" w:styleId="62">
    <w:name w:val="BodyTextIndent"/>
    <w:basedOn w:val="1"/>
    <w:next w:val="63"/>
    <w:autoRedefine/>
    <w:qFormat/>
    <w:uiPriority w:val="0"/>
    <w:pPr>
      <w:snapToGrid w:val="0"/>
      <w:spacing w:line="440" w:lineRule="exact"/>
      <w:ind w:firstLine="403" w:firstLineChars="192"/>
      <w:textAlignment w:val="baseline"/>
    </w:pPr>
    <w:rPr>
      <w:rFonts w:ascii="宋体" w:hAnsi="宋体"/>
    </w:rPr>
  </w:style>
  <w:style w:type="paragraph" w:customStyle="1" w:styleId="63">
    <w:name w:val="EnvelopeReturn"/>
    <w:basedOn w:val="1"/>
    <w:autoRedefine/>
    <w:qFormat/>
    <w:uiPriority w:val="0"/>
    <w:pPr>
      <w:snapToGrid w:val="0"/>
      <w:textAlignment w:val="baseline"/>
    </w:pPr>
    <w:rPr>
      <w:rFonts w:ascii="Arial" w:hAnsi="Arial"/>
    </w:rPr>
  </w:style>
  <w:style w:type="paragraph" w:customStyle="1" w:styleId="64">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5">
    <w:name w:val="一级条标题"/>
    <w:basedOn w:val="66"/>
    <w:next w:val="6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6">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7">
    <w:name w:val="段"/>
    <w:basedOn w:val="1"/>
    <w:next w:val="1"/>
    <w:qFormat/>
    <w:uiPriority w:val="0"/>
    <w:pPr>
      <w:widowControl/>
      <w:ind w:firstLine="200"/>
    </w:pPr>
    <w:rPr>
      <w:rFonts w:hint="eastAsia" w:ascii="宋体"/>
      <w:szCs w:val="20"/>
    </w:rPr>
  </w:style>
  <w:style w:type="character" w:customStyle="1" w:styleId="68">
    <w:name w:val="标题 1 字符"/>
    <w:link w:val="3"/>
    <w:qFormat/>
    <w:uiPriority w:val="99"/>
    <w:rPr>
      <w:rFonts w:ascii="宋体" w:hAnsi="宋体" w:eastAsia="宋体" w:cs="Times New Roman"/>
      <w:b/>
      <w:bCs/>
      <w:sz w:val="14"/>
      <w:szCs w:val="14"/>
    </w:rPr>
  </w:style>
  <w:style w:type="character" w:customStyle="1" w:styleId="69">
    <w:name w:val="标题 2 字符"/>
    <w:link w:val="5"/>
    <w:qFormat/>
    <w:uiPriority w:val="0"/>
    <w:rPr>
      <w:rFonts w:ascii="Arial" w:hAnsi="Arial" w:eastAsia="黑体" w:cs="Arial"/>
      <w:b/>
      <w:bCs/>
      <w:sz w:val="32"/>
      <w:szCs w:val="32"/>
    </w:rPr>
  </w:style>
  <w:style w:type="character" w:customStyle="1" w:styleId="70">
    <w:name w:val="标题 3 字符"/>
    <w:link w:val="6"/>
    <w:qFormat/>
    <w:uiPriority w:val="0"/>
    <w:rPr>
      <w:rFonts w:ascii="Times New Roman" w:hAnsi="Times New Roman" w:eastAsia="宋体" w:cs="Times New Roman"/>
      <w:b/>
      <w:bCs/>
      <w:sz w:val="32"/>
      <w:szCs w:val="32"/>
    </w:rPr>
  </w:style>
  <w:style w:type="character" w:customStyle="1" w:styleId="71">
    <w:name w:val="标题 4 字符"/>
    <w:link w:val="7"/>
    <w:qFormat/>
    <w:uiPriority w:val="9"/>
    <w:rPr>
      <w:rFonts w:ascii="Calibri Light" w:hAnsi="Calibri Light" w:eastAsia="黑体" w:cs="Times New Roman"/>
      <w:b/>
      <w:bCs/>
      <w:sz w:val="28"/>
      <w:szCs w:val="28"/>
    </w:rPr>
  </w:style>
  <w:style w:type="character" w:customStyle="1" w:styleId="72">
    <w:name w:val="标题 5 字符"/>
    <w:link w:val="8"/>
    <w:qFormat/>
    <w:uiPriority w:val="9"/>
    <w:rPr>
      <w:rFonts w:ascii="Arial" w:hAnsi="Arial" w:eastAsia="Arial" w:cs="Arial"/>
      <w:b/>
      <w:bCs/>
      <w:sz w:val="24"/>
      <w:szCs w:val="24"/>
    </w:rPr>
  </w:style>
  <w:style w:type="character" w:customStyle="1" w:styleId="73">
    <w:name w:val="标题 6 字符"/>
    <w:link w:val="9"/>
    <w:qFormat/>
    <w:uiPriority w:val="9"/>
    <w:rPr>
      <w:rFonts w:ascii="Arial" w:hAnsi="Arial" w:eastAsia="Arial" w:cs="Arial"/>
      <w:b/>
      <w:bCs/>
      <w:sz w:val="22"/>
      <w:szCs w:val="22"/>
    </w:rPr>
  </w:style>
  <w:style w:type="character" w:customStyle="1" w:styleId="74">
    <w:name w:val="标题 7 字符"/>
    <w:link w:val="10"/>
    <w:qFormat/>
    <w:uiPriority w:val="9"/>
    <w:rPr>
      <w:rFonts w:ascii="Arial" w:hAnsi="Arial" w:eastAsia="Arial" w:cs="Arial"/>
      <w:b/>
      <w:bCs/>
      <w:i/>
      <w:iCs/>
      <w:sz w:val="22"/>
      <w:szCs w:val="22"/>
    </w:rPr>
  </w:style>
  <w:style w:type="character" w:customStyle="1" w:styleId="75">
    <w:name w:val="标题 8 字符"/>
    <w:link w:val="11"/>
    <w:qFormat/>
    <w:uiPriority w:val="9"/>
    <w:rPr>
      <w:rFonts w:ascii="Arial" w:hAnsi="Arial" w:eastAsia="Arial" w:cs="Arial"/>
      <w:i/>
      <w:iCs/>
      <w:sz w:val="22"/>
      <w:szCs w:val="22"/>
    </w:rPr>
  </w:style>
  <w:style w:type="character" w:customStyle="1" w:styleId="76">
    <w:name w:val="标题 9 字符"/>
    <w:link w:val="12"/>
    <w:qFormat/>
    <w:uiPriority w:val="9"/>
    <w:rPr>
      <w:rFonts w:ascii="Arial" w:hAnsi="Arial" w:eastAsia="Arial" w:cs="Arial"/>
      <w:i/>
      <w:iCs/>
      <w:sz w:val="21"/>
      <w:szCs w:val="21"/>
    </w:rPr>
  </w:style>
  <w:style w:type="character" w:customStyle="1" w:styleId="77">
    <w:name w:val="批注文字 字符"/>
    <w:link w:val="17"/>
    <w:qFormat/>
    <w:uiPriority w:val="99"/>
    <w:rPr>
      <w:rFonts w:ascii="Calibri" w:hAnsi="Calibri" w:eastAsia="宋体" w:cs="Times New Roman"/>
      <w:sz w:val="21"/>
      <w:szCs w:val="22"/>
    </w:rPr>
  </w:style>
  <w:style w:type="character" w:customStyle="1" w:styleId="78">
    <w:name w:val="正文文本 字符"/>
    <w:link w:val="18"/>
    <w:qFormat/>
    <w:uiPriority w:val="99"/>
    <w:rPr>
      <w:rFonts w:ascii="Times New Roman" w:hAnsi="Times New Roman" w:eastAsia="宋体" w:cs="Times New Roman"/>
      <w:sz w:val="24"/>
      <w:szCs w:val="24"/>
    </w:rPr>
  </w:style>
  <w:style w:type="character" w:customStyle="1" w:styleId="79">
    <w:name w:val="纯文本 字符"/>
    <w:link w:val="23"/>
    <w:qFormat/>
    <w:uiPriority w:val="0"/>
    <w:rPr>
      <w:rFonts w:ascii="宋体" w:hAnsi="Courier New"/>
      <w:sz w:val="21"/>
      <w:szCs w:val="22"/>
    </w:rPr>
  </w:style>
  <w:style w:type="character" w:customStyle="1" w:styleId="80">
    <w:name w:val="日期 字符"/>
    <w:link w:val="25"/>
    <w:qFormat/>
    <w:uiPriority w:val="0"/>
    <w:rPr>
      <w:rFonts w:ascii="Times New Roman" w:hAnsi="Times New Roman" w:eastAsia="宋体" w:cs="Times New Roman"/>
      <w:sz w:val="21"/>
      <w:szCs w:val="24"/>
    </w:rPr>
  </w:style>
  <w:style w:type="character" w:customStyle="1" w:styleId="81">
    <w:name w:val="尾注文本 字符"/>
    <w:link w:val="27"/>
    <w:qFormat/>
    <w:uiPriority w:val="99"/>
    <w:rPr>
      <w:sz w:val="20"/>
    </w:rPr>
  </w:style>
  <w:style w:type="character" w:customStyle="1" w:styleId="82">
    <w:name w:val="批注框文本 字符"/>
    <w:link w:val="28"/>
    <w:semiHidden/>
    <w:qFormat/>
    <w:uiPriority w:val="99"/>
    <w:rPr>
      <w:sz w:val="18"/>
      <w:szCs w:val="18"/>
    </w:rPr>
  </w:style>
  <w:style w:type="character" w:customStyle="1" w:styleId="83">
    <w:name w:val="页脚 字符"/>
    <w:link w:val="29"/>
    <w:qFormat/>
    <w:uiPriority w:val="99"/>
    <w:rPr>
      <w:sz w:val="18"/>
      <w:szCs w:val="18"/>
    </w:rPr>
  </w:style>
  <w:style w:type="character" w:customStyle="1" w:styleId="84">
    <w:name w:val="页眉 字符"/>
    <w:link w:val="31"/>
    <w:qFormat/>
    <w:uiPriority w:val="99"/>
    <w:rPr>
      <w:sz w:val="18"/>
      <w:szCs w:val="18"/>
    </w:rPr>
  </w:style>
  <w:style w:type="character" w:customStyle="1" w:styleId="85">
    <w:name w:val="副标题 字符"/>
    <w:link w:val="34"/>
    <w:qFormat/>
    <w:uiPriority w:val="11"/>
    <w:rPr>
      <w:sz w:val="24"/>
      <w:szCs w:val="24"/>
    </w:rPr>
  </w:style>
  <w:style w:type="character" w:customStyle="1" w:styleId="86">
    <w:name w:val="脚注文本 字符"/>
    <w:link w:val="35"/>
    <w:qFormat/>
    <w:uiPriority w:val="99"/>
    <w:rPr>
      <w:sz w:val="18"/>
    </w:rPr>
  </w:style>
  <w:style w:type="character" w:customStyle="1" w:styleId="87">
    <w:name w:val="HTML 预设格式 字符"/>
    <w:link w:val="40"/>
    <w:qFormat/>
    <w:uiPriority w:val="99"/>
    <w:rPr>
      <w:rFonts w:ascii="Arial" w:hAnsi="Arial" w:eastAsia="宋体" w:cs="Times New Roman"/>
      <w:sz w:val="11"/>
      <w:szCs w:val="11"/>
    </w:rPr>
  </w:style>
  <w:style w:type="character" w:customStyle="1" w:styleId="88">
    <w:name w:val="标题 字符"/>
    <w:link w:val="42"/>
    <w:qFormat/>
    <w:uiPriority w:val="0"/>
    <w:rPr>
      <w:rFonts w:ascii="Cambria" w:hAnsi="Cambria" w:eastAsia="黑体" w:cs="Times New Roman"/>
      <w:b/>
      <w:bCs/>
      <w:sz w:val="52"/>
      <w:szCs w:val="32"/>
    </w:rPr>
  </w:style>
  <w:style w:type="character" w:customStyle="1" w:styleId="89">
    <w:name w:val="批注主题 字符"/>
    <w:link w:val="43"/>
    <w:semiHidden/>
    <w:qFormat/>
    <w:uiPriority w:val="99"/>
    <w:rPr>
      <w:rFonts w:ascii="Calibri" w:hAnsi="Calibri" w:eastAsia="宋体" w:cs="Times New Roman"/>
      <w:b/>
      <w:bCs/>
      <w:sz w:val="21"/>
      <w:szCs w:val="22"/>
    </w:rPr>
  </w:style>
  <w:style w:type="paragraph" w:customStyle="1" w:styleId="90">
    <w:name w:val="正文（缩进）"/>
    <w:basedOn w:val="1"/>
    <w:next w:val="91"/>
    <w:qFormat/>
    <w:uiPriority w:val="0"/>
    <w:pPr>
      <w:spacing w:beforeLines="50" w:afterLines="50" w:line="360" w:lineRule="auto"/>
      <w:ind w:firstLine="480" w:firstLineChars="200"/>
    </w:pPr>
    <w:rPr>
      <w:sz w:val="24"/>
      <w:szCs w:val="24"/>
    </w:rPr>
  </w:style>
  <w:style w:type="paragraph" w:customStyle="1" w:styleId="91">
    <w:name w:val="Char Char Char Char Char Char Char Char Char"/>
    <w:basedOn w:val="1"/>
    <w:next w:val="92"/>
    <w:qFormat/>
    <w:uiPriority w:val="99"/>
    <w:pPr>
      <w:ind w:left="360" w:firstLine="5784"/>
    </w:pPr>
  </w:style>
  <w:style w:type="paragraph" w:customStyle="1" w:styleId="92">
    <w:name w:val="正文文本 21"/>
    <w:basedOn w:val="1"/>
    <w:next w:val="93"/>
    <w:qFormat/>
    <w:uiPriority w:val="99"/>
    <w:pPr>
      <w:widowControl/>
      <w:ind w:left="720" w:firstLine="5680"/>
    </w:pPr>
  </w:style>
  <w:style w:type="paragraph" w:customStyle="1" w:styleId="93">
    <w:name w:val="默认段落字体 Para Char Char Char Char Char Char Char"/>
    <w:basedOn w:val="1"/>
    <w:next w:val="94"/>
    <w:qFormat/>
    <w:uiPriority w:val="99"/>
    <w:pPr>
      <w:ind w:firstLine="200" w:firstLineChars="200"/>
    </w:pPr>
    <w:rPr>
      <w:rFonts w:cs="Arial"/>
    </w:rPr>
  </w:style>
  <w:style w:type="paragraph" w:customStyle="1" w:styleId="94">
    <w:name w:val="样式 首行缩进:  2 字符"/>
    <w:basedOn w:val="1"/>
    <w:next w:val="95"/>
    <w:qFormat/>
    <w:uiPriority w:val="99"/>
    <w:pPr>
      <w:spacing w:line="360" w:lineRule="auto"/>
      <w:ind w:left="480" w:firstLine="5856"/>
    </w:pPr>
  </w:style>
  <w:style w:type="paragraph" w:customStyle="1" w:styleId="95">
    <w:name w:val="样式 段后: 0.25 行"/>
    <w:basedOn w:val="1"/>
    <w:next w:val="96"/>
    <w:qFormat/>
    <w:uiPriority w:val="99"/>
    <w:pPr>
      <w:widowControl/>
      <w:spacing w:line="300" w:lineRule="auto"/>
      <w:ind w:left="420" w:firstLine="5796"/>
    </w:pPr>
  </w:style>
  <w:style w:type="paragraph" w:customStyle="1" w:styleId="96">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7">
    <w:name w:val="Heading 1 Char"/>
    <w:qFormat/>
    <w:uiPriority w:val="9"/>
    <w:rPr>
      <w:rFonts w:ascii="Arial" w:hAnsi="Arial" w:eastAsia="Arial" w:cs="Arial"/>
      <w:sz w:val="40"/>
      <w:szCs w:val="40"/>
    </w:rPr>
  </w:style>
  <w:style w:type="character" w:customStyle="1" w:styleId="98">
    <w:name w:val="Heading 2 Char"/>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Title Char"/>
    <w:qFormat/>
    <w:uiPriority w:val="10"/>
    <w:rPr>
      <w:sz w:val="48"/>
      <w:szCs w:val="48"/>
    </w:rPr>
  </w:style>
  <w:style w:type="paragraph" w:customStyle="1" w:styleId="102">
    <w:name w:val="引用1"/>
    <w:basedOn w:val="1"/>
    <w:next w:val="1"/>
    <w:link w:val="103"/>
    <w:qFormat/>
    <w:uiPriority w:val="29"/>
    <w:pPr>
      <w:ind w:left="720" w:right="720"/>
    </w:pPr>
    <w:rPr>
      <w:i/>
    </w:rPr>
  </w:style>
  <w:style w:type="character" w:customStyle="1" w:styleId="103">
    <w:name w:val="引用 Char"/>
    <w:link w:val="102"/>
    <w:qFormat/>
    <w:uiPriority w:val="29"/>
    <w:rPr>
      <w:i/>
    </w:rPr>
  </w:style>
  <w:style w:type="paragraph" w:customStyle="1" w:styleId="104">
    <w:name w:val="明显引用1"/>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qFormat/>
    <w:uiPriority w:val="99"/>
  </w:style>
  <w:style w:type="character" w:customStyle="1" w:styleId="107">
    <w:name w:val="Footer Char"/>
    <w:qFormat/>
    <w:uiPriority w:val="99"/>
  </w:style>
  <w:style w:type="character" w:customStyle="1" w:styleId="108">
    <w:name w:val="Caption Char"/>
    <w:qFormat/>
    <w:uiPriority w:val="99"/>
  </w:style>
  <w:style w:type="table" w:customStyle="1" w:styleId="109">
    <w:name w:val="Table Grid Light"/>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0">
    <w:name w:val="无格式表格 1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1">
    <w:name w:val="无格式表格 21"/>
    <w:basedOn w:val="4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2">
    <w:name w:val="无格式表格 31"/>
    <w:basedOn w:val="46"/>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51"/>
    <w:basedOn w:val="46"/>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网格表 1 浅色1"/>
    <w:basedOn w:val="4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6">
    <w:name w:val="Grid Table 1 Light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7">
    <w:name w:val="Grid Table 1 Light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8">
    <w:name w:val="Grid Table 1 Light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9">
    <w:name w:val="Grid Table 1 Light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0">
    <w:name w:val="Grid Table 1 Light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1">
    <w:name w:val="Grid Table 1 Light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2">
    <w:name w:val="网格表 2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3">
    <w:name w:val="Grid Table 2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4">
    <w:name w:val="Grid Table 2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5">
    <w:name w:val="Grid Table 2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6">
    <w:name w:val="Grid Table 2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7">
    <w:name w:val="Grid Table 2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2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9">
    <w:name w:val="网格表 3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0">
    <w:name w:val="Grid Table 3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1">
    <w:name w:val="Grid Table 3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2">
    <w:name w:val="Grid Table 3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3">
    <w:name w:val="Grid Table 3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4">
    <w:name w:val="Grid Table 3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5">
    <w:name w:val="Grid Table 3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6">
    <w:name w:val="网格表 41"/>
    <w:basedOn w:val="4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7">
    <w:name w:val="Grid Table 4 - Accent 1"/>
    <w:basedOn w:val="46"/>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8">
    <w:name w:val="Grid Table 4 - Accent 2"/>
    <w:basedOn w:val="46"/>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9">
    <w:name w:val="Grid Table 4 - Accent 3"/>
    <w:basedOn w:val="46"/>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0">
    <w:name w:val="Grid Table 4 - Accent 4"/>
    <w:basedOn w:val="46"/>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1">
    <w:name w:val="Grid Table 4 - Accent 5"/>
    <w:basedOn w:val="46"/>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2">
    <w:name w:val="Grid Table 4 - Accent 6"/>
    <w:basedOn w:val="46"/>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3">
    <w:name w:val="网格表 5 深色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4">
    <w:name w:val="Grid Table 5 Dark- Accent 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5">
    <w:name w:val="Grid Table 5 Dark - Accent 2"/>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6">
    <w:name w:val="Grid Table 5 Dark - Accent 3"/>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7">
    <w:name w:val="Grid Table 5 Dark- Accent 4"/>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8">
    <w:name w:val="Grid Table 5 Dark - Accent 5"/>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9">
    <w:name w:val="Grid Table 5 Dark - Accent 6"/>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0">
    <w:name w:val="网格表 6 彩色1"/>
    <w:basedOn w:val="4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1">
    <w:name w:val="Grid Table 6 Colorful - Accent 1"/>
    <w:basedOn w:val="46"/>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2">
    <w:name w:val="Grid Table 6 Colorful - Accent 2"/>
    <w:basedOn w:val="46"/>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3">
    <w:name w:val="Grid Table 6 Colorful - Accent 3"/>
    <w:basedOn w:val="46"/>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4">
    <w:name w:val="Grid Table 6 Colorful - Accent 4"/>
    <w:basedOn w:val="46"/>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5">
    <w:name w:val="Grid Table 6 Colorful - Accent 5"/>
    <w:basedOn w:val="46"/>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6">
    <w:name w:val="Grid Table 6 Colorful - Accent 6"/>
    <w:basedOn w:val="46"/>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7">
    <w:name w:val="网格表 7 彩色1"/>
    <w:basedOn w:val="4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8">
    <w:name w:val="Grid Table 7 Colorful - Accent 1"/>
    <w:basedOn w:val="46"/>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9">
    <w:name w:val="Grid Table 7 Colorful - Accent 2"/>
    <w:basedOn w:val="46"/>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0">
    <w:name w:val="Grid Table 7 Colorful - Accent 3"/>
    <w:basedOn w:val="46"/>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1">
    <w:name w:val="Grid Table 7 Colorful - Accent 4"/>
    <w:basedOn w:val="46"/>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2">
    <w:name w:val="Grid Table 7 Colorful - Accent 5"/>
    <w:basedOn w:val="46"/>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3">
    <w:name w:val="Grid Table 7 Colorful - Accent 6"/>
    <w:basedOn w:val="46"/>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4">
    <w:name w:val="清单表 1 浅色1"/>
    <w:basedOn w:val="46"/>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5">
    <w:name w:val="List Table 1 Light - Accent 1"/>
    <w:basedOn w:val="46"/>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6">
    <w:name w:val="List Table 1 Light - Accent 2"/>
    <w:basedOn w:val="46"/>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7">
    <w:name w:val="List Table 1 Light - Accent 3"/>
    <w:basedOn w:val="46"/>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8">
    <w:name w:val="List Table 1 Light - Accent 4"/>
    <w:basedOn w:val="46"/>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9">
    <w:name w:val="List Table 1 Light - Accent 5"/>
    <w:basedOn w:val="46"/>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0">
    <w:name w:val="List Table 1 Light - Accent 6"/>
    <w:basedOn w:val="46"/>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1">
    <w:name w:val="清单表 21"/>
    <w:basedOn w:val="46"/>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2">
    <w:name w:val="List Table 2 - Accent 1"/>
    <w:basedOn w:val="46"/>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3">
    <w:name w:val="List Table 2 - Accent 2"/>
    <w:basedOn w:val="46"/>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4">
    <w:name w:val="List Table 2 - Accent 3"/>
    <w:basedOn w:val="46"/>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5">
    <w:name w:val="List Table 2 - Accent 4"/>
    <w:basedOn w:val="46"/>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6">
    <w:name w:val="List Table 2 - Accent 5"/>
    <w:basedOn w:val="46"/>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7">
    <w:name w:val="List Table 2 - Accent 6"/>
    <w:basedOn w:val="46"/>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8">
    <w:name w:val="清单表 31"/>
    <w:basedOn w:val="4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9">
    <w:name w:val="List Table 3 - Accent 1"/>
    <w:basedOn w:val="46"/>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0">
    <w:name w:val="List Table 3 - Accent 2"/>
    <w:basedOn w:val="46"/>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1">
    <w:name w:val="List Table 3 - Accent 3"/>
    <w:basedOn w:val="46"/>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2">
    <w:name w:val="List Table 3 - Accent 4"/>
    <w:basedOn w:val="46"/>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3">
    <w:name w:val="List Table 3 - Accent 5"/>
    <w:basedOn w:val="46"/>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4">
    <w:name w:val="List Table 3 - Accent 6"/>
    <w:basedOn w:val="46"/>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5">
    <w:name w:val="清单表 41"/>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6">
    <w:name w:val="List Table 4 - Accent 1"/>
    <w:basedOn w:val="46"/>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7">
    <w:name w:val="List Table 4 - Accent 2"/>
    <w:basedOn w:val="46"/>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8">
    <w:name w:val="List Table 4 - Accent 3"/>
    <w:basedOn w:val="46"/>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9">
    <w:name w:val="List Table 4 - Accent 4"/>
    <w:basedOn w:val="46"/>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0">
    <w:name w:val="List Table 4 - Accent 5"/>
    <w:basedOn w:val="46"/>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1">
    <w:name w:val="List Table 4 - Accent 6"/>
    <w:basedOn w:val="46"/>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2">
    <w:name w:val="清单表 5 深色1"/>
    <w:basedOn w:val="4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3">
    <w:name w:val="List Table 5 Dark - Accent 1"/>
    <w:basedOn w:val="46"/>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4">
    <w:name w:val="List Table 5 Dark - Accent 2"/>
    <w:basedOn w:val="46"/>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5">
    <w:name w:val="List Table 5 Dark - Accent 3"/>
    <w:basedOn w:val="46"/>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6">
    <w:name w:val="List Table 5 Dark - Accent 4"/>
    <w:basedOn w:val="46"/>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7">
    <w:name w:val="List Table 5 Dark - Accent 5"/>
    <w:basedOn w:val="46"/>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8">
    <w:name w:val="List Table 5 Dark - Accent 6"/>
    <w:basedOn w:val="46"/>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9">
    <w:name w:val="清单表 6 彩色1"/>
    <w:basedOn w:val="46"/>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0">
    <w:name w:val="List Table 6 Colorful - Accent 1"/>
    <w:basedOn w:val="46"/>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1">
    <w:name w:val="List Table 6 Colorful - Accent 2"/>
    <w:basedOn w:val="46"/>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2">
    <w:name w:val="List Table 6 Colorful - Accent 3"/>
    <w:basedOn w:val="46"/>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3">
    <w:name w:val="List Table 6 Colorful - Accent 4"/>
    <w:basedOn w:val="46"/>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4">
    <w:name w:val="List Table 6 Colorful - Accent 5"/>
    <w:basedOn w:val="46"/>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5">
    <w:name w:val="List Table 6 Colorful - Accent 6"/>
    <w:basedOn w:val="46"/>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6">
    <w:name w:val="清单表 7 彩色1"/>
    <w:basedOn w:val="46"/>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7">
    <w:name w:val="List Table 7 Colorful - Accent 1"/>
    <w:basedOn w:val="46"/>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8">
    <w:name w:val="List Table 7 Colorful - Accent 2"/>
    <w:basedOn w:val="46"/>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9">
    <w:name w:val="List Table 7 Colorful - Accent 3"/>
    <w:basedOn w:val="46"/>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0">
    <w:name w:val="List Table 7 Colorful - Accent 4"/>
    <w:basedOn w:val="46"/>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1">
    <w:name w:val="List Table 7 Colorful - Accent 5"/>
    <w:basedOn w:val="46"/>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2">
    <w:name w:val="List Table 7 Colorful - Accent 6"/>
    <w:basedOn w:val="46"/>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3">
    <w:name w:val="Lined - Accent"/>
    <w:basedOn w:val="46"/>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4">
    <w:name w:val="Lined - Accent 1"/>
    <w:basedOn w:val="46"/>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5">
    <w:name w:val="Lined - Accent 2"/>
    <w:basedOn w:val="46"/>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6">
    <w:name w:val="Lined - Accent 3"/>
    <w:basedOn w:val="46"/>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7">
    <w:name w:val="Lined - Accent 4"/>
    <w:basedOn w:val="46"/>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8">
    <w:name w:val="Lined - Accent 5"/>
    <w:basedOn w:val="46"/>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9">
    <w:name w:val="Lined - Accent 6"/>
    <w:basedOn w:val="46"/>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0">
    <w:name w:val="Bordered &amp; Lined - Accent"/>
    <w:basedOn w:val="4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1">
    <w:name w:val="Bordered &amp; Lined - Accent 1"/>
    <w:basedOn w:val="46"/>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2">
    <w:name w:val="Bordered &amp; Lined - Accent 2"/>
    <w:basedOn w:val="46"/>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3">
    <w:name w:val="Bordered &amp; Lined - Accent 3"/>
    <w:basedOn w:val="46"/>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4">
    <w:name w:val="Bordered &amp; Lined - Accent 4"/>
    <w:basedOn w:val="46"/>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5">
    <w:name w:val="Bordered &amp; Lined - Accent 5"/>
    <w:basedOn w:val="46"/>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6">
    <w:name w:val="Bordered &amp; Lined - Accent 6"/>
    <w:basedOn w:val="46"/>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7">
    <w:name w:val="Bordered"/>
    <w:basedOn w:val="4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8">
    <w:name w:val="Bordered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9">
    <w:name w:val="Bordered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0">
    <w:name w:val="Bordered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1">
    <w:name w:val="Bordered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2">
    <w:name w:val="Bordered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3">
    <w:name w:val="Bordered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4">
    <w:name w:val="TOC 标题1"/>
    <w:unhideWhenUsed/>
    <w:qFormat/>
    <w:uiPriority w:val="39"/>
    <w:rPr>
      <w:rFonts w:ascii="Times New Roman" w:hAnsi="Times New Roman" w:eastAsia="宋体" w:cs="Times New Roman"/>
      <w:lang w:val="en-US" w:eastAsia="zh-CN" w:bidi="ar-SA"/>
    </w:rPr>
  </w:style>
  <w:style w:type="paragraph" w:customStyle="1" w:styleId="235">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6">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7">
    <w:name w:val="正文2"/>
    <w:basedOn w:val="1"/>
    <w:link w:val="238"/>
    <w:qFormat/>
    <w:uiPriority w:val="99"/>
    <w:pPr>
      <w:spacing w:line="360" w:lineRule="auto"/>
      <w:ind w:firstLine="420"/>
    </w:pPr>
    <w:rPr>
      <w:rFonts w:ascii="宋体" w:hAnsi="宋体" w:cs="宋体"/>
      <w:color w:val="000000"/>
      <w:szCs w:val="21"/>
    </w:rPr>
  </w:style>
  <w:style w:type="character" w:customStyle="1" w:styleId="238">
    <w:name w:val="正文2 Char Char"/>
    <w:link w:val="237"/>
    <w:qFormat/>
    <w:uiPriority w:val="99"/>
    <w:rPr>
      <w:rFonts w:ascii="宋体" w:hAnsi="宋体" w:eastAsia="宋体" w:cs="宋体"/>
      <w:color w:val="000000"/>
      <w:sz w:val="21"/>
      <w:szCs w:val="21"/>
    </w:rPr>
  </w:style>
  <w:style w:type="paragraph" w:customStyle="1" w:styleId="239">
    <w:name w:val="Table Paragraph"/>
    <w:basedOn w:val="1"/>
    <w:qFormat/>
    <w:uiPriority w:val="1"/>
    <w:pPr>
      <w:jc w:val="left"/>
    </w:pPr>
    <w:rPr>
      <w:rFonts w:ascii="宋体" w:hAnsi="宋体" w:cs="宋体"/>
      <w:sz w:val="22"/>
      <w:lang w:val="zh-CN" w:bidi="zh-CN"/>
    </w:rPr>
  </w:style>
  <w:style w:type="paragraph" w:customStyle="1" w:styleId="240">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1">
    <w:name w:val="p21"/>
    <w:qFormat/>
    <w:uiPriority w:val="0"/>
    <w:rPr>
      <w:sz w:val="9"/>
      <w:szCs w:val="9"/>
    </w:rPr>
  </w:style>
  <w:style w:type="paragraph" w:customStyle="1" w:styleId="242">
    <w:name w:val="t_black_12_b"/>
    <w:basedOn w:val="1"/>
    <w:qFormat/>
    <w:uiPriority w:val="0"/>
    <w:pPr>
      <w:widowControl/>
      <w:jc w:val="left"/>
    </w:pPr>
    <w:rPr>
      <w:rFonts w:ascii="宋体" w:hAnsi="宋体" w:cs="宋体"/>
      <w:b/>
      <w:bCs/>
      <w:color w:val="212121"/>
      <w:sz w:val="9"/>
      <w:szCs w:val="9"/>
    </w:rPr>
  </w:style>
  <w:style w:type="paragraph" w:customStyle="1" w:styleId="243">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4">
    <w:name w:val="标题3"/>
    <w:basedOn w:val="1"/>
    <w:link w:val="245"/>
    <w:qFormat/>
    <w:uiPriority w:val="0"/>
    <w:pPr>
      <w:pageBreakBefore/>
      <w:jc w:val="center"/>
      <w:outlineLvl w:val="2"/>
    </w:pPr>
    <w:rPr>
      <w:rFonts w:ascii="黑体" w:hAnsi="黑体" w:eastAsia="黑体"/>
      <w:b/>
      <w:sz w:val="32"/>
      <w:szCs w:val="32"/>
    </w:rPr>
  </w:style>
  <w:style w:type="character" w:customStyle="1" w:styleId="245">
    <w:name w:val="标题3 Char"/>
    <w:link w:val="244"/>
    <w:qFormat/>
    <w:uiPriority w:val="0"/>
    <w:rPr>
      <w:rFonts w:ascii="黑体" w:hAnsi="黑体" w:eastAsia="黑体" w:cs="Times New Roman"/>
      <w:b/>
      <w:sz w:val="32"/>
      <w:szCs w:val="32"/>
    </w:rPr>
  </w:style>
  <w:style w:type="paragraph" w:customStyle="1" w:styleId="246">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7">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1">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修订1"/>
    <w:unhideWhenUsed/>
    <w:qFormat/>
    <w:uiPriority w:val="99"/>
    <w:rPr>
      <w:rFonts w:ascii="Calibri" w:hAnsi="Calibri" w:eastAsia="宋体" w:cs="Times New Roman"/>
      <w:sz w:val="21"/>
      <w:szCs w:val="22"/>
      <w:lang w:val="en-US" w:eastAsia="zh-CN" w:bidi="ar-SA"/>
    </w:rPr>
  </w:style>
  <w:style w:type="paragraph" w:customStyle="1" w:styleId="253">
    <w:name w:val="BodyText"/>
    <w:basedOn w:val="1"/>
    <w:qFormat/>
    <w:uiPriority w:val="0"/>
    <w:pPr>
      <w:spacing w:after="120"/>
    </w:pPr>
    <w:rPr>
      <w:rFonts w:hAnsi="Times New Roman"/>
      <w:sz w:val="20"/>
      <w:szCs w:val="20"/>
    </w:rPr>
  </w:style>
  <w:style w:type="table" w:customStyle="1" w:styleId="254">
    <w:name w:val="Table Normal"/>
    <w:basedOn w:val="46"/>
    <w:semiHidden/>
    <w:qFormat/>
    <w:uiPriority w:val="2"/>
    <w:tblPr>
      <w:tblCellMar>
        <w:left w:w="0" w:type="dxa"/>
        <w:right w:w="0" w:type="dxa"/>
      </w:tblCellMar>
    </w:tblPr>
  </w:style>
  <w:style w:type="paragraph" w:customStyle="1" w:styleId="255">
    <w:name w:val="列出段落11"/>
    <w:basedOn w:val="1"/>
    <w:qFormat/>
    <w:uiPriority w:val="99"/>
    <w:pPr>
      <w:ind w:firstLine="420"/>
    </w:pPr>
    <w:rPr>
      <w:rFonts w:ascii="Times New Roman" w:hAnsi="Times New Roman"/>
      <w:szCs w:val="24"/>
    </w:rPr>
  </w:style>
  <w:style w:type="paragraph" w:customStyle="1" w:styleId="256">
    <w:name w:val="hk正文"/>
    <w:basedOn w:val="1"/>
    <w:qFormat/>
    <w:uiPriority w:val="0"/>
    <w:pPr>
      <w:spacing w:line="440" w:lineRule="exact"/>
      <w:ind w:firstLine="560"/>
    </w:pPr>
    <w:rPr>
      <w:rFonts w:ascii="Arial" w:hAnsi="Arial" w:cs="宋体"/>
      <w:szCs w:val="28"/>
    </w:rPr>
  </w:style>
  <w:style w:type="paragraph" w:customStyle="1" w:styleId="257">
    <w:name w:val="首行缩进"/>
    <w:basedOn w:val="1"/>
    <w:qFormat/>
    <w:uiPriority w:val="0"/>
    <w:pPr>
      <w:ind w:firstLine="480"/>
    </w:pPr>
    <w:rPr>
      <w:rFonts w:eastAsia="楷体_GB2312"/>
      <w:sz w:val="26"/>
      <w:lang w:val="zh-CN"/>
    </w:rPr>
  </w:style>
  <w:style w:type="paragraph" w:customStyle="1" w:styleId="258">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9">
    <w:name w:val="Table Text"/>
    <w:basedOn w:val="1"/>
    <w:semiHidden/>
    <w:qFormat/>
    <w:uiPriority w:val="0"/>
    <w:rPr>
      <w:rFonts w:ascii="Arial" w:hAnsi="Arial" w:eastAsia="Arial" w:cs="Arial"/>
      <w:szCs w:val="21"/>
      <w:lang w:eastAsia="en-US"/>
    </w:rPr>
  </w:style>
  <w:style w:type="paragraph" w:customStyle="1" w:styleId="260">
    <w:name w:val="列表段落1"/>
    <w:basedOn w:val="1"/>
    <w:qFormat/>
    <w:uiPriority w:val="34"/>
    <w:pPr>
      <w:ind w:left="223" w:firstLine="420"/>
    </w:pPr>
  </w:style>
  <w:style w:type="paragraph" w:customStyle="1" w:styleId="261">
    <w:name w:val="修订2"/>
    <w:hidden/>
    <w:unhideWhenUsed/>
    <w:qFormat/>
    <w:uiPriority w:val="99"/>
    <w:rPr>
      <w:rFonts w:ascii="Calibri" w:hAnsi="Calibri" w:eastAsia="宋体" w:cs="Times New Roman"/>
      <w:sz w:val="21"/>
      <w:szCs w:val="22"/>
      <w:lang w:val="en-US" w:eastAsia="zh-CN" w:bidi="ar-SA"/>
    </w:rPr>
  </w:style>
  <w:style w:type="paragraph" w:customStyle="1" w:styleId="262">
    <w:name w:val="修订3"/>
    <w:hidden/>
    <w:unhideWhenUsed/>
    <w:qFormat/>
    <w:uiPriority w:val="99"/>
    <w:rPr>
      <w:rFonts w:ascii="Calibri" w:hAnsi="Calibri" w:eastAsia="宋体" w:cs="Times New Roman"/>
      <w:sz w:val="21"/>
      <w:szCs w:val="22"/>
      <w:lang w:val="en-US" w:eastAsia="zh-CN" w:bidi="ar-SA"/>
    </w:rPr>
  </w:style>
  <w:style w:type="paragraph" w:customStyle="1" w:styleId="263">
    <w:name w:val="修订4"/>
    <w:hidden/>
    <w:unhideWhenUsed/>
    <w:qFormat/>
    <w:uiPriority w:val="99"/>
    <w:rPr>
      <w:rFonts w:ascii="Calibri" w:hAnsi="Calibri" w:eastAsia="宋体" w:cs="Times New Roman"/>
      <w:sz w:val="21"/>
      <w:szCs w:val="22"/>
      <w:lang w:val="en-US" w:eastAsia="zh-CN" w:bidi="ar-SA"/>
    </w:rPr>
  </w:style>
  <w:style w:type="paragraph" w:customStyle="1" w:styleId="264">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5">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6">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7">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8">
    <w:name w:val="着重标题"/>
    <w:qFormat/>
    <w:uiPriority w:val="0"/>
    <w:rPr>
      <w:rFonts w:ascii="Calibri" w:hAnsi="Calibri"/>
      <w:b/>
      <w:sz w:val="24"/>
    </w:rPr>
  </w:style>
  <w:style w:type="paragraph" w:customStyle="1" w:styleId="269">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0">
    <w:name w:val="标题 61"/>
    <w:basedOn w:val="1"/>
    <w:qFormat/>
    <w:uiPriority w:val="1"/>
    <w:pPr>
      <w:ind w:left="680"/>
      <w:outlineLvl w:val="6"/>
    </w:pPr>
    <w:rPr>
      <w:sz w:val="24"/>
      <w:szCs w:val="24"/>
    </w:rPr>
  </w:style>
  <w:style w:type="paragraph" w:customStyle="1" w:styleId="271">
    <w:name w:val="标题 51"/>
    <w:basedOn w:val="1"/>
    <w:qFormat/>
    <w:uiPriority w:val="1"/>
    <w:pPr>
      <w:spacing w:before="3"/>
      <w:ind w:left="680"/>
      <w:outlineLvl w:val="5"/>
    </w:pPr>
    <w:rPr>
      <w:b/>
      <w:bCs/>
      <w:sz w:val="24"/>
      <w:szCs w:val="24"/>
    </w:rPr>
  </w:style>
  <w:style w:type="paragraph" w:customStyle="1" w:styleId="272">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3">
    <w:name w:val="NormalCharacter1"/>
    <w:semiHidden/>
    <w:qFormat/>
    <w:uiPriority w:val="0"/>
    <w:rPr>
      <w:rFonts w:ascii="Calibri" w:hAnsi="Calibri" w:eastAsia="宋体" w:cs="Times New Roman"/>
      <w:sz w:val="21"/>
      <w:szCs w:val="22"/>
      <w:lang w:val="en-US" w:eastAsia="zh-CN" w:bidi="ar-SA"/>
    </w:rPr>
  </w:style>
  <w:style w:type="character" w:customStyle="1" w:styleId="274">
    <w:name w:val="批注文字 字符1"/>
    <w:qFormat/>
    <w:uiPriority w:val="99"/>
    <w:rPr>
      <w:kern w:val="2"/>
      <w:sz w:val="21"/>
      <w:szCs w:val="24"/>
    </w:rPr>
  </w:style>
  <w:style w:type="paragraph" w:customStyle="1" w:styleId="275">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6">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7">
    <w:name w:val="正文首行缩进 字符"/>
    <w:basedOn w:val="78"/>
    <w:link w:val="44"/>
    <w:qFormat/>
    <w:uiPriority w:val="0"/>
    <w:rPr>
      <w:rFonts w:asciiTheme="minorHAnsi" w:hAnsiTheme="minorHAnsi" w:eastAsiaTheme="minorEastAsia" w:cstheme="minorBidi"/>
      <w:kern w:val="2"/>
      <w:sz w:val="21"/>
      <w:szCs w:val="24"/>
    </w:rPr>
  </w:style>
  <w:style w:type="character" w:customStyle="1" w:styleId="278">
    <w:name w:val="列出段落 字符"/>
    <w:link w:val="4"/>
    <w:qFormat/>
    <w:uiPriority w:val="99"/>
    <w:rPr>
      <w:rFonts w:ascii="Calibri" w:hAnsi="Calibri"/>
      <w:sz w:val="21"/>
      <w:szCs w:val="22"/>
    </w:rPr>
  </w:style>
  <w:style w:type="character" w:customStyle="1" w:styleId="279">
    <w:name w:val="Michael-正文 字符"/>
    <w:basedOn w:val="48"/>
    <w:link w:val="280"/>
    <w:qFormat/>
    <w:uiPriority w:val="0"/>
    <w:rPr>
      <w:rFonts w:ascii="Calibri" w:hAnsi="Calibri" w:eastAsia="微软雅黑" w:cs="Calibri"/>
    </w:rPr>
  </w:style>
  <w:style w:type="paragraph" w:customStyle="1" w:styleId="280">
    <w:name w:val="Michael-正文"/>
    <w:basedOn w:val="1"/>
    <w:link w:val="279"/>
    <w:qFormat/>
    <w:uiPriority w:val="0"/>
    <w:pPr>
      <w:adjustRightInd w:val="0"/>
    </w:pPr>
    <w:rPr>
      <w:rFonts w:eastAsia="微软雅黑" w:cs="Calibri"/>
      <w:sz w:val="20"/>
      <w:szCs w:val="20"/>
    </w:rPr>
  </w:style>
  <w:style w:type="paragraph" w:customStyle="1" w:styleId="281">
    <w:name w:val="修订5"/>
    <w:hidden/>
    <w:unhideWhenUsed/>
    <w:qFormat/>
    <w:uiPriority w:val="99"/>
    <w:rPr>
      <w:rFonts w:ascii="Calibri" w:hAnsi="Calibri" w:eastAsia="宋体" w:cs="Times New Roman"/>
      <w:sz w:val="21"/>
      <w:szCs w:val="22"/>
      <w:lang w:val="en-US" w:eastAsia="zh-CN" w:bidi="ar-SA"/>
    </w:rPr>
  </w:style>
  <w:style w:type="paragraph" w:customStyle="1" w:styleId="282">
    <w:name w:val="修订6"/>
    <w:hidden/>
    <w:unhideWhenUsed/>
    <w:qFormat/>
    <w:uiPriority w:val="99"/>
    <w:rPr>
      <w:rFonts w:ascii="Calibri" w:hAnsi="Calibri" w:eastAsia="宋体" w:cs="Times New Roman"/>
      <w:sz w:val="21"/>
      <w:szCs w:val="22"/>
      <w:lang w:val="en-US" w:eastAsia="zh-CN" w:bidi="ar-SA"/>
    </w:rPr>
  </w:style>
  <w:style w:type="character" w:customStyle="1" w:styleId="283">
    <w:name w:val="Unresolved Mention"/>
    <w:basedOn w:val="48"/>
    <w:semiHidden/>
    <w:unhideWhenUsed/>
    <w:qFormat/>
    <w:uiPriority w:val="99"/>
    <w:rPr>
      <w:color w:val="605E5C"/>
      <w:shd w:val="clear" w:color="auto" w:fill="E1DFDD"/>
    </w:rPr>
  </w:style>
  <w:style w:type="paragraph" w:customStyle="1" w:styleId="284">
    <w:name w:val="p0"/>
    <w:basedOn w:val="1"/>
    <w:qFormat/>
    <w:uiPriority w:val="0"/>
    <w:pPr>
      <w:widowControl/>
    </w:pPr>
  </w:style>
  <w:style w:type="paragraph" w:customStyle="1" w:styleId="285">
    <w:name w:val="正文首行缩进 21"/>
    <w:basedOn w:val="286"/>
    <w:next w:val="1"/>
    <w:qFormat/>
    <w:uiPriority w:val="0"/>
    <w:pPr>
      <w:spacing w:line="360" w:lineRule="auto"/>
      <w:ind w:firstLine="420"/>
    </w:pPr>
    <w:rPr>
      <w:szCs w:val="20"/>
    </w:rPr>
  </w:style>
  <w:style w:type="paragraph" w:customStyle="1" w:styleId="286">
    <w:name w:val="正文文本缩进1"/>
    <w:basedOn w:val="1"/>
    <w:next w:val="287"/>
    <w:qFormat/>
    <w:uiPriority w:val="0"/>
    <w:pPr>
      <w:spacing w:line="440" w:lineRule="exact"/>
      <w:ind w:firstLine="403"/>
    </w:pPr>
    <w:rPr>
      <w:rFonts w:ascii="宋体" w:hAnsi="宋体" w:eastAsia="宋体"/>
      <w:sz w:val="20"/>
      <w:szCs w:val="21"/>
    </w:rPr>
  </w:style>
  <w:style w:type="paragraph" w:customStyle="1" w:styleId="287">
    <w:name w:val="寄信人地址1"/>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44</Pages>
  <Words>8698</Words>
  <Characters>9238</Characters>
  <Lines>168</Lines>
  <Paragraphs>47</Paragraphs>
  <TotalTime>3</TotalTime>
  <ScaleCrop>false</ScaleCrop>
  <LinksUpToDate>false</LinksUpToDate>
  <CharactersWithSpaces>9265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2025-12-24T02:01:00Z</dcterms:created>
  <dc:creator>Administrator</dc:creator>
  <cp:lastModifiedBy>13901</cp:lastModifiedBy>
  <dcterms:modified xsi:type="dcterms:W3CDTF">2026-01-16T01:47:28Z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C14723C6740746EA9D56CEAF174F0338_13</vt:lpwstr>
  </property>
  <property fmtid="{D5CDD505-2E9C-101B-9397-08002B2CF9AE}" pid="4" name="KSOTemplateDocerSaveRecord">
    <vt:lpwstr>eyJoZGlkIjoiOTMwZWYxZmExZDk2Y2ZjNTc0YzI3ZjU3MzQ3MmUzOTIiLCJ1c2VySWQiOiIxNTUwOTQ5MTIyIn0=</vt:lpwstr>
  </property>
</Properties>
</file>