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pPr>
        <w:pStyle w:val="17"/>
        <w:ind w:firstLine="480"/>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南京邮电大学理学院超高真空分子束外延生长系统采购项目</w:t>
      </w:r>
    </w:p>
    <w:p>
      <w:pPr>
        <w:pStyle w:val="17"/>
        <w:ind w:firstLine="480"/>
        <w:jc w:val="center"/>
        <w:rPr>
          <w:rFonts w:ascii="宋体" w:hAnsi="宋体"/>
          <w:color w:val="000000" w:themeColor="text1"/>
          <w:highlight w:val="none"/>
          <w14:textFill>
            <w14:solidFill>
              <w14:schemeClr w14:val="tx1"/>
            </w14:solidFill>
          </w14:textFill>
        </w:rPr>
      </w:pPr>
    </w:p>
    <w:p>
      <w:pPr>
        <w:pStyle w:val="17"/>
        <w:ind w:firstLine="480"/>
        <w:jc w:val="center"/>
        <w:rPr>
          <w:rFonts w:ascii="宋体" w:hAnsi="宋体"/>
          <w:color w:val="000000" w:themeColor="text1"/>
          <w:highlight w:val="none"/>
          <w14:textFill>
            <w14:solidFill>
              <w14:schemeClr w14:val="tx1"/>
            </w14:solidFill>
          </w14:textFill>
        </w:rPr>
      </w:pPr>
    </w:p>
    <w:p>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pPr>
        <w:spacing w:line="360" w:lineRule="auto"/>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28"/>
          <w:highlight w:val="none"/>
          <w14:textFill>
            <w14:solidFill>
              <w14:schemeClr w14:val="tx1"/>
            </w14:solidFill>
          </w14:textFill>
        </w:rPr>
        <w:t>项目编号：</w:t>
      </w:r>
      <w:r>
        <w:rPr>
          <w:rFonts w:hint="eastAsia" w:ascii="宋体" w:hAnsi="宋体"/>
          <w:b/>
          <w:color w:val="auto"/>
          <w:w w:val="90"/>
          <w:kern w:val="0"/>
          <w:sz w:val="32"/>
          <w:szCs w:val="32"/>
          <w:highlight w:val="none"/>
        </w:rPr>
        <w:t>NYCG2025-H065（0675-256JOC004700）</w:t>
      </w:r>
    </w:p>
    <w:p>
      <w:pPr>
        <w:spacing w:line="360" w:lineRule="auto"/>
        <w:jc w:val="center"/>
        <w:rPr>
          <w:rFonts w:ascii="宋体" w:hAnsi="宋体" w:cs="宋体"/>
          <w:b/>
          <w:color w:val="000000" w:themeColor="text1"/>
          <w:sz w:val="36"/>
          <w:highlight w:val="none"/>
          <w14:textFill>
            <w14:solidFill>
              <w14:schemeClr w14:val="tx1"/>
            </w14:solidFill>
          </w14:textFill>
        </w:rPr>
      </w:pPr>
    </w:p>
    <w:p>
      <w:pPr>
        <w:spacing w:line="360" w:lineRule="auto"/>
        <w:jc w:val="center"/>
        <w:rPr>
          <w:rFonts w:ascii="宋体" w:hAnsi="宋体" w:cs="宋体"/>
          <w:b/>
          <w:color w:val="000000" w:themeColor="text1"/>
          <w:sz w:val="36"/>
          <w:highlight w:val="none"/>
          <w14:textFill>
            <w14:solidFill>
              <w14:schemeClr w14:val="tx1"/>
            </w14:solidFill>
          </w14:textFill>
        </w:rPr>
      </w:pPr>
    </w:p>
    <w:p>
      <w:pPr>
        <w:pStyle w:val="17"/>
        <w:ind w:firstLine="480"/>
        <w:jc w:val="center"/>
        <w:rPr>
          <w:rFonts w:ascii="宋体" w:hAnsi="宋体"/>
          <w:color w:val="000000" w:themeColor="text1"/>
          <w:highlight w:val="none"/>
          <w14:textFill>
            <w14:solidFill>
              <w14:schemeClr w14:val="tx1"/>
            </w14:solidFill>
          </w14:textFill>
        </w:rPr>
      </w:pP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江苏海外集团国际工程咨询有限公司</w:t>
      </w:r>
      <w:r>
        <w:rPr>
          <w:rFonts w:ascii="宋体" w:hAnsi="宋体" w:cs="宋体"/>
          <w:b/>
          <w:color w:val="000000" w:themeColor="text1"/>
          <w:sz w:val="36"/>
          <w:highlight w:val="none"/>
          <w14:textFill>
            <w14:solidFill>
              <w14:schemeClr w14:val="tx1"/>
            </w14:solidFill>
          </w14:textFill>
        </w:rPr>
        <w:t xml:space="preserve"> </w:t>
      </w:r>
    </w:p>
    <w:p>
      <w:pPr>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五</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lang w:val="en-US" w:eastAsia="zh-CN"/>
          <w14:textFill>
            <w14:solidFill>
              <w14:schemeClr w14:val="tx1"/>
            </w14:solidFill>
          </w14:textFill>
        </w:rPr>
        <w:t>十</w:t>
      </w:r>
      <w:r>
        <w:rPr>
          <w:rFonts w:ascii="宋体" w:hAnsi="宋体" w:cs="宋体"/>
          <w:b/>
          <w:color w:val="000000" w:themeColor="text1"/>
          <w:sz w:val="36"/>
          <w:highlight w:val="none"/>
          <w14:textFill>
            <w14:solidFill>
              <w14:schemeClr w14:val="tx1"/>
            </w14:solidFill>
          </w14:textFill>
        </w:rPr>
        <w:t>月</w:t>
      </w:r>
    </w:p>
    <w:p>
      <w:pPr>
        <w:jc w:val="center"/>
        <w:outlineLvl w:val="0"/>
        <w:rPr>
          <w:rFonts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14:textFill>
            <w14:solidFill>
              <w14:schemeClr w14:val="tx1"/>
            </w14:solidFill>
          </w14:textFill>
        </w:rPr>
        <w:t>NYCG2025-H065（0675-256JOC004700）</w:t>
      </w:r>
      <w:r>
        <w:rPr>
          <w:color w:val="000000" w:themeColor="text1"/>
          <w:highlight w:val="none"/>
          <w14:textFill>
            <w14:solidFill>
              <w14:schemeClr w14:val="tx1"/>
            </w14:solidFill>
          </w14:textFill>
        </w:rPr>
        <w:t>；</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南京邮电大学</w:t>
      </w:r>
      <w:r>
        <w:rPr>
          <w:rFonts w:hint="eastAsia"/>
          <w:color w:val="000000" w:themeColor="text1"/>
          <w:highlight w:val="none"/>
          <w:lang w:eastAsia="zh-CN"/>
          <w14:textFill>
            <w14:solidFill>
              <w14:schemeClr w14:val="tx1"/>
            </w14:solidFill>
          </w14:textFill>
        </w:rPr>
        <w:t>理学院超高真空分子束外延生长系统采购项目</w:t>
      </w:r>
      <w:r>
        <w:rPr>
          <w:color w:val="000000" w:themeColor="text1"/>
          <w:highlight w:val="none"/>
          <w14:textFill>
            <w14:solidFill>
              <w14:schemeClr w14:val="tx1"/>
            </w14:solidFill>
          </w14:textFill>
        </w:rPr>
        <w:t>；</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80</w:t>
      </w:r>
      <w:r>
        <w:rPr>
          <w:color w:val="000000" w:themeColor="text1"/>
          <w:highlight w:val="none"/>
          <w14:textFill>
            <w14:solidFill>
              <w14:schemeClr w14:val="tx1"/>
            </w14:solidFill>
          </w14:textFill>
        </w:rPr>
        <w:t>万元；</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80</w:t>
      </w:r>
      <w:r>
        <w:rPr>
          <w:rFonts w:hint="eastAsia"/>
          <w:color w:val="000000" w:themeColor="text1"/>
          <w:highlight w:val="none"/>
          <w14:textFill>
            <w14:solidFill>
              <w14:schemeClr w14:val="tx1"/>
            </w14:solidFill>
          </w14:textFill>
        </w:rPr>
        <w:t>万元，响应报价超过单价最高限价的，响应文件作无效处理。</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宋体" w:hAnsi="宋体" w:cs="宋体"/>
          <w:color w:val="auto"/>
          <w:szCs w:val="21"/>
          <w:highlight w:val="none"/>
        </w:rPr>
        <w:t>本次采购为</w:t>
      </w:r>
      <w:r>
        <w:rPr>
          <w:rFonts w:hint="eastAsia" w:ascii="宋体" w:hAnsi="宋体" w:cs="宋体"/>
          <w:color w:val="auto"/>
          <w:szCs w:val="21"/>
          <w:highlight w:val="none"/>
          <w:lang w:eastAsia="zh-CN"/>
        </w:rPr>
        <w:t>理学院超高真空分子束外延生长系统采购</w:t>
      </w:r>
      <w:r>
        <w:rPr>
          <w:color w:val="000000" w:themeColor="text1"/>
          <w:highlight w:val="none"/>
          <w14:textFill>
            <w14:solidFill>
              <w14:schemeClr w14:val="tx1"/>
            </w14:solidFill>
          </w14:textFill>
        </w:rPr>
        <w:t>，具体详见采购文件。</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合同签订生效后，3个月内安装、调试结束，验收合格，交付采购人使用。</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pPr>
        <w:pStyle w:val="17"/>
        <w:numPr>
          <w:ilvl w:val="0"/>
          <w:numId w:val="4"/>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pPr>
        <w:pStyle w:val="17"/>
        <w:numPr>
          <w:ilvl w:val="0"/>
          <w:numId w:val="4"/>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pPr>
        <w:pStyle w:val="17"/>
        <w:numPr>
          <w:ilvl w:val="0"/>
          <w:numId w:val="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pPr>
        <w:pStyle w:val="17"/>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11</w:t>
      </w:r>
      <w:r>
        <w:rPr>
          <w:color w:val="000000" w:themeColor="text1"/>
          <w:highlight w:val="none"/>
          <w14:textFill>
            <w14:solidFill>
              <w14:schemeClr w14:val="tx1"/>
            </w14:solidFill>
          </w14:textFill>
        </w:rPr>
        <w:t>日上午09:00至2025年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17</w:t>
      </w:r>
      <w:r>
        <w:rPr>
          <w:color w:val="000000" w:themeColor="text1"/>
          <w:highlight w:val="none"/>
          <w14:textFill>
            <w14:solidFill>
              <w14:schemeClr w14:val="tx1"/>
            </w14:solidFill>
          </w14:textFill>
        </w:rPr>
        <w:t>日17:00（北京时间）</w:t>
      </w:r>
    </w:p>
    <w:p>
      <w:pPr>
        <w:pStyle w:val="17"/>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获取方式：</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登录https://www.joccon.cn/hwzb/平台免费获取</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文件。在获取</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文件前，前往https://www.joccon.cn/hwzb/（江苏海外电子招投标平台）免费注册，平台审核通过后可以登录平台参与项目。</w:t>
      </w:r>
      <w:r>
        <w:rPr>
          <w:color w:val="000000" w:themeColor="text1"/>
          <w:highlight w:val="none"/>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w:t>
      </w:r>
      <w:r>
        <w:rPr>
          <w:rFonts w:hint="eastAsia" w:ascii="宋体" w:hAnsi="宋体" w:cs="宋体"/>
          <w:color w:val="auto"/>
          <w:szCs w:val="21"/>
          <w:highlight w:val="none"/>
        </w:rPr>
        <w:t>需提供（1）企业营业执照；（2）企业介绍信或法人授权委托书（包含身份证）</w:t>
      </w:r>
      <w:r>
        <w:rPr>
          <w:rFonts w:hint="eastAsia" w:ascii="宋体" w:hAnsi="宋体" w:cs="宋体"/>
          <w:color w:val="auto"/>
          <w:szCs w:val="21"/>
          <w:highlight w:val="none"/>
          <w:lang w:eastAsia="zh-CN"/>
        </w:rPr>
        <w:t>。）</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平台服务费每包500元，不予退还</w:t>
      </w:r>
      <w:r>
        <w:rPr>
          <w:color w:val="000000" w:themeColor="text1"/>
          <w:highlight w:val="none"/>
          <w14:textFill>
            <w14:solidFill>
              <w14:schemeClr w14:val="tx1"/>
            </w14:solidFill>
          </w14:textFill>
        </w:rPr>
        <w:t>。</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24</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09</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24</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09</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bookmarkStart w:id="15" w:name="_GoBack"/>
      <w:bookmarkEnd w:id="15"/>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pPr>
        <w:pStyle w:val="17"/>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14:textFill>
            <w14:solidFill>
              <w14:schemeClr w14:val="tx1"/>
            </w14:solidFill>
          </w14:textFill>
        </w:rPr>
        <w:t>南京市建邺区云龙山路56号大唐科技大厦A座高区14楼开标二厅</w:t>
      </w:r>
      <w:r>
        <w:rPr>
          <w:rFonts w:hint="eastAsia"/>
          <w:color w:val="000000" w:themeColor="text1"/>
          <w:highlight w:val="none"/>
          <w:lang w:eastAsia="zh-CN"/>
          <w14:textFill>
            <w14:solidFill>
              <w14:schemeClr w14:val="tx1"/>
            </w14:solidFill>
          </w14:textFill>
        </w:rPr>
        <w:t>。</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pPr>
        <w:pStyle w:val="17"/>
        <w:numPr>
          <w:ilvl w:val="0"/>
          <w:numId w:val="2"/>
        </w:numPr>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pPr>
        <w:pStyle w:val="17"/>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pPr>
        <w:pStyle w:val="17"/>
        <w:numPr>
          <w:ilvl w:val="0"/>
          <w:numId w:val="7"/>
        </w:numPr>
        <w:ind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pPr>
        <w:pStyle w:val="17"/>
        <w:numPr>
          <w:ilvl w:val="0"/>
          <w:numId w:val="7"/>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落实政府采购政策满足的资格要求：本项目为非预留份额的采购项目或采购包，执行价格扣除优惠政策。</w:t>
      </w:r>
    </w:p>
    <w:p>
      <w:pPr>
        <w:pStyle w:val="17"/>
        <w:numPr>
          <w:ilvl w:val="0"/>
          <w:numId w:val="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本项目采购标的所属行业为:根据《关于印发中小企业划型标准规定的通知》工信部联企业（2011）300 号）及《国家统计局关于印发统计上大中小微型企业划分办法（2017））的通知》国统字（2017）213 号）等文件规定，本项目所属行业为：</w:t>
      </w:r>
      <w:r>
        <w:rPr>
          <w:rFonts w:hint="eastAsia"/>
          <w:color w:val="000000" w:themeColor="text1"/>
          <w:highlight w:val="none"/>
          <w:lang w:eastAsia="zh-CN"/>
          <w14:textFill>
            <w14:solidFill>
              <w14:schemeClr w14:val="tx1"/>
            </w14:solidFill>
          </w14:textFill>
        </w:rPr>
        <w:t>工业</w:t>
      </w:r>
      <w:r>
        <w:rPr>
          <w:rFonts w:hint="eastAsia"/>
          <w:color w:val="000000" w:themeColor="text1"/>
          <w:highlight w:val="none"/>
          <w14:textFill>
            <w14:solidFill>
              <w14:schemeClr w14:val="tx1"/>
            </w14:solidFill>
          </w14:textFill>
        </w:rPr>
        <w:t>。</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1、采购人信息</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2、采购代理机构信息</w:t>
      </w:r>
    </w:p>
    <w:p>
      <w:pPr>
        <w:pStyle w:val="17"/>
        <w:ind w:firstLine="48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 称：江苏海外集团国际工程咨询有限公司</w:t>
      </w:r>
    </w:p>
    <w:p>
      <w:pPr>
        <w:pStyle w:val="17"/>
        <w:ind w:firstLine="48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址：南京市建邺区云龙山路56号大唐科技大厦A座高区15楼</w:t>
      </w:r>
    </w:p>
    <w:p>
      <w:pPr>
        <w:pStyle w:val="17"/>
        <w:ind w:firstLine="48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联系方式：025-84795941</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3、项目联系方式</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项目联系人： </w:t>
      </w:r>
      <w:r>
        <w:rPr>
          <w:rFonts w:hint="eastAsia" w:ascii="宋体" w:hAnsi="宋体" w:cs="宋体"/>
          <w:color w:val="auto"/>
          <w:szCs w:val="21"/>
          <w:highlight w:val="none"/>
        </w:rPr>
        <w:t>孙夏卉 任艳秋  陶冉  周兵</w:t>
      </w:r>
    </w:p>
    <w:p>
      <w:pPr>
        <w:pStyle w:val="17"/>
        <w:ind w:firstLine="480"/>
        <w:rPr>
          <w:rFonts w:ascii="宋体" w:hAnsi="宋体" w:cs="宋体"/>
          <w:color w:val="auto"/>
          <w:szCs w:val="21"/>
          <w:highlight w:val="none"/>
        </w:rPr>
      </w:pPr>
      <w:r>
        <w:rPr>
          <w:color w:val="000000" w:themeColor="text1"/>
          <w:highlight w:val="none"/>
          <w14:textFill>
            <w14:solidFill>
              <w14:schemeClr w14:val="tx1"/>
            </w14:solidFill>
          </w14:textFill>
        </w:rPr>
        <w:t>电话：</w:t>
      </w:r>
      <w:r>
        <w:rPr>
          <w:rFonts w:hint="eastAsia" w:ascii="宋体" w:hAnsi="宋体" w:cs="宋体"/>
          <w:color w:val="auto"/>
          <w:szCs w:val="21"/>
          <w:highlight w:val="none"/>
        </w:rPr>
        <w:t>025-84795991、</w:t>
      </w:r>
      <w:r>
        <w:rPr>
          <w:rFonts w:ascii="宋体" w:hAnsi="宋体" w:cs="宋体"/>
          <w:color w:val="auto"/>
          <w:szCs w:val="21"/>
          <w:highlight w:val="none"/>
        </w:rPr>
        <w:t>025-84795941</w:t>
      </w:r>
    </w:p>
    <w:p>
      <w:pPr>
        <w:pStyle w:val="17"/>
        <w:ind w:firstLine="480"/>
        <w:rPr>
          <w:rFonts w:ascii="宋体" w:hAnsi="宋体" w:cs="宋体"/>
          <w:color w:val="auto"/>
          <w:szCs w:val="21"/>
          <w:highlight w:val="none"/>
        </w:rPr>
      </w:pPr>
      <w:r>
        <w:rPr>
          <w:rFonts w:hint="eastAsia" w:ascii="宋体" w:hAnsi="宋体" w:cs="宋体"/>
          <w:color w:val="auto"/>
          <w:szCs w:val="21"/>
          <w:highlight w:val="none"/>
        </w:rPr>
        <w:t>邮 箱：sxh@jocite.com</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08"/>
      <w:bookmarkStart w:id="3" w:name="_Toc35393796"/>
      <w:bookmarkStart w:id="4" w:name="_Toc35393627"/>
      <w:bookmarkStart w:id="5" w:name="_Toc28359085"/>
    </w:p>
    <w:bookmarkEnd w:id="2"/>
    <w:bookmarkEnd w:id="3"/>
    <w:bookmarkEnd w:id="4"/>
    <w:bookmarkEnd w:id="5"/>
    <w:p>
      <w:pPr>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pPr>
        <w:pStyle w:val="17"/>
        <w:widowControl/>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pPr>
        <w:pStyle w:val="17"/>
        <w:numPr>
          <w:ilvl w:val="0"/>
          <w:numId w:val="12"/>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采购代理服务费按照国家发展和改革委员会下发的《关于降低部分建设项目收费标准规范收费行为等有关问题的通知》（发改价格[2011]534 号）所列采购代理服务费收费标准下浮</w:t>
      </w:r>
      <w:r>
        <w:rPr>
          <w:color w:val="000000" w:themeColor="text1"/>
          <w:highlight w:val="none"/>
          <w:u w:val="single"/>
          <w14:textFill>
            <w14:solidFill>
              <w14:schemeClr w14:val="tx1"/>
            </w14:solidFill>
          </w14:textFill>
        </w:rPr>
        <w:t xml:space="preserve"> 4</w:t>
      </w:r>
      <w:r>
        <w:rPr>
          <w:rFonts w:hint="eastAsia"/>
          <w:color w:val="000000" w:themeColor="text1"/>
          <w:highlight w:val="none"/>
          <w:u w:val="single"/>
          <w:lang w:val="en-US" w:eastAsia="zh-CN"/>
          <w14:textFill>
            <w14:solidFill>
              <w14:schemeClr w14:val="tx1"/>
            </w14:solidFill>
          </w14:textFill>
        </w:rPr>
        <w:t>5</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%（优惠率）收取。代理服务费包括所供服务相关的所有费用，工程类采购代理项目报价包含编制工程量清单、确定招标控制价等所有费用。</w:t>
      </w:r>
    </w:p>
    <w:p>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pPr>
        <w:pStyle w:val="17"/>
        <w:widowControl/>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pPr>
        <w:pStyle w:val="17"/>
        <w:numPr>
          <w:ilvl w:val="0"/>
          <w:numId w:val="26"/>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pPr>
        <w:pStyle w:val="17"/>
        <w:ind w:firstLineChars="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w:t>
      </w:r>
      <w:r>
        <w:rPr>
          <w:rFonts w:hint="eastAsia"/>
          <w:color w:val="000000" w:themeColor="text1"/>
          <w:highlight w:val="none"/>
          <w:lang w:eastAsia="zh-CN"/>
          <w14:textFill>
            <w14:solidFill>
              <w14:schemeClr w14:val="tx1"/>
            </w14:solidFill>
          </w14:textFill>
        </w:rPr>
        <w:t>采取随机抽取方式确定1个供应商获得成交人推荐资格，其他同品牌供应商不作为成交候选人</w:t>
      </w:r>
      <w:r>
        <w:rPr>
          <w:rFonts w:hint="eastAsia"/>
          <w:color w:val="000000" w:themeColor="text1"/>
          <w:highlight w:val="none"/>
          <w14:textFill>
            <w14:solidFill>
              <w14:schemeClr w14:val="tx1"/>
            </w14:solidFill>
          </w14:textFill>
        </w:rPr>
        <w:t>。</w:t>
      </w:r>
    </w:p>
    <w:p>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pPr>
        <w:pStyle w:val="17"/>
        <w:widowControl/>
        <w:numPr>
          <w:ilvl w:val="0"/>
          <w:numId w:val="3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pPr>
        <w:pStyle w:val="17"/>
        <w:widowControl/>
        <w:numPr>
          <w:ilvl w:val="0"/>
          <w:numId w:val="3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pPr>
        <w:pStyle w:val="17"/>
        <w:widowControl/>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pPr>
        <w:pStyle w:val="17"/>
        <w:widowControl/>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pPr>
        <w:widowControl/>
        <w:numPr>
          <w:ilvl w:val="0"/>
          <w:numId w:val="43"/>
        </w:numPr>
        <w:spacing w:line="360" w:lineRule="auto"/>
        <w:rPr>
          <w:rFonts w:ascii="宋体" w:hAnsi="宋体"/>
          <w:b/>
          <w:kern w:val="0"/>
          <w:sz w:val="24"/>
          <w:szCs w:val="24"/>
          <w:highlight w:val="none"/>
        </w:rPr>
      </w:pPr>
      <w:r>
        <w:rPr>
          <w:rFonts w:hint="eastAsia" w:ascii="宋体" w:hAnsi="宋体"/>
          <w:b/>
          <w:kern w:val="0"/>
          <w:sz w:val="24"/>
          <w:szCs w:val="24"/>
          <w:highlight w:val="none"/>
        </w:rPr>
        <w:t>政策功能</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29.1 政府采购促进中小企业发展，小企业（含小型、微型企业）提供的产品和服务在评选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29.2 政府采购支持监狱和戒毒企业发展政策，监狱和戒毒企业提供的产品和服务在评选时将获得优势，参加参选的监狱和戒毒企业，应当提供由省级以上监狱管理局、戒毒管理局（含新疆生产建设兵团）出具的属于监狱企业的证明文件，监狱和戒毒企业享受政府采购支持政策的要求详见财库〔2014〕68号。</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29.3 政府采购促进残疾人就业政策，残疾人福利性单位提供的产品和服务在评选时将获得优势，参加参选的残疾人福利性单位，应当提供《残疾人福利性单位声明函》，残疾人福利性单位享受政府采购支持政策的要求详见财库〔2017〕141号。</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w:t>
      </w:r>
      <w:r>
        <w:rPr>
          <w:rFonts w:ascii="宋体" w:hAnsi="宋体"/>
          <w:kern w:val="0"/>
          <w:sz w:val="24"/>
          <w:szCs w:val="24"/>
          <w:highlight w:val="none"/>
        </w:rPr>
        <w:t>.</w:t>
      </w:r>
      <w:r>
        <w:rPr>
          <w:rFonts w:hint="eastAsia" w:ascii="宋体" w:hAnsi="宋体"/>
          <w:kern w:val="0"/>
          <w:sz w:val="24"/>
          <w:szCs w:val="24"/>
          <w:highlight w:val="none"/>
        </w:rPr>
        <w:t>5 提供的产品属于信息安全产品的，供应商应当选择经国家认证的信息安全产品参选，并提供由中国信息安全认证中心按国家标准认证颁发的有效认证证书复印件。</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w:t>
      </w:r>
      <w:r>
        <w:rPr>
          <w:rFonts w:ascii="宋体" w:hAnsi="宋体"/>
          <w:kern w:val="0"/>
          <w:sz w:val="24"/>
          <w:szCs w:val="24"/>
          <w:highlight w:val="none"/>
        </w:rPr>
        <w:t>.</w:t>
      </w:r>
      <w:r>
        <w:rPr>
          <w:rFonts w:hint="eastAsia" w:ascii="宋体" w:hAnsi="宋体"/>
          <w:kern w:val="0"/>
          <w:sz w:val="24"/>
          <w:szCs w:val="24"/>
          <w:highlight w:val="none"/>
        </w:rPr>
        <w:t>6 提供的产品属于政府强制采购节能产品的，供应商应当选择依据国家标准中二级能效（水效）指标认证的节能产品参选，并提供有效的节能产品认证证书复印件。</w:t>
      </w:r>
    </w:p>
    <w:p>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29.7提供的产品属于环境标志产品的，供应商应当选择依据相关标准的最新版本认证的环境标志产品参选，并提供有效的环境标志产品认证证书复印件。</w:t>
      </w:r>
    </w:p>
    <w:p>
      <w:pPr>
        <w:pStyle w:val="17"/>
        <w:numPr>
          <w:ilvl w:val="0"/>
          <w:numId w:val="0"/>
        </w:numPr>
        <w:ind w:left="480" w:leftChars="0"/>
        <w:rPr>
          <w:rFonts w:hint="default" w:eastAsia="宋体"/>
          <w:color w:val="000000" w:themeColor="text1"/>
          <w:highlight w:val="none"/>
          <w:lang w:val="en-US" w:eastAsia="zh-CN"/>
          <w14:textFill>
            <w14:solidFill>
              <w14:schemeClr w14:val="tx1"/>
            </w14:solidFill>
          </w14:textFill>
        </w:rPr>
      </w:pPr>
    </w:p>
    <w:p>
      <w:pPr>
        <w:rPr>
          <w:rFonts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为排名第一的成交候选人。</w:t>
      </w:r>
    </w:p>
    <w:p>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pPr>
              <w:widowControl/>
              <w:adjustRightInd w:val="0"/>
              <w:snapToGrid w:val="0"/>
              <w:spacing w:line="300" w:lineRule="auto"/>
              <w:jc w:val="center"/>
              <w:rPr>
                <w:rFonts w:ascii="宋体" w:hAnsi="宋体"/>
                <w:color w:val="auto"/>
                <w:kern w:val="0"/>
                <w:szCs w:val="21"/>
                <w:highlight w:val="none"/>
              </w:rPr>
            </w:pPr>
            <w:r>
              <w:rPr>
                <w:rFonts w:hint="eastAsia" w:ascii="宋体" w:hAnsi="宋体" w:cs="仿宋"/>
                <w:b/>
                <w:bCs/>
                <w:color w:val="auto"/>
                <w:szCs w:val="21"/>
                <w:highlight w:val="none"/>
              </w:rPr>
              <w:t>评分因素</w:t>
            </w:r>
          </w:p>
        </w:tc>
        <w:tc>
          <w:tcPr>
            <w:tcW w:w="6741" w:type="dxa"/>
            <w:vAlign w:val="center"/>
          </w:tcPr>
          <w:p>
            <w:pPr>
              <w:widowControl/>
              <w:adjustRightInd w:val="0"/>
              <w:snapToGrid w:val="0"/>
              <w:spacing w:line="300" w:lineRule="auto"/>
              <w:jc w:val="center"/>
              <w:rPr>
                <w:rFonts w:ascii="宋体" w:hAnsi="宋体"/>
                <w:color w:val="auto"/>
                <w:kern w:val="0"/>
                <w:szCs w:val="21"/>
                <w:highlight w:val="none"/>
              </w:rPr>
            </w:pPr>
            <w:r>
              <w:rPr>
                <w:rFonts w:hint="eastAsia" w:ascii="宋体" w:hAnsi="宋体" w:cs="仿宋"/>
                <w:b/>
                <w:bCs/>
                <w:color w:val="auto"/>
                <w:szCs w:val="21"/>
                <w:highlight w:val="none"/>
              </w:rPr>
              <w:t>评审标准分值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响应报价</w:t>
            </w:r>
          </w:p>
          <w:p>
            <w:pPr>
              <w:widowControl/>
              <w:adjustRightInd w:val="0"/>
              <w:snapToGrid w:val="0"/>
              <w:spacing w:line="300" w:lineRule="auto"/>
              <w:jc w:val="center"/>
              <w:rPr>
                <w:rFonts w:ascii="宋体" w:hAnsi="宋体"/>
                <w:color w:val="auto"/>
                <w:kern w:val="0"/>
                <w:szCs w:val="21"/>
                <w:highlight w:val="none"/>
              </w:rPr>
            </w:pPr>
            <w:r>
              <w:rPr>
                <w:rFonts w:hint="eastAsia" w:ascii="宋体" w:hAnsi="宋体" w:cs="仿宋"/>
                <w:b/>
                <w:bCs/>
                <w:szCs w:val="21"/>
                <w:highlight w:val="none"/>
              </w:rPr>
              <w:t>（</w:t>
            </w:r>
            <w:r>
              <w:rPr>
                <w:rFonts w:hint="eastAsia" w:ascii="宋体" w:hAnsi="宋体" w:cs="仿宋"/>
                <w:b/>
                <w:bCs/>
                <w:szCs w:val="21"/>
                <w:highlight w:val="none"/>
                <w:lang w:val="en-US" w:eastAsia="zh-CN"/>
              </w:rPr>
              <w:t>35</w:t>
            </w:r>
            <w:r>
              <w:rPr>
                <w:rFonts w:hint="eastAsia" w:ascii="宋体" w:hAnsi="宋体" w:cs="仿宋"/>
                <w:b/>
                <w:bCs/>
                <w:szCs w:val="21"/>
                <w:highlight w:val="none"/>
              </w:rPr>
              <w:t>分）</w:t>
            </w:r>
          </w:p>
        </w:tc>
        <w:tc>
          <w:tcPr>
            <w:tcW w:w="6741" w:type="dxa"/>
            <w:vAlign w:val="center"/>
          </w:tcPr>
          <w:p>
            <w:pPr>
              <w:adjustRightInd w:val="0"/>
              <w:snapToGrid w:val="0"/>
              <w:spacing w:line="300" w:lineRule="auto"/>
              <w:jc w:val="left"/>
              <w:rPr>
                <w:rFonts w:ascii="宋体" w:hAnsi="宋体"/>
                <w:color w:val="auto"/>
                <w:szCs w:val="21"/>
                <w:highlight w:val="none"/>
              </w:rPr>
            </w:pPr>
            <w:r>
              <w:rPr>
                <w:rFonts w:hint="eastAsia" w:ascii="宋体" w:hAnsi="宋体"/>
                <w:szCs w:val="21"/>
                <w:highlight w:val="none"/>
              </w:rPr>
              <w:t>价格分采用低价优先法计算，即满足采购文件要求且报价最低的供应商报价为评审基准价，其价格分为满分</w:t>
            </w:r>
            <w:r>
              <w:rPr>
                <w:rFonts w:hint="eastAsia" w:ascii="宋体" w:hAnsi="宋体"/>
                <w:szCs w:val="21"/>
                <w:highlight w:val="none"/>
                <w:lang w:val="en-US" w:eastAsia="zh-CN"/>
              </w:rPr>
              <w:t>35</w:t>
            </w:r>
            <w:r>
              <w:rPr>
                <w:rFonts w:hint="eastAsia" w:ascii="宋体" w:hAnsi="宋体"/>
                <w:szCs w:val="21"/>
                <w:highlight w:val="none"/>
              </w:rPr>
              <w:t>分，其它供应商的价格分统一按照以下公式计算：报价得分=(最低报价/该单位的响应报价)*</w:t>
            </w:r>
            <w:r>
              <w:rPr>
                <w:rFonts w:hint="eastAsia" w:ascii="宋体" w:hAnsi="宋体"/>
                <w:szCs w:val="21"/>
                <w:highlight w:val="none"/>
                <w:lang w:val="en-US" w:eastAsia="zh-CN"/>
              </w:rPr>
              <w:t>35</w:t>
            </w: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pPr>
              <w:widowControl/>
              <w:adjustRightInd w:val="0"/>
              <w:snapToGrid w:val="0"/>
              <w:jc w:val="left"/>
              <w:rPr>
                <w:rFonts w:ascii="宋体" w:hAnsi="宋体"/>
                <w:b/>
                <w:bCs/>
                <w:szCs w:val="21"/>
                <w:highlight w:val="none"/>
              </w:rPr>
            </w:pPr>
            <w:r>
              <w:rPr>
                <w:rFonts w:hint="eastAsia" w:ascii="宋体" w:hAnsi="宋体"/>
                <w:b/>
                <w:bCs/>
                <w:szCs w:val="21"/>
                <w:highlight w:val="none"/>
              </w:rPr>
              <w:t>启动异常低价审查的情形和具体要求：</w:t>
            </w:r>
          </w:p>
          <w:p>
            <w:pPr>
              <w:widowControl/>
              <w:adjustRightInd w:val="0"/>
              <w:snapToGrid w:val="0"/>
              <w:jc w:val="left"/>
              <w:rPr>
                <w:rFonts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pPr>
              <w:widowControl/>
              <w:adjustRightInd w:val="0"/>
              <w:snapToGrid w:val="0"/>
              <w:jc w:val="left"/>
              <w:rPr>
                <w:rFonts w:ascii="宋体" w:hAnsi="宋体"/>
                <w:szCs w:val="21"/>
                <w:highlight w:val="none"/>
              </w:rPr>
            </w:pPr>
            <w:r>
              <w:rPr>
                <w:rFonts w:hint="eastAsia" w:ascii="宋体" w:hAnsi="宋体"/>
                <w:szCs w:val="21"/>
                <w:highlight w:val="none"/>
              </w:rPr>
              <w:t>1.响应报价低于采购项目预算50%的，即响应报价&lt;采购项目预算x50%；</w:t>
            </w:r>
          </w:p>
          <w:p>
            <w:pPr>
              <w:widowControl/>
              <w:adjustRightInd w:val="0"/>
              <w:snapToGrid w:val="0"/>
              <w:jc w:val="left"/>
              <w:rPr>
                <w:rFonts w:ascii="宋体" w:hAnsi="宋体"/>
                <w:szCs w:val="21"/>
                <w:highlight w:val="none"/>
              </w:rPr>
            </w:pPr>
            <w:r>
              <w:rPr>
                <w:rFonts w:hint="eastAsia" w:ascii="宋体" w:hAnsi="宋体"/>
                <w:szCs w:val="21"/>
                <w:highlight w:val="none"/>
              </w:rPr>
              <w:t>2.响应报价低于采购项目最高限价45%的，即响应报价&lt;采购项目最高限价x45%；</w:t>
            </w:r>
          </w:p>
          <w:p>
            <w:pPr>
              <w:widowControl/>
              <w:adjustRightInd w:val="0"/>
              <w:snapToGrid w:val="0"/>
              <w:jc w:val="left"/>
              <w:rPr>
                <w:rFonts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pPr>
              <w:adjustRightInd w:val="0"/>
              <w:snapToGrid w:val="0"/>
              <w:spacing w:line="300" w:lineRule="auto"/>
              <w:jc w:val="left"/>
              <w:rPr>
                <w:rFonts w:ascii="宋体" w:hAnsi="宋体"/>
                <w:color w:val="auto"/>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1555" w:type="dxa"/>
            <w:vAlign w:val="center"/>
          </w:tcPr>
          <w:p>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技术响应</w:t>
            </w:r>
          </w:p>
          <w:p>
            <w:pPr>
              <w:adjustRightInd w:val="0"/>
              <w:snapToGrid w:val="0"/>
              <w:spacing w:line="300" w:lineRule="auto"/>
              <w:jc w:val="center"/>
              <w:rPr>
                <w:rFonts w:ascii="宋体" w:hAnsi="宋体" w:cs="仿宋"/>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37</w:t>
            </w:r>
            <w:r>
              <w:rPr>
                <w:rFonts w:hint="eastAsia" w:ascii="宋体" w:hAnsi="宋体" w:cs="仿宋"/>
                <w:b/>
                <w:bCs/>
                <w:color w:val="auto"/>
                <w:szCs w:val="21"/>
                <w:highlight w:val="none"/>
              </w:rPr>
              <w:t>分）</w:t>
            </w:r>
          </w:p>
        </w:tc>
        <w:tc>
          <w:tcPr>
            <w:tcW w:w="6741" w:type="dxa"/>
            <w:vAlign w:val="center"/>
          </w:tcPr>
          <w:p>
            <w:pPr>
              <w:rPr>
                <w:rFonts w:ascii="宋体" w:hAnsi="宋体" w:cs="宋体"/>
                <w:szCs w:val="21"/>
                <w:highlight w:val="none"/>
              </w:rPr>
            </w:pPr>
            <w:r>
              <w:rPr>
                <w:rFonts w:hint="eastAsia" w:ascii="宋体" w:hAnsi="宋体" w:cs="宋体"/>
                <w:szCs w:val="21"/>
                <w:highlight w:val="none"/>
              </w:rPr>
              <w:t>根据对采购文件第四章“三、技术要求”响应情况进行评分，全部满足得</w:t>
            </w:r>
            <w:r>
              <w:rPr>
                <w:rFonts w:hint="eastAsia" w:ascii="宋体" w:hAnsi="宋体" w:cs="宋体"/>
                <w:szCs w:val="21"/>
                <w:highlight w:val="none"/>
                <w:lang w:val="en-US" w:eastAsia="zh-CN"/>
              </w:rPr>
              <w:t>37</w:t>
            </w:r>
            <w:r>
              <w:rPr>
                <w:rFonts w:hint="eastAsia" w:ascii="宋体" w:hAnsi="宋体" w:cs="宋体"/>
                <w:szCs w:val="21"/>
                <w:highlight w:val="none"/>
              </w:rPr>
              <w:t>分，标▲号技术指标</w:t>
            </w:r>
            <w:r>
              <w:rPr>
                <w:rFonts w:hint="eastAsia" w:ascii="宋体" w:hAnsi="宋体" w:cs="宋体"/>
                <w:szCs w:val="21"/>
                <w:highlight w:val="none"/>
                <w:lang w:eastAsia="zh-CN"/>
              </w:rPr>
              <w:t>（</w:t>
            </w:r>
            <w:r>
              <w:rPr>
                <w:rFonts w:hint="eastAsia" w:ascii="宋体" w:hAnsi="宋体" w:cs="宋体"/>
                <w:szCs w:val="21"/>
                <w:highlight w:val="none"/>
                <w:lang w:val="en-US" w:eastAsia="zh-CN"/>
              </w:rPr>
              <w:t>11项）</w:t>
            </w:r>
            <w:r>
              <w:rPr>
                <w:rFonts w:hint="eastAsia" w:ascii="宋体" w:hAnsi="宋体" w:cs="宋体"/>
                <w:szCs w:val="21"/>
                <w:highlight w:val="none"/>
              </w:rPr>
              <w:t>为重要技术条款，每有一项负偏离扣</w:t>
            </w:r>
            <w:r>
              <w:rPr>
                <w:rFonts w:hint="eastAsia" w:ascii="宋体" w:hAnsi="宋体" w:cs="宋体"/>
                <w:szCs w:val="21"/>
                <w:highlight w:val="none"/>
                <w:lang w:val="en-US" w:eastAsia="zh-CN"/>
              </w:rPr>
              <w:t>3</w:t>
            </w:r>
            <w:r>
              <w:rPr>
                <w:rFonts w:hint="eastAsia" w:ascii="宋体" w:hAnsi="宋体" w:cs="宋体"/>
                <w:szCs w:val="21"/>
                <w:highlight w:val="none"/>
              </w:rPr>
              <w:t>分；其他未标记的指标项</w:t>
            </w:r>
            <w:r>
              <w:rPr>
                <w:rFonts w:hint="eastAsia" w:ascii="宋体" w:hAnsi="宋体" w:cs="宋体"/>
                <w:szCs w:val="21"/>
                <w:highlight w:val="none"/>
                <w:lang w:eastAsia="zh-CN"/>
              </w:rPr>
              <w:t>（</w:t>
            </w:r>
            <w:r>
              <w:rPr>
                <w:rFonts w:hint="eastAsia" w:ascii="宋体" w:hAnsi="宋体" w:cs="宋体"/>
                <w:szCs w:val="21"/>
                <w:highlight w:val="none"/>
                <w:lang w:val="en-US" w:eastAsia="zh-CN"/>
              </w:rPr>
              <w:t>4项）</w:t>
            </w:r>
            <w:r>
              <w:rPr>
                <w:rFonts w:hint="eastAsia" w:ascii="宋体" w:hAnsi="宋体" w:cs="宋体"/>
                <w:szCs w:val="21"/>
                <w:highlight w:val="none"/>
              </w:rPr>
              <w:t>为一般技术条款，每有一项负偏离扣</w:t>
            </w:r>
            <w:r>
              <w:rPr>
                <w:rFonts w:hint="eastAsia" w:ascii="宋体" w:hAnsi="宋体" w:cs="宋体"/>
                <w:szCs w:val="21"/>
                <w:highlight w:val="none"/>
                <w:lang w:val="en-US" w:eastAsia="zh-CN"/>
              </w:rPr>
              <w:t>1</w:t>
            </w:r>
            <w:r>
              <w:rPr>
                <w:rFonts w:hint="eastAsia" w:ascii="宋体" w:hAnsi="宋体" w:cs="宋体"/>
                <w:szCs w:val="21"/>
                <w:highlight w:val="none"/>
              </w:rPr>
              <w:t>分。</w:t>
            </w:r>
          </w:p>
          <w:p>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对标注“▲”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未提供佐证材料或提供的佐证材料不满足要求的，按负偏离扣分处理。</w:t>
            </w:r>
          </w:p>
          <w:p>
            <w:pPr>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pPr>
              <w:widowControl/>
              <w:adjustRightInd w:val="0"/>
              <w:snapToGrid w:val="0"/>
              <w:jc w:val="left"/>
              <w:rPr>
                <w:rFonts w:hint="eastAsia" w:ascii="宋体" w:hAnsi="宋体"/>
                <w:color w:val="auto"/>
                <w:kern w:val="0"/>
                <w:szCs w:val="21"/>
                <w:highlight w:val="none"/>
              </w:rPr>
            </w:pPr>
            <w:r>
              <w:rPr>
                <w:rFonts w:hint="eastAsia" w:ascii="宋体" w:hAnsi="宋体" w:cs="宋体"/>
                <w:b/>
                <w:bCs/>
                <w:szCs w:val="21"/>
                <w:highlight w:val="none"/>
              </w:rPr>
              <w:t>所有证明材料应在技术规格偏离表中注明证明材料页码。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555" w:type="dxa"/>
            <w:vAlign w:val="center"/>
          </w:tcPr>
          <w:p>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Cs w:val="21"/>
                <w:highlight w:val="none"/>
              </w:rPr>
            </w:pPr>
            <w:r>
              <w:rPr>
                <w:rFonts w:hint="eastAsia" w:ascii="宋体" w:hAnsi="宋体" w:cs="宋体"/>
                <w:b/>
                <w:szCs w:val="21"/>
                <w:highlight w:val="none"/>
              </w:rPr>
              <w:t>业绩</w:t>
            </w:r>
          </w:p>
          <w:p>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仿宋"/>
                <w:color w:val="auto"/>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8</w:t>
            </w:r>
            <w:r>
              <w:rPr>
                <w:rFonts w:hint="eastAsia" w:ascii="宋体" w:hAnsi="宋体" w:cs="宋体"/>
                <w:b/>
                <w:szCs w:val="21"/>
                <w:highlight w:val="none"/>
              </w:rPr>
              <w:t>分）</w:t>
            </w:r>
          </w:p>
        </w:tc>
        <w:tc>
          <w:tcPr>
            <w:tcW w:w="6741" w:type="dxa"/>
            <w:vAlign w:val="center"/>
          </w:tcPr>
          <w:p>
            <w:pPr>
              <w:rPr>
                <w:rFonts w:ascii="宋体" w:hAnsi="宋体"/>
                <w:color w:val="auto"/>
                <w:szCs w:val="21"/>
                <w:highlight w:val="none"/>
              </w:rPr>
            </w:pPr>
            <w:r>
              <w:rPr>
                <w:rFonts w:hint="eastAsia" w:ascii="宋体" w:hAnsi="宋体" w:cs="宋体"/>
                <w:szCs w:val="21"/>
                <w:highlight w:val="none"/>
              </w:rPr>
              <w:t>供应商自2022年9月1日以来（以合同签订时间为准）具有同类产品业绩，每提供一个业绩得2分，最多得</w:t>
            </w:r>
            <w:r>
              <w:rPr>
                <w:rFonts w:hint="eastAsia" w:ascii="宋体" w:hAnsi="宋体" w:cs="宋体"/>
                <w:szCs w:val="21"/>
                <w:highlight w:val="none"/>
                <w:lang w:val="en-US" w:eastAsia="zh-CN"/>
              </w:rPr>
              <w:t>8</w:t>
            </w:r>
            <w:r>
              <w:rPr>
                <w:rFonts w:hint="eastAsia" w:ascii="宋体" w:hAnsi="宋体" w:cs="宋体"/>
                <w:szCs w:val="21"/>
                <w:highlight w:val="none"/>
              </w:rPr>
              <w:t>分。（提供合同复印件并加盖供应商公章，合同需包括合同名称、项目内容、盖章、日期等关键内容，缺一不可。）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555" w:type="dxa"/>
            <w:shd w:val="clear" w:color="auto" w:fill="auto"/>
            <w:vAlign w:val="center"/>
          </w:tcPr>
          <w:p>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质保期</w:t>
            </w:r>
          </w:p>
          <w:p>
            <w:pPr>
              <w:adjustRightInd w:val="0"/>
              <w:snapToGrid w:val="0"/>
              <w:spacing w:line="300" w:lineRule="auto"/>
              <w:jc w:val="center"/>
              <w:rPr>
                <w:rFonts w:ascii="宋体" w:hAnsi="宋体" w:eastAsia="宋体" w:cs="仿宋"/>
                <w:color w:val="auto"/>
                <w:kern w:val="2"/>
                <w:sz w:val="21"/>
                <w:szCs w:val="21"/>
                <w:highlight w:val="none"/>
                <w:lang w:val="en-US" w:eastAsia="zh-CN" w:bidi="ar-SA"/>
              </w:rPr>
            </w:pPr>
            <w:r>
              <w:rPr>
                <w:rFonts w:hint="eastAsia" w:ascii="宋体" w:hAnsi="宋体" w:cs="仿宋"/>
                <w:b/>
                <w:bCs/>
                <w:color w:val="auto"/>
                <w:szCs w:val="21"/>
                <w:highlight w:val="none"/>
                <w:lang w:val="en-US" w:eastAsia="zh-CN"/>
              </w:rPr>
              <w:t>（2</w:t>
            </w:r>
            <w:r>
              <w:rPr>
                <w:rFonts w:hint="eastAsia" w:ascii="宋体" w:hAnsi="宋体" w:cs="仿宋"/>
                <w:b/>
                <w:bCs/>
                <w:color w:val="auto"/>
                <w:szCs w:val="21"/>
                <w:highlight w:val="none"/>
              </w:rPr>
              <w:t>分）</w:t>
            </w:r>
          </w:p>
        </w:tc>
        <w:tc>
          <w:tcPr>
            <w:tcW w:w="6741" w:type="dxa"/>
            <w:shd w:val="clear" w:color="auto" w:fill="auto"/>
            <w:vAlign w:val="center"/>
          </w:tcPr>
          <w:p>
            <w:pPr>
              <w:adjustRightInd w:val="0"/>
              <w:snapToGrid w:val="0"/>
              <w:spacing w:line="300" w:lineRule="auto"/>
              <w:jc w:val="lef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在满足采购文件要求的基础上，每增加1年免费质保</w:t>
            </w:r>
            <w:r>
              <w:rPr>
                <w:rFonts w:hint="eastAsia" w:ascii="宋体" w:hAnsi="宋体"/>
                <w:color w:val="auto"/>
                <w:szCs w:val="21"/>
                <w:highlight w:val="none"/>
                <w:lang w:eastAsia="zh-CN"/>
              </w:rPr>
              <w:t>的</w:t>
            </w:r>
            <w:r>
              <w:rPr>
                <w:rFonts w:hint="eastAsia" w:ascii="宋体" w:hAnsi="宋体"/>
                <w:color w:val="auto"/>
                <w:szCs w:val="21"/>
                <w:highlight w:val="none"/>
              </w:rPr>
              <w:t>得</w:t>
            </w:r>
            <w:r>
              <w:rPr>
                <w:rFonts w:hint="eastAsia" w:ascii="宋体" w:hAnsi="宋体"/>
                <w:color w:val="auto"/>
                <w:szCs w:val="21"/>
                <w:highlight w:val="none"/>
                <w:lang w:val="en-US" w:eastAsia="zh-CN"/>
              </w:rPr>
              <w:t>1</w:t>
            </w:r>
            <w:r>
              <w:rPr>
                <w:rFonts w:hint="eastAsia" w:ascii="宋体" w:hAnsi="宋体"/>
                <w:color w:val="auto"/>
                <w:szCs w:val="21"/>
                <w:highlight w:val="none"/>
              </w:rPr>
              <w:t>分，最多</w:t>
            </w:r>
            <w:r>
              <w:rPr>
                <w:rFonts w:hint="eastAsia" w:ascii="宋体" w:hAnsi="宋体"/>
                <w:color w:val="auto"/>
                <w:szCs w:val="21"/>
                <w:highlight w:val="none"/>
                <w:lang w:val="en-US" w:eastAsia="zh-CN"/>
              </w:rPr>
              <w:t>2</w:t>
            </w:r>
            <w:r>
              <w:rPr>
                <w:rFonts w:hint="eastAsia" w:ascii="宋体" w:hAnsi="宋体"/>
                <w:color w:val="auto"/>
                <w:szCs w:val="21"/>
                <w:highlight w:val="none"/>
              </w:rPr>
              <w:t>分。（需提供承诺书，并加盖公章。）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555" w:type="dxa"/>
            <w:shd w:val="clear" w:color="auto" w:fill="auto"/>
            <w:vAlign w:val="center"/>
          </w:tcPr>
          <w:p>
            <w:pPr>
              <w:adjustRightInd w:val="0"/>
              <w:snapToGrid w:val="0"/>
              <w:spacing w:line="300" w:lineRule="auto"/>
              <w:jc w:val="center"/>
              <w:rPr>
                <w:rFonts w:ascii="宋体" w:hAnsi="宋体" w:cs="仿宋"/>
                <w:b/>
                <w:bCs/>
                <w:color w:val="auto"/>
                <w:szCs w:val="21"/>
                <w:highlight w:val="none"/>
                <w:lang w:bidi="zh-CN"/>
              </w:rPr>
            </w:pPr>
            <w:r>
              <w:rPr>
                <w:rFonts w:hint="eastAsia" w:ascii="宋体" w:hAnsi="宋体" w:cs="仿宋"/>
                <w:b/>
                <w:bCs/>
                <w:color w:val="auto"/>
                <w:szCs w:val="21"/>
                <w:highlight w:val="none"/>
                <w:lang w:bidi="zh-CN"/>
              </w:rPr>
              <w:t>响应时间</w:t>
            </w:r>
          </w:p>
          <w:p>
            <w:pPr>
              <w:adjustRightInd w:val="0"/>
              <w:snapToGrid w:val="0"/>
              <w:spacing w:line="300" w:lineRule="auto"/>
              <w:jc w:val="center"/>
              <w:rPr>
                <w:rFonts w:hint="eastAsia" w:ascii="宋体" w:hAnsi="宋体" w:eastAsia="宋体" w:cs="仿宋"/>
                <w:color w:val="auto"/>
                <w:kern w:val="2"/>
                <w:sz w:val="21"/>
                <w:szCs w:val="21"/>
                <w:highlight w:val="none"/>
                <w:lang w:val="en-US" w:eastAsia="zh-CN" w:bidi="zh-CN"/>
              </w:rPr>
            </w:pPr>
            <w:r>
              <w:rPr>
                <w:rFonts w:hint="eastAsia" w:ascii="宋体" w:hAnsi="宋体" w:cs="仿宋"/>
                <w:b/>
                <w:bCs/>
                <w:color w:val="auto"/>
                <w:szCs w:val="21"/>
                <w:highlight w:val="none"/>
                <w:lang w:bidi="zh-CN"/>
              </w:rPr>
              <w:t>（2分）</w:t>
            </w:r>
          </w:p>
        </w:tc>
        <w:tc>
          <w:tcPr>
            <w:tcW w:w="6741" w:type="dxa"/>
            <w:shd w:val="clear" w:color="auto" w:fill="auto"/>
            <w:vAlign w:val="center"/>
          </w:tcPr>
          <w:p>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rPr>
              <w:t>供应商能承诺</w:t>
            </w:r>
            <w:r>
              <w:rPr>
                <w:rFonts w:hint="eastAsia" w:ascii="宋体" w:hAnsi="宋体"/>
                <w:color w:val="auto"/>
                <w:szCs w:val="21"/>
                <w:highlight w:val="none"/>
                <w:lang w:eastAsia="zh-CN"/>
              </w:rPr>
              <w:t>在满足</w:t>
            </w:r>
            <w:r>
              <w:rPr>
                <w:rFonts w:hint="eastAsia" w:ascii="宋体" w:hAnsi="宋体"/>
                <w:color w:val="auto"/>
                <w:szCs w:val="21"/>
                <w:highlight w:val="none"/>
              </w:rPr>
              <w:t>采购人要求</w:t>
            </w:r>
            <w:r>
              <w:rPr>
                <w:rFonts w:hint="eastAsia" w:ascii="宋体" w:hAnsi="宋体"/>
                <w:color w:val="auto"/>
                <w:szCs w:val="21"/>
                <w:highlight w:val="none"/>
                <w:lang w:eastAsia="zh-CN"/>
              </w:rPr>
              <w:t>的基础上：</w:t>
            </w:r>
          </w:p>
          <w:p>
            <w:pPr>
              <w:adjustRightInd w:val="0"/>
              <w:snapToGrid w:val="0"/>
              <w:spacing w:line="300" w:lineRule="auto"/>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6</w:t>
            </w:r>
            <w:r>
              <w:rPr>
                <w:rFonts w:hint="eastAsia" w:ascii="宋体" w:hAnsi="宋体"/>
                <w:color w:val="auto"/>
                <w:szCs w:val="21"/>
                <w:highlight w:val="none"/>
              </w:rPr>
              <w:t>个小时内作出响应，在</w:t>
            </w:r>
            <w:r>
              <w:rPr>
                <w:rFonts w:hint="eastAsia" w:ascii="宋体" w:hAnsi="宋体"/>
                <w:color w:val="auto"/>
                <w:szCs w:val="21"/>
                <w:highlight w:val="none"/>
                <w:lang w:val="en-US" w:eastAsia="zh-CN"/>
              </w:rPr>
              <w:t>12</w:t>
            </w:r>
            <w:r>
              <w:rPr>
                <w:rFonts w:hint="eastAsia" w:ascii="宋体" w:hAnsi="宋体"/>
                <w:color w:val="auto"/>
                <w:szCs w:val="21"/>
                <w:highlight w:val="none"/>
              </w:rPr>
              <w:t>小时内赶到现场</w:t>
            </w:r>
            <w:r>
              <w:rPr>
                <w:rFonts w:hint="eastAsia" w:ascii="宋体" w:hAnsi="宋体"/>
                <w:color w:val="auto"/>
                <w:szCs w:val="21"/>
                <w:highlight w:val="none"/>
                <w:lang w:eastAsia="zh-CN"/>
              </w:rPr>
              <w:t>的得</w:t>
            </w:r>
            <w:r>
              <w:rPr>
                <w:rFonts w:hint="eastAsia" w:ascii="宋体" w:hAnsi="宋体"/>
                <w:color w:val="auto"/>
                <w:szCs w:val="21"/>
                <w:highlight w:val="none"/>
                <w:lang w:val="en-US" w:eastAsia="zh-CN"/>
              </w:rPr>
              <w:t>2分；</w:t>
            </w:r>
          </w:p>
          <w:p>
            <w:pPr>
              <w:adjustRightInd w:val="0"/>
              <w:snapToGrid w:val="0"/>
              <w:spacing w:line="300" w:lineRule="auto"/>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12</w:t>
            </w:r>
            <w:r>
              <w:rPr>
                <w:rFonts w:hint="eastAsia" w:ascii="宋体" w:hAnsi="宋体"/>
                <w:color w:val="auto"/>
                <w:szCs w:val="21"/>
                <w:highlight w:val="none"/>
              </w:rPr>
              <w:t>个小时内作出响应，在</w:t>
            </w:r>
            <w:r>
              <w:rPr>
                <w:rFonts w:hint="eastAsia" w:ascii="宋体" w:hAnsi="宋体"/>
                <w:color w:val="auto"/>
                <w:szCs w:val="21"/>
                <w:highlight w:val="none"/>
                <w:lang w:val="en-US" w:eastAsia="zh-CN"/>
              </w:rPr>
              <w:t>24</w:t>
            </w:r>
            <w:r>
              <w:rPr>
                <w:rFonts w:hint="eastAsia" w:ascii="宋体" w:hAnsi="宋体"/>
                <w:color w:val="auto"/>
                <w:szCs w:val="21"/>
                <w:highlight w:val="none"/>
              </w:rPr>
              <w:t>小时内赶到现场</w:t>
            </w:r>
            <w:r>
              <w:rPr>
                <w:rFonts w:hint="eastAsia" w:ascii="宋体" w:hAnsi="宋体"/>
                <w:color w:val="auto"/>
                <w:szCs w:val="21"/>
                <w:highlight w:val="none"/>
                <w:lang w:eastAsia="zh-CN"/>
              </w:rPr>
              <w:t>的得</w:t>
            </w:r>
            <w:r>
              <w:rPr>
                <w:rFonts w:hint="eastAsia" w:ascii="宋体" w:hAnsi="宋体"/>
                <w:color w:val="auto"/>
                <w:szCs w:val="21"/>
                <w:highlight w:val="none"/>
                <w:lang w:val="en-US" w:eastAsia="zh-CN"/>
              </w:rPr>
              <w:t>1分；</w:t>
            </w:r>
          </w:p>
          <w:p>
            <w:pPr>
              <w:adjustRightInd w:val="0"/>
              <w:snapToGrid w:val="0"/>
              <w:spacing w:line="300" w:lineRule="auto"/>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其余不得分。</w:t>
            </w:r>
            <w:r>
              <w:rPr>
                <w:rFonts w:hint="eastAsia" w:ascii="宋体" w:hAnsi="宋体"/>
                <w:color w:val="auto"/>
                <w:szCs w:val="21"/>
                <w:highlight w:val="none"/>
                <w:lang w:eastAsia="zh-CN"/>
              </w:rPr>
              <w:t>（</w:t>
            </w:r>
            <w:r>
              <w:rPr>
                <w:rFonts w:hint="eastAsia" w:ascii="宋体" w:hAnsi="宋体"/>
                <w:color w:val="auto"/>
                <w:szCs w:val="21"/>
                <w:highlight w:val="none"/>
              </w:rPr>
              <w:t>提承诺书并加盖公章</w:t>
            </w:r>
            <w:r>
              <w:rPr>
                <w:rFonts w:hint="eastAsia" w:ascii="宋体" w:hAnsi="宋体"/>
                <w:color w:val="auto"/>
                <w:szCs w:val="21"/>
                <w:highlight w:val="none"/>
                <w:lang w:eastAsia="zh-CN"/>
              </w:rPr>
              <w:t>，格式自拟</w:t>
            </w:r>
            <w:r>
              <w:rPr>
                <w:rFonts w:hint="eastAsia" w:ascii="宋体" w:hAnsi="宋体"/>
                <w:color w:val="auto"/>
                <w:szCs w:val="21"/>
                <w:highlight w:val="none"/>
              </w:rPr>
              <w:t>。</w:t>
            </w:r>
            <w:r>
              <w:rPr>
                <w:rFonts w:hint="eastAsia" w:ascii="宋体" w:hAnsi="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Cs w:val="21"/>
                <w:highlight w:val="none"/>
              </w:rPr>
            </w:pPr>
            <w:r>
              <w:rPr>
                <w:rFonts w:hint="eastAsia" w:ascii="宋体" w:hAnsi="宋体" w:cs="宋体"/>
                <w:b/>
                <w:szCs w:val="21"/>
                <w:highlight w:val="none"/>
              </w:rPr>
              <w:t>项目实施方案</w:t>
            </w:r>
          </w:p>
          <w:p>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r>
              <w:rPr>
                <w:rFonts w:hint="eastAsia" w:ascii="宋体" w:hAnsi="宋体" w:cs="宋体"/>
                <w:b/>
                <w:szCs w:val="21"/>
                <w:highlight w:val="none"/>
              </w:rPr>
              <w:t>（6分）</w:t>
            </w:r>
          </w:p>
        </w:tc>
        <w:tc>
          <w:tcPr>
            <w:tcW w:w="6741" w:type="dxa"/>
            <w:vAlign w:val="center"/>
          </w:tcPr>
          <w:p>
            <w:pPr>
              <w:rPr>
                <w:rFonts w:ascii="宋体" w:hAnsi="宋体" w:cs="宋体"/>
                <w:szCs w:val="21"/>
                <w:highlight w:val="none"/>
              </w:rPr>
            </w:pPr>
            <w:r>
              <w:rPr>
                <w:rFonts w:hint="eastAsia" w:ascii="宋体" w:hAnsi="宋体" w:cs="宋体"/>
                <w:szCs w:val="21"/>
                <w:highlight w:val="none"/>
              </w:rPr>
              <w:t>针对本项目提供项目实施方案，内容包括但不限于：设备安装方案、计划进度、项目管理以及验收方案等：</w:t>
            </w:r>
          </w:p>
          <w:p>
            <w:pPr>
              <w:rPr>
                <w:rFonts w:ascii="宋体" w:hAnsi="宋体" w:cs="宋体"/>
                <w:szCs w:val="21"/>
                <w:highlight w:val="none"/>
              </w:rPr>
            </w:pPr>
            <w:r>
              <w:rPr>
                <w:rFonts w:hint="eastAsia" w:ascii="宋体" w:hAnsi="宋体" w:cs="宋体"/>
                <w:szCs w:val="21"/>
                <w:highlight w:val="none"/>
              </w:rPr>
              <w:t>方案内容完整、详细，进度控制合理，项目管理以及验收方案科学合理，可行性强且完全满足项目实际需求，得6分；</w:t>
            </w:r>
          </w:p>
          <w:p>
            <w:pPr>
              <w:rPr>
                <w:rFonts w:ascii="宋体" w:hAnsi="宋体" w:cs="宋体"/>
                <w:strike/>
                <w:szCs w:val="21"/>
                <w:highlight w:val="none"/>
              </w:rPr>
            </w:pPr>
            <w:r>
              <w:rPr>
                <w:rFonts w:hint="eastAsia" w:ascii="宋体" w:hAnsi="宋体" w:cs="宋体"/>
                <w:szCs w:val="21"/>
                <w:highlight w:val="none"/>
              </w:rPr>
              <w:t>方案内容完整，进度控制较合理，项目管理以及验收方案合理，可行性较强且满足项目实际需求，得4分；</w:t>
            </w:r>
          </w:p>
          <w:p>
            <w:pPr>
              <w:rPr>
                <w:rFonts w:ascii="宋体" w:hAnsi="宋体" w:cs="宋体"/>
                <w:szCs w:val="21"/>
                <w:highlight w:val="none"/>
              </w:rPr>
            </w:pPr>
            <w:r>
              <w:rPr>
                <w:rFonts w:hint="eastAsia" w:ascii="宋体" w:hAnsi="宋体" w:cs="宋体"/>
                <w:szCs w:val="21"/>
                <w:highlight w:val="none"/>
              </w:rPr>
              <w:t>方案内容基本完整，有进度控制但略有瑕疵，项目管理以及验收方案基本合理，基本满足项目实际需求，得2分；</w:t>
            </w:r>
          </w:p>
          <w:p>
            <w:pPr>
              <w:rPr>
                <w:rFonts w:ascii="宋体" w:hAnsi="宋体" w:cs="宋体"/>
                <w:szCs w:val="21"/>
                <w:highlight w:val="none"/>
              </w:rPr>
            </w:pPr>
            <w:r>
              <w:rPr>
                <w:rFonts w:hint="eastAsia" w:ascii="宋体" w:hAnsi="宋体" w:cs="宋体"/>
                <w:szCs w:val="21"/>
                <w:highlight w:val="none"/>
              </w:rPr>
              <w:t>方案内容有缺失，进度控制不明确，项目管理以及验收方案需进一步修改完善方可满足项目实际需求，得1分；</w:t>
            </w:r>
          </w:p>
          <w:p>
            <w:pPr>
              <w:rPr>
                <w:rFonts w:hint="eastAsia" w:ascii="宋体" w:hAnsi="宋体" w:cs="宋体"/>
                <w:szCs w:val="21"/>
                <w:highlight w:val="none"/>
              </w:rPr>
            </w:pPr>
            <w:r>
              <w:rPr>
                <w:rFonts w:hint="eastAsia" w:ascii="宋体" w:hAnsi="宋体" w:cs="宋体"/>
                <w:szCs w:val="21"/>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highlight w:val="none"/>
              </w:rPr>
            </w:pPr>
            <w:r>
              <w:rPr>
                <w:rFonts w:hint="eastAsia" w:ascii="宋体" w:hAnsi="宋体" w:cs="宋体"/>
                <w:b/>
                <w:bCs/>
                <w:szCs w:val="21"/>
                <w:highlight w:val="none"/>
              </w:rPr>
              <w:t>售后服务</w:t>
            </w:r>
          </w:p>
          <w:p>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lang w:bidi="zh-CN"/>
              </w:rPr>
            </w:pPr>
            <w:r>
              <w:rPr>
                <w:rFonts w:hint="eastAsia" w:ascii="宋体" w:hAnsi="宋体" w:cs="宋体"/>
                <w:b/>
                <w:bCs/>
                <w:szCs w:val="21"/>
                <w:highlight w:val="none"/>
              </w:rPr>
              <w:t>（5分）</w:t>
            </w:r>
          </w:p>
        </w:tc>
        <w:tc>
          <w:tcPr>
            <w:tcW w:w="6741" w:type="dxa"/>
            <w:vAlign w:val="center"/>
          </w:tcPr>
          <w:p>
            <w:pPr>
              <w:rPr>
                <w:rFonts w:ascii="宋体" w:hAnsi="宋体" w:cs="宋体"/>
                <w:szCs w:val="21"/>
                <w:highlight w:val="none"/>
              </w:rPr>
            </w:pPr>
            <w:r>
              <w:rPr>
                <w:rFonts w:hint="eastAsia" w:ascii="宋体" w:hAnsi="宋体" w:cs="宋体"/>
                <w:szCs w:val="21"/>
                <w:highlight w:val="none"/>
              </w:rPr>
              <w:t>根据提供的售后服务方案（内容包括但不限于服务体系及服务内容、故障解决方案及响应时间、专业技术人员及服务保障等）进行评审：</w:t>
            </w:r>
          </w:p>
          <w:p>
            <w:pPr>
              <w:rPr>
                <w:rFonts w:ascii="宋体" w:hAnsi="宋体" w:cs="宋体"/>
                <w:szCs w:val="21"/>
                <w:highlight w:val="none"/>
              </w:rPr>
            </w:pPr>
            <w:r>
              <w:rPr>
                <w:rFonts w:hint="eastAsia" w:ascii="宋体" w:hAnsi="宋体" w:cs="宋体"/>
                <w:szCs w:val="21"/>
                <w:highlight w:val="none"/>
              </w:rPr>
              <w:t>售后服务体系完善，专业技术人员充足、承诺解决问题周期短、维修便利的得5分；</w:t>
            </w:r>
          </w:p>
          <w:p>
            <w:pPr>
              <w:rPr>
                <w:rFonts w:ascii="宋体" w:hAnsi="宋体" w:cs="宋体"/>
                <w:szCs w:val="21"/>
                <w:highlight w:val="none"/>
              </w:rPr>
            </w:pPr>
            <w:r>
              <w:rPr>
                <w:rFonts w:hint="eastAsia" w:ascii="宋体" w:hAnsi="宋体" w:cs="宋体"/>
                <w:szCs w:val="21"/>
                <w:highlight w:val="none"/>
              </w:rPr>
              <w:t>售后服务体系完善，专业技术人员较充足、承诺解决问题周期较短、维修较便利的得4分；</w:t>
            </w:r>
          </w:p>
          <w:p>
            <w:pPr>
              <w:rPr>
                <w:rFonts w:ascii="宋体" w:hAnsi="宋体" w:cs="宋体"/>
                <w:szCs w:val="21"/>
                <w:highlight w:val="none"/>
              </w:rPr>
            </w:pPr>
            <w:r>
              <w:rPr>
                <w:rFonts w:hint="eastAsia" w:ascii="宋体" w:hAnsi="宋体" w:cs="宋体"/>
                <w:szCs w:val="21"/>
                <w:highlight w:val="none"/>
              </w:rPr>
              <w:t>售后服务体系较完善，专业技术人员充足性一般、承诺解决问题周期较短、维修便利性一般的得2分；</w:t>
            </w:r>
          </w:p>
          <w:p>
            <w:pPr>
              <w:rPr>
                <w:rFonts w:ascii="宋体" w:hAnsi="宋体" w:cs="宋体"/>
                <w:szCs w:val="21"/>
                <w:highlight w:val="none"/>
              </w:rPr>
            </w:pPr>
            <w:r>
              <w:rPr>
                <w:rFonts w:hint="eastAsia" w:ascii="宋体" w:hAnsi="宋体" w:cs="宋体"/>
                <w:szCs w:val="21"/>
                <w:highlight w:val="none"/>
              </w:rPr>
              <w:t>售后服务方案简单，需进一步修改完善方可满足项目要求得1分；</w:t>
            </w:r>
          </w:p>
          <w:p>
            <w:pPr>
              <w:rPr>
                <w:rFonts w:ascii="宋体" w:hAnsi="宋体"/>
                <w:color w:val="auto"/>
                <w:szCs w:val="21"/>
                <w:highlight w:val="none"/>
              </w:rPr>
            </w:pPr>
            <w:r>
              <w:rPr>
                <w:rFonts w:hint="eastAsia" w:ascii="宋体" w:hAnsi="宋体" w:cs="宋体"/>
                <w:szCs w:val="21"/>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培训方案</w:t>
            </w:r>
          </w:p>
          <w:p>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rPr>
            </w:pPr>
            <w:r>
              <w:rPr>
                <w:rFonts w:hint="eastAsia" w:ascii="宋体" w:hAnsi="宋体" w:cs="宋体"/>
                <w:b/>
                <w:szCs w:val="21"/>
                <w:highlight w:val="none"/>
              </w:rPr>
              <w:t>（5分）</w:t>
            </w:r>
          </w:p>
        </w:tc>
        <w:tc>
          <w:tcPr>
            <w:tcW w:w="6741" w:type="dxa"/>
            <w:vAlign w:val="center"/>
          </w:tcPr>
          <w:p>
            <w:pPr>
              <w:rPr>
                <w:rFonts w:ascii="宋体" w:hAnsi="宋体" w:cs="宋体"/>
                <w:szCs w:val="21"/>
                <w:highlight w:val="none"/>
              </w:rPr>
            </w:pPr>
            <w:r>
              <w:rPr>
                <w:rFonts w:hint="eastAsia" w:ascii="宋体" w:hAnsi="宋体" w:cs="宋体"/>
                <w:szCs w:val="21"/>
                <w:highlight w:val="none"/>
              </w:rPr>
              <w:t xml:space="preserve">根据提供的免费培训方案（包括但不限于频次安排和内容安排等） </w:t>
            </w:r>
          </w:p>
          <w:p>
            <w:pPr>
              <w:rPr>
                <w:rFonts w:ascii="宋体" w:hAnsi="宋体" w:cs="宋体"/>
                <w:szCs w:val="21"/>
                <w:highlight w:val="none"/>
              </w:rPr>
            </w:pPr>
            <w:r>
              <w:rPr>
                <w:rFonts w:hint="eastAsia" w:ascii="宋体" w:hAnsi="宋体" w:cs="宋体"/>
                <w:szCs w:val="21"/>
                <w:highlight w:val="none"/>
              </w:rPr>
              <w:t xml:space="preserve">进行综合评审： </w:t>
            </w:r>
          </w:p>
          <w:p>
            <w:pPr>
              <w:rPr>
                <w:rFonts w:ascii="宋体" w:hAnsi="宋体" w:cs="宋体"/>
                <w:szCs w:val="21"/>
                <w:highlight w:val="none"/>
              </w:rPr>
            </w:pPr>
            <w:r>
              <w:rPr>
                <w:rFonts w:hint="eastAsia" w:ascii="宋体" w:hAnsi="宋体" w:cs="宋体"/>
                <w:szCs w:val="21"/>
                <w:highlight w:val="none"/>
              </w:rPr>
              <w:t xml:space="preserve">方案详细、培训时间长、培训内容丰富的，得 5 分； </w:t>
            </w:r>
          </w:p>
          <w:p>
            <w:pPr>
              <w:rPr>
                <w:rFonts w:ascii="宋体" w:hAnsi="宋体" w:cs="宋体"/>
                <w:szCs w:val="21"/>
                <w:highlight w:val="none"/>
              </w:rPr>
            </w:pPr>
            <w:r>
              <w:rPr>
                <w:rFonts w:hint="eastAsia" w:ascii="宋体" w:hAnsi="宋体" w:cs="宋体"/>
                <w:szCs w:val="21"/>
                <w:highlight w:val="none"/>
              </w:rPr>
              <w:t>方案较为详细、培训时间较长、培训内容较为丰富的，得 4 分；</w:t>
            </w:r>
          </w:p>
          <w:p>
            <w:pPr>
              <w:rPr>
                <w:rFonts w:ascii="宋体" w:hAnsi="宋体" w:cs="宋体"/>
                <w:szCs w:val="21"/>
                <w:highlight w:val="none"/>
              </w:rPr>
            </w:pPr>
            <w:r>
              <w:rPr>
                <w:rFonts w:hint="eastAsia" w:ascii="宋体" w:hAnsi="宋体" w:cs="宋体"/>
                <w:szCs w:val="21"/>
                <w:highlight w:val="none"/>
              </w:rPr>
              <w:t xml:space="preserve">具备基本方案、培训时间和内容一般的，得 2 分； </w:t>
            </w:r>
          </w:p>
          <w:p>
            <w:pPr>
              <w:rPr>
                <w:rFonts w:ascii="宋体" w:hAnsi="宋体" w:cs="宋体"/>
                <w:szCs w:val="21"/>
                <w:highlight w:val="none"/>
              </w:rPr>
            </w:pPr>
            <w:r>
              <w:rPr>
                <w:rFonts w:hint="eastAsia" w:ascii="宋体" w:hAnsi="宋体" w:cs="宋体"/>
                <w:szCs w:val="21"/>
                <w:highlight w:val="none"/>
              </w:rPr>
              <w:t xml:space="preserve">方案简单、培训时间和内容仅基本满足项目需求的，得 1 分； </w:t>
            </w:r>
          </w:p>
          <w:p>
            <w:pPr>
              <w:rPr>
                <w:rFonts w:ascii="宋体" w:hAnsi="宋体"/>
                <w:color w:val="auto"/>
                <w:szCs w:val="21"/>
                <w:highlight w:val="none"/>
              </w:rPr>
            </w:pPr>
            <w:r>
              <w:rPr>
                <w:rFonts w:hint="eastAsia" w:ascii="宋体" w:hAnsi="宋体" w:cs="宋体"/>
                <w:szCs w:val="21"/>
                <w:highlight w:val="none"/>
              </w:rPr>
              <w:t>不满足培训要求或未提供方案介绍的不得分。</w:t>
            </w:r>
          </w:p>
        </w:tc>
      </w:tr>
    </w:tbl>
    <w:p>
      <w:pPr>
        <w:rPr>
          <w:rFonts w:ascii="宋体"/>
          <w:b/>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w:t>
      </w:r>
      <w:r>
        <w:rPr>
          <w:rFonts w:hint="eastAsia" w:ascii="宋体"/>
          <w:b/>
          <w:bCs/>
          <w:color w:val="auto"/>
          <w:highlight w:val="none"/>
          <w:lang w:eastAsia="zh-CN"/>
        </w:rPr>
        <w:t>响应</w:t>
      </w:r>
      <w:r>
        <w:rPr>
          <w:rFonts w:hint="eastAsia" w:ascii="宋体"/>
          <w:b/>
          <w:bCs/>
          <w:color w:val="auto"/>
          <w:highlight w:val="none"/>
        </w:rPr>
        <w:t>文件中的页码和位置。无相关材料证实的，评选委员会有权做负偏离处理。</w:t>
      </w:r>
    </w:p>
    <w:p>
      <w:pPr>
        <w:rPr>
          <w:rFonts w:ascii="宋体"/>
          <w:b/>
          <w:color w:val="auto"/>
          <w:highlight w:val="none"/>
        </w:rPr>
      </w:pPr>
      <w:r>
        <w:rPr>
          <w:rFonts w:hint="eastAsia" w:ascii="宋体"/>
          <w:b/>
          <w:color w:val="auto"/>
          <w:highlight w:val="none"/>
        </w:rPr>
        <w:t>说明：</w:t>
      </w:r>
    </w:p>
    <w:p>
      <w:pPr>
        <w:adjustRightInd w:val="0"/>
        <w:snapToGrid w:val="0"/>
        <w:spacing w:line="360" w:lineRule="auto"/>
        <w:ind w:firstLine="420" w:firstLineChars="200"/>
        <w:rPr>
          <w:rFonts w:ascii="宋体" w:cs="宋体"/>
          <w:b/>
          <w:color w:val="auto"/>
          <w:kern w:val="0"/>
          <w:szCs w:val="21"/>
          <w:highlight w:val="none"/>
        </w:rPr>
      </w:pPr>
      <w:r>
        <w:rPr>
          <w:rFonts w:hint="eastAsia" w:ascii="宋体" w:cs="宋体"/>
          <w:color w:val="auto"/>
          <w:kern w:val="0"/>
          <w:szCs w:val="21"/>
          <w:highlight w:val="none"/>
        </w:rPr>
        <w:t>价格标部分优惠政策如下：</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2.小微企业的价格扣除</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2.1、对小微企业生产的产品给予参选价的10.00%价格扣除，用扣除后的价格参与评审。</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2.2、大中型企业和其他自然人、法人或者其他组织与小型、微型企业组成联合体共同参加参选，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2.3、小企业（含小型、微型企业）应当同时符合以下条件：</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（1）供应商为小企业，且符合中小企业划分标准；</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（2）提供本企业制造的货物、承担的工程或者服务，或者提供其他小企业制造的货物。如果提供的货物为大中型企业注册商标的货物，视同大中型企业。</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3.监狱和戒毒企业的价格扣除</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3.1.本项目对监狱和戒毒企业（简称监狱企业），给予10%的价格扣除，用扣除后的价格参与评审。</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3.2.监狱企业需提供由省级以上监狱管理局、戒毒管理局（含新疆生产建设兵团）出具的属于监狱企业的证明文件。</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3.3.监狱企业标准请参照《关于政府采购支持监狱企业发展有关问题的通知》（财库〔2014〕68号）。</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4.残疾人福利性单位的价格扣除</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4.1.本项目对残疾人福利性单位，给予10%的价格扣除，用扣除后的价格参与评审。</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4.2.残疾人福利单位需按照采购文件的要求提供《残疾人福利性单位声明函》。</w:t>
      </w:r>
    </w:p>
    <w:p>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4.3.残疾人福利单位标准请参照《关于促进残疾人就业政府采购政策的通知》（财库〔2017〕141号）。</w:t>
      </w:r>
    </w:p>
    <w:p>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cs="宋体"/>
          <w:color w:val="auto"/>
          <w:kern w:val="0"/>
          <w:szCs w:val="21"/>
          <w:highlight w:val="none"/>
        </w:rPr>
        <w:t>5.监狱企业、残疾人福利单位属于小型、微型企业的，不重复享受政策。</w:t>
      </w:r>
    </w:p>
    <w:p>
      <w:pPr>
        <w:adjustRightInd w:val="0"/>
        <w:snapToGrid w:val="0"/>
        <w:spacing w:line="360" w:lineRule="auto"/>
        <w:ind w:firstLine="420" w:firstLineChars="200"/>
        <w:rPr>
          <w:rFonts w:ascii="宋体" w:hAnsi="宋体"/>
          <w:color w:val="auto"/>
          <w:highlight w:val="none"/>
        </w:rPr>
      </w:pPr>
      <w:r>
        <w:rPr>
          <w:rFonts w:hint="eastAsia" w:ascii="宋体" w:hAnsi="宋体" w:cs="宋体"/>
          <w:color w:val="auto"/>
          <w:kern w:val="0"/>
          <w:szCs w:val="21"/>
          <w:highlight w:val="none"/>
        </w:rPr>
        <w:t>6.</w:t>
      </w:r>
      <w:r>
        <w:rPr>
          <w:rFonts w:hint="eastAsia" w:ascii="宋体" w:hAnsi="宋体"/>
          <w:bCs/>
          <w:color w:val="auto"/>
          <w:highlight w:val="none"/>
        </w:rPr>
        <w:t>所有认证、证明和业绩除上表要求外均须提供有效的证明材料复印件加盖公章，原件备查</w:t>
      </w:r>
      <w:r>
        <w:rPr>
          <w:rFonts w:hint="eastAsia" w:ascii="宋体" w:hAnsi="宋体"/>
          <w:color w:val="auto"/>
          <w:highlight w:val="none"/>
        </w:rPr>
        <w:t>。</w:t>
      </w:r>
    </w:p>
    <w:p>
      <w:pPr>
        <w:adjustRightInd w:val="0"/>
        <w:snapToGrid w:val="0"/>
        <w:spacing w:line="360" w:lineRule="auto"/>
        <w:ind w:firstLine="420" w:firstLineChars="200"/>
        <w:rPr>
          <w:rFonts w:ascii="宋体" w:hAnsi="宋体"/>
          <w:color w:val="auto"/>
          <w:highlight w:val="none"/>
        </w:rPr>
      </w:pPr>
    </w:p>
    <w:p>
      <w:pPr>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14:textFill>
            <w14:solidFill>
              <w14:schemeClr w14:val="tx1"/>
            </w14:solidFill>
          </w14:textFill>
        </w:rPr>
        <w:br w:type="page"/>
      </w:r>
    </w:p>
    <w:p>
      <w:pPr>
        <w:pStyle w:val="261"/>
        <w:numPr>
          <w:ilvl w:val="0"/>
          <w:numId w:val="54"/>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采购需求</w:t>
      </w:r>
    </w:p>
    <w:p>
      <w:pPr>
        <w:adjustRightInd w:val="0"/>
        <w:snapToGrid w:val="0"/>
        <w:spacing w:line="360" w:lineRule="auto"/>
        <w:rPr>
          <w:rFonts w:ascii="宋体" w:hAnsi="宋体"/>
          <w:b/>
          <w:sz w:val="28"/>
          <w:szCs w:val="28"/>
          <w:highlight w:val="none"/>
          <w:lang w:val="zh-CN"/>
        </w:rPr>
      </w:pPr>
      <w:r>
        <w:rPr>
          <w:rFonts w:hint="eastAsia" w:ascii="宋体" w:hAnsi="宋体"/>
          <w:b/>
          <w:sz w:val="28"/>
          <w:szCs w:val="28"/>
          <w:highlight w:val="none"/>
          <w:lang w:val="zh-CN"/>
        </w:rPr>
        <w:t>（一）货物清单</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2222"/>
        <w:gridCol w:w="1059"/>
        <w:gridCol w:w="1195"/>
        <w:gridCol w:w="3099"/>
        <w:gridCol w:w="1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708"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序号</w:t>
            </w:r>
          </w:p>
        </w:tc>
        <w:tc>
          <w:tcPr>
            <w:tcW w:w="2124"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名称</w:t>
            </w:r>
          </w:p>
        </w:tc>
        <w:tc>
          <w:tcPr>
            <w:tcW w:w="99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数量</w:t>
            </w:r>
          </w:p>
        </w:tc>
        <w:tc>
          <w:tcPr>
            <w:tcW w:w="1129"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是否核心产品</w:t>
            </w:r>
          </w:p>
        </w:tc>
        <w:tc>
          <w:tcPr>
            <w:tcW w:w="297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功能/型号/规格</w:t>
            </w:r>
          </w:p>
        </w:tc>
        <w:tc>
          <w:tcPr>
            <w:tcW w:w="127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总价</w:t>
            </w:r>
          </w:p>
          <w:p>
            <w:pPr>
              <w:adjustRightInd w:val="0"/>
              <w:snapToGrid w:val="0"/>
              <w:jc w:val="center"/>
              <w:rPr>
                <w:rFonts w:ascii="宋体" w:hAnsi="宋体" w:cs="宋体"/>
                <w:szCs w:val="21"/>
                <w:highlight w:val="none"/>
              </w:rPr>
            </w:pPr>
            <w:r>
              <w:rPr>
                <w:rFonts w:hint="eastAsia" w:ascii="宋体" w:hAnsi="宋体" w:cs="宋体"/>
                <w:szCs w:val="21"/>
                <w:highlight w:val="none"/>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08" w:type="dxa"/>
            <w:vAlign w:val="center"/>
          </w:tcPr>
          <w:p>
            <w:pPr>
              <w:adjustRightInd w:val="0"/>
              <w:snapToGrid w:val="0"/>
              <w:jc w:val="center"/>
              <w:rPr>
                <w:rFonts w:ascii="宋体" w:hAnsi="宋体" w:cs="宋体"/>
                <w:szCs w:val="21"/>
                <w:highlight w:val="none"/>
              </w:rPr>
            </w:pPr>
            <w:r>
              <w:rPr>
                <w:rFonts w:ascii="宋体" w:hAnsi="宋体" w:cs="宋体"/>
                <w:szCs w:val="21"/>
                <w:highlight w:val="none"/>
              </w:rPr>
              <w:t>1</w:t>
            </w:r>
          </w:p>
        </w:tc>
        <w:tc>
          <w:tcPr>
            <w:tcW w:w="2124"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超高真空分子束外延生长系统</w:t>
            </w:r>
          </w:p>
        </w:tc>
        <w:tc>
          <w:tcPr>
            <w:tcW w:w="99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1</w:t>
            </w:r>
          </w:p>
        </w:tc>
        <w:tc>
          <w:tcPr>
            <w:tcW w:w="1129"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是</w:t>
            </w:r>
          </w:p>
        </w:tc>
        <w:tc>
          <w:tcPr>
            <w:tcW w:w="2976" w:type="dxa"/>
            <w:vAlign w:val="center"/>
          </w:tcPr>
          <w:p>
            <w:pPr>
              <w:adjustRightInd w:val="0"/>
              <w:snapToGrid w:val="0"/>
              <w:jc w:val="left"/>
              <w:rPr>
                <w:rFonts w:ascii="宋体" w:hAnsi="宋体" w:cs="宋体"/>
                <w:szCs w:val="21"/>
                <w:highlight w:val="none"/>
              </w:rPr>
            </w:pPr>
            <w:r>
              <w:rPr>
                <w:rFonts w:hint="eastAsia" w:ascii="宋体" w:hAnsi="宋体" w:cs="宋体"/>
                <w:szCs w:val="21"/>
                <w:highlight w:val="none"/>
              </w:rPr>
              <w:t>超高真空分子束外延生长系统</w:t>
            </w:r>
          </w:p>
        </w:tc>
        <w:tc>
          <w:tcPr>
            <w:tcW w:w="127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4957" w:type="dxa"/>
            <w:gridSpan w:val="4"/>
            <w:vAlign w:val="center"/>
          </w:tcPr>
          <w:p>
            <w:pPr>
              <w:adjustRightInd w:val="0"/>
              <w:snapToGrid w:val="0"/>
              <w:jc w:val="center"/>
              <w:rPr>
                <w:rFonts w:ascii="宋体" w:hAnsi="宋体" w:cs="宋体"/>
                <w:szCs w:val="21"/>
                <w:highlight w:val="none"/>
              </w:rPr>
            </w:pPr>
            <w:r>
              <w:rPr>
                <w:rFonts w:hint="eastAsia" w:ascii="宋体" w:hAnsi="宋体" w:cs="宋体"/>
                <w:b/>
                <w:szCs w:val="21"/>
                <w:highlight w:val="none"/>
              </w:rPr>
              <w:t>总价超过此价格的报价作无效标处理</w:t>
            </w:r>
          </w:p>
        </w:tc>
        <w:tc>
          <w:tcPr>
            <w:tcW w:w="297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总计</w:t>
            </w:r>
          </w:p>
        </w:tc>
        <w:tc>
          <w:tcPr>
            <w:tcW w:w="1276" w:type="dxa"/>
            <w:vAlign w:val="center"/>
          </w:tcPr>
          <w:p>
            <w:pPr>
              <w:adjustRightInd w:val="0"/>
              <w:snapToGrid w:val="0"/>
              <w:jc w:val="center"/>
              <w:rPr>
                <w:rFonts w:ascii="宋体" w:hAnsi="宋体" w:cs="宋体"/>
                <w:szCs w:val="21"/>
                <w:highlight w:val="none"/>
              </w:rPr>
            </w:pPr>
            <w:r>
              <w:rPr>
                <w:rFonts w:hint="eastAsia" w:ascii="宋体" w:hAnsi="宋体" w:cs="宋体"/>
                <w:szCs w:val="21"/>
                <w:highlight w:val="none"/>
              </w:rPr>
              <w:t>80</w:t>
            </w:r>
          </w:p>
        </w:tc>
      </w:tr>
    </w:tbl>
    <w:p>
      <w:pPr>
        <w:adjustRightInd w:val="0"/>
        <w:snapToGrid w:val="0"/>
        <w:spacing w:line="360" w:lineRule="auto"/>
        <w:ind w:firstLine="420" w:firstLineChars="200"/>
        <w:rPr>
          <w:rFonts w:ascii="宋体" w:hAnsi="宋体" w:cs="宋体"/>
          <w:szCs w:val="21"/>
          <w:highlight w:val="none"/>
        </w:rPr>
      </w:pPr>
    </w:p>
    <w:p>
      <w:pPr>
        <w:adjustRightInd w:val="0"/>
        <w:snapToGrid w:val="0"/>
        <w:spacing w:line="360" w:lineRule="auto"/>
        <w:rPr>
          <w:rFonts w:ascii="宋体" w:hAnsi="宋体" w:cs="宋体"/>
          <w:b/>
          <w:sz w:val="28"/>
          <w:szCs w:val="28"/>
          <w:highlight w:val="none"/>
        </w:rPr>
      </w:pPr>
      <w:r>
        <w:rPr>
          <w:rFonts w:hint="eastAsia" w:ascii="宋体" w:hAnsi="宋体" w:cs="宋体"/>
          <w:b/>
          <w:sz w:val="28"/>
          <w:szCs w:val="28"/>
          <w:highlight w:val="none"/>
        </w:rPr>
        <w:t>（二）商务要求</w:t>
      </w:r>
    </w:p>
    <w:p>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1.付款方式：</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到货并安装调试完毕，验收合格后30日内付至合同总价的100%。</w:t>
      </w:r>
    </w:p>
    <w:p>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2.质保期：</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质保期1年，自验收合格次日起算。质保期内关于设备品质的问题所需要的维修费用（包括零部件费用、维修费用）均由供应商承担。</w:t>
      </w:r>
    </w:p>
    <w:p>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3.培训要求：</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供应商免费提供培训。</w:t>
      </w:r>
    </w:p>
    <w:p>
      <w:pPr>
        <w:adjustRightInd w:val="0"/>
        <w:snapToGrid w:val="0"/>
        <w:spacing w:line="360" w:lineRule="auto"/>
        <w:rPr>
          <w:rFonts w:ascii="宋体" w:hAnsi="宋体" w:cs="宋体"/>
          <w:b/>
          <w:szCs w:val="21"/>
          <w:highlight w:val="none"/>
        </w:rPr>
      </w:pPr>
      <w:r>
        <w:rPr>
          <w:rFonts w:hint="eastAsia" w:ascii="宋体" w:hAnsi="宋体" w:cs="宋体"/>
          <w:b/>
          <w:szCs w:val="21"/>
          <w:highlight w:val="none"/>
        </w:rPr>
        <w:t>4.交货期：</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合同签订生效后，3个月内安装、调试结束，验收合格，交付采购人使用。</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交货方式：按采购人要求运送到指定地点进行安装调试、达到验收标准。</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交货地点：南京邮电大学校内指定地点。</w:t>
      </w:r>
    </w:p>
    <w:p>
      <w:pPr>
        <w:adjustRightInd w:val="0"/>
        <w:snapToGrid w:val="0"/>
        <w:spacing w:line="360" w:lineRule="auto"/>
        <w:rPr>
          <w:rFonts w:ascii="宋体" w:hAnsi="宋体" w:cs="宋体"/>
          <w:b/>
          <w:bCs/>
          <w:szCs w:val="21"/>
          <w:highlight w:val="none"/>
        </w:rPr>
      </w:pPr>
      <w:r>
        <w:rPr>
          <w:rFonts w:hint="eastAsia" w:ascii="宋体" w:hAnsi="宋体" w:cs="宋体"/>
          <w:b/>
          <w:szCs w:val="21"/>
          <w:highlight w:val="none"/>
        </w:rPr>
        <w:t>5.</w:t>
      </w:r>
      <w:r>
        <w:rPr>
          <w:rFonts w:hint="eastAsia" w:ascii="宋体" w:hAnsi="宋体" w:cs="宋体"/>
          <w:b/>
          <w:bCs/>
          <w:szCs w:val="21"/>
          <w:highlight w:val="none"/>
        </w:rPr>
        <w:t>售后服务响应时间：</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提供全天候远程技术服务，若设备发生故障，</w:t>
      </w:r>
      <w:r>
        <w:rPr>
          <w:rFonts w:hint="eastAsia" w:ascii="宋体" w:hAnsi="宋体" w:cs="宋体"/>
          <w:szCs w:val="21"/>
          <w:highlight w:val="none"/>
          <w:lang w:eastAsia="zh-CN"/>
        </w:rPr>
        <w:t>供应商</w:t>
      </w:r>
      <w:r>
        <w:rPr>
          <w:rFonts w:hint="eastAsia" w:ascii="宋体" w:hAnsi="宋体" w:cs="宋体"/>
          <w:szCs w:val="21"/>
          <w:highlight w:val="none"/>
        </w:rPr>
        <w:t>应在收到用户的维修服务要求后</w:t>
      </w:r>
      <w:r>
        <w:rPr>
          <w:rFonts w:hint="eastAsia" w:ascii="宋体" w:hAnsi="宋体" w:cs="宋体"/>
          <w:szCs w:val="21"/>
          <w:highlight w:val="none"/>
          <w:lang w:eastAsia="zh-CN"/>
        </w:rPr>
        <w:t>2</w:t>
      </w:r>
      <w:r>
        <w:rPr>
          <w:rFonts w:hint="eastAsia" w:ascii="宋体" w:hAnsi="宋体" w:cs="宋体"/>
          <w:szCs w:val="21"/>
          <w:highlight w:val="none"/>
          <w:lang w:val="en-US" w:eastAsia="zh-CN"/>
        </w:rPr>
        <w:t>4</w:t>
      </w:r>
      <w:r>
        <w:rPr>
          <w:rFonts w:hint="eastAsia" w:ascii="宋体" w:hAnsi="宋体" w:cs="宋体"/>
          <w:szCs w:val="21"/>
          <w:highlight w:val="none"/>
        </w:rPr>
        <w:t>个小时内作出响应，在</w:t>
      </w:r>
      <w:r>
        <w:rPr>
          <w:rFonts w:hint="eastAsia" w:ascii="宋体" w:hAnsi="宋体" w:cs="宋体"/>
          <w:szCs w:val="21"/>
          <w:highlight w:val="none"/>
          <w:lang w:eastAsia="zh-CN"/>
        </w:rPr>
        <w:t>4</w:t>
      </w:r>
      <w:r>
        <w:rPr>
          <w:rFonts w:hint="eastAsia" w:ascii="宋体" w:hAnsi="宋体" w:cs="宋体"/>
          <w:szCs w:val="21"/>
          <w:highlight w:val="none"/>
          <w:lang w:val="en-US" w:eastAsia="zh-CN"/>
        </w:rPr>
        <w:t>8</w:t>
      </w:r>
      <w:r>
        <w:rPr>
          <w:rFonts w:hint="eastAsia" w:ascii="宋体" w:hAnsi="宋体" w:cs="宋体"/>
          <w:szCs w:val="21"/>
          <w:highlight w:val="none"/>
        </w:rPr>
        <w:t>小时内赶到现场，查找原因，提供解决方案，解除故障完全恢复正常使用为止。</w:t>
      </w:r>
    </w:p>
    <w:p>
      <w:pPr>
        <w:adjustRightInd w:val="0"/>
        <w:snapToGrid w:val="0"/>
        <w:spacing w:line="360" w:lineRule="auto"/>
        <w:rPr>
          <w:rFonts w:ascii="宋体" w:hAnsi="宋体" w:cs="宋体"/>
          <w:b/>
          <w:sz w:val="28"/>
          <w:szCs w:val="28"/>
          <w:highlight w:val="none"/>
        </w:rPr>
      </w:pPr>
    </w:p>
    <w:p>
      <w:pPr>
        <w:adjustRightInd w:val="0"/>
        <w:snapToGrid w:val="0"/>
        <w:spacing w:line="360" w:lineRule="auto"/>
        <w:rPr>
          <w:highlight w:val="none"/>
        </w:rPr>
      </w:pPr>
      <w:r>
        <w:rPr>
          <w:rFonts w:hint="eastAsia" w:ascii="宋体" w:hAnsi="宋体" w:cs="宋体"/>
          <w:b/>
          <w:sz w:val="28"/>
          <w:szCs w:val="28"/>
          <w:highlight w:val="none"/>
        </w:rPr>
        <w:t>（三）</w:t>
      </w:r>
      <w:r>
        <w:rPr>
          <w:rFonts w:ascii="宋体" w:hAnsi="宋体" w:cs="宋体"/>
          <w:b/>
          <w:sz w:val="28"/>
          <w:szCs w:val="28"/>
          <w:highlight w:val="none"/>
        </w:rPr>
        <w:t>技术</w:t>
      </w:r>
      <w:r>
        <w:rPr>
          <w:rFonts w:hint="eastAsia" w:ascii="宋体" w:hAnsi="宋体" w:cs="宋体"/>
          <w:b/>
          <w:sz w:val="28"/>
          <w:szCs w:val="28"/>
          <w:highlight w:val="none"/>
        </w:rPr>
        <w:t>参数要求</w:t>
      </w:r>
    </w:p>
    <w:tbl>
      <w:tblPr>
        <w:tblStyle w:val="45"/>
        <w:tblW w:w="0" w:type="auto"/>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276"/>
        <w:gridCol w:w="5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4" w:type="dxa"/>
            <w:gridSpan w:val="3"/>
          </w:tcPr>
          <w:p>
            <w:pPr>
              <w:jc w:val="center"/>
              <w:rPr>
                <w:rFonts w:ascii="Times New Roman" w:hAnsi="Times New Roman" w:cs="Times New Roman (正文 CS 字体)"/>
                <w:bCs/>
                <w:highlight w:val="none"/>
              </w:rPr>
            </w:pPr>
            <w:r>
              <w:rPr>
                <w:rFonts w:hint="eastAsia"/>
                <w:bCs/>
                <w:highlight w:val="none"/>
              </w:rPr>
              <w:t>主要技术指标和关键配置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序号</w:t>
            </w:r>
          </w:p>
        </w:tc>
        <w:tc>
          <w:tcPr>
            <w:tcW w:w="1276"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项目</w:t>
            </w:r>
          </w:p>
        </w:tc>
        <w:tc>
          <w:tcPr>
            <w:tcW w:w="5891" w:type="dxa"/>
            <w:vAlign w:val="center"/>
          </w:tcPr>
          <w:p>
            <w:pPr>
              <w:jc w:val="center"/>
              <w:rPr>
                <w:rFonts w:ascii="Times New Roman" w:hAnsi="Times New Roman" w:cs="Times New Roman (正文 CS 字体)"/>
                <w:highlight w:val="none"/>
              </w:rPr>
            </w:pPr>
            <w:r>
              <w:rPr>
                <w:rFonts w:hint="eastAsia"/>
                <w:bCs/>
                <w:highlight w:val="none"/>
              </w:rPr>
              <w:t>技术</w:t>
            </w:r>
            <w:r>
              <w:rPr>
                <w:rFonts w:hint="eastAsia" w:ascii="Times New Roman" w:hAnsi="Times New Roman" w:cs="Times New Roman (正文 CS 字体)"/>
                <w:highlight w:val="none"/>
              </w:rPr>
              <w:t>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1</w:t>
            </w:r>
          </w:p>
        </w:tc>
        <w:tc>
          <w:tcPr>
            <w:tcW w:w="1276" w:type="dxa"/>
            <w:vAlign w:val="center"/>
          </w:tcPr>
          <w:p>
            <w:pPr>
              <w:jc w:val="center"/>
              <w:rPr>
                <w:highlight w:val="none"/>
              </w:rPr>
            </w:pPr>
            <w:r>
              <w:rPr>
                <w:rFonts w:hint="eastAsia" w:ascii="Times New Roman" w:hAnsi="Times New Roman" w:cs="Times New Roman (正文 CS 字体)"/>
                <w:highlight w:val="none"/>
              </w:rPr>
              <w:t>MBE腔体</w:t>
            </w:r>
          </w:p>
        </w:tc>
        <w:tc>
          <w:tcPr>
            <w:tcW w:w="5891" w:type="dxa"/>
            <w:vAlign w:val="center"/>
          </w:tcPr>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1.1、</w:t>
            </w:r>
            <w:r>
              <w:rPr>
                <w:rFonts w:ascii="Times New Roman" w:hAnsi="Times New Roman" w:cs="Times New Roman (正文 CS 字体)"/>
                <w:highlight w:val="none"/>
              </w:rPr>
              <w:t>真空</w:t>
            </w:r>
            <w:r>
              <w:rPr>
                <w:rFonts w:hint="eastAsia" w:ascii="Times New Roman" w:hAnsi="Times New Roman" w:cs="Times New Roman (正文 CS 字体)"/>
                <w:highlight w:val="none"/>
              </w:rPr>
              <w:t>要求腔体</w:t>
            </w:r>
            <w:r>
              <w:rPr>
                <w:rFonts w:ascii="Times New Roman" w:hAnsi="Times New Roman" w:cs="Times New Roman (正文 CS 字体)"/>
                <w:highlight w:val="none"/>
              </w:rPr>
              <w:t>漏率</w:t>
            </w:r>
            <w:r>
              <w:rPr>
                <w:rFonts w:hint="eastAsia" w:ascii="Times New Roman" w:hAnsi="Times New Roman" w:cs="Times New Roman (正文 CS 字体)"/>
                <w:highlight w:val="none"/>
              </w:rPr>
              <w:t>≤10</w:t>
            </w:r>
            <w:r>
              <w:rPr>
                <w:rFonts w:ascii="Times New Roman" w:hAnsi="Times New Roman" w:cs="Cambria Math"/>
                <w:highlight w:val="none"/>
                <w:vertAlign w:val="superscript"/>
              </w:rPr>
              <w:t>−</w:t>
            </w:r>
            <w:r>
              <w:rPr>
                <w:rFonts w:ascii="Times New Roman" w:hAnsi="Times New Roman" w:cs="Times New Roman (正文 CS 字体)"/>
                <w:highlight w:val="none"/>
                <w:vertAlign w:val="superscript"/>
              </w:rPr>
              <w:t>1</w:t>
            </w:r>
            <w:r>
              <w:rPr>
                <w:rFonts w:hint="eastAsia" w:ascii="Times New Roman" w:hAnsi="Times New Roman" w:cs="Times New Roman (正文 CS 字体)"/>
                <w:highlight w:val="none"/>
                <w:vertAlign w:val="superscript"/>
                <w:lang w:val="en-US" w:eastAsia="zh-CN"/>
              </w:rPr>
              <w:t>1</w:t>
            </w:r>
            <w:r>
              <w:rPr>
                <w:rFonts w:hint="eastAsia" w:ascii="Times New Roman" w:hAnsi="Times New Roman" w:cs="Times New Roman (正文 CS 字体)"/>
                <w:highlight w:val="none"/>
              </w:rPr>
              <w:t xml:space="preserve"> </w:t>
            </w:r>
            <w:r>
              <w:rPr>
                <w:rFonts w:ascii="Times New Roman" w:hAnsi="Times New Roman" w:cs="Times New Roman (正文 CS 字体)"/>
                <w:highlight w:val="none"/>
              </w:rPr>
              <w:t>mbar.L/s</w:t>
            </w:r>
            <w:r>
              <w:rPr>
                <w:rFonts w:hint="eastAsia" w:ascii="Times New Roman" w:hAnsi="Times New Roman" w:cs="Times New Roman (正文 CS 字体)"/>
                <w:highlight w:val="none"/>
              </w:rPr>
              <w:t>，</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1.2、本</w:t>
            </w:r>
            <w:r>
              <w:rPr>
                <w:rFonts w:ascii="Times New Roman" w:hAnsi="Times New Roman" w:cs="Times New Roman (正文 CS 字体)"/>
                <w:highlight w:val="none"/>
              </w:rPr>
              <w:t>底</w:t>
            </w:r>
            <w:r>
              <w:rPr>
                <w:rFonts w:hint="eastAsia" w:ascii="Times New Roman" w:hAnsi="Times New Roman" w:cs="Times New Roman (正文 CS 字体)"/>
                <w:highlight w:val="none"/>
              </w:rPr>
              <w:t>真空≤10</w:t>
            </w:r>
            <w:r>
              <w:rPr>
                <w:rFonts w:ascii="Times New Roman" w:hAnsi="Times New Roman" w:cs="Cambria Math"/>
                <w:highlight w:val="none"/>
                <w:vertAlign w:val="superscript"/>
              </w:rPr>
              <w:t>−</w:t>
            </w:r>
            <w:r>
              <w:rPr>
                <w:rFonts w:hint="eastAsia" w:ascii="Times New Roman" w:hAnsi="Times New Roman" w:cs="Cambria Math"/>
                <w:highlight w:val="none"/>
                <w:vertAlign w:val="superscript"/>
                <w:lang w:val="en-US" w:eastAsia="zh-CN"/>
              </w:rPr>
              <w:t>9</w:t>
            </w:r>
            <w:r>
              <w:rPr>
                <w:rFonts w:hint="eastAsia" w:ascii="Times New Roman" w:hAnsi="Times New Roman" w:cs="Times New Roman (正文 CS 字体)"/>
                <w:highlight w:val="none"/>
              </w:rPr>
              <w:t xml:space="preserve"> </w:t>
            </w:r>
            <w:r>
              <w:rPr>
                <w:rFonts w:ascii="Times New Roman" w:hAnsi="Times New Roman" w:cs="Times New Roman (正文 CS 字体)"/>
                <w:highlight w:val="none"/>
              </w:rPr>
              <w:t>mbar</w:t>
            </w:r>
            <w:r>
              <w:rPr>
                <w:rFonts w:hint="eastAsia" w:ascii="Times New Roman" w:hAnsi="Times New Roman" w:cs="Times New Roman (正文 CS 字体)"/>
                <w:highlight w:val="none"/>
              </w:rPr>
              <w:t>，</w:t>
            </w:r>
          </w:p>
          <w:p>
            <w:pPr>
              <w:rPr>
                <w:highlight w:val="none"/>
              </w:rPr>
            </w:pPr>
            <w:r>
              <w:rPr>
                <w:rFonts w:hint="eastAsia" w:ascii="Times New Roman" w:hAnsi="Times New Roman" w:cs="Times New Roman (正文 CS 字体)"/>
                <w:highlight w:val="none"/>
              </w:rPr>
              <w:t>1.3、配置前级泵、分子泵（含断电保护）、复合离子泵、真空规及控制器、气动挡板阀VAT、至少4个观察窗、至少6个蒸发源接口、观察窗挡板等。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2</w:t>
            </w:r>
          </w:p>
        </w:tc>
        <w:tc>
          <w:tcPr>
            <w:tcW w:w="1276"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样品控制</w:t>
            </w:r>
          </w:p>
        </w:tc>
        <w:tc>
          <w:tcPr>
            <w:tcW w:w="5891" w:type="dxa"/>
            <w:vAlign w:val="center"/>
          </w:tcPr>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2.1、</w:t>
            </w:r>
            <w:r>
              <w:rPr>
                <w:rFonts w:ascii="Times New Roman" w:hAnsi="Times New Roman" w:cs="Times New Roman (正文 CS 字体)"/>
                <w:highlight w:val="none"/>
              </w:rPr>
              <w:t>4轴高温样品台</w:t>
            </w:r>
            <w:r>
              <w:rPr>
                <w:rFonts w:hint="eastAsia" w:ascii="Times New Roman" w:hAnsi="Times New Roman" w:cs="Times New Roman (正文 CS 字体)"/>
                <w:highlight w:val="none"/>
              </w:rPr>
              <w:t>，F</w:t>
            </w:r>
            <w:r>
              <w:rPr>
                <w:rFonts w:ascii="Times New Roman" w:hAnsi="Times New Roman" w:cs="Times New Roman (正文 CS 字体)"/>
                <w:highlight w:val="none"/>
              </w:rPr>
              <w:t>lagtype</w:t>
            </w:r>
            <w:r>
              <w:rPr>
                <w:rFonts w:hint="eastAsia" w:ascii="Times New Roman" w:hAnsi="Times New Roman" w:cs="Times New Roman (正文 CS 字体)"/>
                <w:highlight w:val="none"/>
              </w:rPr>
              <w:t>样品架</w:t>
            </w:r>
            <w:r>
              <w:rPr>
                <w:rFonts w:ascii="Times New Roman" w:hAnsi="Times New Roman" w:cs="Times New Roman (正文 CS 字体)"/>
                <w:highlight w:val="none"/>
              </w:rPr>
              <w:t>；</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2.2、兼具</w:t>
            </w:r>
            <w:r>
              <w:rPr>
                <w:rFonts w:ascii="Times New Roman" w:hAnsi="Times New Roman" w:cs="Times New Roman (正文 CS 字体)"/>
                <w:highlight w:val="none"/>
              </w:rPr>
              <w:t>直接加热</w:t>
            </w:r>
            <w:r>
              <w:rPr>
                <w:rFonts w:hint="eastAsia" w:ascii="Times New Roman" w:hAnsi="Times New Roman" w:cs="Times New Roman (正文 CS 字体)"/>
                <w:highlight w:val="none"/>
              </w:rPr>
              <w:t>和</w:t>
            </w:r>
            <w:r>
              <w:rPr>
                <w:rFonts w:ascii="Times New Roman" w:hAnsi="Times New Roman" w:cs="Times New Roman (正文 CS 字体)"/>
                <w:highlight w:val="none"/>
              </w:rPr>
              <w:t>间接加热，</w:t>
            </w:r>
            <w:r>
              <w:rPr>
                <w:rFonts w:hint="eastAsia" w:ascii="Times New Roman" w:hAnsi="Times New Roman" w:cs="Times New Roman (正文 CS 字体)"/>
                <w:highlight w:val="none"/>
              </w:rPr>
              <w:t>间接加热</w:t>
            </w:r>
            <w:r>
              <w:rPr>
                <w:rFonts w:ascii="Times New Roman" w:hAnsi="Times New Roman" w:cs="Times New Roman (正文 CS 字体)"/>
                <w:highlight w:val="none"/>
              </w:rPr>
              <w:t>样品最高温度</w:t>
            </w:r>
            <w:r>
              <w:rPr>
                <w:rFonts w:hint="eastAsia" w:ascii="Times New Roman" w:hAnsi="Times New Roman" w:cs="Times New Roman (正文 CS 字体)"/>
                <w:highlight w:val="none"/>
              </w:rPr>
              <w:t>≥</w:t>
            </w:r>
            <w:r>
              <w:rPr>
                <w:rFonts w:ascii="Times New Roman" w:hAnsi="Times New Roman" w:cs="Times New Roman (正文 CS 字体)"/>
                <w:highlight w:val="none"/>
              </w:rPr>
              <w:t>1000℃</w:t>
            </w:r>
            <w:r>
              <w:rPr>
                <w:rFonts w:hint="eastAsia" w:ascii="Times New Roman" w:hAnsi="Times New Roman" w:cs="Times New Roman (正文 CS 字体)"/>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3</w:t>
            </w:r>
          </w:p>
        </w:tc>
        <w:tc>
          <w:tcPr>
            <w:tcW w:w="1276"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反射式高能电子衍射仪及采集</w:t>
            </w:r>
          </w:p>
        </w:tc>
        <w:tc>
          <w:tcPr>
            <w:tcW w:w="5891" w:type="dxa"/>
            <w:vAlign w:val="center"/>
          </w:tcPr>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3.1、</w:t>
            </w:r>
            <w:r>
              <w:rPr>
                <w:rFonts w:ascii="Times New Roman" w:hAnsi="Times New Roman" w:cs="Times New Roman (正文 CS 字体)"/>
                <w:highlight w:val="none"/>
              </w:rPr>
              <w:t>最大加速电压</w:t>
            </w:r>
            <w:r>
              <w:rPr>
                <w:rFonts w:hint="eastAsia" w:ascii="Times New Roman" w:hAnsi="Times New Roman" w:cs="Times New Roman (正文 CS 字体)"/>
                <w:highlight w:val="none"/>
              </w:rPr>
              <w:t>≥</w:t>
            </w:r>
            <w:r>
              <w:rPr>
                <w:rFonts w:ascii="Times New Roman" w:hAnsi="Times New Roman" w:cs="Times New Roman (正文 CS 字体)"/>
                <w:highlight w:val="none"/>
              </w:rPr>
              <w:t>30kV，</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3.2、</w:t>
            </w:r>
            <w:r>
              <w:rPr>
                <w:rFonts w:ascii="Times New Roman" w:hAnsi="Times New Roman" w:cs="Times New Roman (正文 CS 字体)"/>
                <w:highlight w:val="none"/>
              </w:rPr>
              <w:t>电子束聚焦直径</w:t>
            </w:r>
            <w:r>
              <w:rPr>
                <w:rFonts w:hint="eastAsia" w:ascii="Times New Roman" w:hAnsi="Times New Roman" w:cs="Times New Roman (正文 CS 字体)"/>
                <w:highlight w:val="none"/>
              </w:rPr>
              <w:t>≤</w:t>
            </w:r>
            <w:r>
              <w:rPr>
                <w:rFonts w:ascii="Times New Roman" w:hAnsi="Times New Roman" w:cs="Times New Roman (正文 CS 字体)"/>
                <w:highlight w:val="none"/>
              </w:rPr>
              <w:t>100 μm</w:t>
            </w:r>
            <w:r>
              <w:rPr>
                <w:rFonts w:hint="eastAsia" w:ascii="Times New Roman" w:hAnsi="Times New Roman" w:cs="Times New Roman (正文 CS 字体)"/>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4</w:t>
            </w:r>
          </w:p>
        </w:tc>
        <w:tc>
          <w:tcPr>
            <w:tcW w:w="1276" w:type="dxa"/>
            <w:vAlign w:val="center"/>
          </w:tcPr>
          <w:p>
            <w:pPr>
              <w:jc w:val="center"/>
              <w:rPr>
                <w:rFonts w:ascii="Times New Roman" w:hAnsi="Times New Roman" w:cs="Times New Roman (正文 CS 字体)"/>
                <w:highlight w:val="none"/>
              </w:rPr>
            </w:pPr>
            <w:r>
              <w:rPr>
                <w:rFonts w:ascii="Times New Roman" w:hAnsi="Times New Roman" w:cs="Times New Roman (正文 CS 字体)"/>
                <w:highlight w:val="none"/>
              </w:rPr>
              <w:t>中低温蒸发源炉</w:t>
            </w:r>
          </w:p>
        </w:tc>
        <w:tc>
          <w:tcPr>
            <w:tcW w:w="5891" w:type="dxa"/>
            <w:vAlign w:val="center"/>
          </w:tcPr>
          <w:p>
            <w:pPr>
              <w:rPr>
                <w:rFonts w:ascii="Times New Roman" w:hAnsi="Times New Roman" w:cs="Times New Roman (正文 CS 字体)"/>
                <w:highlight w:val="none"/>
              </w:rPr>
            </w:pPr>
            <w:r>
              <w:rPr>
                <w:rFonts w:hint="eastAsia" w:ascii="Times New Roman" w:hAnsi="Times New Roman" w:cs="Times New Roman (正文 CS 字体)"/>
                <w:highlight w:val="none"/>
              </w:rPr>
              <w:t>4.1、至少2套</w:t>
            </w:r>
            <w:r>
              <w:rPr>
                <w:rFonts w:ascii="Times New Roman" w:hAnsi="Times New Roman" w:cs="Times New Roman (正文 CS 字体)"/>
                <w:highlight w:val="none"/>
              </w:rPr>
              <w:t>蒸发源炉</w:t>
            </w:r>
            <w:r>
              <w:rPr>
                <w:rFonts w:hint="eastAsia" w:ascii="Times New Roman" w:hAnsi="Times New Roman" w:cs="Times New Roman (正文 CS 字体)"/>
                <w:highlight w:val="none"/>
              </w:rPr>
              <w:t>；</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4.2、其中中温炉最高温度≥1400</w:t>
            </w:r>
            <w:r>
              <w:rPr>
                <w:rFonts w:ascii="Times New Roman" w:hAnsi="Times New Roman" w:cs="Times New Roman (正文 CS 字体)"/>
                <w:highlight w:val="none"/>
              </w:rPr>
              <w:t>℃</w:t>
            </w:r>
            <w:r>
              <w:rPr>
                <w:rFonts w:hint="eastAsia" w:ascii="Times New Roman" w:hAnsi="Times New Roman" w:cs="Times New Roman (正文 CS 字体)"/>
                <w:highlight w:val="none"/>
              </w:rPr>
              <w:t>，</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4.3、控温稳定性≤</w:t>
            </w:r>
            <w:r>
              <w:rPr>
                <w:rFonts w:hint="eastAsia" w:ascii="宋体" w:hAnsi="宋体" w:cs="宋体"/>
                <w:highlight w:val="none"/>
              </w:rPr>
              <w:t>±</w:t>
            </w:r>
            <w:r>
              <w:rPr>
                <w:rFonts w:hint="eastAsia" w:ascii="Times New Roman" w:hAnsi="Times New Roman" w:cs="Times New Roman (正文 CS 字体)"/>
                <w:highlight w:val="none"/>
              </w:rPr>
              <w:t>0.1</w:t>
            </w:r>
            <w:r>
              <w:rPr>
                <w:rFonts w:hint="eastAsia" w:ascii="Times New Roman" w:hAnsi="Times New Roman" w:cs="Times New Roman (正文 CS 字体)"/>
                <w:highlight w:val="none"/>
                <w:vertAlign w:val="superscript"/>
              </w:rPr>
              <w:t>o</w:t>
            </w:r>
            <w:r>
              <w:rPr>
                <w:rFonts w:hint="eastAsia" w:ascii="Times New Roman" w:hAnsi="Times New Roman" w:cs="Times New Roman (正文 CS 字体)"/>
                <w:highlight w:val="none"/>
              </w:rPr>
              <w:t>C；</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4.4、各配置集成水冷，</w:t>
            </w:r>
          </w:p>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4.5、PID控制包含电源。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5</w:t>
            </w:r>
          </w:p>
        </w:tc>
        <w:tc>
          <w:tcPr>
            <w:tcW w:w="1276"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进样室</w:t>
            </w:r>
          </w:p>
        </w:tc>
        <w:tc>
          <w:tcPr>
            <w:tcW w:w="5891" w:type="dxa"/>
            <w:vAlign w:val="center"/>
          </w:tcPr>
          <w:p>
            <w:pPr>
              <w:rPr>
                <w:rFonts w:ascii="Times New Roman" w:hAnsi="Times New Roman" w:cs="Times New Roman (正文 CS 字体)"/>
                <w:highlight w:val="none"/>
              </w:rPr>
            </w:pPr>
            <w:r>
              <w:rPr>
                <w:rFonts w:hint="eastAsia" w:ascii="宋体" w:hAnsi="宋体"/>
                <w:b/>
                <w:bCs/>
                <w:szCs w:val="21"/>
                <w:highlight w:val="none"/>
              </w:rPr>
              <w:t>▲</w:t>
            </w:r>
            <w:r>
              <w:rPr>
                <w:rFonts w:hint="eastAsia" w:ascii="Times New Roman" w:hAnsi="Times New Roman" w:cs="Times New Roman (正文 CS 字体)"/>
                <w:highlight w:val="none"/>
              </w:rPr>
              <w:t>5.1、真空要求本</w:t>
            </w:r>
            <w:r>
              <w:rPr>
                <w:rFonts w:ascii="Times New Roman" w:hAnsi="Times New Roman" w:cs="Times New Roman (正文 CS 字体)"/>
                <w:highlight w:val="none"/>
              </w:rPr>
              <w:t>底</w:t>
            </w:r>
            <w:r>
              <w:rPr>
                <w:rFonts w:hint="eastAsia" w:ascii="Times New Roman" w:hAnsi="Times New Roman" w:cs="Times New Roman (正文 CS 字体)"/>
                <w:highlight w:val="none"/>
              </w:rPr>
              <w:t>真空至少达到10</w:t>
            </w:r>
            <w:r>
              <w:rPr>
                <w:rFonts w:ascii="Times New Roman" w:hAnsi="Times New Roman" w:cs="Cambria Math"/>
                <w:highlight w:val="none"/>
                <w:vertAlign w:val="superscript"/>
              </w:rPr>
              <w:t>−</w:t>
            </w:r>
            <w:r>
              <w:rPr>
                <w:rFonts w:hint="eastAsia" w:ascii="Times New Roman" w:hAnsi="Times New Roman" w:cs="Times New Roman (正文 CS 字体)"/>
                <w:highlight w:val="none"/>
                <w:vertAlign w:val="superscript"/>
              </w:rPr>
              <w:t>8</w:t>
            </w:r>
            <w:r>
              <w:rPr>
                <w:rFonts w:hint="eastAsia" w:ascii="Times New Roman" w:hAnsi="Times New Roman" w:cs="Times New Roman (正文 CS 字体)"/>
                <w:highlight w:val="none"/>
              </w:rPr>
              <w:t xml:space="preserve"> </w:t>
            </w:r>
            <w:r>
              <w:rPr>
                <w:rFonts w:ascii="Times New Roman" w:hAnsi="Times New Roman" w:cs="Times New Roman (正文 CS 字体)"/>
                <w:highlight w:val="none"/>
              </w:rPr>
              <w:t>mbar</w:t>
            </w:r>
            <w:r>
              <w:rPr>
                <w:rFonts w:hint="eastAsia" w:ascii="Times New Roman" w:hAnsi="Times New Roman" w:cs="Times New Roman (正文 CS 字体)"/>
                <w:highlight w:val="none"/>
              </w:rPr>
              <w:t>数量级；</w:t>
            </w:r>
          </w:p>
          <w:p>
            <w:pPr>
              <w:rPr>
                <w:rFonts w:ascii="Times New Roman" w:hAnsi="Times New Roman" w:cs="Times New Roman (正文 CS 字体)"/>
                <w:highlight w:val="none"/>
              </w:rPr>
            </w:pPr>
            <w:r>
              <w:rPr>
                <w:rFonts w:hint="eastAsia" w:ascii="Times New Roman" w:hAnsi="Times New Roman" w:cs="Times New Roman (正文 CS 字体)"/>
                <w:highlight w:val="none"/>
              </w:rPr>
              <w:t>5.2、配置腔体、闸板阀、角阀、快开门观察窗、全量程真空计、储样台、磁力杆和旋转抓取头（适配Flagtype样品托）、进气阀等。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87"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6</w:t>
            </w:r>
          </w:p>
        </w:tc>
        <w:tc>
          <w:tcPr>
            <w:tcW w:w="1276" w:type="dxa"/>
            <w:vAlign w:val="center"/>
          </w:tcPr>
          <w:p>
            <w:pPr>
              <w:jc w:val="center"/>
              <w:rPr>
                <w:rFonts w:ascii="Times New Roman" w:hAnsi="Times New Roman" w:cs="Times New Roman (正文 CS 字体)"/>
                <w:highlight w:val="none"/>
              </w:rPr>
            </w:pPr>
            <w:r>
              <w:rPr>
                <w:rFonts w:hint="eastAsia" w:ascii="Times New Roman" w:hAnsi="Times New Roman" w:cs="Times New Roman (正文 CS 字体)"/>
                <w:highlight w:val="none"/>
              </w:rPr>
              <w:t>其他</w:t>
            </w:r>
          </w:p>
        </w:tc>
        <w:tc>
          <w:tcPr>
            <w:tcW w:w="5891" w:type="dxa"/>
            <w:vAlign w:val="center"/>
          </w:tcPr>
          <w:p>
            <w:pPr>
              <w:rPr>
                <w:rFonts w:ascii="Times New Roman" w:hAnsi="Times New Roman" w:cs="Times New Roman (正文 CS 字体)"/>
                <w:highlight w:val="none"/>
              </w:rPr>
            </w:pPr>
            <w:r>
              <w:rPr>
                <w:rFonts w:hint="eastAsia" w:ascii="Times New Roman" w:hAnsi="Times New Roman" w:cs="Times New Roman (正文 CS 字体)"/>
                <w:highlight w:val="none"/>
              </w:rPr>
              <w:t>控制机柜、循环水冷机、烘烤加热配件等。</w:t>
            </w:r>
          </w:p>
        </w:tc>
      </w:tr>
    </w:tbl>
    <w:p>
      <w:pPr>
        <w:pStyle w:val="270"/>
        <w:adjustRightInd w:val="0"/>
        <w:snapToGrid w:val="0"/>
        <w:spacing w:line="360" w:lineRule="auto"/>
        <w:rPr>
          <w:rFonts w:ascii="宋体" w:hAnsi="宋体" w:cs="宋体"/>
          <w:kern w:val="0"/>
          <w:szCs w:val="21"/>
          <w:highlight w:val="none"/>
        </w:rPr>
      </w:pPr>
    </w:p>
    <w:p>
      <w:pPr>
        <w:pStyle w:val="270"/>
        <w:adjustRightInd w:val="0"/>
        <w:snapToGrid w:val="0"/>
        <w:spacing w:line="360" w:lineRule="auto"/>
        <w:rPr>
          <w:rFonts w:ascii="宋体" w:hAnsi="宋体"/>
          <w:b/>
          <w:bCs/>
          <w:szCs w:val="21"/>
          <w:highlight w:val="none"/>
        </w:rPr>
      </w:pPr>
      <w:r>
        <w:rPr>
          <w:rFonts w:hint="eastAsia" w:ascii="宋体" w:hAnsi="宋体"/>
          <w:b/>
          <w:bCs/>
          <w:szCs w:val="21"/>
          <w:highlight w:val="none"/>
        </w:rPr>
        <w:t>说明：</w:t>
      </w:r>
    </w:p>
    <w:p>
      <w:pPr>
        <w:pStyle w:val="270"/>
        <w:numPr>
          <w:ilvl w:val="0"/>
          <w:numId w:val="55"/>
        </w:numPr>
        <w:adjustRightInd w:val="0"/>
        <w:snapToGrid w:val="0"/>
        <w:spacing w:line="360" w:lineRule="auto"/>
        <w:rPr>
          <w:rFonts w:ascii="宋体" w:hAnsi="宋体"/>
          <w:b/>
          <w:bCs/>
          <w:szCs w:val="21"/>
          <w:highlight w:val="none"/>
        </w:rPr>
      </w:pPr>
      <w:r>
        <w:rPr>
          <w:rFonts w:hint="eastAsia" w:ascii="宋体" w:hAnsi="宋体"/>
          <w:b/>
          <w:bCs/>
          <w:szCs w:val="21"/>
          <w:highlight w:val="none"/>
        </w:rPr>
        <w:t>采购人需求中打“▲”号条款为重点评审响应条款，</w:t>
      </w:r>
      <w:r>
        <w:rPr>
          <w:rFonts w:hint="eastAsia" w:ascii="宋体" w:hAnsi="宋体"/>
          <w:b/>
          <w:bCs/>
          <w:szCs w:val="21"/>
          <w:highlight w:val="none"/>
          <w:lang w:eastAsia="zh-CN"/>
        </w:rPr>
        <w:t>供应商</w:t>
      </w:r>
      <w:r>
        <w:rPr>
          <w:rFonts w:hint="eastAsia" w:ascii="宋体" w:hAnsi="宋体"/>
          <w:b/>
          <w:bCs/>
          <w:szCs w:val="21"/>
          <w:highlight w:val="none"/>
        </w:rPr>
        <w:t>如有任何一条负偏离则影响评分。所有对标“▲”技术内容的响应均应提供支撑资料（明确说明该技术内容的公开发行的产品彩页、产品说明书或第三方检测机构的检测报告等证明材料）</w:t>
      </w:r>
    </w:p>
    <w:p>
      <w:pPr>
        <w:pStyle w:val="270"/>
        <w:adjustRightInd w:val="0"/>
        <w:snapToGrid w:val="0"/>
        <w:spacing w:line="360" w:lineRule="auto"/>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）凡属于政府强制采购节能产品，请</w:t>
      </w:r>
      <w:r>
        <w:rPr>
          <w:rFonts w:hint="eastAsia"/>
          <w:color w:val="000000" w:themeColor="text1"/>
          <w:highlight w:val="none"/>
          <w:lang w:eastAsia="zh-CN"/>
          <w14:textFill>
            <w14:solidFill>
              <w14:schemeClr w14:val="tx1"/>
            </w14:solidFill>
          </w14:textFill>
        </w:rPr>
        <w:t>供应商</w:t>
      </w:r>
      <w:r>
        <w:rPr>
          <w:rFonts w:hint="eastAsia" w:ascii="宋体" w:hAnsi="宋体"/>
          <w:bCs/>
          <w:szCs w:val="21"/>
          <w:highlight w:val="none"/>
        </w:rPr>
        <w:t>承诺在交货时提供《节能产品政府采购清单》中的产品。（注：《节能产品政府采购清单》</w:t>
      </w:r>
      <w:r>
        <w:rPr>
          <w:rFonts w:hint="eastAsia"/>
          <w:color w:val="000000" w:themeColor="text1"/>
          <w:highlight w:val="none"/>
          <w:lang w:eastAsia="zh-CN"/>
          <w14:textFill>
            <w14:solidFill>
              <w14:schemeClr w14:val="tx1"/>
            </w14:solidFill>
          </w14:textFill>
        </w:rPr>
        <w:t>供应商</w:t>
      </w:r>
      <w:r>
        <w:rPr>
          <w:rFonts w:hint="eastAsia" w:ascii="宋体" w:hAnsi="宋体"/>
          <w:bCs/>
          <w:szCs w:val="21"/>
          <w:highlight w:val="none"/>
        </w:rPr>
        <w:t>可查询中国政府采购网&lt;http://www.ccgp.gov.cn）</w:t>
      </w:r>
    </w:p>
    <w:p>
      <w:pPr>
        <w:pStyle w:val="270"/>
        <w:adjustRightInd w:val="0"/>
        <w:snapToGrid w:val="0"/>
        <w:spacing w:line="360" w:lineRule="auto"/>
        <w:rPr>
          <w:rFonts w:ascii="宋体" w:hAnsi="宋体"/>
          <w:highlight w:val="none"/>
        </w:rPr>
      </w:pPr>
      <w:r>
        <w:rPr>
          <w:rFonts w:hint="eastAsia" w:ascii="宋体" w:hAnsi="宋体"/>
          <w:bCs/>
          <w:szCs w:val="21"/>
          <w:highlight w:val="none"/>
        </w:rPr>
        <w:t>（</w:t>
      </w:r>
      <w:r>
        <w:rPr>
          <w:rFonts w:ascii="宋体" w:hAnsi="宋体"/>
          <w:bCs/>
          <w:szCs w:val="21"/>
          <w:highlight w:val="none"/>
        </w:rPr>
        <w:t>3</w:t>
      </w:r>
      <w:r>
        <w:rPr>
          <w:rFonts w:hint="eastAsia" w:ascii="宋体" w:hAnsi="宋体"/>
          <w:bCs/>
          <w:szCs w:val="21"/>
          <w:highlight w:val="none"/>
        </w:rPr>
        <w:t>）凡属于《中华人民共和国实施强制性产品认证的产品目录》的产品，交货时不能提供超出此目录范畴外的替代品，产品还须同时具备国家认证认可监督管理委员会颁布的《中国强制认证》（CCC认证）。</w:t>
      </w:r>
    </w:p>
    <w:p>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r>
        <w:rPr>
          <w:rFonts w:ascii="宋体" w:hAnsi="宋体"/>
          <w:color w:val="auto"/>
          <w:highlight w:val="none"/>
        </w:rPr>
        <w:br w:type="page"/>
      </w:r>
    </w:p>
    <w:p>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pPr>
        <w:pStyle w:val="17"/>
        <w:ind w:firstLine="480"/>
        <w:rPr>
          <w:color w:val="000000" w:themeColor="text1"/>
          <w:highlight w:val="none"/>
          <w14:textFill>
            <w14:solidFill>
              <w14:schemeClr w14:val="tx1"/>
            </w14:solidFill>
          </w14:textFill>
        </w:rPr>
      </w:pPr>
      <w:bookmarkStart w:id="6" w:name="_Toc20823315"/>
      <w:bookmarkStart w:id="7" w:name="_Toc513029243"/>
      <w:bookmarkStart w:id="8"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6"/>
    <w:bookmarkEnd w:id="7"/>
    <w:bookmarkEnd w:id="8"/>
    <w:p>
      <w:pPr>
        <w:widowControl/>
        <w:snapToGrid w:val="0"/>
        <w:spacing w:before="19"/>
        <w:ind w:left="-358" w:leftChars="-255" w:right="-334" w:rightChars="-159" w:hanging="177" w:hangingChars="49"/>
        <w:jc w:val="center"/>
        <w:rPr>
          <w:rFonts w:ascii="仿宋_GB2312" w:eastAsia="仿宋_GB2312"/>
          <w:b/>
          <w:sz w:val="36"/>
          <w:highlight w:val="none"/>
        </w:rPr>
      </w:pPr>
      <w:bookmarkStart w:id="9" w:name="_Hlt16619369"/>
      <w:bookmarkEnd w:id="9"/>
      <w:r>
        <w:rPr>
          <w:rFonts w:hint="eastAsia" w:ascii="仿宋_GB2312" w:eastAsia="仿宋_GB2312"/>
          <w:b/>
          <w:sz w:val="36"/>
          <w:highlight w:val="none"/>
        </w:rPr>
        <w:t>南京邮电大学采购合同</w:t>
      </w:r>
    </w:p>
    <w:p>
      <w:pPr>
        <w:wordWrap w:val="0"/>
        <w:spacing w:line="240" w:lineRule="atLeast"/>
        <w:rPr>
          <w:rFonts w:ascii="仿宋_GB2312"/>
          <w:sz w:val="24"/>
          <w:highlight w:val="none"/>
        </w:rPr>
      </w:pPr>
      <w:r>
        <w:rPr>
          <w:rFonts w:hint="eastAsia" w:ascii="仿宋_GB2312"/>
          <w:sz w:val="24"/>
          <w:highlight w:val="none"/>
        </w:rPr>
        <w:t>甲方：南京邮电大学                             签订地点：南京邮电大学</w:t>
      </w:r>
    </w:p>
    <w:p>
      <w:pPr>
        <w:widowControl/>
        <w:snapToGrid w:val="0"/>
        <w:spacing w:before="19"/>
        <w:rPr>
          <w:rFonts w:ascii="仿宋_GB2312"/>
          <w:sz w:val="24"/>
          <w:highlight w:val="none"/>
        </w:rPr>
      </w:pPr>
      <w:r>
        <w:rPr>
          <w:rFonts w:hint="eastAsia" w:ascii="仿宋_GB2312"/>
          <w:sz w:val="24"/>
          <w:highlight w:val="none"/>
        </w:rPr>
        <w:t xml:space="preserve">乙方：                                          </w:t>
      </w:r>
    </w:p>
    <w:p>
      <w:pPr>
        <w:widowControl/>
        <w:snapToGrid w:val="0"/>
        <w:spacing w:before="19"/>
        <w:rPr>
          <w:rFonts w:ascii="仿宋_GB2312"/>
          <w:sz w:val="24"/>
          <w:highlight w:val="none"/>
        </w:rPr>
      </w:pPr>
      <w:r>
        <w:rPr>
          <w:rFonts w:hint="eastAsia" w:ascii="仿宋_GB2312"/>
          <w:sz w:val="24"/>
          <w:highlight w:val="none"/>
        </w:rPr>
        <w:t xml:space="preserve">    甲乙双方根据</w:t>
      </w:r>
      <w:r>
        <w:rPr>
          <w:rFonts w:hint="eastAsia" w:hAnsi="宋体"/>
          <w:sz w:val="24"/>
          <w:highlight w:val="none"/>
          <w:u w:val="single"/>
        </w:rPr>
        <w:t xml:space="preserve">                </w:t>
      </w:r>
      <w:r>
        <w:rPr>
          <w:sz w:val="24"/>
          <w:highlight w:val="none"/>
          <w:u w:val="single"/>
        </w:rPr>
        <w:t xml:space="preserve">  </w:t>
      </w:r>
      <w:r>
        <w:rPr>
          <w:rFonts w:hint="eastAsia" w:hAnsi="宋体"/>
          <w:sz w:val="24"/>
          <w:highlight w:val="none"/>
        </w:rPr>
        <w:t>项目</w:t>
      </w:r>
      <w:r>
        <w:rPr>
          <w:rFonts w:hint="eastAsia" w:ascii="仿宋_GB2312"/>
          <w:sz w:val="24"/>
          <w:highlight w:val="none"/>
        </w:rPr>
        <w:t>采购结果,依据《中华人民共和国民法典》合同编及相关法律规定，达成如下货物购销合同:</w:t>
      </w:r>
    </w:p>
    <w:p>
      <w:pPr>
        <w:widowControl/>
        <w:snapToGrid w:val="0"/>
        <w:spacing w:before="19"/>
        <w:rPr>
          <w:rFonts w:ascii="仿宋_GB2312"/>
          <w:sz w:val="24"/>
          <w:highlight w:val="none"/>
        </w:rPr>
      </w:pPr>
      <w:r>
        <w:rPr>
          <w:rFonts w:hint="eastAsia" w:ascii="仿宋_GB2312"/>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规</w:t>
            </w:r>
            <w:r>
              <w:rPr>
                <w:rFonts w:ascii="Arial" w:hAnsi="Arial" w:eastAsia="楷体_GB2312"/>
                <w:b/>
                <w:sz w:val="24"/>
                <w:highlight w:val="none"/>
              </w:rPr>
              <w:t xml:space="preserve"> </w:t>
            </w:r>
            <w:r>
              <w:rPr>
                <w:rFonts w:hint="eastAsia" w:ascii="Arial" w:hAnsi="Arial" w:eastAsia="楷体_GB2312"/>
                <w:b/>
                <w:sz w:val="24"/>
                <w:highlight w:val="none"/>
              </w:rPr>
              <w:t>格</w:t>
            </w:r>
            <w:r>
              <w:rPr>
                <w:rFonts w:ascii="Arial" w:hAnsi="Arial" w:eastAsia="楷体_GB2312"/>
                <w:b/>
                <w:sz w:val="24"/>
                <w:highlight w:val="none"/>
              </w:rPr>
              <w:t xml:space="preserve"> </w:t>
            </w:r>
            <w:r>
              <w:rPr>
                <w:rFonts w:hint="eastAsia" w:ascii="Arial" w:hAnsi="Arial" w:eastAsia="楷体_GB2312"/>
                <w:b/>
                <w:sz w:val="24"/>
                <w:highlight w:val="none"/>
              </w:rPr>
              <w:t>型</w:t>
            </w:r>
            <w:r>
              <w:rPr>
                <w:rFonts w:ascii="Arial" w:hAnsi="Arial" w:eastAsia="楷体_GB2312"/>
                <w:b/>
                <w:sz w:val="24"/>
                <w:highlight w:val="none"/>
              </w:rPr>
              <w:t xml:space="preserve"> </w:t>
            </w:r>
            <w:r>
              <w:rPr>
                <w:rFonts w:hint="eastAsia" w:ascii="Arial" w:hAnsi="Arial" w:eastAsia="楷体_GB2312"/>
                <w:b/>
                <w:sz w:val="24"/>
                <w:highlight w:val="none"/>
              </w:rPr>
              <w:t>号（品牌）</w:t>
            </w:r>
          </w:p>
        </w:tc>
        <w:tc>
          <w:tcPr>
            <w:tcW w:w="1080" w:type="dxa"/>
            <w:tcBorders>
              <w:top w:val="single" w:color="auto" w:sz="18" w:space="0"/>
              <w:bottom w:val="single" w:color="auto" w:sz="18" w:space="0"/>
            </w:tcBorders>
            <w:shd w:val="pct10" w:color="auto" w:fill="FFFFFF"/>
            <w:vAlign w:val="center"/>
          </w:tcPr>
          <w:p>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pPr>
              <w:widowControl/>
              <w:jc w:val="left"/>
              <w:rPr>
                <w:rFonts w:ascii="Arial" w:hAnsi="Arial" w:eastAsia="楷体_GB2312"/>
                <w:b/>
                <w:sz w:val="24"/>
                <w:highlight w:val="none"/>
              </w:rPr>
            </w:pPr>
            <w:r>
              <w:rPr>
                <w:rFonts w:hint="eastAsia" w:ascii="Arial" w:hAnsi="Arial" w:eastAsia="楷体_GB2312"/>
                <w:b/>
                <w:sz w:val="24"/>
                <w:highlight w:val="none"/>
              </w:rPr>
              <w:t>总价（元）</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pPr>
              <w:snapToGrid w:val="0"/>
              <w:spacing w:line="600" w:lineRule="atLeast"/>
              <w:rPr>
                <w:rFonts w:ascii="Arial" w:hAnsi="Arial"/>
                <w:b/>
                <w:sz w:val="24"/>
                <w:highlight w:val="none"/>
              </w:rPr>
            </w:pPr>
            <w:r>
              <w:rPr>
                <w:rFonts w:hint="eastAsia" w:ascii="Arial" w:hAnsi="Arial"/>
                <w:b/>
                <w:sz w:val="24"/>
                <w:highlight w:val="none"/>
              </w:rPr>
              <w:t>1</w:t>
            </w:r>
          </w:p>
        </w:tc>
        <w:tc>
          <w:tcPr>
            <w:tcW w:w="1260" w:type="dxa"/>
            <w:tcBorders>
              <w:top w:val="nil"/>
              <w:bottom w:val="single" w:color="auto" w:sz="4" w:space="0"/>
            </w:tcBorders>
            <w:vAlign w:val="center"/>
          </w:tcPr>
          <w:p>
            <w:pPr>
              <w:snapToGrid w:val="0"/>
              <w:spacing w:line="600" w:lineRule="atLeast"/>
              <w:jc w:val="center"/>
              <w:rPr>
                <w:highlight w:val="none"/>
              </w:rPr>
            </w:pPr>
          </w:p>
        </w:tc>
        <w:tc>
          <w:tcPr>
            <w:tcW w:w="4320" w:type="dxa"/>
            <w:tcBorders>
              <w:top w:val="nil"/>
              <w:bottom w:val="single" w:color="auto" w:sz="4" w:space="0"/>
            </w:tcBorders>
            <w:vAlign w:val="center"/>
          </w:tcPr>
          <w:p>
            <w:pPr>
              <w:spacing w:line="360" w:lineRule="auto"/>
              <w:rPr>
                <w:rFonts w:ascii="宋体" w:hAnsi="宋体" w:cs="宋体"/>
                <w:color w:val="000000"/>
                <w:szCs w:val="21"/>
                <w:highlight w:val="none"/>
              </w:rPr>
            </w:pPr>
          </w:p>
        </w:tc>
        <w:tc>
          <w:tcPr>
            <w:tcW w:w="1080" w:type="dxa"/>
            <w:tcBorders>
              <w:top w:val="nil"/>
              <w:bottom w:val="single" w:color="auto" w:sz="4" w:space="0"/>
            </w:tcBorders>
            <w:vAlign w:val="center"/>
          </w:tcPr>
          <w:p>
            <w:pPr>
              <w:snapToGrid w:val="0"/>
              <w:spacing w:line="600" w:lineRule="atLeast"/>
              <w:ind w:firstLine="118" w:firstLineChars="49"/>
              <w:rPr>
                <w:rFonts w:ascii="宋体" w:hAnsi="宋体"/>
                <w:b/>
                <w:sz w:val="24"/>
                <w:highlight w:val="none"/>
              </w:rPr>
            </w:pPr>
          </w:p>
        </w:tc>
        <w:tc>
          <w:tcPr>
            <w:tcW w:w="1080" w:type="dxa"/>
            <w:tcBorders>
              <w:top w:val="nil"/>
              <w:bottom w:val="single" w:color="auto" w:sz="4" w:space="0"/>
              <w:right w:val="single" w:color="auto" w:sz="4" w:space="0"/>
            </w:tcBorders>
            <w:vAlign w:val="center"/>
          </w:tcPr>
          <w:p>
            <w:pPr>
              <w:spacing w:line="240" w:lineRule="atLeast"/>
              <w:jc w:val="center"/>
              <w:rPr>
                <w:b/>
                <w:highlight w:val="none"/>
              </w:rPr>
            </w:pPr>
          </w:p>
        </w:tc>
        <w:tc>
          <w:tcPr>
            <w:tcW w:w="1260" w:type="dxa"/>
            <w:tcBorders>
              <w:top w:val="nil"/>
              <w:bottom w:val="single" w:color="auto" w:sz="4" w:space="0"/>
              <w:right w:val="single" w:color="auto" w:sz="4" w:space="0"/>
            </w:tcBorders>
            <w:vAlign w:val="center"/>
          </w:tcPr>
          <w:p>
            <w:pPr>
              <w:spacing w:line="360" w:lineRule="auto"/>
              <w:rPr>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pPr>
              <w:snapToGrid w:val="0"/>
              <w:spacing w:line="600" w:lineRule="atLeast"/>
              <w:rPr>
                <w:rFonts w:ascii="Arial" w:hAnsi="Arial"/>
                <w:b/>
                <w:sz w:val="24"/>
                <w:highlight w:val="none"/>
              </w:rPr>
            </w:pPr>
            <w:r>
              <w:rPr>
                <w:rFonts w:hint="eastAsia" w:ascii="Arial" w:hAnsi="Arial"/>
                <w:b/>
                <w:sz w:val="24"/>
                <w:highlight w:val="none"/>
              </w:rPr>
              <w:t>2</w:t>
            </w:r>
          </w:p>
        </w:tc>
        <w:tc>
          <w:tcPr>
            <w:tcW w:w="1260" w:type="dxa"/>
            <w:tcBorders>
              <w:top w:val="single" w:color="auto" w:sz="4" w:space="0"/>
              <w:bottom w:val="single" w:color="auto" w:sz="4" w:space="0"/>
            </w:tcBorders>
            <w:vAlign w:val="center"/>
          </w:tcPr>
          <w:p>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pPr>
              <w:spacing w:line="360" w:lineRule="auto"/>
              <w:rPr>
                <w:b/>
                <w:sz w:val="18"/>
                <w:szCs w:val="18"/>
                <w:highlight w:val="none"/>
              </w:rPr>
            </w:pPr>
          </w:p>
        </w:tc>
        <w:tc>
          <w:tcPr>
            <w:tcW w:w="1080" w:type="dxa"/>
            <w:tcBorders>
              <w:top w:val="single" w:color="auto" w:sz="4" w:space="0"/>
              <w:bottom w:val="single" w:color="auto" w:sz="4" w:space="0"/>
            </w:tcBorders>
            <w:vAlign w:val="center"/>
          </w:tcPr>
          <w:p>
            <w:pPr>
              <w:snapToGrid w:val="0"/>
              <w:spacing w:line="600" w:lineRule="atLeast"/>
              <w:ind w:firstLine="118" w:firstLineChars="49"/>
              <w:rPr>
                <w:rFonts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pPr>
              <w:snapToGrid w:val="0"/>
              <w:spacing w:line="600" w:lineRule="atLeast"/>
              <w:ind w:firstLine="118" w:firstLineChars="49"/>
              <w:rPr>
                <w:rFonts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pPr>
              <w:spacing w:line="360" w:lineRule="auto"/>
              <w:rPr>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pPr>
              <w:snapToGrid w:val="0"/>
              <w:spacing w:line="600" w:lineRule="atLeast"/>
              <w:rPr>
                <w:rFonts w:ascii="Arial" w:hAnsi="Arial"/>
                <w:b/>
                <w:sz w:val="24"/>
                <w:highlight w:val="none"/>
              </w:rPr>
            </w:pPr>
            <w:r>
              <w:rPr>
                <w:rFonts w:hint="eastAsia" w:ascii="Arial" w:hAnsi="Arial"/>
                <w:b/>
                <w:sz w:val="24"/>
                <w:highlight w:val="none"/>
              </w:rPr>
              <w:t>3</w:t>
            </w:r>
          </w:p>
        </w:tc>
        <w:tc>
          <w:tcPr>
            <w:tcW w:w="1260" w:type="dxa"/>
            <w:tcBorders>
              <w:top w:val="single" w:color="auto" w:sz="4" w:space="0"/>
              <w:bottom w:val="single" w:color="auto" w:sz="4" w:space="0"/>
            </w:tcBorders>
            <w:vAlign w:val="center"/>
          </w:tcPr>
          <w:p>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pPr>
              <w:spacing w:line="360" w:lineRule="auto"/>
              <w:rPr>
                <w:b/>
                <w:sz w:val="18"/>
                <w:szCs w:val="18"/>
                <w:highlight w:val="none"/>
              </w:rPr>
            </w:pPr>
          </w:p>
        </w:tc>
        <w:tc>
          <w:tcPr>
            <w:tcW w:w="1080" w:type="dxa"/>
            <w:tcBorders>
              <w:top w:val="single" w:color="auto" w:sz="4" w:space="0"/>
              <w:bottom w:val="single" w:color="auto" w:sz="4" w:space="0"/>
            </w:tcBorders>
            <w:vAlign w:val="center"/>
          </w:tcPr>
          <w:p>
            <w:pPr>
              <w:snapToGrid w:val="0"/>
              <w:spacing w:line="600" w:lineRule="atLeast"/>
              <w:ind w:firstLine="118" w:firstLineChars="49"/>
              <w:rPr>
                <w:rFonts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pPr>
              <w:snapToGrid w:val="0"/>
              <w:spacing w:line="600" w:lineRule="atLeast"/>
              <w:ind w:firstLine="118" w:firstLineChars="49"/>
              <w:rPr>
                <w:rFonts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pPr>
              <w:spacing w:line="360" w:lineRule="auto"/>
              <w:rPr>
                <w:highlight w:val="none"/>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pPr>
              <w:rPr>
                <w:highlight w:val="none"/>
              </w:rPr>
            </w:pPr>
            <w:r>
              <w:rPr>
                <w:rFonts w:hint="eastAsia"/>
                <w:b/>
                <w:sz w:val="18"/>
                <w:szCs w:val="18"/>
                <w:highlight w:val="none"/>
              </w:rPr>
              <w:t xml:space="preserve">总价（人民币大写）：                                     </w:t>
            </w:r>
            <w:r>
              <w:rPr>
                <w:rFonts w:hint="eastAsia"/>
                <w:highlight w:val="none"/>
              </w:rPr>
              <w:t>合计（小写）：        元</w:t>
            </w:r>
          </w:p>
          <w:p>
            <w:pPr>
              <w:rPr>
                <w:highlight w:val="none"/>
              </w:rPr>
            </w:pPr>
            <w:r>
              <w:rPr>
                <w:rFonts w:hint="eastAsia" w:ascii="宋体" w:hAnsi="宋体"/>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pPr>
        <w:widowControl/>
        <w:snapToGrid w:val="0"/>
        <w:spacing w:before="19"/>
        <w:rPr>
          <w:rFonts w:ascii="仿宋_GB2312"/>
          <w:sz w:val="24"/>
          <w:highlight w:val="none"/>
        </w:rPr>
      </w:pPr>
      <w:r>
        <w:rPr>
          <w:rFonts w:hint="eastAsia" w:ascii="仿宋_GB2312"/>
          <w:sz w:val="24"/>
          <w:highlight w:val="none"/>
        </w:rPr>
        <w:t>二、交货时间：</w:t>
      </w:r>
      <w:r>
        <w:rPr>
          <w:rFonts w:hint="eastAsia" w:ascii="仿宋_GB2312"/>
          <w:sz w:val="24"/>
          <w:highlight w:val="none"/>
          <w:u w:val="single"/>
        </w:rPr>
        <w:t xml:space="preserve"> 在甲方指定时间供货。</w:t>
      </w:r>
    </w:p>
    <w:p>
      <w:pPr>
        <w:widowControl/>
        <w:snapToGrid w:val="0"/>
        <w:spacing w:before="19"/>
        <w:rPr>
          <w:rFonts w:ascii="仿宋_GB2312"/>
          <w:sz w:val="24"/>
          <w:highlight w:val="none"/>
        </w:rPr>
      </w:pPr>
      <w:r>
        <w:rPr>
          <w:rFonts w:hint="eastAsia" w:ascii="仿宋_GB2312"/>
          <w:sz w:val="24"/>
          <w:highlight w:val="none"/>
        </w:rPr>
        <w:t>三、交货地点：由乙方负责运输至</w:t>
      </w:r>
      <w:r>
        <w:rPr>
          <w:rFonts w:hint="eastAsia" w:ascii="仿宋_GB2312"/>
          <w:sz w:val="24"/>
          <w:highlight w:val="none"/>
          <w:u w:val="single"/>
        </w:rPr>
        <w:t>甲方指定地点。</w:t>
      </w:r>
    </w:p>
    <w:p>
      <w:pPr>
        <w:widowControl/>
        <w:snapToGrid w:val="0"/>
        <w:spacing w:before="19"/>
        <w:rPr>
          <w:rFonts w:ascii="宋体"/>
          <w:sz w:val="24"/>
          <w:highlight w:val="none"/>
        </w:rPr>
      </w:pPr>
      <w:r>
        <w:rPr>
          <w:rFonts w:hint="eastAsia" w:ascii="宋体"/>
          <w:sz w:val="24"/>
          <w:highlight w:val="none"/>
        </w:rPr>
        <w:t>四、付款方式：到货并安装调试完毕，验收合格后30日内付至合同总价的100%。</w:t>
      </w:r>
    </w:p>
    <w:p>
      <w:pPr>
        <w:widowControl/>
        <w:snapToGrid w:val="0"/>
        <w:spacing w:before="19"/>
        <w:rPr>
          <w:rFonts w:ascii="仿宋_GB2312"/>
          <w:sz w:val="24"/>
          <w:highlight w:val="none"/>
        </w:rPr>
      </w:pPr>
      <w:r>
        <w:rPr>
          <w:rFonts w:hint="eastAsia" w:ascii="仿宋_GB2312"/>
          <w:sz w:val="24"/>
          <w:highlight w:val="none"/>
        </w:rPr>
        <w:t>五、质保期：</w:t>
      </w:r>
      <w:r>
        <w:rPr>
          <w:rFonts w:hint="eastAsia" w:ascii="宋体"/>
          <w:sz w:val="24"/>
          <w:highlight w:val="none"/>
        </w:rPr>
        <w:t>_______</w:t>
      </w:r>
      <w:r>
        <w:rPr>
          <w:rFonts w:hint="eastAsia" w:ascii="仿宋_GB2312"/>
          <w:sz w:val="24"/>
          <w:highlight w:val="none"/>
        </w:rPr>
        <w:t>(</w:t>
      </w:r>
      <w:r>
        <w:rPr>
          <w:rFonts w:hint="eastAsia" w:hAnsi="宋体"/>
          <w:sz w:val="24"/>
          <w:highlight w:val="none"/>
        </w:rPr>
        <w:t>自验收合格之日起计。</w:t>
      </w:r>
      <w:r>
        <w:rPr>
          <w:rFonts w:hint="eastAsia" w:ascii="仿宋_GB2312"/>
          <w:sz w:val="24"/>
          <w:highlight w:val="none"/>
        </w:rPr>
        <w:t>所有货物保修服务方式均为乙方派员到货物使用现场维修，由此产生的一切费用均由乙方承担。)</w:t>
      </w:r>
    </w:p>
    <w:p>
      <w:pPr>
        <w:widowControl/>
        <w:snapToGrid w:val="0"/>
        <w:spacing w:before="19"/>
        <w:rPr>
          <w:rFonts w:ascii="仿宋_GB2312"/>
          <w:sz w:val="24"/>
          <w:highlight w:val="none"/>
        </w:rPr>
      </w:pPr>
      <w:r>
        <w:rPr>
          <w:rFonts w:hint="eastAsia" w:ascii="宋体"/>
          <w:sz w:val="24"/>
          <w:highlight w:val="none"/>
        </w:rPr>
        <w:t>六、质量要求、技术标准、乙方对质量负责的条件和期限：</w:t>
      </w:r>
    </w:p>
    <w:p>
      <w:pPr>
        <w:widowControl/>
        <w:snapToGrid w:val="0"/>
        <w:spacing w:before="19"/>
        <w:ind w:left="555"/>
        <w:rPr>
          <w:rFonts w:ascii="仿宋_GB2312"/>
          <w:sz w:val="24"/>
          <w:highlight w:val="none"/>
        </w:rPr>
      </w:pPr>
      <w:r>
        <w:rPr>
          <w:rFonts w:hint="eastAsia" w:ascii="仿宋_GB2312"/>
          <w:sz w:val="24"/>
          <w:highlight w:val="none"/>
        </w:rPr>
        <w:t>1、乙方所提供的货物，若技术性能无特殊说明，则按生产企业或国家有关部门最新颁布的标准及规范为准。</w:t>
      </w:r>
    </w:p>
    <w:p>
      <w:pPr>
        <w:widowControl/>
        <w:snapToGrid w:val="0"/>
        <w:spacing w:before="19"/>
        <w:ind w:firstLine="600" w:firstLineChars="250"/>
        <w:rPr>
          <w:rFonts w:ascii="仿宋_GB2312"/>
          <w:sz w:val="24"/>
          <w:highlight w:val="none"/>
        </w:rPr>
      </w:pPr>
      <w:r>
        <w:rPr>
          <w:rFonts w:hint="eastAsia" w:ascii="仿宋_GB2312"/>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pPr>
        <w:widowControl/>
        <w:snapToGrid w:val="0"/>
        <w:spacing w:before="19"/>
        <w:rPr>
          <w:rFonts w:ascii="仿宋_GB2312"/>
          <w:sz w:val="24"/>
          <w:highlight w:val="none"/>
        </w:rPr>
      </w:pPr>
      <w:r>
        <w:rPr>
          <w:rFonts w:hint="eastAsia" w:ascii="仿宋_GB2312"/>
          <w:sz w:val="24"/>
          <w:highlight w:val="none"/>
        </w:rPr>
        <w:t>七、验收标准：甲方应当在到货且安装调试完成后</w:t>
      </w:r>
      <w:r>
        <w:rPr>
          <w:rFonts w:hint="eastAsia" w:ascii="宋体"/>
          <w:sz w:val="24"/>
          <w:highlight w:val="none"/>
        </w:rPr>
        <w:t>___10___日</w:t>
      </w:r>
      <w:r>
        <w:rPr>
          <w:rFonts w:hint="eastAsia" w:ascii="仿宋_GB2312"/>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pPr>
        <w:widowControl/>
        <w:snapToGrid w:val="0"/>
        <w:spacing w:before="19"/>
        <w:rPr>
          <w:rFonts w:ascii="仿宋_GB2312"/>
          <w:sz w:val="24"/>
          <w:highlight w:val="none"/>
        </w:rPr>
      </w:pPr>
      <w:r>
        <w:rPr>
          <w:rFonts w:hint="eastAsia" w:ascii="仿宋_GB2312"/>
          <w:sz w:val="24"/>
          <w:highlight w:val="none"/>
        </w:rPr>
        <w:t>八、 工程部分（两万元以上）需按南京邮电大学审计相关规定执行。</w:t>
      </w:r>
    </w:p>
    <w:p>
      <w:pPr>
        <w:widowControl/>
        <w:snapToGrid w:val="0"/>
        <w:spacing w:before="19"/>
        <w:rPr>
          <w:rFonts w:ascii="仿宋_GB2312"/>
          <w:sz w:val="24"/>
          <w:highlight w:val="none"/>
        </w:rPr>
      </w:pPr>
      <w:r>
        <w:rPr>
          <w:rFonts w:hint="eastAsia" w:ascii="仿宋_GB2312"/>
          <w:sz w:val="24"/>
          <w:highlight w:val="none"/>
        </w:rPr>
        <w:t>九、采购文件及响应为本合同的附件，与本合同具有同等法律效力。甲乙双方商定的其他必要文件，附件与本合同不相符合之处，以本合同内容为准。上述文件内容互为补充。</w:t>
      </w:r>
    </w:p>
    <w:p>
      <w:pPr>
        <w:widowControl/>
        <w:snapToGrid w:val="0"/>
        <w:spacing w:before="19"/>
        <w:rPr>
          <w:rFonts w:ascii="仿宋_GB2312"/>
          <w:sz w:val="24"/>
          <w:highlight w:val="none"/>
        </w:rPr>
      </w:pPr>
      <w:r>
        <w:rPr>
          <w:rFonts w:hint="eastAsia" w:ascii="仿宋_GB2312"/>
          <w:sz w:val="24"/>
          <w:highlight w:val="none"/>
        </w:rPr>
        <w:t>十、违约责任</w:t>
      </w:r>
    </w:p>
    <w:p>
      <w:pPr>
        <w:widowControl/>
        <w:snapToGrid w:val="0"/>
        <w:spacing w:before="19"/>
        <w:rPr>
          <w:rFonts w:ascii="仿宋_GB2312"/>
          <w:sz w:val="24"/>
          <w:highlight w:val="none"/>
        </w:rPr>
      </w:pPr>
      <w:r>
        <w:rPr>
          <w:rFonts w:hint="eastAsia" w:ascii="仿宋_GB2312"/>
          <w:sz w:val="24"/>
          <w:highlight w:val="none"/>
        </w:rPr>
        <w:t>1、甲方无正当理由拒收货物、拒付货物款的，由甲方向乙方偿付合同总价的5%违约金。如乙方不能交付货物，乙方应向甲方支付合同总价５％的违约金。</w:t>
      </w:r>
    </w:p>
    <w:p>
      <w:pPr>
        <w:spacing w:before="19"/>
        <w:rPr>
          <w:rFonts w:ascii="仿宋_GB2312"/>
          <w:sz w:val="24"/>
          <w:highlight w:val="none"/>
        </w:rPr>
      </w:pPr>
      <w:r>
        <w:rPr>
          <w:rFonts w:hint="eastAsia" w:ascii="仿宋_GB2312"/>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sz w:val="24"/>
          <w:highlight w:val="none"/>
        </w:rPr>
        <w:t>5%</w:t>
      </w:r>
      <w:r>
        <w:rPr>
          <w:rFonts w:hint="eastAsia" w:ascii="仿宋_GB2312"/>
          <w:sz w:val="24"/>
          <w:highlight w:val="none"/>
        </w:rPr>
        <w:t>的违约金，如造成甲方损失超过违约金的，超出部分由乙方继续承担赔偿责任。</w:t>
      </w:r>
      <w:r>
        <w:rPr>
          <w:rFonts w:ascii="仿宋_GB2312"/>
          <w:sz w:val="24"/>
          <w:highlight w:val="none"/>
        </w:rPr>
        <w:t xml:space="preserve"> </w:t>
      </w:r>
    </w:p>
    <w:p>
      <w:pPr>
        <w:spacing w:before="19"/>
        <w:rPr>
          <w:rFonts w:ascii="仿宋_GB2312"/>
          <w:sz w:val="24"/>
          <w:highlight w:val="none"/>
        </w:rPr>
      </w:pPr>
      <w:r>
        <w:rPr>
          <w:rFonts w:hint="eastAsia" w:ascii="仿宋_GB2312"/>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pPr>
        <w:widowControl/>
        <w:snapToGrid w:val="0"/>
        <w:spacing w:before="19"/>
        <w:rPr>
          <w:rFonts w:ascii="仿宋_GB2312"/>
          <w:sz w:val="24"/>
          <w:highlight w:val="none"/>
        </w:rPr>
      </w:pPr>
      <w:r>
        <w:rPr>
          <w:rFonts w:hint="eastAsia" w:ascii="仿宋_GB2312"/>
          <w:sz w:val="24"/>
          <w:highlight w:val="none"/>
        </w:rPr>
        <w:t>4、在乙方承诺的或国家规定的质量保证期内（取两者中最长的期限），</w:t>
      </w:r>
      <w:r>
        <w:rPr>
          <w:rFonts w:ascii="仿宋_GB2312"/>
          <w:sz w:val="24"/>
          <w:highlight w:val="none"/>
        </w:rPr>
        <w:t>如经乙方两次维修</w:t>
      </w:r>
      <w:r>
        <w:rPr>
          <w:rFonts w:hint="eastAsia" w:ascii="仿宋_GB2312"/>
          <w:sz w:val="24"/>
          <w:highlight w:val="none"/>
        </w:rPr>
        <w:t>或更换</w:t>
      </w:r>
      <w:r>
        <w:rPr>
          <w:rFonts w:ascii="仿宋_GB2312"/>
          <w:sz w:val="24"/>
          <w:highlight w:val="none"/>
        </w:rPr>
        <w:t>，货物仍不能达到合同约定</w:t>
      </w:r>
      <w:r>
        <w:rPr>
          <w:rFonts w:hint="eastAsia" w:ascii="仿宋_GB2312"/>
          <w:sz w:val="24"/>
          <w:highlight w:val="none"/>
        </w:rPr>
        <w:t>的</w:t>
      </w:r>
      <w:r>
        <w:rPr>
          <w:rFonts w:ascii="仿宋_GB2312"/>
          <w:sz w:val="24"/>
          <w:highlight w:val="none"/>
        </w:rPr>
        <w:t>质量标准，甲方有权退货，乙方</w:t>
      </w:r>
      <w:r>
        <w:rPr>
          <w:rFonts w:hint="eastAsia" w:ascii="仿宋_GB2312"/>
          <w:sz w:val="24"/>
          <w:highlight w:val="none"/>
        </w:rPr>
        <w:t>应</w:t>
      </w:r>
      <w:r>
        <w:rPr>
          <w:rFonts w:ascii="仿宋_GB2312"/>
          <w:sz w:val="24"/>
          <w:highlight w:val="none"/>
        </w:rPr>
        <w:t>退回全部货款</w:t>
      </w:r>
      <w:r>
        <w:rPr>
          <w:rFonts w:hint="eastAsia" w:ascii="仿宋_GB2312"/>
          <w:sz w:val="24"/>
          <w:highlight w:val="none"/>
        </w:rPr>
        <w:t>。</w:t>
      </w:r>
      <w:r>
        <w:rPr>
          <w:rFonts w:ascii="仿宋_GB2312"/>
          <w:sz w:val="24"/>
          <w:highlight w:val="none"/>
        </w:rPr>
        <w:t>同时，乙方还须赔偿甲方因此遭受的损失。</w:t>
      </w:r>
    </w:p>
    <w:p>
      <w:pPr>
        <w:widowControl/>
        <w:snapToGrid w:val="0"/>
        <w:spacing w:before="19"/>
        <w:rPr>
          <w:rFonts w:ascii="仿宋_GB2312"/>
          <w:sz w:val="24"/>
          <w:highlight w:val="none"/>
        </w:rPr>
      </w:pPr>
      <w:r>
        <w:rPr>
          <w:rFonts w:hint="eastAsia" w:ascii="仿宋_GB2312"/>
          <w:sz w:val="24"/>
          <w:highlight w:val="none"/>
        </w:rPr>
        <w:t>十一、 合同的变更和终止</w:t>
      </w:r>
    </w:p>
    <w:p>
      <w:pPr>
        <w:widowControl/>
        <w:snapToGrid w:val="0"/>
        <w:spacing w:before="19"/>
        <w:rPr>
          <w:rFonts w:ascii="仿宋_GB2312"/>
          <w:sz w:val="24"/>
          <w:highlight w:val="none"/>
        </w:rPr>
      </w:pPr>
      <w:r>
        <w:rPr>
          <w:rFonts w:hint="eastAsia" w:ascii="仿宋_GB2312"/>
          <w:sz w:val="24"/>
          <w:highlight w:val="none"/>
        </w:rPr>
        <w:t>依据《政府采购法》第五十条，本合同一经签订，甲乙双方不得擅自变更、中止或终止合同。</w:t>
      </w:r>
    </w:p>
    <w:p>
      <w:pPr>
        <w:widowControl/>
        <w:snapToGrid w:val="0"/>
        <w:spacing w:before="19"/>
        <w:rPr>
          <w:rFonts w:ascii="仿宋_GB2312"/>
          <w:sz w:val="24"/>
          <w:highlight w:val="none"/>
        </w:rPr>
      </w:pPr>
      <w:r>
        <w:rPr>
          <w:rFonts w:hint="eastAsia" w:ascii="仿宋_GB2312"/>
          <w:sz w:val="24"/>
          <w:highlight w:val="none"/>
        </w:rPr>
        <w:t>十二、合同的转让</w:t>
      </w:r>
    </w:p>
    <w:p>
      <w:pPr>
        <w:widowControl/>
        <w:snapToGrid w:val="0"/>
        <w:spacing w:before="19"/>
        <w:rPr>
          <w:rFonts w:ascii="仿宋_GB2312"/>
          <w:sz w:val="24"/>
          <w:highlight w:val="none"/>
        </w:rPr>
      </w:pPr>
      <w:r>
        <w:rPr>
          <w:rFonts w:hint="eastAsia" w:ascii="仿宋_GB2312"/>
          <w:sz w:val="24"/>
          <w:highlight w:val="none"/>
        </w:rPr>
        <w:t>乙方不得擅自部分或全部转让其应履行的合同义务。</w:t>
      </w:r>
    </w:p>
    <w:p>
      <w:pPr>
        <w:widowControl/>
        <w:snapToGrid w:val="0"/>
        <w:spacing w:before="19"/>
        <w:rPr>
          <w:rFonts w:ascii="仿宋_GB2312"/>
          <w:sz w:val="24"/>
          <w:highlight w:val="none"/>
        </w:rPr>
      </w:pPr>
      <w:r>
        <w:rPr>
          <w:rFonts w:hint="eastAsia" w:ascii="仿宋_GB2312"/>
          <w:sz w:val="24"/>
          <w:highlight w:val="none"/>
        </w:rPr>
        <w:t>十三、 争议的解决</w:t>
      </w:r>
    </w:p>
    <w:p>
      <w:pPr>
        <w:widowControl/>
        <w:snapToGrid w:val="0"/>
        <w:spacing w:before="19"/>
        <w:rPr>
          <w:rFonts w:ascii="仿宋_GB2312"/>
          <w:sz w:val="24"/>
          <w:highlight w:val="none"/>
        </w:rPr>
      </w:pPr>
      <w:r>
        <w:rPr>
          <w:rFonts w:hint="eastAsia" w:ascii="仿宋_GB2312"/>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pPr>
        <w:widowControl/>
        <w:snapToGrid w:val="0"/>
        <w:spacing w:before="19"/>
        <w:rPr>
          <w:rFonts w:ascii="仿宋_GB2312"/>
          <w:sz w:val="24"/>
          <w:highlight w:val="none"/>
        </w:rPr>
      </w:pPr>
      <w:r>
        <w:rPr>
          <w:rFonts w:hint="eastAsia" w:ascii="仿宋_GB2312"/>
          <w:sz w:val="24"/>
          <w:highlight w:val="none"/>
        </w:rPr>
        <w:t>2、因履行本合同引起的或与本合同有关的争议，甲、乙双方应首先通过友好协商解决，如果协商不能解决争议，任何一方均可向甲方所在地人民法院起诉解决。</w:t>
      </w:r>
    </w:p>
    <w:p>
      <w:pPr>
        <w:widowControl/>
        <w:snapToGrid w:val="0"/>
        <w:spacing w:before="19"/>
        <w:rPr>
          <w:rFonts w:ascii="仿宋_GB2312"/>
          <w:sz w:val="24"/>
          <w:highlight w:val="none"/>
        </w:rPr>
      </w:pPr>
      <w:r>
        <w:rPr>
          <w:rFonts w:hint="eastAsia" w:ascii="仿宋_GB2312"/>
          <w:sz w:val="24"/>
          <w:highlight w:val="none"/>
        </w:rPr>
        <w:t>十四、付款前</w:t>
      </w:r>
      <w:r>
        <w:rPr>
          <w:rFonts w:ascii="仿宋_GB2312"/>
          <w:sz w:val="24"/>
          <w:highlight w:val="none"/>
        </w:rPr>
        <w:t>乙方</w:t>
      </w:r>
      <w:r>
        <w:rPr>
          <w:rFonts w:hint="eastAsia" w:ascii="仿宋_GB2312"/>
          <w:sz w:val="24"/>
          <w:highlight w:val="none"/>
        </w:rPr>
        <w:t>须提供</w:t>
      </w:r>
      <w:r>
        <w:rPr>
          <w:rFonts w:hint="eastAsia" w:ascii="仿宋_GB2312"/>
          <w:sz w:val="24"/>
          <w:highlight w:val="none"/>
          <w:u w:val="single"/>
        </w:rPr>
        <w:t>增值税专用发票</w:t>
      </w:r>
      <w:r>
        <w:rPr>
          <w:rFonts w:hint="eastAsia" w:ascii="仿宋_GB2312"/>
          <w:sz w:val="24"/>
          <w:highlight w:val="none"/>
        </w:rPr>
        <w:t>，总价不变。</w:t>
      </w:r>
    </w:p>
    <w:p>
      <w:pPr>
        <w:widowControl/>
        <w:snapToGrid w:val="0"/>
        <w:spacing w:before="19"/>
        <w:rPr>
          <w:rFonts w:ascii="仿宋_GB2312"/>
          <w:sz w:val="24"/>
          <w:highlight w:val="none"/>
        </w:rPr>
      </w:pPr>
      <w:r>
        <w:rPr>
          <w:rFonts w:hint="eastAsia" w:ascii="仿宋_GB2312"/>
          <w:sz w:val="24"/>
          <w:highlight w:val="none"/>
        </w:rPr>
        <w:t>十五、</w:t>
      </w:r>
      <w:r>
        <w:rPr>
          <w:rFonts w:ascii="仿宋_GB2312"/>
          <w:sz w:val="24"/>
          <w:highlight w:val="none"/>
        </w:rPr>
        <w:t>本合同由甲、乙双方</w:t>
      </w:r>
      <w:r>
        <w:rPr>
          <w:rFonts w:hint="eastAsia" w:ascii="仿宋_GB2312"/>
          <w:sz w:val="24"/>
          <w:highlight w:val="none"/>
        </w:rPr>
        <w:t>共同</w:t>
      </w:r>
      <w:r>
        <w:rPr>
          <w:rFonts w:ascii="仿宋_GB2312"/>
          <w:sz w:val="24"/>
          <w:highlight w:val="none"/>
        </w:rPr>
        <w:t>签订，合同一式</w:t>
      </w:r>
      <w:r>
        <w:rPr>
          <w:rFonts w:hint="eastAsia" w:ascii="仿宋_GB2312"/>
          <w:sz w:val="24"/>
          <w:highlight w:val="none"/>
        </w:rPr>
        <w:t>四</w:t>
      </w:r>
      <w:r>
        <w:rPr>
          <w:rFonts w:ascii="仿宋_GB2312"/>
          <w:sz w:val="24"/>
          <w:highlight w:val="none"/>
        </w:rPr>
        <w:t>份，甲</w:t>
      </w:r>
      <w:r>
        <w:rPr>
          <w:rFonts w:hint="eastAsia" w:ascii="仿宋_GB2312"/>
          <w:sz w:val="24"/>
          <w:highlight w:val="none"/>
        </w:rPr>
        <w:t>方叁</w:t>
      </w:r>
      <w:r>
        <w:rPr>
          <w:rFonts w:ascii="仿宋_GB2312"/>
          <w:sz w:val="24"/>
          <w:highlight w:val="none"/>
        </w:rPr>
        <w:t>份、乙</w:t>
      </w:r>
      <w:r>
        <w:rPr>
          <w:rFonts w:hint="eastAsia" w:ascii="仿宋_GB2312"/>
          <w:sz w:val="24"/>
          <w:highlight w:val="none"/>
        </w:rPr>
        <w:t>方壹</w:t>
      </w:r>
      <w:r>
        <w:rPr>
          <w:rFonts w:ascii="仿宋_GB2312"/>
          <w:sz w:val="24"/>
          <w:highlight w:val="none"/>
        </w:rPr>
        <w:t>份。</w:t>
      </w:r>
      <w:r>
        <w:rPr>
          <w:rFonts w:hint="eastAsia" w:ascii="仿宋_GB2312"/>
          <w:sz w:val="24"/>
          <w:highlight w:val="none"/>
        </w:rPr>
        <w:t>自双方签字、盖章之日起生效。</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甲方                                               乙方</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单位名称：南京邮电大学                             单位名称：</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单位地址：                                         单位地址：</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法定代表人：                                       法定代表人：</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委托代理人（签字）：                                委托代理人（签字）：</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联系电话：                                         联系电话：                                            </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开户银行：                                         开户银行： </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户名： 南京邮电大学                                户名： </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账号： </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行号：  </w:t>
      </w:r>
    </w:p>
    <w:p>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地址、电话：南京市栖霞区文苑路9 号　025-</w:t>
      </w:r>
      <w:r>
        <w:rPr>
          <w:rFonts w:ascii="宋体" w:hAnsi="宋体"/>
          <w:sz w:val="18"/>
          <w:highlight w:val="none"/>
        </w:rPr>
        <w:t>85866388</w:t>
      </w:r>
      <w:r>
        <w:rPr>
          <w:rFonts w:hint="eastAsia" w:ascii="宋体" w:hAnsi="宋体"/>
          <w:sz w:val="18"/>
          <w:highlight w:val="none"/>
        </w:rPr>
        <w:t xml:space="preserve">    项目联系人：</w:t>
      </w:r>
    </w:p>
    <w:p>
      <w:pPr>
        <w:widowControl/>
        <w:snapToGrid w:val="0"/>
        <w:spacing w:before="19" w:line="360" w:lineRule="auto"/>
        <w:ind w:firstLine="360" w:firstLineChars="200"/>
        <w:rPr>
          <w:color w:val="000000" w:themeColor="text1"/>
          <w:highlight w:val="none"/>
          <w14:textFill>
            <w14:solidFill>
              <w14:schemeClr w14:val="tx1"/>
            </w14:solidFill>
          </w14:textFill>
        </w:rPr>
      </w:pPr>
      <w:r>
        <w:rPr>
          <w:rFonts w:hint="eastAsia" w:ascii="宋体" w:hAnsi="宋体"/>
          <w:sz w:val="18"/>
          <w:highlight w:val="none"/>
        </w:rPr>
        <w:t>签约日期（即合同生效日期）：    年     月     日       联系电话：</w:t>
      </w:r>
    </w:p>
    <w:p>
      <w:pPr>
        <w:pStyle w:val="261"/>
        <w:rPr>
          <w:color w:val="000000" w:themeColor="text1"/>
          <w:highlight w:val="none"/>
          <w14:textFill>
            <w14:solidFill>
              <w14:schemeClr w14:val="tx1"/>
            </w14:solidFill>
          </w14:textFill>
        </w:rPr>
      </w:pPr>
    </w:p>
    <w:p>
      <w:pPr>
        <w:pStyle w:val="261"/>
        <w:rPr>
          <w:color w:val="000000" w:themeColor="text1"/>
          <w:highlight w:val="none"/>
          <w14:textFill>
            <w14:solidFill>
              <w14:schemeClr w14:val="tx1"/>
            </w14:solidFill>
          </w14:textFill>
        </w:rPr>
      </w:pPr>
    </w:p>
    <w:p>
      <w:pPr>
        <w:pStyle w:val="261"/>
        <w:rPr>
          <w:color w:val="000000" w:themeColor="text1"/>
          <w:highlight w:val="none"/>
          <w14:textFill>
            <w14:solidFill>
              <w14:schemeClr w14:val="tx1"/>
            </w14:solidFill>
          </w14:textFill>
        </w:rPr>
      </w:pPr>
    </w:p>
    <w:p>
      <w:pPr>
        <w:pStyle w:val="261"/>
        <w:rPr>
          <w:color w:val="000000" w:themeColor="text1"/>
          <w:highlight w:val="none"/>
          <w14:textFill>
            <w14:solidFill>
              <w14:schemeClr w14:val="tx1"/>
            </w14:solidFill>
          </w14:textFill>
        </w:rPr>
      </w:pPr>
    </w:p>
    <w:p>
      <w:pPr>
        <w:rPr>
          <w:rFonts w:hint="eastAsia"/>
          <w:highlight w:val="none"/>
        </w:rPr>
      </w:pPr>
    </w:p>
    <w:p>
      <w:pPr>
        <w:pStyle w:val="2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pPr>
        <w:jc w:val="center"/>
        <w:rPr>
          <w:rFonts w:ascii="宋体" w:hAnsi="宋体"/>
          <w:b/>
          <w:color w:val="000000" w:themeColor="text1"/>
          <w:sz w:val="72"/>
          <w:highlight w:val="none"/>
          <w14:textFill>
            <w14:solidFill>
              <w14:schemeClr w14:val="tx1"/>
            </w14:solidFill>
          </w14:textFill>
        </w:rPr>
      </w:pPr>
    </w:p>
    <w:p>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pPr>
        <w:ind w:firstLine="2472" w:firstLineChars="1026"/>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spacing w:before="480" w:beforeLines="200"/>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jc w:val="center"/>
        <w:rPr>
          <w:rFonts w:ascii="宋体" w:hAnsi="宋体"/>
          <w:b/>
          <w:color w:val="000000" w:themeColor="text1"/>
          <w:sz w:val="24"/>
          <w:highlight w:val="none"/>
          <w14:textFill>
            <w14:solidFill>
              <w14:schemeClr w14:val="tx1"/>
            </w14:solidFill>
          </w14:textFill>
        </w:rPr>
      </w:pPr>
    </w:p>
    <w:p>
      <w:pPr>
        <w:ind w:firstLine="843" w:firstLineChars="300"/>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项目编号：</w:t>
      </w:r>
    </w:p>
    <w:p>
      <w:pPr>
        <w:ind w:firstLine="843" w:firstLineChars="300"/>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项目名称：</w:t>
      </w:r>
    </w:p>
    <w:p>
      <w:pPr>
        <w:rPr>
          <w:rFonts w:ascii="宋体" w:hAnsi="宋体"/>
          <w:b/>
          <w:color w:val="000000" w:themeColor="text1"/>
          <w:sz w:val="28"/>
          <w:szCs w:val="28"/>
          <w:highlight w:val="none"/>
          <w14:textFill>
            <w14:solidFill>
              <w14:schemeClr w14:val="tx1"/>
            </w14:solidFill>
          </w14:textFill>
        </w:rPr>
      </w:pPr>
    </w:p>
    <w:p>
      <w:pPr>
        <w:rPr>
          <w:rFonts w:ascii="宋体" w:hAnsi="宋体"/>
          <w:b/>
          <w:color w:val="000000" w:themeColor="text1"/>
          <w:sz w:val="28"/>
          <w:szCs w:val="28"/>
          <w:highlight w:val="none"/>
          <w14:textFill>
            <w14:solidFill>
              <w14:schemeClr w14:val="tx1"/>
            </w14:solidFill>
          </w14:textFill>
        </w:rPr>
      </w:pPr>
    </w:p>
    <w:p>
      <w:pPr>
        <w:rPr>
          <w:rFonts w:ascii="宋体" w:hAnsi="宋体"/>
          <w:b/>
          <w:color w:val="000000" w:themeColor="text1"/>
          <w:sz w:val="28"/>
          <w:szCs w:val="28"/>
          <w:highlight w:val="none"/>
          <w14:textFill>
            <w14:solidFill>
              <w14:schemeClr w14:val="tx1"/>
            </w14:solidFill>
          </w14:textFill>
        </w:rPr>
      </w:pPr>
    </w:p>
    <w:p>
      <w:pPr>
        <w:rPr>
          <w:rFonts w:ascii="宋体" w:hAnsi="宋体"/>
          <w:b/>
          <w:color w:val="000000" w:themeColor="text1"/>
          <w:sz w:val="28"/>
          <w:szCs w:val="28"/>
          <w:highlight w:val="none"/>
          <w14:textFill>
            <w14:solidFill>
              <w14:schemeClr w14:val="tx1"/>
            </w14:solidFill>
          </w14:textFill>
        </w:rPr>
      </w:pPr>
    </w:p>
    <w:p>
      <w:pPr>
        <w:rPr>
          <w:rFonts w:ascii="宋体" w:hAnsi="宋体"/>
          <w:b/>
          <w:color w:val="000000" w:themeColor="text1"/>
          <w:sz w:val="28"/>
          <w:szCs w:val="28"/>
          <w:highlight w:val="none"/>
          <w14:textFill>
            <w14:solidFill>
              <w14:schemeClr w14:val="tx1"/>
            </w14:solidFill>
          </w14:textFill>
        </w:rPr>
      </w:pPr>
    </w:p>
    <w:p>
      <w:pPr>
        <w:rPr>
          <w:rFonts w:ascii="宋体" w:hAnsi="宋体"/>
          <w:b/>
          <w:color w:val="000000" w:themeColor="text1"/>
          <w:sz w:val="28"/>
          <w:szCs w:val="28"/>
          <w:highlight w:val="none"/>
          <w14:textFill>
            <w14:solidFill>
              <w14:schemeClr w14:val="tx1"/>
            </w14:solidFill>
          </w14:textFill>
        </w:rPr>
      </w:pPr>
    </w:p>
    <w:p>
      <w:pPr>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p>
    <w:p>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p>
    <w:p>
      <w:pPr>
        <w:jc w:val="center"/>
        <w:rPr>
          <w:rFonts w:ascii="宋体" w:hAnsi="宋体"/>
          <w:b/>
          <w:bCs/>
          <w:color w:val="000000" w:themeColor="text1"/>
          <w:sz w:val="24"/>
          <w:highlight w:val="none"/>
          <w14:textFill>
            <w14:solidFill>
              <w14:schemeClr w14:val="tx1"/>
            </w14:solidFill>
          </w14:textFill>
        </w:rPr>
      </w:pPr>
    </w:p>
    <w:p>
      <w:pPr>
        <w:jc w:val="center"/>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0"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trPr>
        <w:tc>
          <w:tcPr>
            <w:tcW w:w="5000" w:type="pct"/>
            <w:gridSpan w:val="2"/>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pPr>
              <w:rPr>
                <w:rFonts w:ascii="宋体" w:hAnsi="宋体"/>
                <w:b/>
                <w:color w:val="000000" w:themeColor="text1"/>
                <w:highlight w:val="none"/>
                <w14:textFill>
                  <w14:solidFill>
                    <w14:schemeClr w14:val="tx1"/>
                  </w14:solidFill>
                </w14:textFill>
              </w:rPr>
            </w:pPr>
          </w:p>
        </w:tc>
        <w:tc>
          <w:tcPr>
            <w:tcW w:w="1783" w:type="pct"/>
          </w:tcPr>
          <w:p>
            <w:pPr>
              <w:rPr>
                <w:rFonts w:ascii="宋体" w:hAnsi="宋体"/>
                <w:b/>
                <w:color w:val="000000" w:themeColor="text1"/>
                <w:highlight w:val="none"/>
                <w14:textFill>
                  <w14:solidFill>
                    <w14:schemeClr w14:val="tx1"/>
                  </w14:solidFill>
                </w14:textFill>
              </w:rPr>
            </w:pPr>
          </w:p>
        </w:tc>
      </w:tr>
    </w:tbl>
    <w:p>
      <w:pPr>
        <w:rPr>
          <w:rFonts w:ascii="宋体" w:hAnsi="宋体"/>
          <w:color w:val="000000" w:themeColor="text1"/>
          <w:highlight w:val="none"/>
          <w14:textFill>
            <w14:solidFill>
              <w14:schemeClr w14:val="tx1"/>
            </w14:solidFill>
          </w14:textFill>
        </w:rPr>
      </w:pPr>
    </w:p>
    <w:p>
      <w:pPr>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1" w:name="_Toc489655320"/>
    </w:p>
    <w:p>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0"/>
      <w:bookmarkEnd w:id="11"/>
      <w:r>
        <w:rPr>
          <w:color w:val="000000" w:themeColor="text1"/>
          <w:highlight w:val="none"/>
          <w14:textFill>
            <w14:solidFill>
              <w14:schemeClr w14:val="tx1"/>
            </w14:solidFill>
          </w14:textFill>
        </w:rPr>
        <w:t>及相关证明材料格式、附件</w:t>
      </w:r>
    </w:p>
    <w:p>
      <w:pPr>
        <w:rPr>
          <w:rFonts w:ascii="宋体" w:hAnsi="宋体"/>
          <w:color w:val="000000" w:themeColor="text1"/>
          <w:sz w:val="28"/>
          <w:szCs w:val="28"/>
          <w:highlight w:val="none"/>
          <w14:textFill>
            <w14:solidFill>
              <w14:schemeClr w14:val="tx1"/>
            </w14:solidFill>
          </w14:textFill>
        </w:rPr>
      </w:pP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五、分项报价表</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六、技术条款偏离表</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七、商务条款偏离表</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八、服务方案</w:t>
      </w:r>
    </w:p>
    <w:p>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九、响应需要的其他证明文件及材料（若有）</w:t>
      </w:r>
    </w:p>
    <w:p>
      <w:pPr>
        <w:spacing w:line="360" w:lineRule="auto"/>
        <w:rPr>
          <w:rFonts w:ascii="宋体" w:hAnsi="宋体"/>
          <w:color w:val="000000" w:themeColor="text1"/>
          <w:sz w:val="28"/>
          <w:szCs w:val="28"/>
          <w:highlight w:val="none"/>
          <w14:textFill>
            <w14:solidFill>
              <w14:schemeClr w14:val="tx1"/>
            </w14:solidFill>
          </w14:textFill>
        </w:rPr>
      </w:pPr>
    </w:p>
    <w:p>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pPr>
        <w:spacing w:line="360" w:lineRule="auto"/>
        <w:ind w:left="2941" w:leftChars="267" w:hanging="2380" w:hangingChars="850"/>
        <w:jc w:val="lef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附件四、企业声明函格式</w:t>
      </w:r>
    </w:p>
    <w:p>
      <w:pPr>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目录一、响应申请及声明格式</w:t>
      </w:r>
    </w:p>
    <w:p>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pPr>
        <w:pStyle w:val="17"/>
        <w:numPr>
          <w:ilvl w:val="0"/>
          <w:numId w:val="56"/>
        </w:numPr>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pPr>
        <w:pStyle w:val="17"/>
        <w:numPr>
          <w:ilvl w:val="0"/>
          <w:numId w:val="5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日期起遵循本响应文件，并在规定的响应有效期期满之前均具有约束力。</w:t>
      </w:r>
    </w:p>
    <w:p>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pPr>
        <w:autoSpaceDE w:val="0"/>
        <w:autoSpaceDN w:val="0"/>
        <w:adjustRightInd w:val="0"/>
        <w:spacing w:line="360"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pPr>
        <w:autoSpaceDE w:val="0"/>
        <w:autoSpaceDN w:val="0"/>
        <w:adjustRightInd w:val="0"/>
        <w:spacing w:line="360"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pPr>
        <w:autoSpaceDE w:val="0"/>
        <w:autoSpaceDN w:val="0"/>
        <w:adjustRightInd w:val="0"/>
        <w:spacing w:line="360"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目录二、法定代表人授权书格式</w:t>
      </w:r>
    </w:p>
    <w:p>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目录三、</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一览表格式</w:t>
      </w:r>
    </w:p>
    <w:p>
      <w:pPr>
        <w:pStyle w:val="262"/>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w:t>
      </w:r>
    </w:p>
    <w:p>
      <w:pPr>
        <w:pStyle w:val="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一览表放置于响应文件首页）</w:t>
      </w:r>
    </w:p>
    <w:p>
      <w:pPr>
        <w:pStyle w:val="16"/>
        <w:rPr>
          <w:b/>
          <w:bCs/>
          <w:color w:val="000000" w:themeColor="text1"/>
          <w:highlight w:val="none"/>
          <w14:textFill>
            <w14:solidFill>
              <w14:schemeClr w14:val="tx1"/>
            </w14:solidFill>
          </w14:textFill>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pPr>
              <w:pStyle w:val="16"/>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项目名称</w:t>
            </w:r>
          </w:p>
        </w:tc>
        <w:tc>
          <w:tcPr>
            <w:tcW w:w="3172" w:type="dxa"/>
            <w:vAlign w:val="center"/>
          </w:tcPr>
          <w:p>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p>
        </w:tc>
        <w:tc>
          <w:tcPr>
            <w:tcW w:w="1178" w:type="dxa"/>
            <w:vAlign w:val="center"/>
          </w:tcPr>
          <w:p>
            <w:pPr>
              <w:pStyle w:val="16"/>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项目编号</w:t>
            </w:r>
          </w:p>
        </w:tc>
        <w:tc>
          <w:tcPr>
            <w:tcW w:w="3664" w:type="dxa"/>
            <w:vAlign w:val="center"/>
          </w:tcPr>
          <w:p>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pStyle w:val="16"/>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响应总价</w:t>
            </w:r>
          </w:p>
        </w:tc>
        <w:tc>
          <w:tcPr>
            <w:tcW w:w="8014" w:type="dxa"/>
            <w:gridSpan w:val="3"/>
            <w:vAlign w:val="center"/>
          </w:tcPr>
          <w:p>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大写：人民币                          </w:t>
            </w:r>
          </w:p>
          <w:p>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小写：人民币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hint="eastAsia" w:ascii="宋体" w:hAnsi="宋体"/>
                <w:b/>
                <w:bCs w:val="0"/>
                <w:color w:val="auto"/>
                <w:szCs w:val="21"/>
                <w:highlight w:val="none"/>
                <w:lang w:val="en-US" w:eastAsia="zh-CN"/>
              </w:rPr>
            </w:pPr>
            <w:r>
              <w:rPr>
                <w:rFonts w:hint="eastAsia" w:ascii="宋体" w:hAnsi="宋体"/>
                <w:b/>
                <w:bCs w:val="0"/>
                <w:color w:val="auto"/>
                <w:szCs w:val="21"/>
                <w:highlight w:val="none"/>
                <w:lang w:val="en-US" w:eastAsia="zh-CN"/>
              </w:rPr>
              <w:t>产品品牌</w:t>
            </w:r>
          </w:p>
        </w:tc>
        <w:tc>
          <w:tcPr>
            <w:tcW w:w="8014" w:type="dxa"/>
            <w:gridSpan w:val="3"/>
            <w:vAlign w:val="center"/>
          </w:tcPr>
          <w:p>
            <w:pPr>
              <w:jc w:val="center"/>
              <w:rPr>
                <w:rFonts w:hint="eastAsia" w:ascii="宋体" w:hAnsi="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ascii="宋体" w:hAnsi="宋体" w:cs="仿宋_GB2312"/>
                <w:b/>
                <w:bCs w:val="0"/>
                <w:color w:val="auto"/>
                <w:szCs w:val="21"/>
                <w:highlight w:val="none"/>
              </w:rPr>
            </w:pPr>
            <w:r>
              <w:rPr>
                <w:rFonts w:hint="eastAsia" w:ascii="宋体" w:hAnsi="宋体"/>
                <w:b/>
                <w:bCs w:val="0"/>
                <w:color w:val="auto"/>
                <w:szCs w:val="21"/>
                <w:highlight w:val="none"/>
              </w:rPr>
              <w:t>规格型号</w:t>
            </w:r>
          </w:p>
        </w:tc>
        <w:tc>
          <w:tcPr>
            <w:tcW w:w="8014" w:type="dxa"/>
            <w:gridSpan w:val="3"/>
            <w:vAlign w:val="center"/>
          </w:tcPr>
          <w:p>
            <w:pPr>
              <w:jc w:val="center"/>
              <w:rPr>
                <w:rFonts w:hint="eastAsia" w:ascii="宋体" w:hAnsi="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ascii="宋体" w:hAnsi="宋体" w:cs="仿宋_GB2312"/>
                <w:b/>
                <w:bCs w:val="0"/>
                <w:color w:val="auto"/>
                <w:szCs w:val="21"/>
                <w:highlight w:val="none"/>
              </w:rPr>
            </w:pPr>
            <w:r>
              <w:rPr>
                <w:rFonts w:hint="eastAsia" w:ascii="宋体" w:hAnsi="宋体"/>
                <w:b/>
                <w:bCs w:val="0"/>
                <w:color w:val="auto"/>
                <w:szCs w:val="21"/>
                <w:highlight w:val="none"/>
              </w:rPr>
              <w:t>交货期</w:t>
            </w:r>
          </w:p>
        </w:tc>
        <w:tc>
          <w:tcPr>
            <w:tcW w:w="8014" w:type="dxa"/>
            <w:gridSpan w:val="3"/>
            <w:vAlign w:val="center"/>
          </w:tcPr>
          <w:p>
            <w:pPr>
              <w:jc w:val="center"/>
              <w:rPr>
                <w:rFonts w:hint="eastAsia" w:ascii="宋体" w:hAnsi="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ascii="宋体" w:hAnsi="宋体" w:cs="仿宋_GB2312"/>
                <w:b/>
                <w:bCs/>
                <w:color w:val="auto"/>
                <w:szCs w:val="21"/>
                <w:highlight w:val="none"/>
              </w:rPr>
              <w:t>是否为进口产品</w:t>
            </w:r>
          </w:p>
        </w:tc>
        <w:tc>
          <w:tcPr>
            <w:tcW w:w="8014" w:type="dxa"/>
            <w:gridSpan w:val="3"/>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b/>
                <w:bCs/>
                <w:color w:val="auto"/>
                <w:szCs w:val="21"/>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是否属于小微型企业</w:t>
            </w:r>
          </w:p>
        </w:tc>
        <w:tc>
          <w:tcPr>
            <w:tcW w:w="8014" w:type="dxa"/>
            <w:gridSpan w:val="3"/>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是否属于</w:t>
            </w:r>
            <w:r>
              <w:rPr>
                <w:rFonts w:hint="eastAsia" w:ascii="宋体" w:hAnsi="宋体" w:cs="仿宋"/>
                <w:b/>
                <w:bCs/>
                <w:color w:val="auto"/>
                <w:kern w:val="0"/>
                <w:szCs w:val="21"/>
                <w:highlight w:val="none"/>
              </w:rPr>
              <w:t>监狱和戒毒企业</w:t>
            </w:r>
          </w:p>
        </w:tc>
        <w:tc>
          <w:tcPr>
            <w:tcW w:w="8014" w:type="dxa"/>
            <w:gridSpan w:val="3"/>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是否属于残疾人福利性单位</w:t>
            </w:r>
          </w:p>
        </w:tc>
        <w:tc>
          <w:tcPr>
            <w:tcW w:w="8014" w:type="dxa"/>
            <w:gridSpan w:val="3"/>
            <w:vAlign w:val="center"/>
          </w:tcPr>
          <w:p>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             否</w:t>
            </w:r>
          </w:p>
        </w:tc>
      </w:tr>
    </w:tbl>
    <w:p>
      <w:pPr>
        <w:pStyle w:val="16"/>
        <w:rPr>
          <w:b/>
          <w:bCs/>
          <w:color w:val="000000" w:themeColor="text1"/>
          <w:highlight w:val="none"/>
          <w14:textFill>
            <w14:solidFill>
              <w14:schemeClr w14:val="tx1"/>
            </w14:solidFill>
          </w14:textFill>
        </w:rPr>
      </w:pPr>
    </w:p>
    <w:p>
      <w:pPr>
        <w:pStyle w:val="16"/>
        <w:rPr>
          <w:b/>
          <w:bCs/>
          <w:color w:val="000000" w:themeColor="text1"/>
          <w:highlight w:val="none"/>
          <w14:textFill>
            <w14:solidFill>
              <w14:schemeClr w14:val="tx1"/>
            </w14:solidFill>
          </w14:textFill>
        </w:rPr>
      </w:pPr>
    </w:p>
    <w:p>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pPr>
        <w:widowControl/>
        <w:spacing w:line="360" w:lineRule="auto"/>
        <w:jc w:val="left"/>
        <w:rPr>
          <w:rFonts w:ascii="Times New Roman" w:hAnsi="Times New Roman"/>
          <w:color w:val="000000" w:themeColor="text1"/>
          <w:sz w:val="24"/>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w:t>
      </w:r>
      <w:r>
        <w:rPr>
          <w:rFonts w:hint="eastAsia" w:ascii="Times New Roman" w:hAnsi="Times New Roman"/>
          <w:color w:val="000000" w:themeColor="text1"/>
          <w:sz w:val="24"/>
          <w:szCs w:val="21"/>
          <w:highlight w:val="none"/>
          <w:u w:val="single"/>
          <w:lang w:val="zh-CN"/>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（盖章）</w:t>
      </w:r>
    </w:p>
    <w:p>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目录四、资格证明文件</w:t>
      </w:r>
    </w:p>
    <w:p>
      <w:pPr>
        <w:pStyle w:val="264"/>
        <w:rPr>
          <w:color w:val="000000" w:themeColor="text1"/>
          <w:highlight w:val="none"/>
          <w14:textFill>
            <w14:solidFill>
              <w14:schemeClr w14:val="tx1"/>
            </w14:solidFill>
          </w14:textFill>
        </w:rPr>
      </w:pPr>
      <w:bookmarkStart w:id="12" w:name="_Toc489655335"/>
      <w:r>
        <w:rPr>
          <w:color w:val="000000" w:themeColor="text1"/>
          <w:highlight w:val="none"/>
          <w14:textFill>
            <w14:solidFill>
              <w14:schemeClr w14:val="tx1"/>
            </w14:solidFill>
          </w14:textFill>
        </w:rPr>
        <w:t>资格证明文件</w:t>
      </w:r>
      <w:bookmarkEnd w:id="12"/>
    </w:p>
    <w:p>
      <w:pPr>
        <w:pStyle w:val="17"/>
        <w:numPr>
          <w:ilvl w:val="0"/>
          <w:numId w:val="57"/>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pPr>
        <w:pStyle w:val="17"/>
        <w:numPr>
          <w:ilvl w:val="0"/>
          <w:numId w:val="57"/>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w:t>
      </w:r>
    </w:p>
    <w:p>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pPr>
        <w:pStyle w:val="17"/>
        <w:ind w:firstLine="0" w:firstLineChars="0"/>
        <w:rPr>
          <w:b/>
          <w:color w:val="000000" w:themeColor="text1"/>
          <w:highlight w:val="none"/>
          <w14:textFill>
            <w14:solidFill>
              <w14:schemeClr w14:val="tx1"/>
            </w14:solidFill>
          </w14:textFill>
        </w:rPr>
      </w:pP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r>
        <w:rPr>
          <w:b/>
          <w:color w:val="000000" w:themeColor="text1"/>
          <w:highlight w:val="none"/>
          <w14:textFill>
            <w14:solidFill>
              <w14:schemeClr w14:val="tx1"/>
            </w14:solidFill>
          </w14:textFill>
        </w:rPr>
        <w:t>目录五、分项报价表格式</w:t>
      </w:r>
    </w:p>
    <w:p>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pPr>
              <w:wordWrap w:val="0"/>
              <w:spacing w:line="273"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序号</w:t>
            </w:r>
          </w:p>
        </w:tc>
        <w:tc>
          <w:tcPr>
            <w:tcW w:w="2059" w:type="pct"/>
            <w:tcMar>
              <w:top w:w="20" w:type="dxa"/>
              <w:left w:w="20" w:type="dxa"/>
              <w:bottom w:w="20" w:type="dxa"/>
              <w:right w:w="20" w:type="dxa"/>
            </w:tcMar>
            <w:vAlign w:val="center"/>
          </w:tcPr>
          <w:p>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服务内容</w:t>
            </w:r>
          </w:p>
        </w:tc>
        <w:tc>
          <w:tcPr>
            <w:tcW w:w="601" w:type="pct"/>
            <w:tcMar>
              <w:top w:w="20" w:type="dxa"/>
              <w:left w:w="20" w:type="dxa"/>
              <w:bottom w:w="20" w:type="dxa"/>
              <w:right w:w="20" w:type="dxa"/>
            </w:tcMar>
            <w:vAlign w:val="center"/>
          </w:tcPr>
          <w:p>
            <w:pPr>
              <w:widowControl/>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报价单位</w:t>
            </w:r>
          </w:p>
        </w:tc>
        <w:tc>
          <w:tcPr>
            <w:tcW w:w="511" w:type="pct"/>
            <w:tcMar>
              <w:top w:w="20" w:type="dxa"/>
              <w:left w:w="20" w:type="dxa"/>
              <w:bottom w:w="20" w:type="dxa"/>
              <w:right w:w="20" w:type="dxa"/>
            </w:tcMar>
            <w:vAlign w:val="center"/>
          </w:tcPr>
          <w:p>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数量</w:t>
            </w:r>
          </w:p>
        </w:tc>
        <w:tc>
          <w:tcPr>
            <w:tcW w:w="654" w:type="pct"/>
            <w:tcMar>
              <w:top w:w="20" w:type="dxa"/>
              <w:left w:w="20" w:type="dxa"/>
              <w:bottom w:w="20" w:type="dxa"/>
              <w:right w:w="20" w:type="dxa"/>
            </w:tcMar>
            <w:vAlign w:val="center"/>
          </w:tcPr>
          <w:p>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单价</w:t>
            </w:r>
          </w:p>
        </w:tc>
        <w:tc>
          <w:tcPr>
            <w:tcW w:w="629" w:type="pct"/>
            <w:tcMar>
              <w:top w:w="20" w:type="dxa"/>
              <w:left w:w="20" w:type="dxa"/>
              <w:bottom w:w="20" w:type="dxa"/>
              <w:right w:w="20" w:type="dxa"/>
            </w:tcMar>
            <w:vAlign w:val="center"/>
          </w:tcPr>
          <w:p>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合计</w:t>
            </w:r>
          </w:p>
          <w:p>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（元）</w:t>
            </w:r>
          </w:p>
        </w:tc>
        <w:tc>
          <w:tcPr>
            <w:tcW w:w="334" w:type="pct"/>
            <w:tcMar>
              <w:top w:w="20" w:type="dxa"/>
              <w:left w:w="20" w:type="dxa"/>
              <w:bottom w:w="20" w:type="dxa"/>
              <w:right w:w="20" w:type="dxa"/>
            </w:tcMar>
            <w:vAlign w:val="center"/>
          </w:tcPr>
          <w:p>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2059" w:type="pct"/>
            <w:tcMar>
              <w:top w:w="20" w:type="dxa"/>
              <w:left w:w="20" w:type="dxa"/>
              <w:bottom w:w="20" w:type="dxa"/>
              <w:right w:w="20" w:type="dxa"/>
            </w:tcMar>
            <w:vAlign w:val="center"/>
          </w:tcPr>
          <w:p>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2059" w:type="pct"/>
            <w:tcMar>
              <w:top w:w="20" w:type="dxa"/>
              <w:left w:w="20" w:type="dxa"/>
              <w:bottom w:w="20" w:type="dxa"/>
              <w:right w:w="20" w:type="dxa"/>
            </w:tcMar>
            <w:vAlign w:val="center"/>
          </w:tcPr>
          <w:p>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2059" w:type="pct"/>
            <w:tcMar>
              <w:top w:w="20" w:type="dxa"/>
              <w:left w:w="20" w:type="dxa"/>
              <w:bottom w:w="20" w:type="dxa"/>
              <w:right w:w="20" w:type="dxa"/>
            </w:tcMar>
            <w:vAlign w:val="center"/>
          </w:tcPr>
          <w:p>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p>
        </w:tc>
        <w:tc>
          <w:tcPr>
            <w:tcW w:w="2059" w:type="pct"/>
            <w:tcMar>
              <w:top w:w="20" w:type="dxa"/>
              <w:left w:w="20" w:type="dxa"/>
              <w:bottom w:w="20" w:type="dxa"/>
              <w:right w:w="20" w:type="dxa"/>
            </w:tcMar>
            <w:vAlign w:val="center"/>
          </w:tcPr>
          <w:p>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w:t>
            </w:r>
          </w:p>
        </w:tc>
        <w:tc>
          <w:tcPr>
            <w:tcW w:w="2059" w:type="pct"/>
            <w:tcMar>
              <w:top w:w="20" w:type="dxa"/>
              <w:left w:w="20" w:type="dxa"/>
              <w:bottom w:w="20" w:type="dxa"/>
              <w:right w:w="20" w:type="dxa"/>
            </w:tcMar>
            <w:vAlign w:val="center"/>
          </w:tcPr>
          <w:p>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总计（元）</w:t>
            </w:r>
          </w:p>
        </w:tc>
        <w:tc>
          <w:tcPr>
            <w:tcW w:w="629" w:type="pct"/>
            <w:tcMar>
              <w:top w:w="20" w:type="dxa"/>
              <w:left w:w="20" w:type="dxa"/>
              <w:bottom w:w="20" w:type="dxa"/>
              <w:right w:w="20" w:type="dxa"/>
            </w:tcMar>
            <w:vAlign w:val="center"/>
          </w:tcPr>
          <w:p>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pPr>
              <w:wordWrap w:val="0"/>
              <w:spacing w:line="234" w:lineRule="exact"/>
              <w:jc w:val="right"/>
              <w:rPr>
                <w:rFonts w:asciiTheme="minorEastAsia" w:hAnsiTheme="minorEastAsia" w:eastAsiaTheme="minorEastAsia" w:cstheme="minorEastAsia"/>
                <w:color w:val="000000" w:themeColor="text1"/>
                <w:szCs w:val="21"/>
                <w:highlight w:val="none"/>
                <w14:textFill>
                  <w14:solidFill>
                    <w14:schemeClr w14:val="tx1"/>
                  </w14:solidFill>
                </w14:textFill>
              </w:rPr>
            </w:pPr>
          </w:p>
        </w:tc>
      </w:tr>
    </w:tbl>
    <w:p>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p>
    <w:p>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注：1、行数不够可自行增加。</w:t>
      </w:r>
    </w:p>
    <w:p>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p>
    <w:p>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pPr>
        <w:rPr>
          <w:rFonts w:ascii="宋体" w:hAnsi="宋体" w:cs="宋体"/>
          <w:b/>
          <w:color w:val="000000" w:themeColor="text1"/>
          <w:szCs w:val="21"/>
          <w:highlight w:val="none"/>
          <w:lang w:val="zh-CN"/>
          <w14:textFill>
            <w14:solidFill>
              <w14:schemeClr w14:val="tx1"/>
            </w14:solidFill>
          </w14:textFill>
        </w:rPr>
      </w:pPr>
    </w:p>
    <w:p>
      <w:pPr>
        <w:rPr>
          <w:rFonts w:ascii="宋体" w:hAnsi="宋体" w:cs="宋体"/>
          <w:b/>
          <w:color w:val="000000" w:themeColor="text1"/>
          <w:szCs w:val="21"/>
          <w:highlight w:val="none"/>
          <w:lang w:val="zh-CN"/>
          <w14:textFill>
            <w14:solidFill>
              <w14:schemeClr w14:val="tx1"/>
            </w14:solidFill>
          </w14:textFill>
        </w:rPr>
      </w:pP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目录六、技术条款偏离表格式</w:t>
      </w:r>
    </w:p>
    <w:p>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9" w:type="pct"/>
            <w:gridSpan w:val="2"/>
            <w:tcBorders>
              <w:top w:val="nil"/>
              <w:left w:val="nil"/>
              <w:bottom w:val="single" w:color="auto" w:sz="6" w:space="0"/>
              <w:right w:val="nil"/>
            </w:tcBorders>
            <w:vAlign w:val="center"/>
          </w:tcPr>
          <w:p>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bl>
    <w:p>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pPr>
        <w:pStyle w:val="17"/>
        <w:widowControl/>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pPr>
        <w:pStyle w:val="17"/>
        <w:widowControl/>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pPr>
        <w:pStyle w:val="17"/>
        <w:widowControl/>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目录七、商务条款偏离表格式</w:t>
      </w:r>
    </w:p>
    <w:p>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p>
        </w:tc>
        <w:tc>
          <w:tcPr>
            <w:tcW w:w="709" w:type="pct"/>
            <w:vAlign w:val="center"/>
          </w:tcPr>
          <w:p>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pPr>
              <w:adjustRightInd w:val="0"/>
              <w:jc w:val="center"/>
              <w:rPr>
                <w:rFonts w:ascii="宋体" w:hAnsi="宋体" w:cs="宋体"/>
                <w:color w:val="000000" w:themeColor="text1"/>
                <w:szCs w:val="21"/>
                <w:highlight w:val="none"/>
                <w:lang w:val="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pPr>
              <w:jc w:val="center"/>
              <w:rPr>
                <w:rFonts w:ascii="宋体" w:hAnsi="宋体" w:cs="Arial"/>
                <w:color w:val="000000" w:themeColor="text1"/>
                <w:szCs w:val="21"/>
                <w:highlight w:val="none"/>
                <w14:textFill>
                  <w14:solidFill>
                    <w14:schemeClr w14:val="tx1"/>
                  </w14:solidFill>
                </w14:textFill>
              </w:rPr>
            </w:pPr>
          </w:p>
        </w:tc>
      </w:tr>
    </w:tbl>
    <w:p>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pPr>
        <w:pStyle w:val="17"/>
        <w:widowControl/>
        <w:numPr>
          <w:ilvl w:val="0"/>
          <w:numId w:val="6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pPr>
        <w:pStyle w:val="17"/>
        <w:widowControl/>
        <w:numPr>
          <w:ilvl w:val="0"/>
          <w:numId w:val="6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pPr>
        <w:pStyle w:val="17"/>
        <w:widowControl/>
        <w:numPr>
          <w:ilvl w:val="0"/>
          <w:numId w:val="6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目录八、服务方案或承诺</w:t>
      </w:r>
    </w:p>
    <w:p>
      <w:pPr>
        <w:spacing w:line="240" w:lineRule="atLeast"/>
        <w:rPr>
          <w:rFonts w:ascii="宋体" w:hAnsi="宋体"/>
          <w:b/>
          <w:color w:val="000000" w:themeColor="text1"/>
          <w:highlight w:val="none"/>
          <w14:textFill>
            <w14:solidFill>
              <w14:schemeClr w14:val="tx1"/>
            </w14:solidFill>
          </w14:textFill>
        </w:rPr>
      </w:pPr>
    </w:p>
    <w:p>
      <w:pPr>
        <w:pStyle w:val="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服务方案或承诺</w:t>
      </w:r>
    </w:p>
    <w:p>
      <w:pPr>
        <w:spacing w:line="240" w:lineRule="atLeast"/>
        <w:rPr>
          <w:rFonts w:ascii="宋体" w:hAnsi="宋体" w:cs="宋体"/>
          <w:color w:val="000000" w:themeColor="text1"/>
          <w:sz w:val="36"/>
          <w:szCs w:val="36"/>
          <w:highlight w:val="none"/>
          <w:lang w:val="zh-CN"/>
          <w14:textFill>
            <w14:solidFill>
              <w14:schemeClr w14:val="tx1"/>
            </w14:solidFill>
          </w14:textFill>
        </w:rPr>
      </w:pPr>
    </w:p>
    <w:p>
      <w:pPr>
        <w:spacing w:line="240" w:lineRule="atLeast"/>
        <w:rPr>
          <w:rFonts w:ascii="宋体" w:hAnsi="宋体" w:cs="宋体"/>
          <w:color w:val="000000" w:themeColor="text1"/>
          <w:sz w:val="36"/>
          <w:szCs w:val="36"/>
          <w:highlight w:val="none"/>
          <w14:textFill>
            <w14:solidFill>
              <w14:schemeClr w14:val="tx1"/>
            </w14:solidFill>
          </w14:textFill>
        </w:rPr>
      </w:pPr>
    </w:p>
    <w:p>
      <w:pPr>
        <w:spacing w:line="240" w:lineRule="atLeast"/>
        <w:rPr>
          <w:rFonts w:ascii="宋体" w:hAnsi="宋体" w:cs="宋体"/>
          <w:color w:val="000000" w:themeColor="text1"/>
          <w:sz w:val="36"/>
          <w:szCs w:val="36"/>
          <w:highlight w:val="none"/>
          <w14:textFill>
            <w14:solidFill>
              <w14:schemeClr w14:val="tx1"/>
            </w14:solidFill>
          </w14:textFill>
        </w:rPr>
      </w:pPr>
    </w:p>
    <w:p>
      <w:pPr>
        <w:pStyle w:val="43"/>
        <w:ind w:firstLine="720"/>
        <w:rPr>
          <w:rFonts w:cs="宋体"/>
          <w:color w:val="000000" w:themeColor="text1"/>
          <w:sz w:val="36"/>
          <w:szCs w:val="36"/>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240" w:lineRule="atLeast"/>
        <w:rPr>
          <w:rFonts w:ascii="宋体" w:hAnsi="宋体" w:cs="宋体"/>
          <w:color w:val="000000" w:themeColor="text1"/>
          <w:sz w:val="36"/>
          <w:szCs w:val="36"/>
          <w:highlight w:val="none"/>
          <w14:textFill>
            <w14:solidFill>
              <w14:schemeClr w14:val="tx1"/>
            </w14:solidFill>
          </w14:textFill>
        </w:rPr>
      </w:pPr>
    </w:p>
    <w:p>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目录九、拟投入本项目人员一览表</w:t>
      </w:r>
    </w:p>
    <w:p>
      <w:pPr>
        <w:widowControl/>
        <w:adjustRightInd w:val="0"/>
        <w:spacing w:line="440" w:lineRule="exact"/>
        <w:rPr>
          <w:rFonts w:ascii="宋体" w:hAnsi="宋体"/>
          <w:b/>
          <w:bCs/>
          <w:color w:val="000000" w:themeColor="text1"/>
          <w:sz w:val="24"/>
          <w:highlight w:val="none"/>
          <w14:textFill>
            <w14:solidFill>
              <w14:schemeClr w14:val="tx1"/>
            </w14:solidFill>
          </w14:textFill>
        </w:rPr>
      </w:pPr>
    </w:p>
    <w:p>
      <w:pPr>
        <w:pStyle w:val="262"/>
        <w:widowControl/>
        <w:outlineLvl w:val="9"/>
        <w:rPr>
          <w:color w:val="000000" w:themeColor="text1"/>
          <w:highlight w:val="none"/>
          <w14:textFill>
            <w14:solidFill>
              <w14:schemeClr w14:val="tx1"/>
            </w14:solidFill>
          </w14:textFill>
        </w:rPr>
      </w:pPr>
      <w:bookmarkStart w:id="13" w:name="_Toc32681"/>
      <w:bookmarkStart w:id="14" w:name="_Toc14092"/>
      <w:r>
        <w:rPr>
          <w:color w:val="000000" w:themeColor="text1"/>
          <w:highlight w:val="none"/>
          <w14:textFill>
            <w14:solidFill>
              <w14:schemeClr w14:val="tx1"/>
            </w14:solidFill>
          </w14:textFill>
        </w:rPr>
        <w:t>拟投入本项目人员一览表</w:t>
      </w:r>
      <w:bookmarkEnd w:id="13"/>
      <w:bookmarkEnd w:id="14"/>
    </w:p>
    <w:p>
      <w:pPr>
        <w:widowControl/>
        <w:adjustRightInd w:val="0"/>
        <w:spacing w:line="440" w:lineRule="exact"/>
        <w:jc w:val="center"/>
        <w:rPr>
          <w:rFonts w:ascii="宋体" w:hAnsi="宋体"/>
          <w:b/>
          <w:bCs/>
          <w:color w:val="000000" w:themeColor="text1"/>
          <w:szCs w:val="21"/>
          <w:highlight w:val="none"/>
          <w14:textFill>
            <w14:solidFill>
              <w14:schemeClr w14:val="tx1"/>
            </w14:solidFill>
          </w14:textFill>
        </w:rPr>
      </w:pPr>
    </w:p>
    <w:p>
      <w:pPr>
        <w:widowControl/>
        <w:adjustRightIn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30"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390"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性别</w:t>
            </w:r>
          </w:p>
        </w:tc>
        <w:tc>
          <w:tcPr>
            <w:tcW w:w="418"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年龄</w:t>
            </w:r>
          </w:p>
        </w:tc>
        <w:tc>
          <w:tcPr>
            <w:tcW w:w="671"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w:t>
            </w:r>
          </w:p>
        </w:tc>
        <w:tc>
          <w:tcPr>
            <w:tcW w:w="549"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学历</w:t>
            </w:r>
          </w:p>
        </w:tc>
        <w:tc>
          <w:tcPr>
            <w:tcW w:w="603"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执业资格/相关证书</w:t>
            </w:r>
          </w:p>
        </w:tc>
        <w:tc>
          <w:tcPr>
            <w:tcW w:w="520"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501"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工作经历</w:t>
            </w:r>
          </w:p>
        </w:tc>
        <w:tc>
          <w:tcPr>
            <w:tcW w:w="502" w:type="pct"/>
            <w:tcBorders>
              <w:top w:val="single" w:color="000000" w:sz="4" w:space="0"/>
              <w:left w:val="nil"/>
              <w:bottom w:val="single" w:color="000000" w:sz="4" w:space="0"/>
              <w:right w:val="single" w:color="000000" w:sz="4" w:space="0"/>
            </w:tcBorders>
            <w:vAlign w:val="center"/>
          </w:tcPr>
          <w:p>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pPr>
              <w:widowControl/>
              <w:adjustRightInd w:val="0"/>
              <w:rPr>
                <w:rFonts w:ascii="宋体" w:hAnsi="宋体" w:cs="宋体"/>
                <w:color w:val="000000" w:themeColor="text1"/>
                <w:szCs w:val="21"/>
                <w:highlight w:val="none"/>
                <w14:textFill>
                  <w14:solidFill>
                    <w14:schemeClr w14:val="tx1"/>
                  </w14:solidFill>
                </w14:textFill>
              </w:rPr>
            </w:pPr>
          </w:p>
        </w:tc>
      </w:tr>
    </w:tbl>
    <w:p>
      <w:pPr>
        <w:widowControl/>
        <w:adjustRightInd w:val="0"/>
        <w:spacing w:line="440" w:lineRule="exac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供应商名称：</w:t>
      </w:r>
      <w:r>
        <w:rPr>
          <w:rFonts w:hint="eastAsia" w:ascii="Times New Roman" w:hAnsi="Times New Roman"/>
          <w:color w:val="000000" w:themeColor="text1"/>
          <w:sz w:val="24"/>
          <w:szCs w:val="21"/>
          <w:highlight w:val="none"/>
          <w:u w:val="single"/>
          <w14:textFill>
            <w14:solidFill>
              <w14:schemeClr w14:val="tx1"/>
            </w14:solidFill>
          </w14:textFill>
        </w:rPr>
        <w:t>                  </w:t>
      </w:r>
      <w:r>
        <w:rPr>
          <w:rFonts w:hint="eastAsia" w:ascii="Times New Roman" w:hAnsi="Times New Roman"/>
          <w:color w:val="000000" w:themeColor="text1"/>
          <w:sz w:val="24"/>
          <w:szCs w:val="21"/>
          <w:highlight w:val="none"/>
          <w14:textFill>
            <w14:solidFill>
              <w14:schemeClr w14:val="tx1"/>
            </w14:solidFill>
          </w14:textFill>
        </w:rPr>
        <w:t>（公章）</w:t>
      </w:r>
    </w:p>
    <w:p>
      <w:pPr>
        <w:pStyle w:val="22"/>
        <w:rPr>
          <w:color w:val="000000" w:themeColor="text1"/>
          <w:szCs w:val="21"/>
          <w:highlight w:val="none"/>
          <w14:textFill>
            <w14:solidFill>
              <w14:schemeClr w14:val="tx1"/>
            </w14:solidFill>
          </w14:textFill>
        </w:rPr>
      </w:pPr>
    </w:p>
    <w:p>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说明：如果行数不够，请自行增加。</w:t>
      </w:r>
    </w:p>
    <w:p>
      <w:pPr>
        <w:spacing w:line="240" w:lineRule="atLeast"/>
        <w:rPr>
          <w:rFonts w:ascii="宋体" w:hAnsi="宋体"/>
          <w:b/>
          <w:color w:val="000000" w:themeColor="text1"/>
          <w:highlight w:val="none"/>
          <w14:textFill>
            <w14:solidFill>
              <w14:schemeClr w14:val="tx1"/>
            </w14:solidFill>
          </w14:textFill>
        </w:rPr>
      </w:pPr>
    </w:p>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目录十、响应需要的其他证明文件及材料</w:t>
      </w:r>
    </w:p>
    <w:p>
      <w:pPr>
        <w:spacing w:line="240" w:lineRule="atLeast"/>
        <w:rPr>
          <w:rFonts w:ascii="宋体" w:hAnsi="宋体"/>
          <w:b/>
          <w:color w:val="000000" w:themeColor="text1"/>
          <w:highlight w:val="none"/>
          <w14:textFill>
            <w14:solidFill>
              <w14:schemeClr w14:val="tx1"/>
            </w14:solidFill>
          </w14:textFill>
        </w:rPr>
      </w:pPr>
    </w:p>
    <w:p>
      <w:pPr>
        <w:spacing w:line="240" w:lineRule="atLeast"/>
        <w:rPr>
          <w:rFonts w:ascii="宋体" w:hAnsi="宋体"/>
          <w:b/>
          <w:color w:val="000000" w:themeColor="text1"/>
          <w:highlight w:val="none"/>
          <w14:textFill>
            <w14:solidFill>
              <w14:schemeClr w14:val="tx1"/>
            </w14:solidFill>
          </w14:textFill>
        </w:rPr>
      </w:pPr>
    </w:p>
    <w:p>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响应需要的其他证明文件及材料（若有）</w:t>
      </w:r>
    </w:p>
    <w:p>
      <w:pPr>
        <w:rPr>
          <w:rFonts w:hint="eastAsia" w:ascii="宋体" w:cs="宋体"/>
          <w:b/>
          <w:color w:val="auto"/>
          <w:kern w:val="0"/>
          <w:highlight w:val="none"/>
          <w:lang w:val="zh-CN"/>
        </w:rPr>
      </w:pPr>
      <w:r>
        <w:rPr>
          <w:rFonts w:hint="eastAsia" w:ascii="宋体" w:cs="宋体"/>
          <w:b/>
          <w:color w:val="auto"/>
          <w:kern w:val="0"/>
          <w:highlight w:val="none"/>
          <w:lang w:val="zh-CN"/>
        </w:rPr>
        <w:br w:type="page"/>
      </w:r>
    </w:p>
    <w:p>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pPr>
        <w:adjustRightInd w:val="0"/>
        <w:spacing w:line="240" w:lineRule="atLeast"/>
        <w:rPr>
          <w:rFonts w:ascii="宋体" w:hAnsi="宋体"/>
          <w:b/>
          <w:color w:val="000000" w:themeColor="text1"/>
          <w:highlight w:val="none"/>
          <w14:textFill>
            <w14:solidFill>
              <w14:schemeClr w14:val="tx1"/>
            </w14:solidFill>
          </w14:textFill>
        </w:rPr>
      </w:pPr>
    </w:p>
    <w:p>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pPr>
        <w:spacing w:line="360" w:lineRule="auto"/>
        <w:rPr>
          <w:rFonts w:ascii="宋体" w:hAnsi="宋体"/>
          <w:color w:val="000000" w:themeColor="text1"/>
          <w:highlight w:val="none"/>
          <w14:textFill>
            <w14:solidFill>
              <w14:schemeClr w14:val="tx1"/>
            </w14:solidFill>
          </w14:textFill>
        </w:rPr>
      </w:pPr>
    </w:p>
    <w:p>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pPr>
        <w:spacing w:line="360" w:lineRule="auto"/>
        <w:rPr>
          <w:rFonts w:ascii="宋体" w:hAnsi="宋体" w:cs="宋体"/>
          <w:color w:val="000000" w:themeColor="text1"/>
          <w:sz w:val="24"/>
          <w:szCs w:val="24"/>
          <w:highlight w:val="none"/>
          <w14:textFill>
            <w14:solidFill>
              <w14:schemeClr w14:val="tx1"/>
            </w14:solidFill>
          </w14:textFill>
        </w:rPr>
      </w:pPr>
    </w:p>
    <w:p>
      <w:pPr>
        <w:spacing w:line="360" w:lineRule="auto"/>
        <w:rPr>
          <w:rFonts w:ascii="宋体" w:hAnsi="宋体" w:cs="宋体"/>
          <w:color w:val="000000" w:themeColor="text1"/>
          <w:sz w:val="24"/>
          <w:szCs w:val="24"/>
          <w:highlight w:val="none"/>
          <w14:textFill>
            <w14:solidFill>
              <w14:schemeClr w14:val="tx1"/>
            </w14:solidFill>
          </w14:textFill>
        </w:rPr>
      </w:pPr>
    </w:p>
    <w:p>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pPr>
        <w:pStyle w:val="43"/>
        <w:ind w:left="0" w:leftChars="0" w:firstLine="0" w:firstLineChars="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360" w:lineRule="auto"/>
        <w:rPr>
          <w:rFonts w:ascii="宋体" w:hAnsi="宋体"/>
          <w:b/>
          <w:color w:val="000000" w:themeColor="text1"/>
          <w:highlight w:val="none"/>
          <w14:textFill>
            <w14:solidFill>
              <w14:schemeClr w14:val="tx1"/>
            </w14:solidFill>
          </w14:textFill>
        </w:rPr>
      </w:pPr>
    </w:p>
    <w:p>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pPr>
        <w:spacing w:line="360" w:lineRule="auto"/>
        <w:rPr>
          <w:rFonts w:ascii="宋体" w:hAnsi="宋体" w:cs="宋体"/>
          <w:color w:val="000000" w:themeColor="text1"/>
          <w:sz w:val="24"/>
          <w:highlight w:val="none"/>
          <w14:textFill>
            <w14:solidFill>
              <w14:schemeClr w14:val="tx1"/>
            </w14:solidFill>
          </w14:textFill>
        </w:rPr>
      </w:pPr>
    </w:p>
    <w:p>
      <w:pPr>
        <w:spacing w:line="360" w:lineRule="auto"/>
        <w:rPr>
          <w:rFonts w:ascii="宋体" w:hAnsi="宋体" w:cs="宋体"/>
          <w:color w:val="000000" w:themeColor="text1"/>
          <w:sz w:val="24"/>
          <w:highlight w:val="none"/>
          <w14:textFill>
            <w14:solidFill>
              <w14:schemeClr w14:val="tx1"/>
            </w14:solidFill>
          </w14:textFill>
        </w:rPr>
      </w:pPr>
    </w:p>
    <w:p>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pPr>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pPr>
        <w:pStyle w:val="25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pPr>
        <w:adjustRightInd w:val="0"/>
        <w:spacing w:line="360" w:lineRule="auto"/>
        <w:ind w:firstLine="480" w:firstLineChars="20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pPr>
        <w:adjustRightInd w:val="0"/>
        <w:spacing w:line="360" w:lineRule="auto"/>
        <w:ind w:firstLine="480" w:firstLineChars="200"/>
        <w:rPr>
          <w:rFonts w:hint="eastAsia" w:ascii="Times New Roman" w:hAnsi="Times New Roman"/>
          <w:color w:val="000000" w:themeColor="text1"/>
          <w:sz w:val="24"/>
          <w:highlight w:val="none"/>
          <w14:textFill>
            <w14:solidFill>
              <w14:schemeClr w14:val="tx1"/>
            </w14:solidFill>
          </w14:textFill>
        </w:rPr>
      </w:pPr>
    </w:p>
    <w:p>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p>
    <w:p>
      <w:pPr>
        <w:pStyle w:val="259"/>
        <w:rPr>
          <w:rFonts w:hint="eastAsia"/>
          <w:color w:val="000000" w:themeColor="text1"/>
          <w:highlight w:val="none"/>
          <w14:textFill>
            <w14:solidFill>
              <w14:schemeClr w14:val="tx1"/>
            </w14:solidFill>
          </w14:textFill>
        </w:rPr>
      </w:pPr>
    </w:p>
    <w:p>
      <w:pPr>
        <w:pStyle w:val="259"/>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附件四：</w:t>
      </w:r>
      <w:r>
        <w:rPr>
          <w:rFonts w:hint="eastAsia"/>
          <w:color w:val="000000" w:themeColor="text1"/>
          <w:highlight w:val="none"/>
          <w:lang w:val="zh-CN"/>
          <w14:textFill>
            <w14:solidFill>
              <w14:schemeClr w14:val="tx1"/>
            </w14:solidFill>
          </w14:textFill>
        </w:rPr>
        <w:t>企业声明函格式（如不属于则不需提供）</w:t>
      </w:r>
    </w:p>
    <w:p>
      <w:pPr>
        <w:jc w:val="center"/>
        <w:rPr>
          <w:rFonts w:ascii="黑体" w:eastAsia="黑体"/>
          <w:color w:val="auto"/>
          <w:sz w:val="36"/>
          <w:szCs w:val="36"/>
          <w:highlight w:val="none"/>
        </w:rPr>
      </w:pPr>
      <w:r>
        <w:rPr>
          <w:rFonts w:hint="eastAsia" w:ascii="黑体" w:eastAsia="黑体"/>
          <w:color w:val="auto"/>
          <w:sz w:val="36"/>
          <w:szCs w:val="36"/>
          <w:highlight w:val="none"/>
        </w:rPr>
        <w:t>中小企业声明函</w:t>
      </w:r>
    </w:p>
    <w:p>
      <w:pPr>
        <w:ind w:firstLine="420"/>
        <w:rPr>
          <w:rFonts w:ascii="宋体" w:hAnsi="宋体"/>
          <w:color w:val="auto"/>
          <w:highlight w:val="none"/>
        </w:rPr>
      </w:pPr>
      <w:r>
        <w:rPr>
          <w:rFonts w:ascii="宋体" w:hAnsi="宋体"/>
          <w:color w:val="auto"/>
          <w:highlight w:val="none"/>
        </w:rPr>
        <w:t>本公司（联合体）郑重声明，根据《政府采购促进中小企业发展管理办法》（财库﹝2020﹞46号）的规定，本公司（联合体）参加</w:t>
      </w:r>
      <w:r>
        <w:rPr>
          <w:rFonts w:hint="eastAsia" w:ascii="宋体" w:hAnsi="宋体"/>
          <w:color w:val="auto"/>
          <w:highlight w:val="none"/>
          <w:u w:val="single"/>
        </w:rPr>
        <w:t xml:space="preserve"> （单位名称） </w:t>
      </w:r>
      <w:r>
        <w:rPr>
          <w:rFonts w:ascii="宋体" w:hAnsi="宋体"/>
          <w:color w:val="auto"/>
          <w:highlight w:val="none"/>
        </w:rPr>
        <w:t>的</w:t>
      </w:r>
      <w:r>
        <w:rPr>
          <w:rFonts w:ascii="宋体" w:hAnsi="宋体"/>
          <w:color w:val="auto"/>
          <w:highlight w:val="none"/>
          <w:u w:val="single"/>
        </w:rPr>
        <w:t>（项目名称）</w:t>
      </w:r>
      <w:r>
        <w:rPr>
          <w:rFonts w:ascii="宋体" w:hAnsi="宋体"/>
          <w:color w:val="auto"/>
          <w:highlight w:val="none"/>
        </w:rPr>
        <w:t>采购活动，提供的货物全部由符合政策要求的中小企业制造。相关企业（含联合体中的中小企业、签订分包意向协议的中小企业）的具体情况如下：</w:t>
      </w:r>
    </w:p>
    <w:p>
      <w:pPr>
        <w:ind w:firstLine="420"/>
        <w:rPr>
          <w:rFonts w:ascii="宋体" w:hAnsi="宋体"/>
          <w:color w:val="auto"/>
          <w:highlight w:val="none"/>
        </w:rPr>
      </w:pPr>
      <w:r>
        <w:rPr>
          <w:rFonts w:ascii="宋体" w:hAnsi="宋体"/>
          <w:color w:val="auto"/>
          <w:highlight w:val="none"/>
        </w:rPr>
        <w:t>1.</w:t>
      </w:r>
      <w:r>
        <w:rPr>
          <w:rFonts w:ascii="宋体" w:hAnsi="宋体"/>
          <w:color w:val="auto"/>
          <w:highlight w:val="none"/>
          <w:u w:val="single"/>
        </w:rPr>
        <w:t xml:space="preserve"> （标的名称） </w:t>
      </w:r>
      <w:r>
        <w:rPr>
          <w:rFonts w:ascii="宋体" w:hAnsi="宋体"/>
          <w:color w:val="auto"/>
          <w:highlight w:val="none"/>
        </w:rPr>
        <w:t>，属于</w:t>
      </w:r>
      <w:r>
        <w:rPr>
          <w:rFonts w:ascii="宋体" w:hAnsi="宋体"/>
          <w:color w:val="auto"/>
          <w:highlight w:val="none"/>
          <w:u w:val="single"/>
        </w:rPr>
        <w:t xml:space="preserve">（采购文件中明确的所属行业） </w:t>
      </w:r>
      <w:r>
        <w:rPr>
          <w:rFonts w:ascii="宋体" w:hAnsi="宋体"/>
          <w:color w:val="auto"/>
          <w:highlight w:val="none"/>
        </w:rPr>
        <w:t>行业；制造商为</w:t>
      </w:r>
      <w:r>
        <w:rPr>
          <w:rFonts w:ascii="宋体" w:hAnsi="宋体"/>
          <w:color w:val="auto"/>
          <w:highlight w:val="none"/>
          <w:u w:val="single"/>
        </w:rPr>
        <w:t>（企业名称）</w:t>
      </w:r>
      <w:r>
        <w:rPr>
          <w:rFonts w:ascii="宋体" w:hAnsi="宋体"/>
          <w:color w:val="auto"/>
          <w:highlight w:val="none"/>
        </w:rPr>
        <w:t>，从业人员</w:t>
      </w:r>
      <w:r>
        <w:rPr>
          <w:rFonts w:ascii="宋体" w:hAnsi="宋体"/>
          <w:color w:val="auto"/>
          <w:highlight w:val="none"/>
          <w:u w:val="single"/>
        </w:rPr>
        <w:tab/>
      </w:r>
      <w:r>
        <w:rPr>
          <w:rFonts w:ascii="宋体" w:hAnsi="宋体"/>
          <w:color w:val="auto"/>
          <w:highlight w:val="none"/>
        </w:rPr>
        <w:t>人，营业收入为</w:t>
      </w:r>
      <w:r>
        <w:rPr>
          <w:rFonts w:ascii="宋体" w:hAnsi="宋体"/>
          <w:color w:val="auto"/>
          <w:highlight w:val="none"/>
          <w:u w:val="single"/>
        </w:rPr>
        <w:tab/>
      </w:r>
      <w:r>
        <w:rPr>
          <w:rFonts w:ascii="宋体" w:hAnsi="宋体"/>
          <w:color w:val="auto"/>
          <w:highlight w:val="none"/>
        </w:rPr>
        <w:t>万元，资产总额为</w:t>
      </w:r>
      <w:r>
        <w:rPr>
          <w:rFonts w:ascii="宋体" w:hAnsi="宋体"/>
          <w:color w:val="auto"/>
          <w:highlight w:val="none"/>
          <w:u w:val="single"/>
        </w:rPr>
        <w:tab/>
      </w:r>
      <w:r>
        <w:rPr>
          <w:rFonts w:ascii="宋体" w:hAnsi="宋体"/>
          <w:color w:val="auto"/>
          <w:highlight w:val="none"/>
        </w:rPr>
        <w:t>万元1，属于</w:t>
      </w:r>
      <w:r>
        <w:rPr>
          <w:rFonts w:ascii="宋体" w:hAnsi="宋体"/>
          <w:color w:val="auto"/>
          <w:highlight w:val="none"/>
          <w:u w:val="single"/>
        </w:rPr>
        <w:t>（中型企业、小型企业、微型企业）</w:t>
      </w:r>
      <w:r>
        <w:rPr>
          <w:rFonts w:ascii="宋体" w:hAnsi="宋体"/>
          <w:color w:val="auto"/>
          <w:highlight w:val="none"/>
        </w:rPr>
        <w:t>；</w:t>
      </w:r>
    </w:p>
    <w:p>
      <w:pPr>
        <w:ind w:firstLine="420"/>
        <w:rPr>
          <w:rFonts w:ascii="宋体" w:hAnsi="宋体"/>
          <w:color w:val="auto"/>
          <w:highlight w:val="none"/>
        </w:rPr>
      </w:pPr>
      <w:r>
        <w:rPr>
          <w:rFonts w:ascii="宋体" w:hAnsi="宋体"/>
          <w:color w:val="auto"/>
          <w:highlight w:val="none"/>
        </w:rPr>
        <w:t>2.</w:t>
      </w:r>
      <w:r>
        <w:rPr>
          <w:rFonts w:ascii="宋体" w:hAnsi="宋体"/>
          <w:color w:val="auto"/>
          <w:highlight w:val="none"/>
          <w:u w:val="single"/>
        </w:rPr>
        <w:t xml:space="preserve"> （标的名称） </w:t>
      </w:r>
      <w:r>
        <w:rPr>
          <w:rFonts w:ascii="宋体" w:hAnsi="宋体"/>
          <w:color w:val="auto"/>
          <w:highlight w:val="none"/>
        </w:rPr>
        <w:t>，属于</w:t>
      </w:r>
      <w:r>
        <w:rPr>
          <w:rFonts w:ascii="宋体" w:hAnsi="宋体"/>
          <w:color w:val="auto"/>
          <w:highlight w:val="none"/>
          <w:u w:val="single"/>
        </w:rPr>
        <w:t>（采购文件中明确的所属行业）</w:t>
      </w:r>
      <w:r>
        <w:rPr>
          <w:rFonts w:ascii="宋体" w:hAnsi="宋体"/>
          <w:color w:val="auto"/>
          <w:highlight w:val="none"/>
        </w:rPr>
        <w:t>行业；制造商为</w:t>
      </w:r>
      <w:r>
        <w:rPr>
          <w:rFonts w:ascii="宋体" w:hAnsi="宋体"/>
          <w:color w:val="auto"/>
          <w:highlight w:val="none"/>
          <w:u w:val="single"/>
        </w:rPr>
        <w:t>（企业名称）</w:t>
      </w:r>
      <w:r>
        <w:rPr>
          <w:rFonts w:ascii="宋体" w:hAnsi="宋体"/>
          <w:color w:val="auto"/>
          <w:highlight w:val="none"/>
        </w:rPr>
        <w:t>，从业人员</w:t>
      </w:r>
      <w:r>
        <w:rPr>
          <w:rFonts w:ascii="宋体" w:hAnsi="宋体"/>
          <w:color w:val="auto"/>
          <w:highlight w:val="none"/>
          <w:u w:val="single"/>
        </w:rPr>
        <w:tab/>
      </w:r>
      <w:r>
        <w:rPr>
          <w:rFonts w:ascii="宋体" w:hAnsi="宋体"/>
          <w:color w:val="auto"/>
          <w:highlight w:val="none"/>
        </w:rPr>
        <w:t>人，营业收入为</w:t>
      </w:r>
      <w:r>
        <w:rPr>
          <w:rFonts w:ascii="宋体" w:hAnsi="宋体"/>
          <w:color w:val="auto"/>
          <w:highlight w:val="none"/>
          <w:u w:val="single"/>
        </w:rPr>
        <w:tab/>
      </w:r>
      <w:r>
        <w:rPr>
          <w:rFonts w:ascii="宋体" w:hAnsi="宋体"/>
          <w:color w:val="auto"/>
          <w:highlight w:val="none"/>
        </w:rPr>
        <w:t>万元，资产总额为</w:t>
      </w:r>
      <w:r>
        <w:rPr>
          <w:rFonts w:ascii="宋体" w:hAnsi="宋体"/>
          <w:color w:val="auto"/>
          <w:highlight w:val="none"/>
          <w:u w:val="single"/>
        </w:rPr>
        <w:tab/>
      </w:r>
      <w:r>
        <w:rPr>
          <w:rFonts w:ascii="宋体" w:hAnsi="宋体"/>
          <w:color w:val="auto"/>
          <w:highlight w:val="none"/>
        </w:rPr>
        <w:t>万元，属于</w:t>
      </w:r>
      <w:r>
        <w:rPr>
          <w:rFonts w:ascii="宋体" w:hAnsi="宋体"/>
          <w:color w:val="auto"/>
          <w:highlight w:val="none"/>
          <w:u w:val="single"/>
        </w:rPr>
        <w:t>（中型企业、小型企业、微型企业）</w:t>
      </w:r>
      <w:r>
        <w:rPr>
          <w:rFonts w:ascii="宋体" w:hAnsi="宋体"/>
          <w:color w:val="auto"/>
          <w:highlight w:val="none"/>
        </w:rPr>
        <w:t>；</w:t>
      </w:r>
    </w:p>
    <w:p>
      <w:pPr>
        <w:ind w:firstLine="420"/>
        <w:rPr>
          <w:rFonts w:ascii="宋体" w:hAnsi="宋体"/>
          <w:color w:val="auto"/>
          <w:highlight w:val="none"/>
        </w:rPr>
      </w:pPr>
      <w:r>
        <w:rPr>
          <w:rFonts w:ascii="宋体" w:hAnsi="宋体"/>
          <w:color w:val="auto"/>
          <w:highlight w:val="none"/>
        </w:rPr>
        <w:t>…… 以上企业，不属于大企业的分支机构，不存在控股股东为大企业的情形，也不存在与大企业的负责人为同一人的情形。</w:t>
      </w:r>
    </w:p>
    <w:p>
      <w:pPr>
        <w:ind w:firstLine="420"/>
        <w:rPr>
          <w:rFonts w:ascii="宋体" w:hAnsi="宋体"/>
          <w:color w:val="auto"/>
          <w:highlight w:val="none"/>
        </w:rPr>
      </w:pPr>
    </w:p>
    <w:p>
      <w:pPr>
        <w:ind w:firstLine="420"/>
        <w:rPr>
          <w:rFonts w:ascii="宋体" w:hAnsi="宋体"/>
          <w:color w:val="auto"/>
          <w:highlight w:val="none"/>
        </w:rPr>
      </w:pPr>
      <w:r>
        <w:rPr>
          <w:rFonts w:ascii="宋体" w:hAnsi="宋体"/>
          <w:color w:val="auto"/>
          <w:highlight w:val="none"/>
        </w:rPr>
        <w:t>本企业对上述声明内容的真实性负责。如有虚假，将依法承担相应责任。</w:t>
      </w:r>
    </w:p>
    <w:p>
      <w:pPr>
        <w:ind w:firstLine="4200" w:firstLineChars="2000"/>
        <w:rPr>
          <w:rFonts w:ascii="宋体" w:hAnsi="宋体"/>
          <w:color w:val="auto"/>
          <w:highlight w:val="none"/>
        </w:rPr>
      </w:pPr>
    </w:p>
    <w:p>
      <w:pPr>
        <w:ind w:firstLine="4200" w:firstLineChars="2000"/>
        <w:rPr>
          <w:rFonts w:ascii="宋体" w:hAnsi="宋体"/>
          <w:color w:val="auto"/>
          <w:highlight w:val="none"/>
        </w:rPr>
      </w:pPr>
      <w:r>
        <w:rPr>
          <w:rFonts w:hint="eastAsia" w:ascii="宋体" w:hAnsi="宋体"/>
          <w:color w:val="auto"/>
          <w:highlight w:val="none"/>
        </w:rPr>
        <w:t>企业名称（盖章）：</w:t>
      </w:r>
    </w:p>
    <w:p>
      <w:pPr>
        <w:ind w:firstLine="4200" w:firstLineChars="2000"/>
        <w:rPr>
          <w:rFonts w:ascii="宋体" w:hAnsi="宋体"/>
          <w:color w:val="auto"/>
          <w:highlight w:val="none"/>
        </w:rPr>
      </w:pPr>
      <w:r>
        <w:rPr>
          <w:rFonts w:hint="eastAsia" w:ascii="宋体" w:hAnsi="宋体"/>
          <w:color w:val="auto"/>
          <w:highlight w:val="none"/>
        </w:rPr>
        <w:t>日　　　　　　期：</w:t>
      </w:r>
    </w:p>
    <w:p>
      <w:pPr>
        <w:pStyle w:val="243"/>
        <w:spacing w:line="400" w:lineRule="exact"/>
        <w:jc w:val="center"/>
        <w:rPr>
          <w:rFonts w:ascii="宋体" w:hAnsi="宋体"/>
          <w:b/>
          <w:color w:val="auto"/>
          <w:sz w:val="36"/>
          <w:szCs w:val="36"/>
          <w:highlight w:val="none"/>
        </w:rPr>
      </w:pPr>
    </w:p>
    <w:p>
      <w:pPr>
        <w:pStyle w:val="243"/>
        <w:spacing w:line="400" w:lineRule="exact"/>
        <w:jc w:val="center"/>
        <w:rPr>
          <w:color w:val="auto"/>
          <w:highlight w:val="none"/>
        </w:rPr>
      </w:pPr>
      <w:r>
        <w:rPr>
          <w:rFonts w:ascii="宋体" w:hAnsi="宋体"/>
          <w:b/>
          <w:color w:val="auto"/>
          <w:sz w:val="36"/>
          <w:szCs w:val="36"/>
          <w:highlight w:val="none"/>
        </w:rPr>
        <w:t>政府采购节能产品政策</w:t>
      </w:r>
    </w:p>
    <w:p>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根据财政部、</w:t>
      </w:r>
      <w:r>
        <w:rPr>
          <w:rFonts w:hint="eastAsia" w:ascii="宋体" w:hAnsi="宋体"/>
          <w:color w:val="auto"/>
          <w:szCs w:val="21"/>
          <w:highlight w:val="none"/>
        </w:rPr>
        <w:t>国家发展改革委</w:t>
      </w:r>
      <w:r>
        <w:rPr>
          <w:rFonts w:ascii="宋体" w:hAnsi="宋体"/>
          <w:color w:val="auto"/>
          <w:szCs w:val="21"/>
          <w:highlight w:val="none"/>
        </w:rPr>
        <w:t>《节能产品政府采购实施意见》，</w:t>
      </w:r>
      <w:r>
        <w:rPr>
          <w:rFonts w:hint="eastAsia" w:ascii="宋体" w:hAnsi="宋体"/>
          <w:color w:val="auto"/>
          <w:szCs w:val="21"/>
          <w:highlight w:val="none"/>
        </w:rPr>
        <w:t>参选</w:t>
      </w:r>
      <w:r>
        <w:rPr>
          <w:rFonts w:ascii="宋体" w:hAnsi="宋体"/>
          <w:color w:val="auto"/>
          <w:szCs w:val="21"/>
          <w:highlight w:val="none"/>
        </w:rPr>
        <w:t xml:space="preserve">产品属于政府采购的节能产品（最小计算单位为品目），对相应产品的价格给予 </w:t>
      </w:r>
      <w:r>
        <w:rPr>
          <w:rFonts w:hint="eastAsia" w:ascii="宋体" w:hAnsi="宋体"/>
          <w:color w:val="auto"/>
          <w:szCs w:val="21"/>
          <w:highlight w:val="none"/>
        </w:rPr>
        <w:t>5%</w:t>
      </w:r>
      <w:r>
        <w:rPr>
          <w:rFonts w:ascii="宋体" w:hAnsi="宋体"/>
          <w:color w:val="auto"/>
          <w:szCs w:val="21"/>
          <w:highlight w:val="none"/>
        </w:rPr>
        <w:t>的扣除，用扣除后的价格参与评审。</w:t>
      </w:r>
    </w:p>
    <w:p>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2.评选</w:t>
      </w:r>
      <w:r>
        <w:rPr>
          <w:rFonts w:ascii="宋体" w:hAnsi="宋体"/>
          <w:color w:val="auto"/>
          <w:szCs w:val="21"/>
          <w:highlight w:val="none"/>
        </w:rPr>
        <w:t>委员会根据供应商填制的《节能产品报价表》，计算其所投节能产品（最小计算单位为品目）享受价格折扣部分的多少。</w:t>
      </w:r>
    </w:p>
    <w:p>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4.参选</w:t>
      </w:r>
      <w:r>
        <w:rPr>
          <w:rFonts w:ascii="宋体" w:hAnsi="宋体"/>
          <w:color w:val="auto"/>
          <w:szCs w:val="21"/>
          <w:highlight w:val="none"/>
        </w:rPr>
        <w:t xml:space="preserve">产品（最小计算单位为品目）如为节能产品的，供应商需提供产品及型号在“中国政府采购网 </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Cs w:val="21"/>
          <w:highlight w:val="none"/>
        </w:rPr>
        <w:t>http://www.ccgp.gov.cn”</w:t>
      </w:r>
      <w:r>
        <w:rPr>
          <w:rFonts w:ascii="宋体" w:hAnsi="宋体"/>
          <w:color w:val="auto"/>
          <w:szCs w:val="21"/>
          <w:highlight w:val="none"/>
        </w:rPr>
        <w:fldChar w:fldCharType="end"/>
      </w:r>
      <w:r>
        <w:rPr>
          <w:rFonts w:ascii="宋体" w:hAnsi="宋体"/>
          <w:color w:val="auto"/>
          <w:szCs w:val="21"/>
          <w:highlight w:val="none"/>
        </w:rPr>
        <w:t>等官方网站“节能、环保产品查询系统”网页截图，且以提供的证书复印件为准，如未提供，将不做价格扣除。</w:t>
      </w:r>
    </w:p>
    <w:p>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5.参选</w:t>
      </w:r>
      <w:r>
        <w:rPr>
          <w:rFonts w:ascii="宋体" w:hAnsi="宋体"/>
          <w:color w:val="auto"/>
          <w:szCs w:val="21"/>
          <w:highlight w:val="none"/>
        </w:rPr>
        <w:t>供应商必须保证使用节能产品参加</w:t>
      </w:r>
      <w:r>
        <w:rPr>
          <w:rFonts w:hint="eastAsia" w:ascii="宋体" w:hAnsi="宋体"/>
          <w:color w:val="auto"/>
          <w:szCs w:val="21"/>
          <w:highlight w:val="none"/>
        </w:rPr>
        <w:t>参选</w:t>
      </w:r>
      <w:r>
        <w:rPr>
          <w:rFonts w:ascii="宋体" w:hAnsi="宋体"/>
          <w:color w:val="auto"/>
          <w:szCs w:val="21"/>
          <w:highlight w:val="none"/>
        </w:rPr>
        <w:t>的真实性，如出现虚假响应，一经查实，将按照采购文件具体规定进行处理。</w:t>
      </w:r>
    </w:p>
    <w:p>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节能产品报价表</w:t>
      </w:r>
    </w:p>
    <w:p>
      <w:pPr>
        <w:pStyle w:val="243"/>
        <w:ind w:left="-708" w:leftChars="-337" w:right="-622" w:rightChars="-296" w:firstLine="840" w:firstLineChars="400"/>
        <w:rPr>
          <w:color w:val="auto"/>
          <w:highlight w:val="none"/>
        </w:rPr>
      </w:pPr>
      <w:r>
        <w:rPr>
          <w:rFonts w:ascii="宋体" w:hAnsi="宋体"/>
          <w:color w:val="auto"/>
          <w:szCs w:val="21"/>
          <w:highlight w:val="none"/>
        </w:rPr>
        <w:t>供应商名称（盖单位章）：</w:t>
      </w:r>
      <w:r>
        <w:rPr>
          <w:rFonts w:ascii="宋体" w:hAnsi="宋体"/>
          <w:color w:val="auto"/>
          <w:szCs w:val="21"/>
          <w:highlight w:val="none"/>
        </w:rPr>
        <w:tab/>
      </w:r>
      <w:r>
        <w:rPr>
          <w:rFonts w:ascii="宋体" w:hAnsi="宋体"/>
          <w:color w:val="auto"/>
          <w:w w:val="95"/>
          <w:szCs w:val="21"/>
          <w:highlight w:val="none"/>
        </w:rPr>
        <w:t>项目编号：</w:t>
      </w:r>
    </w:p>
    <w:p>
      <w:pPr>
        <w:tabs>
          <w:tab w:val="left" w:pos="6960"/>
        </w:tabs>
        <w:spacing w:line="20" w:lineRule="exact"/>
        <w:ind w:left="3470"/>
        <w:rPr>
          <w:color w:val="auto"/>
          <w:sz w:val="2"/>
          <w:highlight w:val="none"/>
        </w:rPr>
      </w:pPr>
      <w:r>
        <w:rPr>
          <w:rFonts w:ascii="宋体"/>
          <w:color w:val="auto"/>
          <w:spacing w:val="5"/>
          <w:sz w:val="2"/>
          <w:highlight w:val="none"/>
        </w:rPr>
        <mc:AlternateContent>
          <mc:Choice Requires="wpg">
            <w:drawing>
              <wp:inline distT="0" distB="0" distL="0" distR="0">
                <wp:extent cx="1371600" cy="12700"/>
                <wp:effectExtent l="0" t="0" r="0" b="0"/>
                <wp:docPr id="6" name="1026"/>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3" name="1027"/>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1026"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17nlfT&#10;AAAAAwEAAA8AAAAAAAAAAQAgAAAAIgAAAGRycy9kb3ducmV2LnhtbFBLAQIUABQAAAAIAIdO4kDr&#10;auw1JQIAAO0EAAAOAAAAAAAAAAEAIAAAACIBAABkcnMvZTJvRG9jLnhtbFBLBQYAAAAABgAGAFkB&#10;AAC5BQAAAAA=&#10;">
                <o:lock v:ext="edit" aspectratio="f"/>
                <v:line id="1027" o:spid="_x0000_s1026" o:spt="20" style="position:absolute;left:0;top:10;height:0;width:2160;" filled="f" stroked="t" coordsize="21600,21600" o:gfxdata="UEsDBAoAAAAAAIdO4kAAAAAAAAAAAAAAAAAEAAAAZHJzL1BLAwQUAAAACACHTuJAZGb5Q7wAAADa&#10;AAAADwAAAGRycy9kb3ducmV2LnhtbEWPS4sCMRCE74L/IbTgTTMquM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m+UO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r>
        <w:rPr>
          <w:color w:val="auto"/>
          <w:spacing w:val="5"/>
          <w:sz w:val="2"/>
          <w:highlight w:val="none"/>
        </w:rPr>
        <w:tab/>
      </w:r>
      <w:r>
        <w:rPr>
          <w:color w:val="auto"/>
          <w:spacing w:val="5"/>
          <w:sz w:val="2"/>
          <w:highlight w:val="none"/>
        </w:rPr>
        <mc:AlternateContent>
          <mc:Choice Requires="wpg">
            <w:drawing>
              <wp:inline distT="0" distB="0" distL="0" distR="0">
                <wp:extent cx="1371600" cy="12700"/>
                <wp:effectExtent l="0" t="0" r="0" b="0"/>
                <wp:docPr id="7" name="1029"/>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5" name="1030"/>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1029"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LXue&#10;V9MAAAADAQAADwAAAAAAAAABACAAAAAiAAAAZHJzL2Rvd25yZXYueG1sUEsBAhQAFAAAAAgAh07i&#10;QG3C3wcnAgAA7QQAAA4AAAAAAAAAAQAgAAAAIgEAAGRycy9lMm9Eb2MueG1sUEsFBgAAAAAGAAYA&#10;WQEAALsFAAAAAA==&#10;">
                <o:lock v:ext="edit" aspectratio="f"/>
                <v:line id="1030" o:spid="_x0000_s1026" o:spt="20" style="position:absolute;left:0;top:10;height:0;width:2160;" filled="f" stroked="t" coordsize="21600,21600" o:gfxdata="UEsDBAoAAAAAAIdO4kAAAAAAAAAAAAAAAAAEAAAAZHJzL1BLAwQUAAAACACHTuJAhMPErLwAAADa&#10;AAAADwAAAGRycy9kb3ducmV2LnhtbEWPS4sCMRCE74L/IbTgTTMKus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DxKy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p>
    <w:p>
      <w:pPr>
        <w:pStyle w:val="17"/>
        <w:spacing w:before="6"/>
        <w:rPr>
          <w:color w:val="auto"/>
          <w:sz w:val="16"/>
          <w:highlight w:val="none"/>
        </w:rPr>
      </w:pPr>
    </w:p>
    <w:tbl>
      <w:tblPr>
        <w:tblStyle w:val="4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7"/>
        <w:gridCol w:w="660"/>
        <w:gridCol w:w="1239"/>
        <w:gridCol w:w="921"/>
        <w:gridCol w:w="1620"/>
        <w:gridCol w:w="2880"/>
        <w:gridCol w:w="1062"/>
        <w:gridCol w:w="117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937" w:type="dxa"/>
            <w:tcBorders>
              <w:left w:val="single" w:color="000000" w:sz="4" w:space="0"/>
            </w:tcBorders>
            <w:vAlign w:val="center"/>
          </w:tcPr>
          <w:p>
            <w:pPr>
              <w:pStyle w:val="270"/>
              <w:jc w:val="center"/>
              <w:rPr>
                <w:rFonts w:ascii="宋体" w:hAnsi="宋体"/>
                <w:color w:val="auto"/>
                <w:highlight w:val="none"/>
              </w:rPr>
            </w:pPr>
            <w:r>
              <w:rPr>
                <w:rFonts w:ascii="宋体" w:hAnsi="宋体"/>
                <w:color w:val="auto"/>
                <w:highlight w:val="none"/>
              </w:rPr>
              <w:t>品目序号</w:t>
            </w:r>
          </w:p>
        </w:tc>
        <w:tc>
          <w:tcPr>
            <w:tcW w:w="660" w:type="dxa"/>
            <w:vAlign w:val="center"/>
          </w:tcPr>
          <w:p>
            <w:pPr>
              <w:pStyle w:val="270"/>
              <w:jc w:val="center"/>
              <w:rPr>
                <w:rFonts w:ascii="宋体" w:hAnsi="宋体"/>
                <w:color w:val="auto"/>
                <w:highlight w:val="none"/>
              </w:rPr>
            </w:pPr>
            <w:r>
              <w:rPr>
                <w:rFonts w:ascii="宋体" w:hAnsi="宋体"/>
                <w:color w:val="auto"/>
                <w:highlight w:val="none"/>
              </w:rPr>
              <w:t>名称</w:t>
            </w:r>
          </w:p>
        </w:tc>
        <w:tc>
          <w:tcPr>
            <w:tcW w:w="1239" w:type="dxa"/>
            <w:vAlign w:val="center"/>
          </w:tcPr>
          <w:p>
            <w:pPr>
              <w:pStyle w:val="270"/>
              <w:jc w:val="center"/>
              <w:rPr>
                <w:rFonts w:ascii="宋体" w:hAnsi="宋体"/>
                <w:color w:val="auto"/>
                <w:highlight w:val="none"/>
              </w:rPr>
            </w:pPr>
            <w:r>
              <w:rPr>
                <w:rFonts w:ascii="宋体" w:hAnsi="宋体"/>
                <w:color w:val="auto"/>
                <w:w w:val="95"/>
                <w:highlight w:val="none"/>
              </w:rPr>
              <w:t>型号和规</w:t>
            </w:r>
            <w:r>
              <w:rPr>
                <w:rFonts w:ascii="宋体" w:hAnsi="宋体"/>
                <w:color w:val="auto"/>
                <w:highlight w:val="none"/>
              </w:rPr>
              <w:t>格</w:t>
            </w:r>
          </w:p>
        </w:tc>
        <w:tc>
          <w:tcPr>
            <w:tcW w:w="921" w:type="dxa"/>
            <w:vAlign w:val="center"/>
          </w:tcPr>
          <w:p>
            <w:pPr>
              <w:pStyle w:val="270"/>
              <w:jc w:val="center"/>
              <w:rPr>
                <w:rFonts w:ascii="宋体" w:hAnsi="宋体"/>
                <w:color w:val="auto"/>
                <w:highlight w:val="none"/>
              </w:rPr>
            </w:pPr>
            <w:r>
              <w:rPr>
                <w:rFonts w:ascii="宋体" w:hAnsi="宋体"/>
                <w:color w:val="auto"/>
                <w:highlight w:val="none"/>
              </w:rPr>
              <w:t>数量</w:t>
            </w:r>
          </w:p>
        </w:tc>
        <w:tc>
          <w:tcPr>
            <w:tcW w:w="1620" w:type="dxa"/>
            <w:vAlign w:val="center"/>
          </w:tcPr>
          <w:p>
            <w:pPr>
              <w:pStyle w:val="270"/>
              <w:jc w:val="center"/>
              <w:rPr>
                <w:rFonts w:ascii="宋体" w:hAnsi="宋体"/>
                <w:color w:val="auto"/>
                <w:highlight w:val="none"/>
              </w:rPr>
            </w:pPr>
            <w:r>
              <w:rPr>
                <w:rFonts w:ascii="宋体" w:hAnsi="宋体"/>
                <w:color w:val="auto"/>
                <w:highlight w:val="none"/>
              </w:rPr>
              <w:t>原产地和</w:t>
            </w:r>
            <w:r>
              <w:rPr>
                <w:rFonts w:ascii="宋体" w:hAnsi="宋体"/>
                <w:color w:val="auto"/>
                <w:w w:val="95"/>
                <w:highlight w:val="none"/>
              </w:rPr>
              <w:t>制造商名称</w:t>
            </w:r>
          </w:p>
        </w:tc>
        <w:tc>
          <w:tcPr>
            <w:tcW w:w="2880" w:type="dxa"/>
            <w:vAlign w:val="center"/>
          </w:tcPr>
          <w:p>
            <w:pPr>
              <w:pStyle w:val="270"/>
              <w:jc w:val="center"/>
              <w:rPr>
                <w:rFonts w:ascii="宋体" w:hAnsi="宋体"/>
                <w:color w:val="auto"/>
                <w:highlight w:val="none"/>
              </w:rPr>
            </w:pPr>
            <w:r>
              <w:rPr>
                <w:rFonts w:ascii="宋体" w:hAnsi="宋体"/>
                <w:color w:val="auto"/>
                <w:w w:val="95"/>
                <w:highlight w:val="none"/>
              </w:rPr>
              <w:t>节字标志认证证书号</w:t>
            </w:r>
          </w:p>
        </w:tc>
        <w:tc>
          <w:tcPr>
            <w:tcW w:w="1062" w:type="dxa"/>
            <w:tcBorders>
              <w:right w:val="single" w:color="000000" w:sz="4" w:space="0"/>
            </w:tcBorders>
            <w:vAlign w:val="center"/>
          </w:tcPr>
          <w:p>
            <w:pPr>
              <w:pStyle w:val="270"/>
              <w:jc w:val="center"/>
              <w:rPr>
                <w:rFonts w:ascii="宋体" w:hAnsi="宋体"/>
                <w:color w:val="auto"/>
                <w:highlight w:val="none"/>
              </w:rPr>
            </w:pPr>
            <w:r>
              <w:rPr>
                <w:rFonts w:ascii="宋体" w:hAnsi="宋体"/>
                <w:color w:val="auto"/>
                <w:w w:val="95"/>
                <w:highlight w:val="none"/>
              </w:rPr>
              <w:t>单价</w:t>
            </w:r>
          </w:p>
          <w:p>
            <w:pPr>
              <w:pStyle w:val="270"/>
              <w:jc w:val="center"/>
              <w:rPr>
                <w:rFonts w:ascii="宋体" w:hAnsi="宋体"/>
                <w:color w:val="auto"/>
                <w:highlight w:val="none"/>
              </w:rPr>
            </w:pPr>
            <w:r>
              <w:rPr>
                <w:rFonts w:ascii="宋体" w:hAnsi="宋体"/>
                <w:color w:val="auto"/>
                <w:w w:val="95"/>
                <w:highlight w:val="none"/>
              </w:rPr>
              <w:t>（元人民币）</w:t>
            </w:r>
          </w:p>
        </w:tc>
        <w:tc>
          <w:tcPr>
            <w:tcW w:w="1171" w:type="dxa"/>
            <w:tcBorders>
              <w:left w:val="single" w:color="000000" w:sz="4" w:space="0"/>
              <w:right w:val="single" w:color="000000" w:sz="4" w:space="0"/>
            </w:tcBorders>
            <w:vAlign w:val="center"/>
          </w:tcPr>
          <w:p>
            <w:pPr>
              <w:pStyle w:val="270"/>
              <w:jc w:val="center"/>
              <w:rPr>
                <w:rFonts w:ascii="宋体" w:hAnsi="宋体"/>
                <w:color w:val="auto"/>
                <w:highlight w:val="none"/>
              </w:rPr>
            </w:pPr>
            <w:r>
              <w:rPr>
                <w:rFonts w:ascii="宋体" w:hAnsi="宋体"/>
                <w:color w:val="auto"/>
                <w:w w:val="95"/>
                <w:highlight w:val="none"/>
              </w:rPr>
              <w:t>总价</w:t>
            </w:r>
          </w:p>
          <w:p>
            <w:pPr>
              <w:pStyle w:val="270"/>
              <w:jc w:val="center"/>
              <w:rPr>
                <w:rFonts w:ascii="宋体" w:hAnsi="宋体"/>
                <w:color w:val="auto"/>
                <w:highlight w:val="none"/>
              </w:rPr>
            </w:pPr>
            <w:r>
              <w:rPr>
                <w:rFonts w:ascii="宋体" w:hAnsi="宋体"/>
                <w:color w:val="auto"/>
                <w:w w:val="95"/>
                <w:highlight w:val="none"/>
              </w:rPr>
              <w:t>（元人民币）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pPr>
              <w:pStyle w:val="234"/>
              <w:rPr>
                <w:rFonts w:ascii="Times New Roman"/>
                <w:color w:val="auto"/>
                <w:highlight w:val="none"/>
              </w:rPr>
            </w:pPr>
          </w:p>
        </w:tc>
        <w:tc>
          <w:tcPr>
            <w:tcW w:w="660" w:type="dxa"/>
            <w:vAlign w:val="center"/>
          </w:tcPr>
          <w:p>
            <w:pPr>
              <w:pStyle w:val="234"/>
              <w:rPr>
                <w:rFonts w:ascii="Times New Roman"/>
                <w:color w:val="auto"/>
                <w:highlight w:val="none"/>
              </w:rPr>
            </w:pPr>
          </w:p>
        </w:tc>
        <w:tc>
          <w:tcPr>
            <w:tcW w:w="1239" w:type="dxa"/>
            <w:vAlign w:val="center"/>
          </w:tcPr>
          <w:p>
            <w:pPr>
              <w:pStyle w:val="234"/>
              <w:rPr>
                <w:rFonts w:ascii="Times New Roman"/>
                <w:color w:val="auto"/>
                <w:highlight w:val="none"/>
              </w:rPr>
            </w:pPr>
          </w:p>
        </w:tc>
        <w:tc>
          <w:tcPr>
            <w:tcW w:w="921" w:type="dxa"/>
            <w:vAlign w:val="center"/>
          </w:tcPr>
          <w:p>
            <w:pPr>
              <w:pStyle w:val="234"/>
              <w:rPr>
                <w:rFonts w:ascii="Times New Roman"/>
                <w:color w:val="auto"/>
                <w:highlight w:val="none"/>
              </w:rPr>
            </w:pPr>
          </w:p>
        </w:tc>
        <w:tc>
          <w:tcPr>
            <w:tcW w:w="1620" w:type="dxa"/>
            <w:vAlign w:val="center"/>
          </w:tcPr>
          <w:p>
            <w:pPr>
              <w:pStyle w:val="234"/>
              <w:rPr>
                <w:rFonts w:ascii="Times New Roman"/>
                <w:color w:val="auto"/>
                <w:highlight w:val="none"/>
              </w:rPr>
            </w:pPr>
          </w:p>
        </w:tc>
        <w:tc>
          <w:tcPr>
            <w:tcW w:w="2880" w:type="dxa"/>
            <w:vAlign w:val="center"/>
          </w:tcPr>
          <w:p>
            <w:pPr>
              <w:pStyle w:val="234"/>
              <w:rPr>
                <w:rFonts w:ascii="Times New Roman"/>
                <w:color w:val="auto"/>
                <w:highlight w:val="none"/>
              </w:rPr>
            </w:pPr>
          </w:p>
        </w:tc>
        <w:tc>
          <w:tcPr>
            <w:tcW w:w="1062" w:type="dxa"/>
            <w:tcBorders>
              <w:right w:val="single" w:color="000000" w:sz="4" w:space="0"/>
            </w:tcBorders>
            <w:vAlign w:val="center"/>
          </w:tcPr>
          <w:p>
            <w:pPr>
              <w:pStyle w:val="234"/>
              <w:rPr>
                <w:rFonts w:ascii="Times New Roman"/>
                <w:color w:val="auto"/>
                <w:highlight w:val="none"/>
              </w:rPr>
            </w:pPr>
          </w:p>
        </w:tc>
        <w:tc>
          <w:tcPr>
            <w:tcW w:w="1171" w:type="dxa"/>
            <w:tcBorders>
              <w:left w:val="single" w:color="000000" w:sz="4" w:space="0"/>
              <w:right w:val="single" w:color="000000" w:sz="4" w:space="0"/>
            </w:tcBorders>
            <w:vAlign w:val="center"/>
          </w:tcPr>
          <w:p>
            <w:pPr>
              <w:pStyle w:val="234"/>
              <w:rPr>
                <w:rFonts w:ascii="Times New Roman"/>
                <w:color w:val="auto"/>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pPr>
              <w:pStyle w:val="234"/>
              <w:rPr>
                <w:rFonts w:ascii="Times New Roman"/>
                <w:color w:val="auto"/>
                <w:highlight w:val="none"/>
              </w:rPr>
            </w:pPr>
          </w:p>
        </w:tc>
        <w:tc>
          <w:tcPr>
            <w:tcW w:w="660" w:type="dxa"/>
            <w:vAlign w:val="center"/>
          </w:tcPr>
          <w:p>
            <w:pPr>
              <w:pStyle w:val="234"/>
              <w:rPr>
                <w:rFonts w:ascii="Times New Roman"/>
                <w:color w:val="auto"/>
                <w:highlight w:val="none"/>
              </w:rPr>
            </w:pPr>
          </w:p>
        </w:tc>
        <w:tc>
          <w:tcPr>
            <w:tcW w:w="1239" w:type="dxa"/>
            <w:vAlign w:val="center"/>
          </w:tcPr>
          <w:p>
            <w:pPr>
              <w:pStyle w:val="234"/>
              <w:rPr>
                <w:rFonts w:ascii="Times New Roman"/>
                <w:color w:val="auto"/>
                <w:highlight w:val="none"/>
              </w:rPr>
            </w:pPr>
          </w:p>
        </w:tc>
        <w:tc>
          <w:tcPr>
            <w:tcW w:w="921" w:type="dxa"/>
            <w:vAlign w:val="center"/>
          </w:tcPr>
          <w:p>
            <w:pPr>
              <w:pStyle w:val="234"/>
              <w:rPr>
                <w:rFonts w:ascii="Times New Roman"/>
                <w:color w:val="auto"/>
                <w:highlight w:val="none"/>
              </w:rPr>
            </w:pPr>
          </w:p>
        </w:tc>
        <w:tc>
          <w:tcPr>
            <w:tcW w:w="1620" w:type="dxa"/>
            <w:vAlign w:val="center"/>
          </w:tcPr>
          <w:p>
            <w:pPr>
              <w:pStyle w:val="234"/>
              <w:rPr>
                <w:rFonts w:ascii="Times New Roman"/>
                <w:color w:val="auto"/>
                <w:highlight w:val="none"/>
              </w:rPr>
            </w:pPr>
          </w:p>
        </w:tc>
        <w:tc>
          <w:tcPr>
            <w:tcW w:w="2880" w:type="dxa"/>
            <w:vAlign w:val="center"/>
          </w:tcPr>
          <w:p>
            <w:pPr>
              <w:pStyle w:val="234"/>
              <w:rPr>
                <w:rFonts w:ascii="Times New Roman"/>
                <w:color w:val="auto"/>
                <w:highlight w:val="none"/>
              </w:rPr>
            </w:pPr>
          </w:p>
        </w:tc>
        <w:tc>
          <w:tcPr>
            <w:tcW w:w="1062" w:type="dxa"/>
            <w:tcBorders>
              <w:right w:val="single" w:color="000000" w:sz="4" w:space="0"/>
            </w:tcBorders>
            <w:vAlign w:val="center"/>
          </w:tcPr>
          <w:p>
            <w:pPr>
              <w:pStyle w:val="234"/>
              <w:rPr>
                <w:rFonts w:ascii="Times New Roman"/>
                <w:color w:val="auto"/>
                <w:highlight w:val="none"/>
              </w:rPr>
            </w:pPr>
          </w:p>
        </w:tc>
        <w:tc>
          <w:tcPr>
            <w:tcW w:w="1171" w:type="dxa"/>
            <w:tcBorders>
              <w:left w:val="single" w:color="000000" w:sz="4" w:space="0"/>
              <w:right w:val="single" w:color="000000" w:sz="4" w:space="0"/>
            </w:tcBorders>
            <w:vAlign w:val="center"/>
          </w:tcPr>
          <w:p>
            <w:pPr>
              <w:pStyle w:val="234"/>
              <w:rPr>
                <w:rFonts w:ascii="Times New Roman"/>
                <w:color w:val="auto"/>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9319" w:type="dxa"/>
            <w:gridSpan w:val="7"/>
            <w:tcBorders>
              <w:left w:val="single" w:color="000000" w:sz="4" w:space="0"/>
              <w:bottom w:val="single" w:color="000000" w:sz="4" w:space="0"/>
              <w:right w:val="single" w:color="000000" w:sz="4" w:space="0"/>
            </w:tcBorders>
            <w:vAlign w:val="center"/>
          </w:tcPr>
          <w:p>
            <w:pPr>
              <w:pStyle w:val="270"/>
              <w:jc w:val="left"/>
              <w:rPr>
                <w:color w:val="auto"/>
                <w:sz w:val="24"/>
                <w:highlight w:val="none"/>
              </w:rPr>
            </w:pPr>
            <w:r>
              <w:rPr>
                <w:rFonts w:ascii="宋体" w:hAnsi="宋体"/>
                <w:color w:val="auto"/>
                <w:highlight w:val="none"/>
              </w:rPr>
              <w:t>其中，节能产品总计：</w:t>
            </w:r>
          </w:p>
        </w:tc>
        <w:tc>
          <w:tcPr>
            <w:tcW w:w="1171" w:type="dxa"/>
            <w:tcBorders>
              <w:left w:val="single" w:color="000000" w:sz="4" w:space="0"/>
              <w:bottom w:val="single" w:color="000000" w:sz="4" w:space="0"/>
              <w:right w:val="single" w:color="000000" w:sz="4" w:space="0"/>
            </w:tcBorders>
            <w:vAlign w:val="center"/>
          </w:tcPr>
          <w:p>
            <w:pPr>
              <w:pStyle w:val="234"/>
              <w:rPr>
                <w:rFonts w:ascii="Times New Roman"/>
                <w:color w:val="auto"/>
                <w:highlight w:val="none"/>
                <w:lang w:eastAsia="zh-CN"/>
              </w:rPr>
            </w:pPr>
          </w:p>
        </w:tc>
      </w:tr>
    </w:tbl>
    <w:p>
      <w:pPr>
        <w:pStyle w:val="17"/>
        <w:tabs>
          <w:tab w:val="left" w:pos="5765"/>
        </w:tabs>
        <w:spacing w:before="1" w:after="21"/>
        <w:ind w:left="686"/>
        <w:rPr>
          <w:rFonts w:ascii="宋体" w:hAnsi="宋体" w:eastAsia="宋体"/>
          <w:color w:val="auto"/>
          <w:sz w:val="21"/>
          <w:szCs w:val="21"/>
          <w:highlight w:val="none"/>
        </w:rPr>
      </w:pPr>
      <w:r>
        <w:rPr>
          <w:rFonts w:ascii="宋体" w:hAnsi="宋体" w:eastAsia="宋体"/>
          <w:color w:val="auto"/>
          <w:sz w:val="21"/>
          <w:szCs w:val="21"/>
          <w:highlight w:val="none"/>
        </w:rPr>
        <w:t>法定代表人或其委托代理人（签字）：</w:t>
      </w:r>
    </w:p>
    <w:p>
      <w:pPr>
        <w:pStyle w:val="17"/>
        <w:spacing w:line="20" w:lineRule="exact"/>
        <w:ind w:left="8213"/>
        <w:rPr>
          <w:color w:val="auto"/>
          <w:sz w:val="2"/>
          <w:highlight w:val="none"/>
        </w:rPr>
      </w:pPr>
    </w:p>
    <w:p>
      <w:pPr>
        <w:pStyle w:val="25"/>
        <w:rPr>
          <w:color w:val="auto"/>
          <w:highlight w:val="none"/>
        </w:rPr>
      </w:pPr>
    </w:p>
    <w:p>
      <w:pPr>
        <w:widowControl/>
        <w:spacing w:before="312" w:beforeLines="100" w:line="360" w:lineRule="auto"/>
        <w:jc w:val="center"/>
        <w:rPr>
          <w:rFonts w:ascii="宋体" w:hAnsi="宋体"/>
          <w:b/>
          <w:color w:val="auto"/>
          <w:kern w:val="0"/>
          <w:sz w:val="36"/>
          <w:szCs w:val="36"/>
          <w:highlight w:val="none"/>
        </w:rPr>
      </w:pPr>
      <w:r>
        <w:rPr>
          <w:rFonts w:hint="eastAsia" w:ascii="宋体" w:hAnsi="宋体"/>
          <w:b/>
          <w:color w:val="auto"/>
          <w:kern w:val="0"/>
          <w:sz w:val="36"/>
          <w:szCs w:val="36"/>
          <w:highlight w:val="none"/>
        </w:rPr>
        <w:t>残疾人福利性单位声明函</w:t>
      </w:r>
    </w:p>
    <w:p>
      <w:pPr>
        <w:widowControl/>
        <w:spacing w:line="400" w:lineRule="exact"/>
        <w:ind w:firstLine="420" w:firstLineChars="200"/>
        <w:jc w:val="left"/>
        <w:rPr>
          <w:rFonts w:ascii="宋体" w:hAnsi="宋体" w:cs="宋体"/>
          <w:snapToGrid w:val="0"/>
          <w:color w:val="auto"/>
          <w:kern w:val="0"/>
          <w:highlight w:val="none"/>
        </w:rPr>
      </w:pPr>
      <w:r>
        <w:rPr>
          <w:rFonts w:hint="eastAsia" w:ascii="宋体" w:hAnsi="宋体" w:cs="宋体"/>
          <w:snapToGrid w:val="0"/>
          <w:color w:val="auto"/>
          <w:kern w:val="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00" w:lineRule="exact"/>
        <w:ind w:firstLine="420" w:firstLineChars="200"/>
        <w:jc w:val="left"/>
        <w:rPr>
          <w:rFonts w:ascii="宋体" w:hAnsi="宋体" w:cs="宋体"/>
          <w:snapToGrid w:val="0"/>
          <w:color w:val="auto"/>
          <w:kern w:val="0"/>
          <w:highlight w:val="none"/>
        </w:rPr>
      </w:pPr>
      <w:r>
        <w:rPr>
          <w:rFonts w:hint="eastAsia" w:ascii="宋体" w:hAnsi="宋体" w:cs="宋体"/>
          <w:snapToGrid w:val="0"/>
          <w:color w:val="auto"/>
          <w:kern w:val="0"/>
          <w:highlight w:val="none"/>
        </w:rPr>
        <w:t>本单位对上述声明的真实性负责。如有虚假，将依法承担相应责任。</w:t>
      </w:r>
    </w:p>
    <w:p>
      <w:pPr>
        <w:widowControl/>
        <w:spacing w:line="440" w:lineRule="exact"/>
        <w:ind w:firstLine="5040" w:firstLineChars="2400"/>
        <w:jc w:val="left"/>
        <w:rPr>
          <w:rFonts w:ascii="宋体" w:hAnsi="宋体" w:cs="宋体"/>
          <w:snapToGrid w:val="0"/>
          <w:color w:val="auto"/>
          <w:kern w:val="0"/>
          <w:highlight w:val="none"/>
        </w:rPr>
      </w:pPr>
    </w:p>
    <w:p>
      <w:pPr>
        <w:widowControl/>
        <w:spacing w:line="440" w:lineRule="exact"/>
        <w:ind w:firstLine="5040" w:firstLineChars="2400"/>
        <w:jc w:val="left"/>
        <w:rPr>
          <w:rFonts w:ascii="宋体" w:hAnsi="宋体" w:cs="宋体"/>
          <w:snapToGrid w:val="0"/>
          <w:color w:val="auto"/>
          <w:kern w:val="0"/>
          <w:highlight w:val="none"/>
        </w:rPr>
      </w:pPr>
    </w:p>
    <w:p>
      <w:pPr>
        <w:widowControl/>
        <w:spacing w:line="440" w:lineRule="exact"/>
        <w:ind w:firstLine="5040" w:firstLineChars="2400"/>
        <w:jc w:val="left"/>
        <w:rPr>
          <w:rFonts w:ascii="宋体" w:hAnsi="宋体" w:cs="宋体"/>
          <w:snapToGrid w:val="0"/>
          <w:color w:val="auto"/>
          <w:kern w:val="0"/>
          <w:highlight w:val="none"/>
        </w:rPr>
      </w:pPr>
    </w:p>
    <w:p>
      <w:pPr>
        <w:widowControl/>
        <w:spacing w:line="360" w:lineRule="auto"/>
        <w:ind w:firstLine="3990" w:firstLineChars="1900"/>
        <w:jc w:val="left"/>
        <w:rPr>
          <w:rFonts w:ascii="宋体" w:hAnsi="宋体" w:cs="宋体"/>
          <w:color w:val="auto"/>
          <w:kern w:val="0"/>
          <w:highlight w:val="none"/>
        </w:rPr>
      </w:pPr>
      <w:r>
        <w:rPr>
          <w:rFonts w:hint="eastAsia" w:ascii="宋体" w:hAnsi="宋体" w:cs="宋体"/>
          <w:color w:val="auto"/>
          <w:kern w:val="0"/>
          <w:highlight w:val="none"/>
        </w:rPr>
        <w:t>供应商（盖章）:</w:t>
      </w:r>
      <w:r>
        <w:rPr>
          <w:rFonts w:hint="eastAsia" w:ascii="宋体" w:hAnsi="宋体" w:cs="宋体"/>
          <w:color w:val="auto"/>
          <w:kern w:val="0"/>
          <w:highlight w:val="none"/>
          <w:u w:val="single"/>
        </w:rPr>
        <w:t xml:space="preserve">            </w:t>
      </w:r>
    </w:p>
    <w:p>
      <w:pPr>
        <w:widowControl/>
        <w:spacing w:line="360" w:lineRule="auto"/>
        <w:ind w:firstLine="3990" w:firstLineChars="1900"/>
        <w:jc w:val="left"/>
        <w:rPr>
          <w:rFonts w:ascii="宋体" w:hAnsi="宋体" w:cs="宋体"/>
          <w:b/>
          <w:bCs/>
          <w:color w:val="auto"/>
          <w:highlight w:val="none"/>
        </w:rPr>
      </w:pPr>
      <w:r>
        <w:rPr>
          <w:rFonts w:hint="eastAsia" w:ascii="宋体" w:hAnsi="宋体" w:cs="宋体"/>
          <w:color w:val="auto"/>
          <w:kern w:val="0"/>
          <w:highlight w:val="none"/>
        </w:rPr>
        <w:t>日    期：   年    月    日</w:t>
      </w:r>
    </w:p>
    <w:p>
      <w:pPr>
        <w:widowControl/>
        <w:spacing w:before="312" w:beforeLines="100" w:line="360" w:lineRule="auto"/>
        <w:jc w:val="center"/>
        <w:rPr>
          <w:rFonts w:hint="eastAsia" w:ascii="宋体" w:hAnsi="宋体"/>
          <w:b/>
          <w:color w:val="auto"/>
          <w:kern w:val="0"/>
          <w:sz w:val="36"/>
          <w:szCs w:val="36"/>
          <w:highlight w:val="none"/>
        </w:rPr>
      </w:pPr>
    </w:p>
    <w:p>
      <w:pPr>
        <w:widowControl/>
        <w:spacing w:before="312" w:beforeLines="100" w:line="360" w:lineRule="auto"/>
        <w:jc w:val="center"/>
        <w:rPr>
          <w:rFonts w:hint="eastAsia" w:ascii="宋体" w:hAnsi="宋体"/>
          <w:b/>
          <w:color w:val="auto"/>
          <w:kern w:val="0"/>
          <w:sz w:val="36"/>
          <w:szCs w:val="36"/>
          <w:highlight w:val="none"/>
        </w:rPr>
      </w:pPr>
    </w:p>
    <w:p>
      <w:pPr>
        <w:widowControl/>
        <w:spacing w:before="312" w:beforeLines="100" w:line="360" w:lineRule="auto"/>
        <w:jc w:val="center"/>
        <w:rPr>
          <w:rFonts w:ascii="宋体" w:hAnsi="宋体"/>
          <w:b/>
          <w:color w:val="auto"/>
          <w:kern w:val="0"/>
          <w:sz w:val="36"/>
          <w:szCs w:val="36"/>
          <w:highlight w:val="none"/>
        </w:rPr>
      </w:pPr>
      <w:r>
        <w:rPr>
          <w:rFonts w:hint="eastAsia" w:ascii="宋体" w:hAnsi="宋体"/>
          <w:b/>
          <w:color w:val="auto"/>
          <w:kern w:val="0"/>
          <w:sz w:val="36"/>
          <w:szCs w:val="36"/>
          <w:highlight w:val="none"/>
        </w:rPr>
        <w:t>属于监狱企业的证明文件</w:t>
      </w:r>
    </w:p>
    <w:p>
      <w:pPr>
        <w:adjustRightInd w:val="0"/>
        <w:spacing w:line="360" w:lineRule="auto"/>
        <w:rPr>
          <w:rFonts w:hint="default" w:ascii="Times New Roman" w:hAnsi="Times New Roman" w:eastAsia="宋体"/>
          <w:color w:val="000000" w:themeColor="text1"/>
          <w:sz w:val="24"/>
          <w:highlight w:val="none"/>
          <w:lang w:val="en-US" w:eastAsia="zh-CN"/>
          <w14:textFill>
            <w14:solidFill>
              <w14:schemeClr w14:val="tx1"/>
            </w14:solidFill>
          </w14:textFill>
        </w:rPr>
      </w:pPr>
      <w:r>
        <w:rPr>
          <w:rFonts w:hint="eastAsia" w:ascii="宋体" w:hAnsi="宋体" w:cs="宋体"/>
          <w:color w:val="auto"/>
          <w:highlight w:val="none"/>
        </w:rPr>
        <w:t>提供由省级以上监狱管理局、戒毒管理局（含新疆生产建设兵团）出具的属于监狱企业的证明文件）</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Times New Roman (正文 CS 字体)">
    <w:altName w:val="宋体"/>
    <w:panose1 w:val="020B0604020202020204"/>
    <w:charset w:val="86"/>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0288"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60288;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AE8E4E7F"/>
    <w:multiLevelType w:val="singleLevel"/>
    <w:tmpl w:val="AE8E4E7F"/>
    <w:lvl w:ilvl="0" w:tentative="0">
      <w:start w:val="1"/>
      <w:numFmt w:val="decimal"/>
      <w:suff w:val="nothing"/>
      <w:lvlText w:val="（%1）"/>
      <w:lvlJc w:val="left"/>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6">
    <w:nsid w:val="137A98A4"/>
    <w:multiLevelType w:val="singleLevel"/>
    <w:tmpl w:val="137A98A4"/>
    <w:lvl w:ilvl="0" w:tentative="0">
      <w:start w:val="1"/>
      <w:numFmt w:val="decimal"/>
      <w:suff w:val="nothing"/>
      <w:lvlText w:val="（%1）"/>
      <w:lvlJc w:val="left"/>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9">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0">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1">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2">
    <w:nsid w:val="318533B0"/>
    <w:multiLevelType w:val="singleLevel"/>
    <w:tmpl w:val="318533B0"/>
    <w:lvl w:ilvl="0" w:tentative="0">
      <w:start w:val="4"/>
      <w:numFmt w:val="chineseCounting"/>
      <w:suff w:val="space"/>
      <w:lvlText w:val="第%1章"/>
      <w:lvlJc w:val="left"/>
      <w:rPr>
        <w:rFonts w:hint="eastAsia"/>
      </w:rPr>
    </w:lvl>
  </w:abstractNum>
  <w:abstractNum w:abstractNumId="43">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4">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5">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6">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7">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8">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9">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1">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2">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3">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4">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5">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8">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9">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9"/>
  </w:num>
  <w:num w:numId="2">
    <w:abstractNumId w:val="13"/>
  </w:num>
  <w:num w:numId="3">
    <w:abstractNumId w:val="38"/>
  </w:num>
  <w:num w:numId="4">
    <w:abstractNumId w:val="58"/>
  </w:num>
  <w:num w:numId="5">
    <w:abstractNumId w:val="55"/>
  </w:num>
  <w:num w:numId="6">
    <w:abstractNumId w:val="33"/>
  </w:num>
  <w:num w:numId="7">
    <w:abstractNumId w:val="21"/>
  </w:num>
  <w:num w:numId="8">
    <w:abstractNumId w:val="45"/>
  </w:num>
  <w:num w:numId="9">
    <w:abstractNumId w:val="41"/>
  </w:num>
  <w:num w:numId="10">
    <w:abstractNumId w:val="8"/>
  </w:num>
  <w:num w:numId="11">
    <w:abstractNumId w:val="17"/>
  </w:num>
  <w:num w:numId="12">
    <w:abstractNumId w:val="48"/>
  </w:num>
  <w:num w:numId="13">
    <w:abstractNumId w:val="59"/>
  </w:num>
  <w:num w:numId="14">
    <w:abstractNumId w:val="12"/>
  </w:num>
  <w:num w:numId="15">
    <w:abstractNumId w:val="56"/>
  </w:num>
  <w:num w:numId="16">
    <w:abstractNumId w:val="40"/>
  </w:num>
  <w:num w:numId="17">
    <w:abstractNumId w:val="54"/>
  </w:num>
  <w:num w:numId="18">
    <w:abstractNumId w:val="43"/>
  </w:num>
  <w:num w:numId="19">
    <w:abstractNumId w:val="32"/>
  </w:num>
  <w:num w:numId="20">
    <w:abstractNumId w:val="37"/>
  </w:num>
  <w:num w:numId="21">
    <w:abstractNumId w:val="15"/>
  </w:num>
  <w:num w:numId="22">
    <w:abstractNumId w:val="25"/>
  </w:num>
  <w:num w:numId="23">
    <w:abstractNumId w:val="31"/>
  </w:num>
  <w:num w:numId="24">
    <w:abstractNumId w:val="46"/>
  </w:num>
  <w:num w:numId="25">
    <w:abstractNumId w:val="27"/>
  </w:num>
  <w:num w:numId="26">
    <w:abstractNumId w:val="6"/>
  </w:num>
  <w:num w:numId="27">
    <w:abstractNumId w:val="47"/>
  </w:num>
  <w:num w:numId="28">
    <w:abstractNumId w:val="16"/>
  </w:num>
  <w:num w:numId="29">
    <w:abstractNumId w:val="2"/>
  </w:num>
  <w:num w:numId="30">
    <w:abstractNumId w:val="50"/>
  </w:num>
  <w:num w:numId="31">
    <w:abstractNumId w:val="44"/>
  </w:num>
  <w:num w:numId="32">
    <w:abstractNumId w:val="34"/>
  </w:num>
  <w:num w:numId="33">
    <w:abstractNumId w:val="7"/>
  </w:num>
  <w:num w:numId="34">
    <w:abstractNumId w:val="35"/>
  </w:num>
  <w:num w:numId="35">
    <w:abstractNumId w:val="52"/>
  </w:num>
  <w:num w:numId="36">
    <w:abstractNumId w:val="51"/>
  </w:num>
  <w:num w:numId="37">
    <w:abstractNumId w:val="3"/>
  </w:num>
  <w:num w:numId="38">
    <w:abstractNumId w:val="28"/>
  </w:num>
  <w:num w:numId="39">
    <w:abstractNumId w:val="53"/>
  </w:num>
  <w:num w:numId="40">
    <w:abstractNumId w:val="24"/>
  </w:num>
  <w:num w:numId="41">
    <w:abstractNumId w:val="9"/>
  </w:num>
  <w:num w:numId="42">
    <w:abstractNumId w:val="4"/>
  </w:num>
  <w:num w:numId="43">
    <w:abstractNumId w:val="10"/>
  </w:num>
  <w:num w:numId="44">
    <w:abstractNumId w:val="29"/>
  </w:num>
  <w:num w:numId="45">
    <w:abstractNumId w:val="18"/>
  </w:num>
  <w:num w:numId="46">
    <w:abstractNumId w:val="26"/>
  </w:num>
  <w:num w:numId="47">
    <w:abstractNumId w:val="19"/>
  </w:num>
  <w:num w:numId="48">
    <w:abstractNumId w:val="57"/>
  </w:num>
  <w:num w:numId="49">
    <w:abstractNumId w:val="20"/>
  </w:num>
  <w:num w:numId="50">
    <w:abstractNumId w:val="23"/>
  </w:num>
  <w:num w:numId="51">
    <w:abstractNumId w:val="1"/>
  </w:num>
  <w:num w:numId="52">
    <w:abstractNumId w:val="5"/>
  </w:num>
  <w:num w:numId="53">
    <w:abstractNumId w:val="36"/>
  </w:num>
  <w:num w:numId="54">
    <w:abstractNumId w:val="42"/>
  </w:num>
  <w:num w:numId="55">
    <w:abstractNumId w:val="14"/>
  </w:num>
  <w:num w:numId="56">
    <w:abstractNumId w:val="0"/>
  </w:num>
  <w:num w:numId="57">
    <w:abstractNumId w:val="39"/>
  </w:num>
  <w:num w:numId="58">
    <w:abstractNumId w:val="11"/>
  </w:num>
  <w:num w:numId="59">
    <w:abstractNumId w:val="30"/>
  </w:num>
  <w:num w:numId="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k4YThiNjdjMDIyNGEyMWYyNWQ5YTgwZjZhZGY0NTE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0C2523"/>
    <w:rsid w:val="027C6AB9"/>
    <w:rsid w:val="02DF21EF"/>
    <w:rsid w:val="045046FF"/>
    <w:rsid w:val="047F24B6"/>
    <w:rsid w:val="057069E3"/>
    <w:rsid w:val="05CB3586"/>
    <w:rsid w:val="060D10D2"/>
    <w:rsid w:val="066C72D7"/>
    <w:rsid w:val="07EF7321"/>
    <w:rsid w:val="08823813"/>
    <w:rsid w:val="08A40BE4"/>
    <w:rsid w:val="08B07D72"/>
    <w:rsid w:val="08E45039"/>
    <w:rsid w:val="091A23B4"/>
    <w:rsid w:val="091D123B"/>
    <w:rsid w:val="096B4234"/>
    <w:rsid w:val="098053F7"/>
    <w:rsid w:val="09865C52"/>
    <w:rsid w:val="09F8516F"/>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0F33BE5"/>
    <w:rsid w:val="21AF7EF2"/>
    <w:rsid w:val="21C30CB0"/>
    <w:rsid w:val="21D104C4"/>
    <w:rsid w:val="21E6112F"/>
    <w:rsid w:val="22017635"/>
    <w:rsid w:val="222334A6"/>
    <w:rsid w:val="229D231D"/>
    <w:rsid w:val="23325476"/>
    <w:rsid w:val="235E3DED"/>
    <w:rsid w:val="241E2177"/>
    <w:rsid w:val="2445396E"/>
    <w:rsid w:val="247D6DFF"/>
    <w:rsid w:val="2557368E"/>
    <w:rsid w:val="25643BBA"/>
    <w:rsid w:val="25FE6C33"/>
    <w:rsid w:val="26203303"/>
    <w:rsid w:val="26B03760"/>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411BC"/>
    <w:rsid w:val="2EEC39D8"/>
    <w:rsid w:val="2EED10C4"/>
    <w:rsid w:val="2F057E2F"/>
    <w:rsid w:val="2F3321FA"/>
    <w:rsid w:val="2F544C9F"/>
    <w:rsid w:val="2F751905"/>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2A6B90"/>
    <w:rsid w:val="3A744447"/>
    <w:rsid w:val="3AA30888"/>
    <w:rsid w:val="3ADD5E57"/>
    <w:rsid w:val="3AFB3576"/>
    <w:rsid w:val="3BC44F5A"/>
    <w:rsid w:val="3BD74CEB"/>
    <w:rsid w:val="3BED091B"/>
    <w:rsid w:val="3C60699C"/>
    <w:rsid w:val="3CF60458"/>
    <w:rsid w:val="3D042809"/>
    <w:rsid w:val="3E2409BB"/>
    <w:rsid w:val="3E8743FE"/>
    <w:rsid w:val="3F992808"/>
    <w:rsid w:val="3FB83028"/>
    <w:rsid w:val="3FBE048B"/>
    <w:rsid w:val="3FDB17C4"/>
    <w:rsid w:val="3FEB6F5A"/>
    <w:rsid w:val="4067627C"/>
    <w:rsid w:val="409265EE"/>
    <w:rsid w:val="415218E2"/>
    <w:rsid w:val="41C9151C"/>
    <w:rsid w:val="41F221ED"/>
    <w:rsid w:val="431C742A"/>
    <w:rsid w:val="444F53BD"/>
    <w:rsid w:val="44737C99"/>
    <w:rsid w:val="44ED5664"/>
    <w:rsid w:val="44F364BA"/>
    <w:rsid w:val="456A6701"/>
    <w:rsid w:val="45A1630C"/>
    <w:rsid w:val="45D756FD"/>
    <w:rsid w:val="45F24ED8"/>
    <w:rsid w:val="473A796F"/>
    <w:rsid w:val="47726C6E"/>
    <w:rsid w:val="47ED547B"/>
    <w:rsid w:val="48616533"/>
    <w:rsid w:val="486C49B0"/>
    <w:rsid w:val="489610DE"/>
    <w:rsid w:val="48E73DE4"/>
    <w:rsid w:val="494476DB"/>
    <w:rsid w:val="496F29A9"/>
    <w:rsid w:val="49A454A8"/>
    <w:rsid w:val="49B22A94"/>
    <w:rsid w:val="49BC0661"/>
    <w:rsid w:val="49BF63F4"/>
    <w:rsid w:val="49C66341"/>
    <w:rsid w:val="4A8E3303"/>
    <w:rsid w:val="4AA743C5"/>
    <w:rsid w:val="4B1E03E7"/>
    <w:rsid w:val="4B30329B"/>
    <w:rsid w:val="4BA95F1B"/>
    <w:rsid w:val="4BB54ECC"/>
    <w:rsid w:val="4BD9754E"/>
    <w:rsid w:val="4BE920DE"/>
    <w:rsid w:val="4C054A64"/>
    <w:rsid w:val="4C4C4730"/>
    <w:rsid w:val="4C6D6F48"/>
    <w:rsid w:val="4D371A30"/>
    <w:rsid w:val="4D717A9A"/>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803E83"/>
    <w:rsid w:val="54A67309"/>
    <w:rsid w:val="563228AA"/>
    <w:rsid w:val="563B3C13"/>
    <w:rsid w:val="56C43C09"/>
    <w:rsid w:val="56EA18C1"/>
    <w:rsid w:val="57106FCA"/>
    <w:rsid w:val="575E22AF"/>
    <w:rsid w:val="57A23F4A"/>
    <w:rsid w:val="57A46D66"/>
    <w:rsid w:val="57B42F13"/>
    <w:rsid w:val="58070251"/>
    <w:rsid w:val="584C2108"/>
    <w:rsid w:val="58827087"/>
    <w:rsid w:val="58F5454D"/>
    <w:rsid w:val="592D018B"/>
    <w:rsid w:val="594B0A11"/>
    <w:rsid w:val="5A253D2B"/>
    <w:rsid w:val="5A7B154E"/>
    <w:rsid w:val="5B7F1DF1"/>
    <w:rsid w:val="5BCF7320"/>
    <w:rsid w:val="5BDE1EE0"/>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605303A5"/>
    <w:rsid w:val="60687CFB"/>
    <w:rsid w:val="61614E76"/>
    <w:rsid w:val="62095B02"/>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5131C2"/>
    <w:rsid w:val="6B603B25"/>
    <w:rsid w:val="6B7457A6"/>
    <w:rsid w:val="6C863145"/>
    <w:rsid w:val="6D0244F4"/>
    <w:rsid w:val="6E2D0DB9"/>
    <w:rsid w:val="6F0A08FB"/>
    <w:rsid w:val="6F7A7103"/>
    <w:rsid w:val="6F826A2D"/>
    <w:rsid w:val="6FB70357"/>
    <w:rsid w:val="6FDC61FC"/>
    <w:rsid w:val="7009478C"/>
    <w:rsid w:val="70813A4D"/>
    <w:rsid w:val="70A703CB"/>
    <w:rsid w:val="70E33C39"/>
    <w:rsid w:val="718524BB"/>
    <w:rsid w:val="72624905"/>
    <w:rsid w:val="728C28C5"/>
    <w:rsid w:val="7371347D"/>
    <w:rsid w:val="74547A54"/>
    <w:rsid w:val="74591FEB"/>
    <w:rsid w:val="748B4BCA"/>
    <w:rsid w:val="74CF1C9F"/>
    <w:rsid w:val="74E00EDF"/>
    <w:rsid w:val="757C1E26"/>
    <w:rsid w:val="75CF430F"/>
    <w:rsid w:val="75EF25F8"/>
    <w:rsid w:val="75F2239C"/>
    <w:rsid w:val="76373B19"/>
    <w:rsid w:val="76BD44A5"/>
    <w:rsid w:val="76E47139"/>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F13473F"/>
    <w:rsid w:val="7F264BB1"/>
    <w:rsid w:val="7F535BDC"/>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38</Pages>
  <Words>21068</Words>
  <Characters>22014</Characters>
  <Lines>140</Lines>
  <Paragraphs>39</Paragraphs>
  <TotalTime>9</TotalTime>
  <ScaleCrop>false</ScaleCrop>
  <LinksUpToDate>false</LinksUpToDate>
  <CharactersWithSpaces>23223</CharactersWithSpaces>
  <Application>WPS Office_11.1.0.12173_F1E327BC-269C-435d-A152-05C5408002CA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代理</cp:lastModifiedBy>
  <dcterms:modified xsi:type="dcterms:W3CDTF">2025-10-11T07:48:54Z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2052-11.1.0.12173</vt:lpwstr>
  </property>
  <property fmtid="{D5CDD505-2E9C-101B-9397-08002B2CF9AE}" pid="3" name="ICV">
    <vt:lpwstr>C7B1A4CC19534C588A841EF2C924739A</vt:lpwstr>
  </property>
  <property fmtid="{D5CDD505-2E9C-101B-9397-08002B2CF9AE}" pid="4" name="KSOTemplateDocerSaveRecord">
    <vt:lpwstr>eyJoZGlkIjoiNjg4OGIwNWEyNGI0YjcwMTA2MTQwNTYwOGZhYzZiMTciLCJ1c2VySWQiOiIzNzQ2MTQ5NzQifQ==</vt:lpwstr>
  </property>
</Properties>
</file>