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7B56D">
      <w:pPr>
        <w:spacing w:line="360" w:lineRule="auto"/>
        <w:jc w:val="center"/>
        <w:rPr>
          <w:rFonts w:hint="eastAsia" w:ascii="宋体" w:hAnsi="宋体"/>
          <w:b/>
          <w:color w:val="auto"/>
          <w:sz w:val="44"/>
          <w:highlight w:val="none"/>
          <w:shd w:val="clear" w:color="auto" w:fill="FFFFFF"/>
        </w:rPr>
      </w:pPr>
    </w:p>
    <w:p w14:paraId="11CF26ED">
      <w:pPr>
        <w:pStyle w:val="2"/>
        <w:rPr>
          <w:rFonts w:hint="eastAsia"/>
          <w:color w:val="auto"/>
          <w:highlight w:val="none"/>
        </w:rPr>
      </w:pPr>
    </w:p>
    <w:p w14:paraId="61B6A1BB">
      <w:pPr>
        <w:jc w:val="center"/>
        <w:rPr>
          <w:rFonts w:hint="eastAsia" w:ascii="宋体" w:hAnsi="宋体" w:cs="宋体"/>
          <w:b/>
          <w:color w:val="auto"/>
          <w:sz w:val="44"/>
          <w:highlight w:val="none"/>
          <w:shd w:val="clear" w:color="auto" w:fill="FFFFFF"/>
        </w:rPr>
      </w:pPr>
      <w:r>
        <w:rPr>
          <w:rFonts w:hint="eastAsia" w:ascii="宋体" w:hAnsi="宋体" w:cs="宋体"/>
          <w:b/>
          <w:color w:val="auto"/>
          <w:sz w:val="44"/>
          <w:highlight w:val="none"/>
          <w:shd w:val="clear" w:color="auto" w:fill="FFFFFF"/>
        </w:rPr>
        <w:t>南京邮电大学</w:t>
      </w:r>
    </w:p>
    <w:p w14:paraId="5B10A7A2">
      <w:pPr>
        <w:jc w:val="center"/>
        <w:rPr>
          <w:rFonts w:hint="eastAsia" w:ascii="宋体" w:hAnsi="宋体" w:cs="宋体"/>
          <w:b/>
          <w:color w:val="auto"/>
          <w:sz w:val="32"/>
          <w:highlight w:val="none"/>
          <w:shd w:val="clear" w:color="auto" w:fill="FFFFFF"/>
        </w:rPr>
      </w:pPr>
      <w:r>
        <w:rPr>
          <w:rFonts w:hint="eastAsia" w:ascii="宋体" w:hAnsi="宋体" w:cs="宋体"/>
          <w:b/>
          <w:color w:val="auto"/>
          <w:sz w:val="44"/>
          <w:highlight w:val="none"/>
          <w:shd w:val="clear" w:color="auto" w:fill="FFFFFF"/>
        </w:rPr>
        <w:t>电动汽车充电设施智能运维决策软件采购项目</w:t>
      </w:r>
    </w:p>
    <w:p w14:paraId="1414D53B">
      <w:pPr>
        <w:pStyle w:val="17"/>
        <w:ind w:firstLine="480"/>
        <w:jc w:val="center"/>
        <w:rPr>
          <w:rFonts w:hint="eastAsia" w:ascii="宋体" w:hAnsi="宋体"/>
          <w:color w:val="auto"/>
          <w:highlight w:val="none"/>
        </w:rPr>
      </w:pPr>
    </w:p>
    <w:p w14:paraId="68DF02F3">
      <w:pPr>
        <w:pStyle w:val="17"/>
        <w:ind w:firstLine="480"/>
        <w:jc w:val="center"/>
        <w:rPr>
          <w:rFonts w:hint="eastAsia" w:ascii="宋体" w:hAnsi="宋体"/>
          <w:color w:val="auto"/>
          <w:highlight w:val="none"/>
        </w:rPr>
      </w:pPr>
    </w:p>
    <w:p w14:paraId="48E40B2B">
      <w:pPr>
        <w:pStyle w:val="17"/>
        <w:ind w:firstLine="480"/>
        <w:jc w:val="center"/>
        <w:rPr>
          <w:rFonts w:hint="eastAsia" w:ascii="宋体" w:hAnsi="宋体"/>
          <w:color w:val="auto"/>
          <w:highlight w:val="none"/>
        </w:rPr>
      </w:pPr>
    </w:p>
    <w:p w14:paraId="1964F3C8">
      <w:pPr>
        <w:spacing w:line="360" w:lineRule="auto"/>
        <w:jc w:val="center"/>
        <w:rPr>
          <w:rFonts w:hint="eastAsia" w:ascii="宋体" w:hAnsi="宋体" w:cs="宋体"/>
          <w:b/>
          <w:color w:val="auto"/>
          <w:sz w:val="32"/>
          <w:highlight w:val="none"/>
          <w:shd w:val="clear" w:color="auto" w:fill="FFFFFF"/>
        </w:rPr>
      </w:pPr>
    </w:p>
    <w:p w14:paraId="7730154C">
      <w:pPr>
        <w:spacing w:line="360" w:lineRule="auto"/>
        <w:jc w:val="center"/>
        <w:rPr>
          <w:rFonts w:hint="eastAsia" w:ascii="宋体" w:hAnsi="宋体" w:cs="宋体"/>
          <w:b/>
          <w:color w:val="auto"/>
          <w:sz w:val="32"/>
          <w:highlight w:val="none"/>
          <w:shd w:val="clear" w:color="auto" w:fill="FFFFFF"/>
        </w:rPr>
      </w:pPr>
    </w:p>
    <w:p w14:paraId="0B3FCF8E">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6B15FF20">
      <w:pPr>
        <w:spacing w:line="360" w:lineRule="auto"/>
        <w:jc w:val="center"/>
        <w:rPr>
          <w:rFonts w:hint="eastAsia" w:ascii="宋体" w:hAnsi="宋体" w:cs="宋体"/>
          <w:b/>
          <w:color w:val="auto"/>
          <w:sz w:val="28"/>
          <w:highlight w:val="none"/>
        </w:rPr>
      </w:pPr>
      <w:r>
        <w:rPr>
          <w:rFonts w:ascii="宋体" w:hAnsi="宋体" w:cs="宋体"/>
          <w:b/>
          <w:color w:val="auto"/>
          <w:sz w:val="28"/>
          <w:highlight w:val="none"/>
        </w:rPr>
        <w:t>项目编号：</w:t>
      </w:r>
      <w:r>
        <w:rPr>
          <w:rFonts w:hint="eastAsia" w:ascii="宋体" w:hAnsi="宋体" w:cs="宋体"/>
          <w:b/>
          <w:color w:val="auto"/>
          <w:sz w:val="28"/>
          <w:highlight w:val="none"/>
        </w:rPr>
        <w:t>NYCG2025-H110</w:t>
      </w:r>
    </w:p>
    <w:p w14:paraId="39634743">
      <w:pPr>
        <w:spacing w:line="360" w:lineRule="auto"/>
        <w:jc w:val="center"/>
        <w:rPr>
          <w:rFonts w:hint="eastAsia" w:ascii="宋体" w:hAnsi="宋体" w:cs="宋体"/>
          <w:b/>
          <w:color w:val="auto"/>
          <w:sz w:val="36"/>
          <w:highlight w:val="none"/>
        </w:rPr>
      </w:pPr>
    </w:p>
    <w:p w14:paraId="53AE3E3B">
      <w:pPr>
        <w:spacing w:line="360" w:lineRule="auto"/>
        <w:jc w:val="center"/>
        <w:rPr>
          <w:rFonts w:hint="eastAsia" w:ascii="宋体" w:hAnsi="宋体" w:cs="宋体"/>
          <w:b/>
          <w:color w:val="auto"/>
          <w:sz w:val="36"/>
          <w:highlight w:val="none"/>
        </w:rPr>
      </w:pPr>
    </w:p>
    <w:p w14:paraId="1C0E7C9A">
      <w:pPr>
        <w:spacing w:line="360" w:lineRule="auto"/>
        <w:jc w:val="center"/>
        <w:rPr>
          <w:rFonts w:hint="eastAsia" w:ascii="宋体" w:hAnsi="宋体" w:cs="宋体"/>
          <w:b/>
          <w:color w:val="auto"/>
          <w:sz w:val="36"/>
          <w:highlight w:val="none"/>
        </w:rPr>
      </w:pPr>
    </w:p>
    <w:p w14:paraId="6D30CB3C">
      <w:pPr>
        <w:pStyle w:val="17"/>
        <w:ind w:firstLine="480"/>
        <w:jc w:val="center"/>
        <w:rPr>
          <w:rFonts w:hint="eastAsia" w:ascii="宋体" w:hAnsi="宋体"/>
          <w:color w:val="auto"/>
          <w:highlight w:val="none"/>
        </w:rPr>
      </w:pPr>
    </w:p>
    <w:p w14:paraId="070FF9D9">
      <w:pPr>
        <w:tabs>
          <w:tab w:val="left" w:pos="360"/>
        </w:tabs>
        <w:spacing w:line="360" w:lineRule="auto"/>
        <w:ind w:firstLine="1606" w:firstLineChars="500"/>
        <w:rPr>
          <w:rFonts w:cs="Microsoft New Tai Lue"/>
          <w:b/>
          <w:color w:val="auto"/>
          <w:sz w:val="32"/>
          <w:highlight w:val="none"/>
        </w:rPr>
      </w:pPr>
      <w:r>
        <w:rPr>
          <w:rFonts w:cs="Microsoft New Tai Lue"/>
          <w:b/>
          <w:color w:val="auto"/>
          <w:sz w:val="32"/>
          <w:highlight w:val="none"/>
        </w:rPr>
        <w:t>采购人：</w:t>
      </w:r>
      <w:r>
        <w:rPr>
          <w:rFonts w:hint="eastAsia" w:cs="Microsoft New Tai Lue"/>
          <w:b/>
          <w:color w:val="auto"/>
          <w:sz w:val="32"/>
          <w:highlight w:val="none"/>
        </w:rPr>
        <w:t>南京邮电大学</w:t>
      </w:r>
      <w:r>
        <w:rPr>
          <w:rFonts w:cs="Microsoft New Tai Lue"/>
          <w:b/>
          <w:color w:val="auto"/>
          <w:sz w:val="32"/>
          <w:highlight w:val="none"/>
        </w:rPr>
        <w:t xml:space="preserve">         </w:t>
      </w:r>
    </w:p>
    <w:p w14:paraId="0AF0BD6C">
      <w:pPr>
        <w:tabs>
          <w:tab w:val="left" w:pos="360"/>
        </w:tabs>
        <w:spacing w:line="360" w:lineRule="auto"/>
        <w:jc w:val="center"/>
        <w:rPr>
          <w:rFonts w:cs="Microsoft New Tai Lue"/>
          <w:b/>
          <w:color w:val="auto"/>
          <w:sz w:val="32"/>
          <w:highlight w:val="none"/>
        </w:rPr>
      </w:pPr>
      <w:r>
        <w:rPr>
          <w:rFonts w:cs="Microsoft New Tai Lue"/>
          <w:b/>
          <w:color w:val="auto"/>
          <w:sz w:val="32"/>
          <w:highlight w:val="none"/>
        </w:rPr>
        <w:t>采购代理机构：江苏省招标中心有限公司</w:t>
      </w:r>
    </w:p>
    <w:p w14:paraId="509F8591">
      <w:pPr>
        <w:jc w:val="center"/>
        <w:rPr>
          <w:rFonts w:cs="Microsoft New Tai Lue"/>
          <w:b/>
          <w:color w:val="auto"/>
          <w:sz w:val="32"/>
          <w:highlight w:val="none"/>
        </w:rPr>
      </w:pPr>
      <w:r>
        <w:rPr>
          <w:rFonts w:hint="eastAsia" w:cs="Microsoft New Tai Lue"/>
          <w:b/>
          <w:color w:val="auto"/>
          <w:sz w:val="32"/>
          <w:highlight w:val="none"/>
        </w:rPr>
        <w:t>二〇二五</w:t>
      </w:r>
      <w:r>
        <w:rPr>
          <w:rFonts w:cs="Microsoft New Tai Lue"/>
          <w:b/>
          <w:color w:val="auto"/>
          <w:sz w:val="32"/>
          <w:highlight w:val="none"/>
        </w:rPr>
        <w:t>年</w:t>
      </w:r>
      <w:r>
        <w:rPr>
          <w:rFonts w:hint="eastAsia" w:cs="Microsoft New Tai Lue"/>
          <w:b/>
          <w:color w:val="auto"/>
          <w:sz w:val="32"/>
          <w:highlight w:val="none"/>
        </w:rPr>
        <w:t>十</w:t>
      </w:r>
      <w:r>
        <w:rPr>
          <w:rFonts w:hint="eastAsia" w:cs="Microsoft New Tai Lue"/>
          <w:b/>
          <w:color w:val="auto"/>
          <w:sz w:val="32"/>
          <w:highlight w:val="none"/>
          <w:lang w:val="en-US" w:eastAsia="zh-CN"/>
        </w:rPr>
        <w:t>一</w:t>
      </w:r>
      <w:r>
        <w:rPr>
          <w:rFonts w:cs="Microsoft New Tai Lue"/>
          <w:b/>
          <w:color w:val="auto"/>
          <w:sz w:val="32"/>
          <w:highlight w:val="none"/>
        </w:rPr>
        <w:t>月</w:t>
      </w:r>
      <w:r>
        <w:rPr>
          <w:rFonts w:hint="eastAsia" w:cs="Microsoft New Tai Lue"/>
          <w:b/>
          <w:color w:val="auto"/>
          <w:sz w:val="32"/>
          <w:highlight w:val="none"/>
          <w:lang w:val="en-US" w:eastAsia="zh-CN"/>
        </w:rPr>
        <w:t>二十</w:t>
      </w:r>
      <w:bookmarkStart w:id="46" w:name="_GoBack"/>
      <w:bookmarkEnd w:id="46"/>
      <w:r>
        <w:rPr>
          <w:rFonts w:hint="eastAsia" w:cs="Microsoft New Tai Lue"/>
          <w:b/>
          <w:color w:val="auto"/>
          <w:sz w:val="32"/>
          <w:highlight w:val="none"/>
          <w:lang w:val="en-US" w:eastAsia="zh-CN"/>
        </w:rPr>
        <w:t>五</w:t>
      </w:r>
      <w:r>
        <w:rPr>
          <w:rFonts w:cs="Microsoft New Tai Lue"/>
          <w:b/>
          <w:color w:val="auto"/>
          <w:sz w:val="32"/>
          <w:highlight w:val="none"/>
        </w:rPr>
        <w:t>日</w:t>
      </w:r>
    </w:p>
    <w:p w14:paraId="12D3E166">
      <w:pPr>
        <w:pStyle w:val="42"/>
        <w:rPr>
          <w:rFonts w:cs="Microsoft New Tai Lue"/>
          <w:color w:val="auto"/>
          <w:highlight w:val="none"/>
        </w:rPr>
        <w:sectPr>
          <w:footerReference r:id="rId3" w:type="default"/>
          <w:pgSz w:w="11906" w:h="16838"/>
          <w:pgMar w:top="1474" w:right="1531" w:bottom="1474" w:left="1531" w:header="737" w:footer="992" w:gutter="0"/>
          <w:pgNumType w:start="1"/>
          <w:cols w:space="720" w:num="1"/>
          <w:docGrid w:type="lines" w:linePitch="312" w:charSpace="0"/>
        </w:sectPr>
      </w:pPr>
    </w:p>
    <w:p w14:paraId="5BEE5344">
      <w:pPr>
        <w:jc w:val="center"/>
        <w:outlineLvl w:val="0"/>
        <w:rPr>
          <w:rFonts w:hint="eastAsia" w:ascii="宋体" w:hAnsi="宋体" w:cs="黑体"/>
          <w:b/>
          <w:color w:val="auto"/>
          <w:sz w:val="36"/>
          <w:highlight w:val="none"/>
        </w:rPr>
      </w:pP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5FAEC022">
      <w:pPr>
        <w:pStyle w:val="17"/>
        <w:numPr>
          <w:ilvl w:val="0"/>
          <w:numId w:val="2"/>
        </w:numPr>
        <w:ind w:firstLineChars="0"/>
        <w:rPr>
          <w:b/>
          <w:color w:val="auto"/>
          <w:highlight w:val="none"/>
        </w:rPr>
      </w:pPr>
      <w:r>
        <w:rPr>
          <w:b/>
          <w:color w:val="auto"/>
          <w:highlight w:val="none"/>
        </w:rPr>
        <w:t>项目基本情况</w:t>
      </w:r>
    </w:p>
    <w:p w14:paraId="009B87AD">
      <w:pPr>
        <w:pStyle w:val="17"/>
        <w:numPr>
          <w:ilvl w:val="0"/>
          <w:numId w:val="3"/>
        </w:numPr>
        <w:ind w:firstLineChars="0"/>
        <w:rPr>
          <w:color w:val="auto"/>
          <w:highlight w:val="none"/>
        </w:rPr>
      </w:pPr>
      <w:r>
        <w:rPr>
          <w:color w:val="auto"/>
          <w:highlight w:val="none"/>
        </w:rPr>
        <w:t>项目编号：</w:t>
      </w:r>
      <w:r>
        <w:rPr>
          <w:rFonts w:hint="eastAsia"/>
          <w:color w:val="auto"/>
          <w:highlight w:val="none"/>
        </w:rPr>
        <w:t>NYCG2025-H110</w:t>
      </w:r>
      <w:r>
        <w:rPr>
          <w:color w:val="auto"/>
          <w:highlight w:val="none"/>
        </w:rPr>
        <w:t>；</w:t>
      </w:r>
    </w:p>
    <w:p w14:paraId="6FA57A48">
      <w:pPr>
        <w:pStyle w:val="17"/>
        <w:numPr>
          <w:ilvl w:val="0"/>
          <w:numId w:val="3"/>
        </w:numPr>
        <w:ind w:firstLineChars="0"/>
        <w:rPr>
          <w:color w:val="auto"/>
          <w:highlight w:val="none"/>
        </w:rPr>
      </w:pPr>
      <w:r>
        <w:rPr>
          <w:color w:val="auto"/>
          <w:highlight w:val="none"/>
        </w:rPr>
        <w:t>项目名称：</w:t>
      </w:r>
      <w:r>
        <w:rPr>
          <w:rFonts w:hint="eastAsia"/>
          <w:color w:val="auto"/>
          <w:highlight w:val="none"/>
        </w:rPr>
        <w:t>南京邮电大学电动汽车充电设施智能运维决策软件采购项目</w:t>
      </w:r>
      <w:r>
        <w:rPr>
          <w:color w:val="auto"/>
          <w:highlight w:val="none"/>
        </w:rPr>
        <w:t>；</w:t>
      </w:r>
    </w:p>
    <w:p w14:paraId="70D89447">
      <w:pPr>
        <w:pStyle w:val="17"/>
        <w:numPr>
          <w:ilvl w:val="0"/>
          <w:numId w:val="3"/>
        </w:numPr>
        <w:ind w:firstLineChars="0"/>
        <w:rPr>
          <w:color w:val="auto"/>
          <w:highlight w:val="none"/>
        </w:rPr>
      </w:pPr>
      <w:r>
        <w:rPr>
          <w:color w:val="auto"/>
          <w:highlight w:val="none"/>
        </w:rPr>
        <w:t>预算金额：</w:t>
      </w:r>
      <w:r>
        <w:rPr>
          <w:rFonts w:hint="eastAsia"/>
          <w:color w:val="auto"/>
          <w:highlight w:val="none"/>
        </w:rPr>
        <w:t>22万元</w:t>
      </w:r>
      <w:r>
        <w:rPr>
          <w:color w:val="auto"/>
          <w:highlight w:val="none"/>
        </w:rPr>
        <w:t>；</w:t>
      </w:r>
    </w:p>
    <w:p w14:paraId="3765547A">
      <w:pPr>
        <w:pStyle w:val="17"/>
        <w:numPr>
          <w:ilvl w:val="0"/>
          <w:numId w:val="3"/>
        </w:numPr>
        <w:ind w:firstLineChars="0"/>
        <w:rPr>
          <w:color w:val="auto"/>
          <w:highlight w:val="none"/>
        </w:rPr>
      </w:pPr>
      <w:r>
        <w:rPr>
          <w:color w:val="auto"/>
          <w:highlight w:val="none"/>
        </w:rPr>
        <w:t>最高限价：</w:t>
      </w:r>
      <w:r>
        <w:rPr>
          <w:rFonts w:hint="eastAsia"/>
          <w:color w:val="auto"/>
          <w:highlight w:val="none"/>
        </w:rPr>
        <w:t>22万元，响应报价超过单价最高限价的，响应文件作无效处理。</w:t>
      </w:r>
    </w:p>
    <w:p w14:paraId="32530837">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4C962136">
      <w:pPr>
        <w:pStyle w:val="17"/>
        <w:numPr>
          <w:ilvl w:val="0"/>
          <w:numId w:val="3"/>
        </w:numPr>
        <w:ind w:firstLineChars="0"/>
        <w:rPr>
          <w:color w:val="auto"/>
          <w:highlight w:val="none"/>
        </w:rPr>
      </w:pPr>
      <w:r>
        <w:rPr>
          <w:color w:val="auto"/>
          <w:highlight w:val="none"/>
        </w:rPr>
        <w:t>采购需求：</w:t>
      </w:r>
      <w:r>
        <w:rPr>
          <w:rFonts w:hint="eastAsia"/>
          <w:color w:val="auto"/>
          <w:highlight w:val="none"/>
        </w:rPr>
        <w:t>电动汽车充电设施智能运维决策软件采购</w:t>
      </w:r>
      <w:r>
        <w:rPr>
          <w:rFonts w:hint="eastAsia"/>
          <w:color w:val="auto"/>
          <w:szCs w:val="21"/>
          <w:highlight w:val="none"/>
        </w:rPr>
        <w:t>（详细要求及需求内容请参阅第四章采购需求）</w:t>
      </w:r>
      <w:r>
        <w:rPr>
          <w:color w:val="auto"/>
          <w:highlight w:val="none"/>
        </w:rPr>
        <w:t>。</w:t>
      </w:r>
    </w:p>
    <w:p w14:paraId="57A5B3BE">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合同签订后3个月内到货并安装调试完毕。</w:t>
      </w:r>
    </w:p>
    <w:p w14:paraId="73F4B36B">
      <w:pPr>
        <w:pStyle w:val="17"/>
        <w:numPr>
          <w:ilvl w:val="0"/>
          <w:numId w:val="3"/>
        </w:numPr>
        <w:ind w:firstLineChars="0"/>
        <w:rPr>
          <w:color w:val="auto"/>
          <w:highlight w:val="none"/>
        </w:rPr>
      </w:pPr>
      <w:r>
        <w:rPr>
          <w:color w:val="auto"/>
          <w:highlight w:val="none"/>
        </w:rPr>
        <w:t>本项目是否接受联合体响应：不接受。</w:t>
      </w:r>
    </w:p>
    <w:p w14:paraId="4CF3844C">
      <w:pPr>
        <w:pStyle w:val="17"/>
        <w:numPr>
          <w:ilvl w:val="0"/>
          <w:numId w:val="3"/>
        </w:numPr>
        <w:ind w:firstLineChars="0"/>
        <w:rPr>
          <w:color w:val="auto"/>
          <w:highlight w:val="none"/>
        </w:rPr>
      </w:pPr>
      <w:r>
        <w:rPr>
          <w:color w:val="auto"/>
          <w:highlight w:val="none"/>
        </w:rPr>
        <w:t>本项目是否接受进口产品响应：不接受。</w:t>
      </w:r>
    </w:p>
    <w:p w14:paraId="57498CAD">
      <w:pPr>
        <w:pStyle w:val="17"/>
        <w:numPr>
          <w:ilvl w:val="0"/>
          <w:numId w:val="2"/>
        </w:numPr>
        <w:ind w:firstLineChars="0"/>
        <w:rPr>
          <w:b/>
          <w:color w:val="auto"/>
          <w:highlight w:val="none"/>
        </w:rPr>
      </w:pPr>
      <w:r>
        <w:rPr>
          <w:b/>
          <w:color w:val="auto"/>
          <w:highlight w:val="none"/>
        </w:rPr>
        <w:t>申请人的资格要求：</w:t>
      </w:r>
    </w:p>
    <w:p w14:paraId="38D08AEB">
      <w:pPr>
        <w:pStyle w:val="17"/>
        <w:numPr>
          <w:ilvl w:val="0"/>
          <w:numId w:val="4"/>
        </w:numPr>
        <w:ind w:firstLineChars="0"/>
        <w:rPr>
          <w:b/>
          <w:color w:val="auto"/>
          <w:highlight w:val="none"/>
        </w:rPr>
      </w:pPr>
      <w:r>
        <w:rPr>
          <w:b/>
          <w:color w:val="auto"/>
          <w:highlight w:val="none"/>
        </w:rPr>
        <w:t>满足《中华人民共和国政府采购法》第二十二条规定：</w:t>
      </w:r>
    </w:p>
    <w:p w14:paraId="7DB14503">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76E696F1">
      <w:pPr>
        <w:pStyle w:val="17"/>
        <w:numPr>
          <w:ilvl w:val="0"/>
          <w:numId w:val="5"/>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w:t>
      </w:r>
      <w:r>
        <w:rPr>
          <w:rFonts w:hint="eastAsia"/>
          <w:color w:val="auto"/>
          <w:szCs w:val="24"/>
          <w:highlight w:val="none"/>
          <w:lang w:val="en-US" w:eastAsia="zh-CN"/>
        </w:rPr>
        <w:t>5</w:t>
      </w:r>
      <w:r>
        <w:rPr>
          <w:rFonts w:hint="eastAsia"/>
          <w:color w:val="auto"/>
          <w:szCs w:val="24"/>
          <w:highlight w:val="none"/>
        </w:rPr>
        <w:t>月至2025年</w:t>
      </w:r>
      <w:r>
        <w:rPr>
          <w:rFonts w:hint="eastAsia"/>
          <w:color w:val="auto"/>
          <w:szCs w:val="24"/>
          <w:highlight w:val="none"/>
          <w:lang w:val="en-US" w:eastAsia="zh-CN"/>
        </w:rPr>
        <w:t>10</w:t>
      </w:r>
      <w:r>
        <w:rPr>
          <w:rFonts w:hint="eastAsia"/>
          <w:color w:val="auto"/>
          <w:szCs w:val="24"/>
          <w:highlight w:val="none"/>
        </w:rPr>
        <w:t>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1B20D04C">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17BDBAF">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w:t>
      </w:r>
      <w:r>
        <w:rPr>
          <w:rFonts w:hint="eastAsia"/>
          <w:color w:val="auto"/>
          <w:szCs w:val="24"/>
          <w:highlight w:val="none"/>
          <w:lang w:val="en-US" w:eastAsia="zh-CN"/>
        </w:rPr>
        <w:t>5</w:t>
      </w:r>
      <w:r>
        <w:rPr>
          <w:rFonts w:hint="eastAsia"/>
          <w:color w:val="auto"/>
          <w:szCs w:val="24"/>
          <w:highlight w:val="none"/>
        </w:rPr>
        <w:t>月至2025年</w:t>
      </w:r>
      <w:r>
        <w:rPr>
          <w:rFonts w:hint="eastAsia"/>
          <w:color w:val="auto"/>
          <w:szCs w:val="24"/>
          <w:highlight w:val="none"/>
          <w:lang w:val="en-US" w:eastAsia="zh-CN"/>
        </w:rPr>
        <w:t>10</w:t>
      </w:r>
      <w:r>
        <w:rPr>
          <w:rFonts w:hint="eastAsia"/>
          <w:color w:val="auto"/>
          <w:szCs w:val="24"/>
          <w:highlight w:val="none"/>
        </w:rPr>
        <w:t>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F798C9D">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2A0F9DB1">
      <w:pPr>
        <w:pStyle w:val="17"/>
        <w:numPr>
          <w:ilvl w:val="0"/>
          <w:numId w:val="5"/>
        </w:numPr>
        <w:ind w:firstLineChars="0"/>
        <w:rPr>
          <w:color w:val="auto"/>
          <w:highlight w:val="none"/>
        </w:rPr>
      </w:pPr>
      <w:r>
        <w:rPr>
          <w:color w:val="auto"/>
          <w:highlight w:val="none"/>
        </w:rPr>
        <w:t>法律、行政法规规定的其他条件：无。</w:t>
      </w:r>
    </w:p>
    <w:p w14:paraId="746A0F06">
      <w:pPr>
        <w:pStyle w:val="17"/>
        <w:numPr>
          <w:ilvl w:val="0"/>
          <w:numId w:val="4"/>
        </w:numPr>
        <w:ind w:firstLineChars="0"/>
        <w:rPr>
          <w:color w:val="auto"/>
          <w:highlight w:val="none"/>
        </w:rPr>
      </w:pPr>
      <w:r>
        <w:rPr>
          <w:color w:val="auto"/>
          <w:highlight w:val="none"/>
        </w:rPr>
        <w:t>本项目的特定资格要求：</w:t>
      </w:r>
      <w:r>
        <w:rPr>
          <w:rFonts w:hint="eastAsia"/>
          <w:color w:val="auto"/>
          <w:highlight w:val="none"/>
        </w:rPr>
        <w:t>无。</w:t>
      </w:r>
    </w:p>
    <w:p w14:paraId="00F316B6">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6784459F">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33B8B05F">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13189A69">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3ECE6658">
      <w:pPr>
        <w:pStyle w:val="17"/>
        <w:numPr>
          <w:ilvl w:val="0"/>
          <w:numId w:val="2"/>
        </w:numPr>
        <w:ind w:firstLineChars="0"/>
        <w:rPr>
          <w:b/>
          <w:color w:val="auto"/>
          <w:highlight w:val="none"/>
        </w:rPr>
      </w:pPr>
      <w:r>
        <w:rPr>
          <w:b/>
          <w:color w:val="auto"/>
          <w:highlight w:val="none"/>
        </w:rPr>
        <w:t>获取采购文件</w:t>
      </w:r>
    </w:p>
    <w:p w14:paraId="698AD14D">
      <w:pPr>
        <w:pStyle w:val="17"/>
        <w:numPr>
          <w:ilvl w:val="0"/>
          <w:numId w:val="6"/>
        </w:numPr>
        <w:ind w:firstLineChars="0"/>
        <w:rPr>
          <w:color w:val="auto"/>
          <w:highlight w:val="none"/>
        </w:rPr>
      </w:pPr>
      <w:r>
        <w:rPr>
          <w:color w:val="auto"/>
          <w:highlight w:val="none"/>
        </w:rPr>
        <w:t>时间：2025年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25</w:t>
      </w:r>
      <w:r>
        <w:rPr>
          <w:color w:val="auto"/>
          <w:highlight w:val="none"/>
        </w:rPr>
        <w:t>日上午09:00至2025年</w:t>
      </w:r>
      <w:r>
        <w:rPr>
          <w:rFonts w:hint="eastAsia"/>
          <w:color w:val="auto"/>
          <w:highlight w:val="none"/>
          <w:lang w:val="en-US" w:eastAsia="zh-CN"/>
        </w:rPr>
        <w:t>12</w:t>
      </w:r>
      <w:r>
        <w:rPr>
          <w:color w:val="auto"/>
          <w:highlight w:val="none"/>
        </w:rPr>
        <w:t>月</w:t>
      </w:r>
      <w:r>
        <w:rPr>
          <w:rFonts w:hint="eastAsia"/>
          <w:color w:val="auto"/>
          <w:highlight w:val="none"/>
          <w:lang w:val="en-US" w:eastAsia="zh-CN"/>
        </w:rPr>
        <w:t>1</w:t>
      </w:r>
      <w:r>
        <w:rPr>
          <w:color w:val="auto"/>
          <w:highlight w:val="none"/>
        </w:rPr>
        <w:t>日17:00（北京时间）</w:t>
      </w:r>
    </w:p>
    <w:p w14:paraId="71563359">
      <w:pPr>
        <w:pStyle w:val="17"/>
        <w:ind w:firstLine="480"/>
        <w:rPr>
          <w:color w:val="auto"/>
          <w:highlight w:val="none"/>
        </w:rPr>
      </w:pPr>
      <w:r>
        <w:rPr>
          <w:color w:val="auto"/>
          <w:highlight w:val="none"/>
        </w:rPr>
        <w:t>获取方式：</w:t>
      </w:r>
      <w:r>
        <w:rPr>
          <w:rFonts w:hint="eastAsia"/>
          <w:color w:val="auto"/>
          <w:highlight w:val="none"/>
        </w:rPr>
        <w:t>（1）文件提供方式：纸质文件</w:t>
      </w:r>
    </w:p>
    <w:p w14:paraId="6EABCBC7">
      <w:pPr>
        <w:pStyle w:val="17"/>
        <w:ind w:firstLine="480"/>
        <w:rPr>
          <w:color w:val="auto"/>
          <w:highlight w:val="none"/>
        </w:rPr>
      </w:pPr>
      <w:r>
        <w:rPr>
          <w:rFonts w:hint="eastAsia"/>
          <w:color w:val="auto"/>
          <w:highlight w:val="none"/>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13D7B6C9">
      <w:pPr>
        <w:pStyle w:val="17"/>
        <w:ind w:firstLine="480"/>
        <w:rPr>
          <w:color w:val="auto"/>
          <w:highlight w:val="none"/>
        </w:rPr>
      </w:pPr>
      <w:r>
        <w:rPr>
          <w:rFonts w:hint="eastAsia"/>
          <w:color w:val="auto"/>
          <w:highlight w:val="none"/>
        </w:rPr>
        <w:t>（3）支付完成后，纸质文件可通过现场领取或邮寄送达，现场领取的请至江苏省招标中心有限公司（南京市鼓楼区郑和中路118号）1311室领取；需邮寄送达的请将公司名称、项目编号+标段号（如有）、邮寄地址发送至邮箱：xumeng8876@126.com。为方便供应商制作投标（响应）文件，供应商可在“我的项目”栏目中下载电子文件，电子文件仅为方便供应商制作投标（响应）文件所用，如纸质文件与电子文件不一致的，以纸质文件为准。</w:t>
      </w:r>
    </w:p>
    <w:p w14:paraId="0F83E012">
      <w:pPr>
        <w:pStyle w:val="17"/>
        <w:ind w:firstLine="480"/>
        <w:rPr>
          <w:color w:val="auto"/>
          <w:highlight w:val="none"/>
        </w:rPr>
      </w:pPr>
      <w:r>
        <w:rPr>
          <w:rFonts w:hint="eastAsia"/>
          <w:color w:val="auto"/>
          <w:highlight w:val="none"/>
        </w:rPr>
        <w:t xml:space="preserve">（4）文件售价：300元/包，本采购公告包含的采购文件售价总和。 </w:t>
      </w:r>
    </w:p>
    <w:p w14:paraId="1169C28F">
      <w:pPr>
        <w:pStyle w:val="17"/>
        <w:ind w:firstLine="480"/>
        <w:rPr>
          <w:color w:val="auto"/>
          <w:highlight w:val="none"/>
        </w:rPr>
      </w:pPr>
      <w:r>
        <w:rPr>
          <w:rFonts w:hint="eastAsia"/>
          <w:color w:val="auto"/>
          <w:highlight w:val="none"/>
        </w:rPr>
        <w:t>未按照上述要求合法获取采购文件的，采购人将不予受理其响应。</w:t>
      </w:r>
    </w:p>
    <w:p w14:paraId="1FA94E9B">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4E129ED1">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12</w:t>
      </w:r>
      <w:r>
        <w:rPr>
          <w:color w:val="auto"/>
          <w:highlight w:val="none"/>
          <w:u w:val="single"/>
        </w:rPr>
        <w:t>月</w:t>
      </w:r>
      <w:r>
        <w:rPr>
          <w:rFonts w:hint="eastAsia"/>
          <w:color w:val="auto"/>
          <w:highlight w:val="none"/>
          <w:u w:val="single"/>
          <w:lang w:val="en-US" w:eastAsia="zh-CN"/>
        </w:rPr>
        <w:t>4</w:t>
      </w:r>
      <w:r>
        <w:rPr>
          <w:color w:val="auto"/>
          <w:highlight w:val="none"/>
          <w:u w:val="single"/>
        </w:rPr>
        <w:t>日</w:t>
      </w:r>
      <w:r>
        <w:rPr>
          <w:rFonts w:hint="eastAsia"/>
          <w:color w:val="auto"/>
          <w:highlight w:val="none"/>
          <w:u w:val="single"/>
        </w:rPr>
        <w:t>13</w:t>
      </w:r>
      <w:r>
        <w:rPr>
          <w:color w:val="auto"/>
          <w:highlight w:val="none"/>
          <w:u w:val="single"/>
        </w:rPr>
        <w:t>时</w:t>
      </w:r>
      <w:r>
        <w:rPr>
          <w:rFonts w:hint="eastAsia"/>
          <w:color w:val="auto"/>
          <w:highlight w:val="none"/>
          <w:u w:val="single"/>
        </w:rPr>
        <w:t>30</w:t>
      </w:r>
      <w:r>
        <w:rPr>
          <w:color w:val="auto"/>
          <w:highlight w:val="none"/>
          <w:u w:val="single"/>
        </w:rPr>
        <w:t>分；</w:t>
      </w:r>
    </w:p>
    <w:p w14:paraId="3C03D01D">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lang w:val="en-US" w:eastAsia="zh-CN"/>
        </w:rPr>
        <w:t>12</w:t>
      </w:r>
      <w:r>
        <w:rPr>
          <w:color w:val="auto"/>
          <w:highlight w:val="none"/>
          <w:u w:val="single"/>
        </w:rPr>
        <w:t>月</w:t>
      </w:r>
      <w:r>
        <w:rPr>
          <w:rFonts w:hint="eastAsia"/>
          <w:color w:val="auto"/>
          <w:highlight w:val="none"/>
          <w:u w:val="single"/>
          <w:lang w:val="en-US" w:eastAsia="zh-CN"/>
        </w:rPr>
        <w:t>4</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00</w:t>
      </w:r>
      <w:r>
        <w:rPr>
          <w:color w:val="auto"/>
          <w:highlight w:val="none"/>
          <w:u w:val="single"/>
        </w:rPr>
        <w:t>分。</w:t>
      </w:r>
    </w:p>
    <w:p w14:paraId="485587E2">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江苏省招标中心有限公司（南京市鼓楼区郑和中路118号【</w:t>
      </w:r>
      <w:r>
        <w:rPr>
          <w:rFonts w:hint="eastAsia"/>
          <w:color w:val="auto"/>
          <w:highlight w:val="none"/>
          <w:lang w:val="en-US" w:eastAsia="zh-CN"/>
        </w:rPr>
        <w:t>15</w:t>
      </w:r>
      <w:r>
        <w:rPr>
          <w:rFonts w:hint="eastAsia"/>
          <w:color w:val="auto"/>
          <w:highlight w:val="none"/>
        </w:rPr>
        <w:t>】楼【</w:t>
      </w:r>
      <w:r>
        <w:rPr>
          <w:rFonts w:hint="eastAsia"/>
          <w:color w:val="auto"/>
          <w:highlight w:val="none"/>
          <w:lang w:val="en-US" w:eastAsia="zh-CN"/>
        </w:rPr>
        <w:t>1511</w:t>
      </w:r>
      <w:r>
        <w:rPr>
          <w:rFonts w:hint="eastAsia"/>
          <w:color w:val="auto"/>
          <w:highlight w:val="none"/>
        </w:rPr>
        <w:t>】室）</w:t>
      </w:r>
    </w:p>
    <w:p w14:paraId="5D083C42">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595DD0B3">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1145A14B">
      <w:pPr>
        <w:pStyle w:val="17"/>
        <w:ind w:firstLine="480"/>
        <w:rPr>
          <w:color w:val="auto"/>
          <w:highlight w:val="none"/>
        </w:rPr>
      </w:pPr>
      <w:bookmarkStart w:id="1" w:name="自本公告发布之日起5个工作日。"/>
      <w:bookmarkEnd w:id="1"/>
      <w:r>
        <w:rPr>
          <w:color w:val="auto"/>
          <w:highlight w:val="none"/>
        </w:rPr>
        <w:t>自本公告发布之日起5日。</w:t>
      </w:r>
    </w:p>
    <w:p w14:paraId="1CB677D2">
      <w:pPr>
        <w:pStyle w:val="17"/>
        <w:numPr>
          <w:ilvl w:val="0"/>
          <w:numId w:val="2"/>
        </w:numPr>
        <w:ind w:firstLineChars="0"/>
        <w:rPr>
          <w:b/>
          <w:color w:val="auto"/>
          <w:highlight w:val="none"/>
        </w:rPr>
      </w:pPr>
      <w:r>
        <w:rPr>
          <w:b/>
          <w:color w:val="auto"/>
          <w:highlight w:val="none"/>
        </w:rPr>
        <w:t>其他补充事宜</w:t>
      </w:r>
    </w:p>
    <w:p w14:paraId="74F223EE">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w:t>
      </w:r>
      <w:r>
        <w:rPr>
          <w:rFonts w:hint="eastAsia"/>
          <w:color w:val="auto"/>
          <w:highlight w:val="none"/>
        </w:rPr>
        <w:t>（正本盖章扫描件）</w:t>
      </w:r>
      <w:r>
        <w:rPr>
          <w:color w:val="auto"/>
          <w:highlight w:val="none"/>
        </w:rPr>
        <w:t>、U盘形式，随纸质正本文件一并提交）。当纸质正本文件和电子版文件不一致时，以纸质正本文件为准。电子版文件用于存档，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字样。一旦正本和副本不符，以正本为准。</w:t>
      </w:r>
    </w:p>
    <w:p w14:paraId="5BE831C3">
      <w:pPr>
        <w:pStyle w:val="17"/>
        <w:numPr>
          <w:ilvl w:val="0"/>
          <w:numId w:val="2"/>
        </w:numPr>
        <w:ind w:firstLineChars="0"/>
        <w:rPr>
          <w:b/>
          <w:color w:val="auto"/>
          <w:highlight w:val="none"/>
        </w:rPr>
      </w:pPr>
      <w:r>
        <w:rPr>
          <w:b/>
          <w:color w:val="auto"/>
          <w:highlight w:val="none"/>
        </w:rPr>
        <w:t>发布公告的媒介</w:t>
      </w:r>
    </w:p>
    <w:p w14:paraId="691C9F76">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6B5411BB">
      <w:pPr>
        <w:pStyle w:val="17"/>
        <w:numPr>
          <w:ilvl w:val="0"/>
          <w:numId w:val="2"/>
        </w:numPr>
        <w:ind w:firstLineChars="0"/>
        <w:rPr>
          <w:b/>
          <w:color w:val="auto"/>
          <w:highlight w:val="none"/>
        </w:rPr>
      </w:pPr>
      <w:r>
        <w:rPr>
          <w:b/>
          <w:color w:val="auto"/>
          <w:highlight w:val="none"/>
        </w:rPr>
        <w:t>对本次采购提出询问，请按以下方式联系。</w:t>
      </w:r>
    </w:p>
    <w:p w14:paraId="0BC48B5C">
      <w:pPr>
        <w:pStyle w:val="17"/>
        <w:ind w:firstLine="480" w:firstLineChars="0"/>
        <w:rPr>
          <w:color w:val="auto"/>
          <w:highlight w:val="none"/>
        </w:rPr>
      </w:pPr>
      <w:r>
        <w:rPr>
          <w:color w:val="auto"/>
          <w:highlight w:val="none"/>
        </w:rPr>
        <w:t>1、采购人信息</w:t>
      </w:r>
    </w:p>
    <w:p w14:paraId="72F9149C">
      <w:pPr>
        <w:pStyle w:val="17"/>
        <w:ind w:firstLine="480"/>
        <w:rPr>
          <w:color w:val="auto"/>
          <w:highlight w:val="none"/>
        </w:rPr>
      </w:pPr>
      <w:r>
        <w:rPr>
          <w:color w:val="auto"/>
          <w:highlight w:val="none"/>
        </w:rPr>
        <w:t>名称：南京邮电大学</w:t>
      </w:r>
    </w:p>
    <w:p w14:paraId="12908754">
      <w:pPr>
        <w:pStyle w:val="17"/>
        <w:ind w:firstLine="480"/>
        <w:rPr>
          <w:color w:val="auto"/>
          <w:highlight w:val="none"/>
        </w:rPr>
      </w:pPr>
      <w:r>
        <w:rPr>
          <w:color w:val="auto"/>
          <w:highlight w:val="none"/>
        </w:rPr>
        <w:t>地址：南京市栖霞区文苑路9号</w:t>
      </w:r>
    </w:p>
    <w:p w14:paraId="7814AD11">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36C32EC0">
      <w:pPr>
        <w:pStyle w:val="17"/>
        <w:ind w:firstLine="480"/>
        <w:rPr>
          <w:color w:val="auto"/>
          <w:highlight w:val="none"/>
        </w:rPr>
      </w:pPr>
      <w:r>
        <w:rPr>
          <w:color w:val="auto"/>
          <w:highlight w:val="none"/>
        </w:rPr>
        <w:t>联系方式：</w:t>
      </w:r>
      <w:r>
        <w:rPr>
          <w:rFonts w:hint="eastAsia"/>
          <w:color w:val="auto"/>
          <w:highlight w:val="none"/>
        </w:rPr>
        <w:t>025-85866541</w:t>
      </w:r>
    </w:p>
    <w:p w14:paraId="52C164EA">
      <w:pPr>
        <w:pStyle w:val="17"/>
        <w:ind w:firstLine="480" w:firstLineChars="0"/>
        <w:rPr>
          <w:color w:val="auto"/>
          <w:highlight w:val="none"/>
        </w:rPr>
      </w:pPr>
      <w:r>
        <w:rPr>
          <w:color w:val="auto"/>
          <w:highlight w:val="none"/>
        </w:rPr>
        <w:t>2、采购代理机构信息</w:t>
      </w:r>
    </w:p>
    <w:p w14:paraId="0DFABB2E">
      <w:pPr>
        <w:pStyle w:val="17"/>
        <w:ind w:firstLine="480"/>
        <w:rPr>
          <w:color w:val="auto"/>
          <w:highlight w:val="none"/>
        </w:rPr>
      </w:pPr>
      <w:r>
        <w:rPr>
          <w:color w:val="auto"/>
          <w:highlight w:val="none"/>
        </w:rPr>
        <w:t>名称：</w:t>
      </w:r>
      <w:r>
        <w:rPr>
          <w:rFonts w:hint="eastAsia" w:cs="Microsoft New Tai Lue"/>
          <w:snapToGrid w:val="0"/>
          <w:color w:val="auto"/>
          <w:szCs w:val="21"/>
          <w:highlight w:val="none"/>
        </w:rPr>
        <w:t>江苏省招标中心有限公司</w:t>
      </w:r>
      <w:r>
        <w:rPr>
          <w:color w:val="auto"/>
          <w:highlight w:val="none"/>
        </w:rPr>
        <w:t xml:space="preserve"> </w:t>
      </w:r>
    </w:p>
    <w:p w14:paraId="2CCE1E8F">
      <w:pPr>
        <w:pStyle w:val="17"/>
        <w:ind w:firstLine="480"/>
        <w:rPr>
          <w:color w:val="auto"/>
          <w:highlight w:val="none"/>
        </w:rPr>
      </w:pPr>
      <w:r>
        <w:rPr>
          <w:color w:val="auto"/>
          <w:highlight w:val="none"/>
        </w:rPr>
        <w:t>地址：</w:t>
      </w:r>
      <w:r>
        <w:rPr>
          <w:rFonts w:hint="eastAsia" w:cs="Microsoft New Tai Lue"/>
          <w:snapToGrid w:val="0"/>
          <w:color w:val="auto"/>
          <w:szCs w:val="21"/>
          <w:highlight w:val="none"/>
        </w:rPr>
        <w:t>南京市鼓楼区郑和中路118号13楼1311室</w:t>
      </w:r>
    </w:p>
    <w:p w14:paraId="0249AC7A">
      <w:pPr>
        <w:pStyle w:val="17"/>
        <w:ind w:firstLine="480"/>
        <w:rPr>
          <w:color w:val="auto"/>
          <w:highlight w:val="none"/>
        </w:rPr>
      </w:pPr>
      <w:r>
        <w:rPr>
          <w:color w:val="auto"/>
          <w:highlight w:val="none"/>
        </w:rPr>
        <w:t>联系方式：</w:t>
      </w:r>
      <w:r>
        <w:rPr>
          <w:rFonts w:hint="eastAsia" w:cs="Microsoft New Tai Lue"/>
          <w:snapToGrid w:val="0"/>
          <w:color w:val="auto"/>
          <w:szCs w:val="21"/>
          <w:highlight w:val="none"/>
        </w:rPr>
        <w:t>许萌（13914751315）</w:t>
      </w:r>
    </w:p>
    <w:p w14:paraId="511270CC">
      <w:pPr>
        <w:pStyle w:val="17"/>
        <w:ind w:firstLine="480" w:firstLineChars="0"/>
        <w:rPr>
          <w:color w:val="auto"/>
          <w:highlight w:val="none"/>
        </w:rPr>
      </w:pPr>
      <w:r>
        <w:rPr>
          <w:color w:val="auto"/>
          <w:highlight w:val="none"/>
        </w:rPr>
        <w:t>3、项目联系方式</w:t>
      </w:r>
    </w:p>
    <w:p w14:paraId="68603F08">
      <w:pPr>
        <w:pStyle w:val="17"/>
        <w:ind w:firstLine="480"/>
        <w:rPr>
          <w:color w:val="auto"/>
          <w:highlight w:val="none"/>
        </w:rPr>
      </w:pPr>
      <w:r>
        <w:rPr>
          <w:color w:val="auto"/>
          <w:highlight w:val="none"/>
        </w:rPr>
        <w:t>项目联系人：</w:t>
      </w:r>
      <w:r>
        <w:rPr>
          <w:rFonts w:hint="eastAsia"/>
          <w:color w:val="auto"/>
          <w:highlight w:val="none"/>
        </w:rPr>
        <w:t>许萌</w:t>
      </w:r>
      <w:r>
        <w:rPr>
          <w:color w:val="auto"/>
          <w:highlight w:val="none"/>
        </w:rPr>
        <w:t xml:space="preserve"> </w:t>
      </w:r>
    </w:p>
    <w:p w14:paraId="3F469316">
      <w:pPr>
        <w:pStyle w:val="17"/>
        <w:ind w:firstLine="480"/>
        <w:rPr>
          <w:color w:val="auto"/>
          <w:highlight w:val="none"/>
        </w:rPr>
      </w:pPr>
      <w:r>
        <w:rPr>
          <w:color w:val="auto"/>
          <w:highlight w:val="none"/>
        </w:rPr>
        <w:t>电话：</w:t>
      </w:r>
      <w:r>
        <w:rPr>
          <w:rFonts w:hint="eastAsia"/>
          <w:color w:val="auto"/>
          <w:highlight w:val="none"/>
        </w:rPr>
        <w:t>025-83313697</w:t>
      </w:r>
    </w:p>
    <w:p w14:paraId="0699D5A1">
      <w:pPr>
        <w:pStyle w:val="17"/>
        <w:ind w:firstLine="480"/>
        <w:rPr>
          <w:color w:val="auto"/>
          <w:highlight w:val="none"/>
        </w:rPr>
      </w:pPr>
    </w:p>
    <w:p w14:paraId="2A5CA512">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28359085"/>
      <w:bookmarkStart w:id="3" w:name="_Toc28359008"/>
      <w:bookmarkStart w:id="4" w:name="_Toc35393796"/>
      <w:bookmarkStart w:id="5" w:name="_Toc35393627"/>
    </w:p>
    <w:bookmarkEnd w:id="2"/>
    <w:bookmarkEnd w:id="3"/>
    <w:bookmarkEnd w:id="4"/>
    <w:bookmarkEnd w:id="5"/>
    <w:p w14:paraId="4FC485B8">
      <w:pPr>
        <w:rPr>
          <w:rFonts w:hint="eastAsia" w:ascii="宋体" w:hAnsi="宋体" w:cs="黑体"/>
          <w:color w:val="auto"/>
          <w:sz w:val="36"/>
          <w:highlight w:val="none"/>
        </w:rPr>
      </w:pPr>
      <w:r>
        <w:rPr>
          <w:rFonts w:ascii="宋体" w:hAnsi="宋体" w:cs="黑体"/>
          <w:color w:val="auto"/>
          <w:sz w:val="36"/>
          <w:highlight w:val="none"/>
        </w:rPr>
        <w:br w:type="page"/>
      </w:r>
    </w:p>
    <w:p w14:paraId="116BEEE4">
      <w:pPr>
        <w:pStyle w:val="262"/>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1EB5EF2B">
      <w:pPr>
        <w:pStyle w:val="17"/>
        <w:numPr>
          <w:ilvl w:val="0"/>
          <w:numId w:val="8"/>
        </w:numPr>
        <w:ind w:firstLineChars="0"/>
        <w:rPr>
          <w:b/>
          <w:color w:val="auto"/>
          <w:highlight w:val="none"/>
        </w:rPr>
      </w:pPr>
      <w:r>
        <w:rPr>
          <w:b/>
          <w:color w:val="auto"/>
          <w:highlight w:val="none"/>
        </w:rPr>
        <w:t>总则</w:t>
      </w:r>
    </w:p>
    <w:p w14:paraId="3D89E50B">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2DCF81ED">
      <w:pPr>
        <w:pStyle w:val="17"/>
        <w:ind w:firstLine="480"/>
        <w:rPr>
          <w:color w:val="auto"/>
          <w:highlight w:val="none"/>
        </w:rPr>
      </w:pPr>
      <w:r>
        <w:rPr>
          <w:color w:val="auto"/>
          <w:highlight w:val="none"/>
        </w:rPr>
        <w:t>1.1</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南京邮电大学校内集中采购管理实施细则（试行）》（校发〔2023〕39号）</w:t>
      </w:r>
      <w:r>
        <w:rPr>
          <w:rFonts w:hint="eastAsia"/>
          <w:color w:val="auto"/>
          <w:highlight w:val="none"/>
        </w:rPr>
        <w:t>、《</w:t>
      </w:r>
      <w:r>
        <w:rPr>
          <w:color w:val="auto"/>
          <w:highlight w:val="none"/>
        </w:rPr>
        <w:t>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9E112AD">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0049C1D9">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1E91BD62">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1D08311C">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3CEF5EF6">
      <w:pPr>
        <w:pStyle w:val="17"/>
        <w:numPr>
          <w:ilvl w:val="0"/>
          <w:numId w:val="8"/>
        </w:numPr>
        <w:ind w:firstLineChars="0"/>
        <w:rPr>
          <w:b/>
          <w:color w:val="auto"/>
          <w:highlight w:val="none"/>
        </w:rPr>
      </w:pPr>
      <w:r>
        <w:rPr>
          <w:b/>
          <w:color w:val="auto"/>
          <w:highlight w:val="none"/>
        </w:rPr>
        <w:t>采购文件</w:t>
      </w:r>
    </w:p>
    <w:p w14:paraId="24D2BB06">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16A10340">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6C68151">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5B3E6F36">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6D49FA72">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0CDAB0C8">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1927253E">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2BBB8992">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78C0BB36">
      <w:pPr>
        <w:pStyle w:val="17"/>
        <w:numPr>
          <w:ilvl w:val="0"/>
          <w:numId w:val="8"/>
        </w:numPr>
        <w:ind w:firstLineChars="0"/>
        <w:rPr>
          <w:b/>
          <w:color w:val="auto"/>
          <w:highlight w:val="none"/>
        </w:rPr>
      </w:pPr>
      <w:r>
        <w:rPr>
          <w:rFonts w:hint="eastAsia"/>
          <w:b/>
          <w:color w:val="auto"/>
          <w:highlight w:val="none"/>
        </w:rPr>
        <w:t>响应</w:t>
      </w:r>
    </w:p>
    <w:p w14:paraId="563B4206">
      <w:pPr>
        <w:pStyle w:val="17"/>
        <w:numPr>
          <w:ilvl w:val="0"/>
          <w:numId w:val="12"/>
        </w:numPr>
        <w:ind w:firstLineChars="0"/>
        <w:rPr>
          <w:b/>
          <w:color w:val="auto"/>
          <w:highlight w:val="none"/>
        </w:rPr>
      </w:pPr>
      <w:r>
        <w:rPr>
          <w:b/>
          <w:color w:val="auto"/>
          <w:highlight w:val="none"/>
        </w:rPr>
        <w:t>响应文件的语言、计量单位、货币、技术标准和编制</w:t>
      </w:r>
    </w:p>
    <w:p w14:paraId="64FEBF31">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525B4D27">
      <w:pPr>
        <w:pStyle w:val="17"/>
        <w:numPr>
          <w:ilvl w:val="0"/>
          <w:numId w:val="13"/>
        </w:numPr>
        <w:ind w:firstLineChars="0"/>
        <w:rPr>
          <w:color w:val="auto"/>
          <w:highlight w:val="none"/>
        </w:rPr>
      </w:pPr>
      <w:r>
        <w:rPr>
          <w:color w:val="auto"/>
          <w:highlight w:val="none"/>
        </w:rPr>
        <w:t>供应商所使用的计量单位应为国家法定计量单位。</w:t>
      </w:r>
    </w:p>
    <w:p w14:paraId="774F1731">
      <w:pPr>
        <w:pStyle w:val="17"/>
        <w:numPr>
          <w:ilvl w:val="0"/>
          <w:numId w:val="13"/>
        </w:numPr>
        <w:ind w:firstLineChars="0"/>
        <w:rPr>
          <w:color w:val="auto"/>
          <w:highlight w:val="none"/>
        </w:rPr>
      </w:pPr>
      <w:r>
        <w:rPr>
          <w:color w:val="auto"/>
          <w:highlight w:val="none"/>
        </w:rPr>
        <w:t>供应商应用人民币报价。</w:t>
      </w:r>
    </w:p>
    <w:p w14:paraId="77939574">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3B04B3FB">
      <w:pPr>
        <w:pStyle w:val="17"/>
        <w:numPr>
          <w:ilvl w:val="0"/>
          <w:numId w:val="13"/>
        </w:numPr>
        <w:ind w:firstLineChars="0"/>
        <w:rPr>
          <w:color w:val="auto"/>
          <w:highlight w:val="none"/>
        </w:rPr>
      </w:pPr>
      <w:r>
        <w:rPr>
          <w:color w:val="auto"/>
          <w:highlight w:val="none"/>
        </w:rPr>
        <w:t>供应商所使用的技术标准应遵循国家最新标准及规范。</w:t>
      </w:r>
    </w:p>
    <w:p w14:paraId="754FD341">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787C4709">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09D8E4BC">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4D87421B">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3E0055A0">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1E947BA7">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405C0962">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采购代理服务费按照国家发展和改革委员会下发的《关于降低部分建设项目收费标准规范收费行为等有关问题的通知》（发改价格[2011]534号）所列采购代理服务费收费标准下浮</w:t>
      </w:r>
      <w:r>
        <w:rPr>
          <w:rFonts w:hint="eastAsia"/>
          <w:color w:val="auto"/>
          <w:highlight w:val="none"/>
          <w:u w:val="single"/>
        </w:rPr>
        <w:t>35</w:t>
      </w:r>
      <w:r>
        <w:rPr>
          <w:color w:val="auto"/>
          <w:highlight w:val="none"/>
        </w:rPr>
        <w:t>%（优惠率）收取。代理服务费包括所供服务相关的所有费用，工程类采购代理项目报价包含编制工程量清单、确定招标控制价等所有费用。</w:t>
      </w:r>
    </w:p>
    <w:p w14:paraId="7B45A9CD">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4000元，工程类项目保底代理费为5000元。</w:t>
      </w:r>
    </w:p>
    <w:p w14:paraId="1BEF576C">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1984B44F">
      <w:pPr>
        <w:pStyle w:val="17"/>
        <w:numPr>
          <w:ilvl w:val="0"/>
          <w:numId w:val="12"/>
        </w:numPr>
        <w:ind w:firstLineChars="0"/>
        <w:rPr>
          <w:b/>
          <w:color w:val="auto"/>
          <w:highlight w:val="none"/>
        </w:rPr>
      </w:pPr>
      <w:r>
        <w:rPr>
          <w:b/>
          <w:color w:val="auto"/>
          <w:highlight w:val="none"/>
        </w:rPr>
        <w:t>响应文件组成</w:t>
      </w:r>
    </w:p>
    <w:p w14:paraId="6A1D539D">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239A60D">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4A188F40">
      <w:pPr>
        <w:pStyle w:val="17"/>
        <w:numPr>
          <w:ilvl w:val="0"/>
          <w:numId w:val="12"/>
        </w:numPr>
        <w:ind w:firstLineChars="0"/>
        <w:rPr>
          <w:b/>
          <w:color w:val="auto"/>
          <w:highlight w:val="none"/>
        </w:rPr>
      </w:pPr>
      <w:r>
        <w:rPr>
          <w:b/>
          <w:color w:val="auto"/>
          <w:highlight w:val="none"/>
        </w:rPr>
        <w:t>响应文件的商务部分</w:t>
      </w:r>
    </w:p>
    <w:p w14:paraId="7E049F89">
      <w:pPr>
        <w:pStyle w:val="17"/>
        <w:ind w:firstLine="480"/>
        <w:rPr>
          <w:color w:val="auto"/>
          <w:highlight w:val="none"/>
        </w:rPr>
      </w:pPr>
      <w:r>
        <w:rPr>
          <w:color w:val="auto"/>
          <w:highlight w:val="none"/>
        </w:rPr>
        <w:t>9.1商务部分是证明供应商有资格参加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4162F9A7">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32266742">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6A42D93A">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44FEF2B1">
      <w:pPr>
        <w:pStyle w:val="17"/>
        <w:widowControl/>
        <w:numPr>
          <w:ilvl w:val="0"/>
          <w:numId w:val="17"/>
        </w:numPr>
        <w:ind w:firstLineChars="0"/>
        <w:rPr>
          <w:color w:val="auto"/>
          <w:highlight w:val="none"/>
        </w:rPr>
      </w:pPr>
      <w:r>
        <w:rPr>
          <w:color w:val="auto"/>
          <w:highlight w:val="none"/>
        </w:rPr>
        <w:t>《商务条款偏离表》；</w:t>
      </w:r>
    </w:p>
    <w:p w14:paraId="4B39831E">
      <w:pPr>
        <w:pStyle w:val="17"/>
        <w:numPr>
          <w:ilvl w:val="0"/>
          <w:numId w:val="17"/>
        </w:numPr>
        <w:ind w:firstLineChars="0"/>
        <w:rPr>
          <w:color w:val="auto"/>
          <w:highlight w:val="none"/>
        </w:rPr>
      </w:pPr>
      <w:r>
        <w:rPr>
          <w:color w:val="auto"/>
          <w:highlight w:val="none"/>
        </w:rPr>
        <w:t>合同条款；</w:t>
      </w:r>
    </w:p>
    <w:p w14:paraId="0AF6F504">
      <w:pPr>
        <w:pStyle w:val="17"/>
        <w:numPr>
          <w:ilvl w:val="0"/>
          <w:numId w:val="17"/>
        </w:numPr>
        <w:ind w:firstLineChars="0"/>
        <w:rPr>
          <w:color w:val="auto"/>
          <w:highlight w:val="none"/>
        </w:rPr>
      </w:pPr>
      <w:r>
        <w:rPr>
          <w:color w:val="auto"/>
          <w:highlight w:val="none"/>
        </w:rPr>
        <w:t>供应商认为需要提供的其他资格证明文件和商务资料。</w:t>
      </w:r>
    </w:p>
    <w:p w14:paraId="4FA2396E">
      <w:pPr>
        <w:pStyle w:val="17"/>
        <w:numPr>
          <w:ilvl w:val="0"/>
          <w:numId w:val="12"/>
        </w:numPr>
        <w:ind w:firstLineChars="0"/>
        <w:rPr>
          <w:b/>
          <w:color w:val="auto"/>
          <w:highlight w:val="none"/>
        </w:rPr>
      </w:pPr>
      <w:r>
        <w:rPr>
          <w:b/>
          <w:color w:val="auto"/>
          <w:highlight w:val="none"/>
        </w:rPr>
        <w:t>响应文件的技术部分</w:t>
      </w:r>
    </w:p>
    <w:p w14:paraId="58AB353E">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171806D0">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553570C1">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6102BDCF">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1EAE306D">
      <w:pPr>
        <w:pStyle w:val="17"/>
        <w:numPr>
          <w:ilvl w:val="0"/>
          <w:numId w:val="19"/>
        </w:numPr>
        <w:ind w:firstLineChars="0"/>
        <w:rPr>
          <w:color w:val="auto"/>
          <w:highlight w:val="none"/>
        </w:rPr>
      </w:pPr>
      <w:r>
        <w:rPr>
          <w:color w:val="auto"/>
          <w:highlight w:val="none"/>
        </w:rPr>
        <w:t>《技术条款偏离表》；</w:t>
      </w:r>
    </w:p>
    <w:p w14:paraId="36509534">
      <w:pPr>
        <w:pStyle w:val="17"/>
        <w:numPr>
          <w:ilvl w:val="0"/>
          <w:numId w:val="19"/>
        </w:numPr>
        <w:ind w:firstLineChars="0"/>
        <w:rPr>
          <w:color w:val="auto"/>
          <w:highlight w:val="none"/>
        </w:rPr>
      </w:pPr>
      <w:r>
        <w:rPr>
          <w:color w:val="auto"/>
          <w:highlight w:val="none"/>
        </w:rPr>
        <w:t>服务承诺；</w:t>
      </w:r>
    </w:p>
    <w:p w14:paraId="6176C313">
      <w:pPr>
        <w:pStyle w:val="17"/>
        <w:numPr>
          <w:ilvl w:val="0"/>
          <w:numId w:val="19"/>
        </w:numPr>
        <w:ind w:firstLineChars="0"/>
        <w:rPr>
          <w:color w:val="auto"/>
          <w:highlight w:val="none"/>
        </w:rPr>
      </w:pPr>
      <w:r>
        <w:rPr>
          <w:color w:val="auto"/>
          <w:highlight w:val="none"/>
        </w:rPr>
        <w:t>供应商拟投入本项目的设备、人员情况一览表；</w:t>
      </w:r>
    </w:p>
    <w:p w14:paraId="62757C8E">
      <w:pPr>
        <w:pStyle w:val="17"/>
        <w:widowControl/>
        <w:numPr>
          <w:ilvl w:val="0"/>
          <w:numId w:val="19"/>
        </w:numPr>
        <w:ind w:firstLineChars="0"/>
        <w:rPr>
          <w:color w:val="auto"/>
          <w:highlight w:val="none"/>
        </w:rPr>
      </w:pPr>
      <w:r>
        <w:rPr>
          <w:color w:val="auto"/>
          <w:highlight w:val="none"/>
        </w:rPr>
        <w:t>供应商认为需要提供的其他技术资料。</w:t>
      </w:r>
    </w:p>
    <w:p w14:paraId="529AACCB">
      <w:pPr>
        <w:pStyle w:val="17"/>
        <w:numPr>
          <w:ilvl w:val="0"/>
          <w:numId w:val="12"/>
        </w:numPr>
        <w:ind w:firstLineChars="0"/>
        <w:rPr>
          <w:b/>
          <w:color w:val="auto"/>
          <w:highlight w:val="none"/>
        </w:rPr>
      </w:pPr>
      <w:r>
        <w:rPr>
          <w:b/>
          <w:color w:val="auto"/>
          <w:highlight w:val="none"/>
        </w:rPr>
        <w:t>响应文件的价格部分</w:t>
      </w:r>
    </w:p>
    <w:p w14:paraId="5F3F1905">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424139D6">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4D83504A">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70B21928">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5CB1BDDC">
      <w:pPr>
        <w:pStyle w:val="17"/>
        <w:numPr>
          <w:ilvl w:val="0"/>
          <w:numId w:val="12"/>
        </w:numPr>
        <w:ind w:firstLineChars="0"/>
        <w:rPr>
          <w:b/>
          <w:color w:val="auto"/>
          <w:highlight w:val="none"/>
        </w:rPr>
      </w:pPr>
      <w:r>
        <w:rPr>
          <w:b/>
          <w:color w:val="auto"/>
          <w:highlight w:val="none"/>
        </w:rPr>
        <w:t>响应文件的其他部分</w:t>
      </w:r>
    </w:p>
    <w:p w14:paraId="6E0DCBBA">
      <w:pPr>
        <w:pStyle w:val="17"/>
        <w:ind w:firstLine="480"/>
        <w:rPr>
          <w:color w:val="auto"/>
          <w:highlight w:val="none"/>
        </w:rPr>
      </w:pPr>
      <w:r>
        <w:rPr>
          <w:color w:val="auto"/>
          <w:highlight w:val="none"/>
        </w:rPr>
        <w:t>供应商编制响应文件需要提供的其他相关文件。</w:t>
      </w:r>
    </w:p>
    <w:p w14:paraId="508386EF">
      <w:pPr>
        <w:pStyle w:val="17"/>
        <w:numPr>
          <w:ilvl w:val="0"/>
          <w:numId w:val="12"/>
        </w:numPr>
        <w:ind w:firstLineChars="0"/>
        <w:rPr>
          <w:b/>
          <w:color w:val="auto"/>
          <w:highlight w:val="none"/>
        </w:rPr>
      </w:pPr>
      <w:r>
        <w:rPr>
          <w:b/>
          <w:color w:val="auto"/>
          <w:highlight w:val="none"/>
        </w:rPr>
        <w:t>响应保证金：无。</w:t>
      </w:r>
    </w:p>
    <w:p w14:paraId="69D8CBB7">
      <w:pPr>
        <w:pStyle w:val="17"/>
        <w:numPr>
          <w:ilvl w:val="0"/>
          <w:numId w:val="12"/>
        </w:numPr>
        <w:ind w:firstLineChars="0"/>
        <w:rPr>
          <w:b/>
          <w:color w:val="auto"/>
          <w:highlight w:val="none"/>
        </w:rPr>
      </w:pPr>
      <w:r>
        <w:rPr>
          <w:b/>
          <w:color w:val="auto"/>
          <w:highlight w:val="none"/>
        </w:rPr>
        <w:t>响应有效期</w:t>
      </w:r>
    </w:p>
    <w:p w14:paraId="3EBF9957">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6F4C615D">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A45E659">
      <w:pPr>
        <w:pStyle w:val="17"/>
        <w:numPr>
          <w:ilvl w:val="0"/>
          <w:numId w:val="12"/>
        </w:numPr>
        <w:ind w:firstLineChars="0"/>
        <w:rPr>
          <w:b/>
          <w:color w:val="auto"/>
          <w:highlight w:val="none"/>
        </w:rPr>
      </w:pPr>
      <w:r>
        <w:rPr>
          <w:b/>
          <w:color w:val="auto"/>
          <w:highlight w:val="none"/>
        </w:rPr>
        <w:t>响应文件的份数、签署</w:t>
      </w:r>
    </w:p>
    <w:p w14:paraId="5510324B">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238C6FEE">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9CD7A1">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08A89178">
      <w:pPr>
        <w:pStyle w:val="17"/>
        <w:numPr>
          <w:ilvl w:val="0"/>
          <w:numId w:val="12"/>
        </w:numPr>
        <w:ind w:firstLineChars="0"/>
        <w:rPr>
          <w:b/>
          <w:color w:val="auto"/>
          <w:highlight w:val="none"/>
        </w:rPr>
      </w:pPr>
      <w:r>
        <w:rPr>
          <w:b/>
          <w:color w:val="auto"/>
          <w:highlight w:val="none"/>
        </w:rPr>
        <w:t>响应文件的密封和递交</w:t>
      </w:r>
    </w:p>
    <w:p w14:paraId="6B2CB19B">
      <w:pPr>
        <w:pStyle w:val="17"/>
        <w:numPr>
          <w:ilvl w:val="0"/>
          <w:numId w:val="23"/>
        </w:numPr>
        <w:ind w:firstLineChars="0"/>
        <w:rPr>
          <w:color w:val="auto"/>
          <w:highlight w:val="none"/>
        </w:rPr>
      </w:pPr>
      <w:r>
        <w:rPr>
          <w:color w:val="auto"/>
          <w:highlight w:val="none"/>
        </w:rPr>
        <w:t>供应商应当将响应文件密封。</w:t>
      </w:r>
    </w:p>
    <w:p w14:paraId="54DB9354">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24585560">
      <w:pPr>
        <w:pStyle w:val="17"/>
        <w:numPr>
          <w:ilvl w:val="0"/>
          <w:numId w:val="12"/>
        </w:numPr>
        <w:ind w:firstLineChars="0"/>
        <w:rPr>
          <w:b/>
          <w:color w:val="auto"/>
          <w:highlight w:val="none"/>
        </w:rPr>
      </w:pPr>
      <w:r>
        <w:rPr>
          <w:b/>
          <w:color w:val="auto"/>
          <w:highlight w:val="none"/>
        </w:rPr>
        <w:t>有下列情形之一的响应文件将被拒收</w:t>
      </w:r>
    </w:p>
    <w:p w14:paraId="6A72451E">
      <w:pPr>
        <w:pStyle w:val="17"/>
        <w:numPr>
          <w:ilvl w:val="0"/>
          <w:numId w:val="24"/>
        </w:numPr>
        <w:ind w:firstLineChars="0"/>
        <w:rPr>
          <w:color w:val="auto"/>
          <w:highlight w:val="none"/>
        </w:rPr>
      </w:pPr>
      <w:r>
        <w:rPr>
          <w:color w:val="auto"/>
          <w:highlight w:val="none"/>
        </w:rPr>
        <w:t>在采购文件要求提交响应文件的截止时间之后送达的。</w:t>
      </w:r>
    </w:p>
    <w:p w14:paraId="0742BACD">
      <w:pPr>
        <w:pStyle w:val="17"/>
        <w:numPr>
          <w:ilvl w:val="0"/>
          <w:numId w:val="24"/>
        </w:numPr>
        <w:ind w:firstLineChars="0"/>
        <w:rPr>
          <w:color w:val="auto"/>
          <w:highlight w:val="none"/>
        </w:rPr>
      </w:pPr>
      <w:r>
        <w:rPr>
          <w:color w:val="auto"/>
          <w:highlight w:val="none"/>
        </w:rPr>
        <w:t>响应文件未密封的。</w:t>
      </w:r>
    </w:p>
    <w:p w14:paraId="4C051F7B">
      <w:pPr>
        <w:pStyle w:val="17"/>
        <w:numPr>
          <w:ilvl w:val="0"/>
          <w:numId w:val="12"/>
        </w:numPr>
        <w:ind w:firstLineChars="0"/>
        <w:rPr>
          <w:b/>
          <w:color w:val="auto"/>
          <w:highlight w:val="none"/>
        </w:rPr>
      </w:pPr>
      <w:r>
        <w:rPr>
          <w:b/>
          <w:color w:val="auto"/>
          <w:highlight w:val="none"/>
        </w:rPr>
        <w:t>响应文件的修改和撤回</w:t>
      </w:r>
    </w:p>
    <w:p w14:paraId="4E1CF8C4">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1B4142D9">
      <w:pPr>
        <w:pStyle w:val="17"/>
        <w:numPr>
          <w:ilvl w:val="0"/>
          <w:numId w:val="25"/>
        </w:numPr>
        <w:ind w:firstLineChars="0"/>
        <w:rPr>
          <w:color w:val="auto"/>
          <w:highlight w:val="none"/>
        </w:rPr>
      </w:pPr>
      <w:r>
        <w:rPr>
          <w:color w:val="auto"/>
          <w:highlight w:val="none"/>
        </w:rPr>
        <w:t>响应截止时间之后，响应文件不得撤回。</w:t>
      </w:r>
    </w:p>
    <w:p w14:paraId="1850FCAB">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5E8407F7">
      <w:pPr>
        <w:pStyle w:val="17"/>
        <w:numPr>
          <w:ilvl w:val="0"/>
          <w:numId w:val="26"/>
        </w:numPr>
        <w:ind w:firstLineChars="0"/>
        <w:rPr>
          <w:b/>
          <w:color w:val="auto"/>
          <w:highlight w:val="none"/>
        </w:rPr>
      </w:pPr>
      <w:r>
        <w:rPr>
          <w:rFonts w:hint="eastAsia"/>
          <w:b/>
          <w:color w:val="auto"/>
          <w:highlight w:val="none"/>
        </w:rPr>
        <w:t>响应文件开启</w:t>
      </w:r>
    </w:p>
    <w:p w14:paraId="41116969">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3D33F71E">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165704B9">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60921089">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0532F742">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71DCDFDE">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183900F9">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560969DD">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70027CB5">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3ACC86A2">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2703AE15">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E707498">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034D9444">
      <w:pPr>
        <w:pStyle w:val="17"/>
        <w:ind w:firstLineChars="175"/>
        <w:rPr>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42D94BFA">
      <w:pPr>
        <w:pStyle w:val="17"/>
        <w:ind w:left="480" w:firstLine="480"/>
        <w:rPr>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79FE215C">
      <w:pPr>
        <w:pStyle w:val="17"/>
        <w:ind w:left="480" w:firstLine="480"/>
        <w:rPr>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29BC82A4">
      <w:pPr>
        <w:pStyle w:val="17"/>
        <w:numPr>
          <w:ilvl w:val="0"/>
          <w:numId w:val="26"/>
        </w:numPr>
        <w:ind w:firstLineChars="0"/>
        <w:rPr>
          <w:b/>
          <w:color w:val="auto"/>
          <w:highlight w:val="none"/>
        </w:rPr>
      </w:pPr>
      <w:r>
        <w:rPr>
          <w:b/>
          <w:color w:val="auto"/>
          <w:highlight w:val="none"/>
        </w:rPr>
        <w:t>评审</w:t>
      </w:r>
    </w:p>
    <w:p w14:paraId="3A1FFE5B">
      <w:pPr>
        <w:pStyle w:val="17"/>
        <w:numPr>
          <w:ilvl w:val="0"/>
          <w:numId w:val="28"/>
        </w:numPr>
        <w:ind w:firstLineChars="0"/>
        <w:rPr>
          <w:b/>
          <w:color w:val="auto"/>
          <w:highlight w:val="none"/>
        </w:rPr>
      </w:pPr>
      <w:r>
        <w:rPr>
          <w:b/>
          <w:color w:val="auto"/>
          <w:highlight w:val="none"/>
        </w:rPr>
        <w:t>评审组织</w:t>
      </w:r>
    </w:p>
    <w:p w14:paraId="04621A60">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6835F37E">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0B84F07C">
      <w:pPr>
        <w:pStyle w:val="17"/>
        <w:numPr>
          <w:ilvl w:val="0"/>
          <w:numId w:val="30"/>
        </w:numPr>
        <w:ind w:firstLineChars="0"/>
        <w:rPr>
          <w:color w:val="auto"/>
          <w:highlight w:val="none"/>
        </w:rPr>
      </w:pPr>
      <w:r>
        <w:rPr>
          <w:color w:val="auto"/>
          <w:highlight w:val="none"/>
        </w:rPr>
        <w:t>要求供应商对响应文件有关事项作出澄清或者说明；</w:t>
      </w:r>
    </w:p>
    <w:p w14:paraId="48C5FE07">
      <w:pPr>
        <w:pStyle w:val="17"/>
        <w:numPr>
          <w:ilvl w:val="0"/>
          <w:numId w:val="30"/>
        </w:numPr>
        <w:ind w:firstLineChars="0"/>
        <w:rPr>
          <w:color w:val="auto"/>
          <w:highlight w:val="none"/>
        </w:rPr>
      </w:pPr>
      <w:r>
        <w:rPr>
          <w:color w:val="auto"/>
          <w:highlight w:val="none"/>
        </w:rPr>
        <w:t>对响应文件进行比较和评价；</w:t>
      </w:r>
    </w:p>
    <w:p w14:paraId="55300CA6">
      <w:pPr>
        <w:pStyle w:val="17"/>
        <w:numPr>
          <w:ilvl w:val="0"/>
          <w:numId w:val="30"/>
        </w:numPr>
        <w:ind w:firstLineChars="0"/>
        <w:rPr>
          <w:color w:val="auto"/>
          <w:highlight w:val="none"/>
        </w:rPr>
      </w:pPr>
      <w:r>
        <w:rPr>
          <w:color w:val="auto"/>
          <w:highlight w:val="none"/>
        </w:rPr>
        <w:t>推荐成交候选人或根据采购人委托直接确定成交供应商；</w:t>
      </w:r>
    </w:p>
    <w:p w14:paraId="601AD7D3">
      <w:pPr>
        <w:pStyle w:val="17"/>
        <w:numPr>
          <w:ilvl w:val="0"/>
          <w:numId w:val="30"/>
        </w:numPr>
        <w:ind w:firstLineChars="0"/>
        <w:rPr>
          <w:color w:val="auto"/>
          <w:highlight w:val="none"/>
        </w:rPr>
      </w:pPr>
      <w:r>
        <w:rPr>
          <w:color w:val="auto"/>
          <w:highlight w:val="none"/>
        </w:rPr>
        <w:t>向采购人报告评审中发现的违法行为。</w:t>
      </w:r>
    </w:p>
    <w:p w14:paraId="51231323">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7937FF18">
      <w:pPr>
        <w:pStyle w:val="17"/>
        <w:numPr>
          <w:ilvl w:val="0"/>
          <w:numId w:val="28"/>
        </w:numPr>
        <w:ind w:firstLineChars="0"/>
        <w:rPr>
          <w:b/>
          <w:color w:val="auto"/>
          <w:highlight w:val="none"/>
        </w:rPr>
      </w:pPr>
      <w:r>
        <w:rPr>
          <w:b/>
          <w:color w:val="auto"/>
          <w:highlight w:val="none"/>
        </w:rPr>
        <w:t>评审程序</w:t>
      </w:r>
    </w:p>
    <w:p w14:paraId="10CB093E">
      <w:pPr>
        <w:pStyle w:val="17"/>
        <w:numPr>
          <w:ilvl w:val="0"/>
          <w:numId w:val="31"/>
        </w:numPr>
        <w:ind w:firstLineChars="0"/>
        <w:rPr>
          <w:b/>
          <w:color w:val="auto"/>
          <w:highlight w:val="none"/>
        </w:rPr>
      </w:pPr>
      <w:r>
        <w:rPr>
          <w:b/>
          <w:color w:val="auto"/>
          <w:highlight w:val="none"/>
        </w:rPr>
        <w:t>响应文件的资格审查</w:t>
      </w:r>
    </w:p>
    <w:p w14:paraId="454D63FA">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7C0E9536">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1BBD9366">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2D982599">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25C0C319">
      <w:pPr>
        <w:pStyle w:val="17"/>
        <w:widowControl/>
        <w:numPr>
          <w:ilvl w:val="0"/>
          <w:numId w:val="33"/>
        </w:numPr>
        <w:ind w:firstLineChars="0"/>
        <w:rPr>
          <w:color w:val="auto"/>
          <w:highlight w:val="none"/>
        </w:rPr>
      </w:pPr>
      <w:r>
        <w:rPr>
          <w:color w:val="auto"/>
          <w:highlight w:val="none"/>
        </w:rPr>
        <w:t>不具备采购文件规定资格条件的；</w:t>
      </w:r>
    </w:p>
    <w:p w14:paraId="218310B4">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D96D92">
      <w:pPr>
        <w:pStyle w:val="17"/>
        <w:numPr>
          <w:ilvl w:val="0"/>
          <w:numId w:val="31"/>
        </w:numPr>
        <w:ind w:firstLineChars="0"/>
        <w:rPr>
          <w:b/>
          <w:color w:val="auto"/>
          <w:highlight w:val="none"/>
        </w:rPr>
      </w:pPr>
      <w:r>
        <w:rPr>
          <w:b/>
          <w:color w:val="auto"/>
          <w:highlight w:val="none"/>
        </w:rPr>
        <w:t>响应文件的符合性审查</w:t>
      </w:r>
    </w:p>
    <w:p w14:paraId="5A92BEC2">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2EF578BA">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024FFE2E">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6B34E1C4">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4A5591A7">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10A02878">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1E53CF83">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5982B425">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65330944">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18FA2F6C">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7E1303DE">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★20.2.2.5</w:t>
      </w:r>
      <w:r>
        <w:rPr>
          <w:rFonts w:ascii="Segoe UI Symbol" w:hAnsi="Segoe UI Symbol" w:cs="Segoe UI Symbol"/>
          <w:b/>
          <w:color w:val="auto"/>
          <w:szCs w:val="21"/>
          <w:highlight w:val="none"/>
        </w:rPr>
        <w:t>评审委员会启动异常低价投标（响应）审查的情形和具体要求，包括：</w:t>
      </w:r>
    </w:p>
    <w:p w14:paraId="3A8846CC">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（1）评审过程中出现下列情形之一的，评审委员会应当启动异常低价投标(响应)审查程序:</w:t>
      </w:r>
    </w:p>
    <w:p w14:paraId="1910DDD9">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①投标(响应)报价低于采购项目预算50%的，即投标(响应)报价&lt;采购项目预算x50%;</w:t>
      </w:r>
    </w:p>
    <w:p w14:paraId="371B8A3A">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②投标(响应)报价低于采购项目最高限价45%的，即投标(响应)报价&lt;采购项目最高限价x45%;</w:t>
      </w:r>
    </w:p>
    <w:p w14:paraId="369295FB">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③评审委员会认定的供应商报价过低、有可能影响产品质量或者不能诚信履约的其他情形。</w:t>
      </w:r>
    </w:p>
    <w:p w14:paraId="4492C28A">
      <w:pPr>
        <w:pStyle w:val="17"/>
        <w:ind w:firstLine="480" w:firstLineChars="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5976669A">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rPr>
        <w:t>6</w:t>
      </w:r>
      <w:r>
        <w:rPr>
          <w:b/>
          <w:color w:val="auto"/>
          <w:highlight w:val="none"/>
        </w:rPr>
        <w:t>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04E32C59">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rPr>
        <w:t>7</w:t>
      </w:r>
      <w:r>
        <w:rPr>
          <w:b/>
          <w:color w:val="auto"/>
          <w:highlight w:val="none"/>
        </w:rPr>
        <w:t>有下列情形之一的予以废标，同时将废标理由通知所有供应商</w:t>
      </w:r>
    </w:p>
    <w:p w14:paraId="43500E5E">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1B79B2F4">
      <w:pPr>
        <w:pStyle w:val="17"/>
        <w:numPr>
          <w:ilvl w:val="0"/>
          <w:numId w:val="35"/>
        </w:numPr>
        <w:ind w:firstLineChars="0"/>
        <w:rPr>
          <w:color w:val="auto"/>
          <w:highlight w:val="none"/>
        </w:rPr>
      </w:pPr>
      <w:r>
        <w:rPr>
          <w:color w:val="auto"/>
          <w:highlight w:val="none"/>
        </w:rPr>
        <w:t>出现影响采购公正的违法、违规行为的；</w:t>
      </w:r>
    </w:p>
    <w:p w14:paraId="18EA96F3">
      <w:pPr>
        <w:pStyle w:val="17"/>
        <w:widowControl/>
        <w:numPr>
          <w:ilvl w:val="0"/>
          <w:numId w:val="35"/>
        </w:numPr>
        <w:ind w:firstLineChars="0"/>
        <w:rPr>
          <w:color w:val="auto"/>
          <w:highlight w:val="none"/>
        </w:rPr>
      </w:pPr>
      <w:r>
        <w:rPr>
          <w:color w:val="auto"/>
          <w:highlight w:val="none"/>
        </w:rPr>
        <w:t>因重大变故，采购任务取消的；</w:t>
      </w:r>
    </w:p>
    <w:p w14:paraId="6CF542CB">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28E250DD">
      <w:pPr>
        <w:pStyle w:val="17"/>
        <w:numPr>
          <w:ilvl w:val="0"/>
          <w:numId w:val="31"/>
        </w:numPr>
        <w:ind w:firstLineChars="0"/>
        <w:rPr>
          <w:b/>
          <w:color w:val="auto"/>
          <w:highlight w:val="none"/>
        </w:rPr>
      </w:pPr>
      <w:r>
        <w:rPr>
          <w:b/>
          <w:color w:val="auto"/>
          <w:highlight w:val="none"/>
        </w:rPr>
        <w:t>响应文件的进一步评审</w:t>
      </w:r>
    </w:p>
    <w:p w14:paraId="3CCFFB4C">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1D6E35FD">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792D342C">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16EEC62A">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50332393">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37C59FEC">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5DA590">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039C14C3">
      <w:pPr>
        <w:pStyle w:val="17"/>
        <w:widowControl/>
        <w:numPr>
          <w:ilvl w:val="0"/>
          <w:numId w:val="28"/>
        </w:numPr>
        <w:ind w:firstLineChars="0"/>
        <w:rPr>
          <w:b/>
          <w:color w:val="auto"/>
          <w:highlight w:val="none"/>
        </w:rPr>
      </w:pPr>
      <w:r>
        <w:rPr>
          <w:b/>
          <w:color w:val="auto"/>
          <w:highlight w:val="none"/>
        </w:rPr>
        <w:t>评审方法和标准</w:t>
      </w:r>
    </w:p>
    <w:p w14:paraId="253F7088">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399ADB4B">
      <w:pPr>
        <w:pStyle w:val="17"/>
        <w:numPr>
          <w:ilvl w:val="0"/>
          <w:numId w:val="38"/>
        </w:numPr>
        <w:ind w:firstLineChars="0"/>
        <w:rPr>
          <w:color w:val="auto"/>
          <w:highlight w:val="none"/>
        </w:rPr>
      </w:pPr>
      <w:r>
        <w:rPr>
          <w:color w:val="auto"/>
          <w:highlight w:val="none"/>
        </w:rPr>
        <w:t>综合评分的主要因素是：价格、技术、服务、业绩、履约能力等。</w:t>
      </w:r>
    </w:p>
    <w:p w14:paraId="7002FC1F">
      <w:pPr>
        <w:pStyle w:val="17"/>
        <w:numPr>
          <w:ilvl w:val="0"/>
          <w:numId w:val="38"/>
        </w:numPr>
        <w:ind w:firstLineChars="0"/>
        <w:rPr>
          <w:color w:val="auto"/>
          <w:highlight w:val="none"/>
        </w:rPr>
      </w:pPr>
      <w:r>
        <w:rPr>
          <w:color w:val="auto"/>
          <w:highlight w:val="none"/>
        </w:rPr>
        <w:t>评分标准详见文件第三章。</w:t>
      </w:r>
    </w:p>
    <w:p w14:paraId="365B893B">
      <w:pPr>
        <w:pStyle w:val="17"/>
        <w:numPr>
          <w:ilvl w:val="0"/>
          <w:numId w:val="26"/>
        </w:numPr>
        <w:ind w:firstLineChars="0"/>
        <w:rPr>
          <w:b/>
          <w:color w:val="auto"/>
          <w:highlight w:val="none"/>
        </w:rPr>
      </w:pPr>
      <w:r>
        <w:rPr>
          <w:b/>
          <w:color w:val="auto"/>
          <w:highlight w:val="none"/>
        </w:rPr>
        <w:t>确定成交供应商</w:t>
      </w:r>
    </w:p>
    <w:p w14:paraId="2C9BFEF4">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054B12F0">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141B91FE">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76A47485">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F4CE990">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4B492BD8">
      <w:pPr>
        <w:pStyle w:val="17"/>
        <w:numPr>
          <w:ilvl w:val="0"/>
          <w:numId w:val="39"/>
        </w:numPr>
        <w:ind w:firstLineChars="0"/>
        <w:rPr>
          <w:color w:val="auto"/>
          <w:highlight w:val="none"/>
        </w:rPr>
      </w:pPr>
      <w:r>
        <w:rPr>
          <w:color w:val="auto"/>
          <w:highlight w:val="none"/>
        </w:rPr>
        <w:t>《成交通知书》对采购人和成交供应商具有同等法律效力。</w:t>
      </w:r>
    </w:p>
    <w:p w14:paraId="201AE25E">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4BC3AE8F">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1F097C13">
      <w:pPr>
        <w:pStyle w:val="17"/>
        <w:numPr>
          <w:ilvl w:val="0"/>
          <w:numId w:val="39"/>
        </w:numPr>
        <w:ind w:firstLineChars="0"/>
        <w:rPr>
          <w:color w:val="auto"/>
          <w:highlight w:val="none"/>
        </w:rPr>
      </w:pPr>
      <w:r>
        <w:rPr>
          <w:color w:val="auto"/>
          <w:highlight w:val="none"/>
        </w:rPr>
        <w:t>所有响应文件不论成交与否均不退回。</w:t>
      </w:r>
    </w:p>
    <w:p w14:paraId="5BFE76F4">
      <w:pPr>
        <w:pStyle w:val="17"/>
        <w:numPr>
          <w:ilvl w:val="0"/>
          <w:numId w:val="26"/>
        </w:numPr>
        <w:ind w:firstLineChars="0"/>
        <w:rPr>
          <w:b/>
          <w:color w:val="auto"/>
          <w:highlight w:val="none"/>
        </w:rPr>
      </w:pPr>
      <w:r>
        <w:rPr>
          <w:b/>
          <w:color w:val="auto"/>
          <w:highlight w:val="none"/>
        </w:rPr>
        <w:t>编写评审报告</w:t>
      </w:r>
    </w:p>
    <w:p w14:paraId="1D272DB6">
      <w:pPr>
        <w:pStyle w:val="17"/>
        <w:ind w:firstLine="480"/>
        <w:rPr>
          <w:color w:val="auto"/>
          <w:highlight w:val="none"/>
        </w:rPr>
      </w:pPr>
      <w:r>
        <w:rPr>
          <w:color w:val="auto"/>
          <w:highlight w:val="none"/>
        </w:rPr>
        <w:t>评审委员会根据全体评审成员签字的原始评审记录和评审结果编写评审报告。</w:t>
      </w:r>
    </w:p>
    <w:p w14:paraId="364BF67A">
      <w:pPr>
        <w:pStyle w:val="17"/>
        <w:numPr>
          <w:ilvl w:val="0"/>
          <w:numId w:val="26"/>
        </w:numPr>
        <w:ind w:firstLineChars="0"/>
        <w:rPr>
          <w:b/>
          <w:color w:val="auto"/>
          <w:highlight w:val="none"/>
        </w:rPr>
      </w:pPr>
      <w:r>
        <w:rPr>
          <w:b/>
          <w:color w:val="auto"/>
          <w:highlight w:val="none"/>
        </w:rPr>
        <w:t>评审过程的保密</w:t>
      </w:r>
    </w:p>
    <w:p w14:paraId="41F9C534">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649E1A9C">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3BE36B44">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4ACDFD70">
      <w:pPr>
        <w:pStyle w:val="17"/>
        <w:numPr>
          <w:ilvl w:val="0"/>
          <w:numId w:val="8"/>
        </w:numPr>
        <w:ind w:firstLineChars="0"/>
        <w:rPr>
          <w:b/>
          <w:color w:val="auto"/>
          <w:highlight w:val="none"/>
        </w:rPr>
      </w:pPr>
      <w:r>
        <w:rPr>
          <w:b/>
          <w:color w:val="auto"/>
          <w:highlight w:val="none"/>
        </w:rPr>
        <w:t>签订合同</w:t>
      </w:r>
    </w:p>
    <w:p w14:paraId="1065D5AF">
      <w:pPr>
        <w:pStyle w:val="17"/>
        <w:ind w:firstLine="482"/>
        <w:rPr>
          <w:b/>
          <w:color w:val="auto"/>
          <w:highlight w:val="none"/>
        </w:rPr>
      </w:pPr>
      <w:r>
        <w:rPr>
          <w:b/>
          <w:color w:val="auto"/>
          <w:highlight w:val="none"/>
        </w:rPr>
        <w:t>24.签订合同</w:t>
      </w:r>
    </w:p>
    <w:p w14:paraId="0D7CD5DA">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8C0B34B">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7D1F9507">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3AA348">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40374D6A">
      <w:pPr>
        <w:pStyle w:val="17"/>
        <w:numPr>
          <w:ilvl w:val="0"/>
          <w:numId w:val="8"/>
        </w:numPr>
        <w:ind w:firstLineChars="0"/>
        <w:rPr>
          <w:b/>
          <w:color w:val="auto"/>
          <w:highlight w:val="none"/>
        </w:rPr>
      </w:pPr>
      <w:r>
        <w:rPr>
          <w:b/>
          <w:color w:val="auto"/>
          <w:highlight w:val="none"/>
        </w:rPr>
        <w:t>询问、质疑、投诉和诚实信用</w:t>
      </w:r>
    </w:p>
    <w:p w14:paraId="09153BDF">
      <w:pPr>
        <w:pStyle w:val="17"/>
        <w:numPr>
          <w:ilvl w:val="0"/>
          <w:numId w:val="43"/>
        </w:numPr>
        <w:ind w:firstLineChars="0"/>
        <w:rPr>
          <w:b/>
          <w:color w:val="auto"/>
          <w:highlight w:val="none"/>
        </w:rPr>
      </w:pPr>
      <w:r>
        <w:rPr>
          <w:b/>
          <w:color w:val="auto"/>
          <w:highlight w:val="none"/>
        </w:rPr>
        <w:t>询问提出与答复</w:t>
      </w:r>
    </w:p>
    <w:p w14:paraId="7D6C045B">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29BAD175">
      <w:pPr>
        <w:pStyle w:val="17"/>
        <w:numPr>
          <w:ilvl w:val="0"/>
          <w:numId w:val="44"/>
        </w:numPr>
        <w:ind w:firstLineChars="0"/>
        <w:rPr>
          <w:color w:val="auto"/>
          <w:highlight w:val="none"/>
        </w:rPr>
      </w:pPr>
      <w:r>
        <w:rPr>
          <w:color w:val="auto"/>
          <w:highlight w:val="none"/>
        </w:rP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D1F6B3F">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256CFF40">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0D8C999E">
      <w:pPr>
        <w:pStyle w:val="17"/>
        <w:numPr>
          <w:ilvl w:val="0"/>
          <w:numId w:val="43"/>
        </w:numPr>
        <w:ind w:firstLineChars="0"/>
        <w:rPr>
          <w:b/>
          <w:color w:val="auto"/>
          <w:highlight w:val="none"/>
        </w:rPr>
      </w:pPr>
      <w:r>
        <w:rPr>
          <w:b/>
          <w:color w:val="auto"/>
          <w:highlight w:val="none"/>
        </w:rPr>
        <w:t>质疑提出与答复</w:t>
      </w:r>
    </w:p>
    <w:p w14:paraId="4ACD2968">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供应商认为采购文件、采购过程、成交或者成交结果使自己的权益受到损害的，可以在知道或者应知其权益受到损害之日起规定质疑期5个工作日内，以书面形式向采购</w:t>
      </w:r>
      <w:r>
        <w:rPr>
          <w:rFonts w:hint="eastAsia"/>
          <w:color w:val="auto"/>
          <w:highlight w:val="none"/>
        </w:rPr>
        <w:t>人</w:t>
      </w:r>
      <w:r>
        <w:rPr>
          <w:color w:val="auto"/>
          <w:highlight w:val="none"/>
        </w:rPr>
        <w:t>、代理机构提出质疑。</w:t>
      </w:r>
    </w:p>
    <w:p w14:paraId="04411EBD">
      <w:pPr>
        <w:pStyle w:val="17"/>
        <w:ind w:firstLine="480"/>
        <w:rPr>
          <w:color w:val="auto"/>
          <w:highlight w:val="none"/>
        </w:rPr>
      </w:pPr>
      <w:r>
        <w:rPr>
          <w:color w:val="auto"/>
          <w:highlight w:val="none"/>
        </w:rPr>
        <w:t>26.1.1供应商在规定质疑期内应一次性提出针对同一采购程序环节的质疑。</w:t>
      </w:r>
    </w:p>
    <w:p w14:paraId="48817C7C">
      <w:pPr>
        <w:pStyle w:val="17"/>
        <w:numPr>
          <w:ilvl w:val="0"/>
          <w:numId w:val="45"/>
        </w:numPr>
        <w:ind w:firstLineChars="0"/>
        <w:rPr>
          <w:color w:val="auto"/>
          <w:highlight w:val="none"/>
        </w:rPr>
      </w:pPr>
      <w:r>
        <w:rPr>
          <w:color w:val="auto"/>
          <w:highlight w:val="none"/>
        </w:rPr>
        <w:t>供应商知道或者应知其权益受到损害之日，是指：</w:t>
      </w:r>
    </w:p>
    <w:p w14:paraId="0A9584B3">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FCA60C5">
      <w:pPr>
        <w:pStyle w:val="17"/>
        <w:numPr>
          <w:ilvl w:val="0"/>
          <w:numId w:val="46"/>
        </w:numPr>
        <w:ind w:firstLineChars="0"/>
        <w:rPr>
          <w:color w:val="auto"/>
          <w:highlight w:val="none"/>
        </w:rPr>
      </w:pPr>
      <w:r>
        <w:rPr>
          <w:color w:val="auto"/>
          <w:highlight w:val="none"/>
        </w:rPr>
        <w:t>对采购过程提出质疑的，为各采购程序环节结束之日；</w:t>
      </w:r>
    </w:p>
    <w:p w14:paraId="1158C5FC">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17AF021A">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32C54B7E">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1618D9DF">
      <w:pPr>
        <w:pStyle w:val="17"/>
        <w:numPr>
          <w:ilvl w:val="0"/>
          <w:numId w:val="47"/>
        </w:numPr>
        <w:ind w:firstLineChars="0"/>
        <w:rPr>
          <w:color w:val="auto"/>
          <w:highlight w:val="none"/>
        </w:rPr>
      </w:pPr>
      <w:r>
        <w:rPr>
          <w:color w:val="auto"/>
          <w:highlight w:val="none"/>
        </w:rPr>
        <w:t>供应商的姓名或者名称、地址、邮编、联系人及联系电话；</w:t>
      </w:r>
    </w:p>
    <w:p w14:paraId="5A755F7A">
      <w:pPr>
        <w:pStyle w:val="17"/>
        <w:numPr>
          <w:ilvl w:val="0"/>
          <w:numId w:val="47"/>
        </w:numPr>
        <w:ind w:firstLineChars="0"/>
        <w:rPr>
          <w:color w:val="auto"/>
          <w:highlight w:val="none"/>
        </w:rPr>
      </w:pPr>
      <w:r>
        <w:rPr>
          <w:color w:val="auto"/>
          <w:highlight w:val="none"/>
        </w:rPr>
        <w:t>质疑项目的名称、编号；</w:t>
      </w:r>
    </w:p>
    <w:p w14:paraId="62E7FCE6">
      <w:pPr>
        <w:pStyle w:val="17"/>
        <w:numPr>
          <w:ilvl w:val="0"/>
          <w:numId w:val="47"/>
        </w:numPr>
        <w:ind w:firstLineChars="0"/>
        <w:rPr>
          <w:color w:val="auto"/>
          <w:highlight w:val="none"/>
        </w:rPr>
      </w:pPr>
      <w:r>
        <w:rPr>
          <w:color w:val="auto"/>
          <w:highlight w:val="none"/>
        </w:rPr>
        <w:t>具体、明确的质疑事项和与质疑事项相关的请求；</w:t>
      </w:r>
    </w:p>
    <w:p w14:paraId="46298A39">
      <w:pPr>
        <w:pStyle w:val="17"/>
        <w:numPr>
          <w:ilvl w:val="0"/>
          <w:numId w:val="47"/>
        </w:numPr>
        <w:ind w:firstLineChars="0"/>
        <w:rPr>
          <w:color w:val="auto"/>
          <w:highlight w:val="none"/>
        </w:rPr>
      </w:pPr>
      <w:r>
        <w:rPr>
          <w:color w:val="auto"/>
          <w:highlight w:val="none"/>
        </w:rPr>
        <w:t>事实依据；</w:t>
      </w:r>
    </w:p>
    <w:p w14:paraId="40144EAE">
      <w:pPr>
        <w:pStyle w:val="17"/>
        <w:numPr>
          <w:ilvl w:val="0"/>
          <w:numId w:val="47"/>
        </w:numPr>
        <w:ind w:firstLineChars="0"/>
        <w:rPr>
          <w:color w:val="auto"/>
          <w:highlight w:val="none"/>
        </w:rPr>
      </w:pPr>
      <w:r>
        <w:rPr>
          <w:color w:val="auto"/>
          <w:highlight w:val="none"/>
        </w:rPr>
        <w:t>必要的法律依据；</w:t>
      </w:r>
    </w:p>
    <w:p w14:paraId="1EA88F9C">
      <w:pPr>
        <w:pStyle w:val="17"/>
        <w:numPr>
          <w:ilvl w:val="0"/>
          <w:numId w:val="47"/>
        </w:numPr>
        <w:ind w:firstLineChars="0"/>
        <w:rPr>
          <w:color w:val="auto"/>
          <w:highlight w:val="none"/>
        </w:rPr>
      </w:pPr>
      <w:r>
        <w:rPr>
          <w:color w:val="auto"/>
          <w:highlight w:val="none"/>
        </w:rPr>
        <w:t>提出质疑的日期。</w:t>
      </w:r>
    </w:p>
    <w:p w14:paraId="1C0E9A11">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65BD4BEB">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433BFBA1">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5C624DF8">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730ED417">
      <w:pPr>
        <w:pStyle w:val="17"/>
        <w:numPr>
          <w:ilvl w:val="0"/>
          <w:numId w:val="48"/>
        </w:numPr>
        <w:ind w:firstLineChars="0"/>
        <w:rPr>
          <w:color w:val="auto"/>
          <w:highlight w:val="none"/>
        </w:rPr>
      </w:pPr>
      <w:r>
        <w:rPr>
          <w:color w:val="auto"/>
          <w:highlight w:val="none"/>
        </w:rPr>
        <w:t>潜在供应商所质疑事项均为采购文件以外的事项；</w:t>
      </w:r>
    </w:p>
    <w:p w14:paraId="74FE60D0">
      <w:pPr>
        <w:pStyle w:val="17"/>
        <w:numPr>
          <w:ilvl w:val="0"/>
          <w:numId w:val="48"/>
        </w:numPr>
        <w:ind w:firstLineChars="0"/>
        <w:rPr>
          <w:color w:val="auto"/>
          <w:highlight w:val="none"/>
        </w:rPr>
      </w:pPr>
      <w:r>
        <w:rPr>
          <w:color w:val="auto"/>
          <w:highlight w:val="none"/>
        </w:rPr>
        <w:t>供应商提交质疑的时间已超过规定质疑期。</w:t>
      </w:r>
    </w:p>
    <w:p w14:paraId="4D28403D">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18A872C2">
      <w:pPr>
        <w:pStyle w:val="17"/>
        <w:numPr>
          <w:ilvl w:val="0"/>
          <w:numId w:val="48"/>
        </w:numPr>
        <w:ind w:firstLineChars="0"/>
        <w:rPr>
          <w:color w:val="auto"/>
          <w:highlight w:val="none"/>
        </w:rPr>
      </w:pPr>
      <w:r>
        <w:rPr>
          <w:color w:val="auto"/>
          <w:highlight w:val="none"/>
        </w:rPr>
        <w:t>其它不符合受理条件的情形。</w:t>
      </w:r>
    </w:p>
    <w:p w14:paraId="0D866E63">
      <w:pPr>
        <w:pStyle w:val="17"/>
        <w:numPr>
          <w:ilvl w:val="0"/>
          <w:numId w:val="43"/>
        </w:numPr>
        <w:ind w:firstLineChars="0"/>
        <w:rPr>
          <w:b/>
          <w:color w:val="auto"/>
          <w:highlight w:val="none"/>
        </w:rPr>
      </w:pPr>
      <w:r>
        <w:rPr>
          <w:b/>
          <w:color w:val="auto"/>
          <w:highlight w:val="none"/>
        </w:rPr>
        <w:t>投诉提起与处理</w:t>
      </w:r>
    </w:p>
    <w:p w14:paraId="01CE440C">
      <w:pPr>
        <w:pStyle w:val="17"/>
        <w:numPr>
          <w:ilvl w:val="0"/>
          <w:numId w:val="49"/>
        </w:numPr>
        <w:ind w:firstLineChars="0"/>
        <w:rPr>
          <w:color w:val="auto"/>
          <w:highlight w:val="none"/>
        </w:rPr>
      </w:pPr>
      <w:r>
        <w:rPr>
          <w:color w:val="auto"/>
          <w:highlight w:val="none"/>
        </w:rPr>
        <w:t>投诉提起</w:t>
      </w:r>
    </w:p>
    <w:p w14:paraId="67E44866">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639C186F">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57301E8F">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75485F71">
      <w:pPr>
        <w:pStyle w:val="17"/>
        <w:numPr>
          <w:ilvl w:val="0"/>
          <w:numId w:val="50"/>
        </w:numPr>
        <w:ind w:firstLineChars="0"/>
        <w:rPr>
          <w:color w:val="auto"/>
          <w:highlight w:val="none"/>
        </w:rPr>
      </w:pPr>
      <w:r>
        <w:rPr>
          <w:color w:val="auto"/>
          <w:highlight w:val="none"/>
        </w:rPr>
        <w:t>质疑和质疑答复情况说明及相关证明材料；</w:t>
      </w:r>
    </w:p>
    <w:p w14:paraId="453C14FC">
      <w:pPr>
        <w:pStyle w:val="17"/>
        <w:numPr>
          <w:ilvl w:val="0"/>
          <w:numId w:val="50"/>
        </w:numPr>
        <w:ind w:firstLineChars="0"/>
        <w:rPr>
          <w:color w:val="auto"/>
          <w:highlight w:val="none"/>
        </w:rPr>
      </w:pPr>
      <w:r>
        <w:rPr>
          <w:color w:val="auto"/>
          <w:highlight w:val="none"/>
        </w:rPr>
        <w:t>具体、明确的投诉事项和与投诉事项相关的投诉请求；</w:t>
      </w:r>
    </w:p>
    <w:p w14:paraId="4890ACCD">
      <w:pPr>
        <w:pStyle w:val="17"/>
        <w:numPr>
          <w:ilvl w:val="0"/>
          <w:numId w:val="50"/>
        </w:numPr>
        <w:ind w:firstLineChars="0"/>
        <w:rPr>
          <w:color w:val="auto"/>
          <w:highlight w:val="none"/>
        </w:rPr>
      </w:pPr>
      <w:r>
        <w:rPr>
          <w:color w:val="auto"/>
          <w:highlight w:val="none"/>
        </w:rPr>
        <w:t>事实依据；</w:t>
      </w:r>
    </w:p>
    <w:p w14:paraId="10A64480">
      <w:pPr>
        <w:pStyle w:val="17"/>
        <w:numPr>
          <w:ilvl w:val="0"/>
          <w:numId w:val="50"/>
        </w:numPr>
        <w:ind w:firstLineChars="0"/>
        <w:rPr>
          <w:color w:val="auto"/>
          <w:highlight w:val="none"/>
        </w:rPr>
      </w:pPr>
      <w:r>
        <w:rPr>
          <w:color w:val="auto"/>
          <w:highlight w:val="none"/>
        </w:rPr>
        <w:t>法律依据；</w:t>
      </w:r>
    </w:p>
    <w:p w14:paraId="37F3A37A">
      <w:pPr>
        <w:pStyle w:val="17"/>
        <w:numPr>
          <w:ilvl w:val="0"/>
          <w:numId w:val="50"/>
        </w:numPr>
        <w:ind w:firstLineChars="0"/>
        <w:rPr>
          <w:color w:val="auto"/>
          <w:highlight w:val="none"/>
        </w:rPr>
      </w:pPr>
      <w:r>
        <w:rPr>
          <w:color w:val="auto"/>
          <w:highlight w:val="none"/>
        </w:rPr>
        <w:t>提起投诉的日期。</w:t>
      </w:r>
    </w:p>
    <w:p w14:paraId="7D31B176">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0BB9B20D">
      <w:pPr>
        <w:pStyle w:val="17"/>
        <w:numPr>
          <w:ilvl w:val="0"/>
          <w:numId w:val="43"/>
        </w:numPr>
        <w:ind w:firstLineChars="0"/>
        <w:rPr>
          <w:b/>
          <w:color w:val="auto"/>
          <w:highlight w:val="none"/>
        </w:rPr>
      </w:pPr>
      <w:r>
        <w:rPr>
          <w:b/>
          <w:color w:val="auto"/>
          <w:highlight w:val="none"/>
        </w:rPr>
        <w:t>诚实信用</w:t>
      </w:r>
    </w:p>
    <w:p w14:paraId="340A9513">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51B0E96C">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9C68EB6">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2BBB32F">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3BF69972">
      <w:pPr>
        <w:rPr>
          <w:rFonts w:hint="eastAsia" w:ascii="宋体" w:hAnsi="宋体" w:cs="黑体"/>
          <w:b/>
          <w:color w:val="auto"/>
          <w:sz w:val="36"/>
          <w:highlight w:val="none"/>
        </w:rPr>
      </w:pPr>
      <w:r>
        <w:rPr>
          <w:rFonts w:ascii="宋体" w:hAnsi="宋体" w:cs="黑体"/>
          <w:b/>
          <w:color w:val="auto"/>
          <w:sz w:val="36"/>
          <w:highlight w:val="none"/>
        </w:rPr>
        <w:br w:type="page"/>
      </w:r>
    </w:p>
    <w:p w14:paraId="1B9AB02D">
      <w:pPr>
        <w:pStyle w:val="262"/>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6D5EB725">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103820E8">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5554215F">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6C41A38D">
      <w:pPr>
        <w:pStyle w:val="17"/>
        <w:numPr>
          <w:ilvl w:val="0"/>
          <w:numId w:val="52"/>
        </w:numPr>
        <w:ind w:firstLineChars="0"/>
        <w:rPr>
          <w:b/>
          <w:color w:val="auto"/>
          <w:highlight w:val="none"/>
        </w:rPr>
      </w:pPr>
      <w:r>
        <w:rPr>
          <w:b/>
          <w:color w:val="auto"/>
          <w:highlight w:val="none"/>
        </w:rPr>
        <w:t>评分标准</w:t>
      </w:r>
    </w:p>
    <w:tbl>
      <w:tblPr>
        <w:tblStyle w:val="45"/>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19"/>
        <w:gridCol w:w="772"/>
        <w:gridCol w:w="7195"/>
      </w:tblGrid>
      <w:tr w14:paraId="07CA3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3FBA40E">
            <w:pPr>
              <w:widowControl/>
              <w:jc w:val="center"/>
              <w:textAlignment w:val="center"/>
              <w:rPr>
                <w:rFonts w:hint="eastAsia" w:ascii="宋体" w:hAnsi="宋体" w:cs="宋体"/>
                <w:b/>
                <w:color w:val="auto"/>
                <w:sz w:val="22"/>
                <w:szCs w:val="21"/>
                <w:highlight w:val="none"/>
              </w:rPr>
            </w:pPr>
            <w:bookmarkStart w:id="6" w:name="_Hlk213277898"/>
            <w:r>
              <w:rPr>
                <w:rFonts w:hint="eastAsia" w:ascii="宋体" w:hAnsi="宋体" w:cs="宋体"/>
                <w:b/>
                <w:color w:val="auto"/>
                <w:kern w:val="2"/>
                <w:sz w:val="22"/>
                <w:szCs w:val="21"/>
                <w:highlight w:val="none"/>
                <w:lang w:bidi="ar"/>
              </w:rPr>
              <w:t>评分类别</w:t>
            </w:r>
          </w:p>
        </w:tc>
        <w:tc>
          <w:tcPr>
            <w:tcW w:w="769" w:type="dxa"/>
            <w:tcBorders>
              <w:top w:val="single" w:color="auto" w:sz="4" w:space="0"/>
              <w:left w:val="single" w:color="auto" w:sz="4" w:space="0"/>
              <w:bottom w:val="single" w:color="auto" w:sz="4" w:space="0"/>
              <w:right w:val="single" w:color="auto" w:sz="4" w:space="0"/>
            </w:tcBorders>
            <w:vAlign w:val="center"/>
          </w:tcPr>
          <w:p w14:paraId="1EEDFF8D">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得分</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7C97850">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评分内容及方法</w:t>
            </w:r>
          </w:p>
        </w:tc>
      </w:tr>
      <w:tr w14:paraId="5FE2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3DBBC51">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投标报价</w:t>
            </w:r>
          </w:p>
          <w:p w14:paraId="02F894F6">
            <w:pPr>
              <w:widowControl/>
              <w:jc w:val="center"/>
              <w:textAlignment w:val="center"/>
              <w:rPr>
                <w:rFonts w:hint="eastAsia" w:ascii="宋体" w:hAnsi="宋体" w:cs="宋体"/>
                <w:bCs/>
                <w:color w:val="auto"/>
                <w:sz w:val="22"/>
                <w:szCs w:val="21"/>
                <w:highlight w:val="none"/>
              </w:rPr>
            </w:pPr>
            <w:r>
              <w:rPr>
                <w:rFonts w:hint="eastAsia" w:ascii="宋体" w:hAnsi="宋体" w:cs="宋体"/>
                <w:b/>
                <w:color w:val="auto"/>
                <w:kern w:val="2"/>
                <w:sz w:val="22"/>
                <w:szCs w:val="21"/>
                <w:highlight w:val="none"/>
                <w:lang w:bidi="ar"/>
              </w:rPr>
              <w:t>（30分）</w:t>
            </w:r>
          </w:p>
        </w:tc>
        <w:tc>
          <w:tcPr>
            <w:tcW w:w="769" w:type="dxa"/>
            <w:tcBorders>
              <w:top w:val="single" w:color="auto" w:sz="4" w:space="0"/>
              <w:left w:val="single" w:color="auto" w:sz="4" w:space="0"/>
              <w:bottom w:val="single" w:color="auto" w:sz="4" w:space="0"/>
              <w:right w:val="single" w:color="auto" w:sz="4" w:space="0"/>
            </w:tcBorders>
            <w:vAlign w:val="center"/>
          </w:tcPr>
          <w:p w14:paraId="2C9D6FDF">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30</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55AC84B">
            <w:pPr>
              <w:widowControl/>
              <w:textAlignment w:val="center"/>
              <w:rPr>
                <w:rFonts w:hint="eastAsia" w:ascii="宋体" w:hAnsi="宋体" w:cs="宋体"/>
                <w:color w:val="auto"/>
                <w:sz w:val="22"/>
                <w:szCs w:val="21"/>
                <w:highlight w:val="none"/>
              </w:rPr>
            </w:pPr>
            <w:r>
              <w:rPr>
                <w:rFonts w:hint="eastAsia" w:ascii="宋体" w:hAnsi="宋体" w:cs="宋体"/>
                <w:color w:val="auto"/>
                <w:kern w:val="2"/>
                <w:sz w:val="22"/>
                <w:szCs w:val="21"/>
                <w:highlight w:val="none"/>
                <w:lang w:bidi="ar"/>
              </w:rPr>
              <w:t>以满足采购文件要求且投标价格最低的投标报价为评标基准价，其价格分为满分。其他</w:t>
            </w:r>
            <w:r>
              <w:rPr>
                <w:rFonts w:hint="eastAsia" w:ascii="宋体" w:hAnsi="宋体" w:cs="宋体"/>
                <w:color w:val="auto"/>
                <w:kern w:val="2"/>
                <w:sz w:val="22"/>
                <w:szCs w:val="21"/>
                <w:highlight w:val="none"/>
                <w:lang w:eastAsia="zh-CN" w:bidi="ar"/>
              </w:rPr>
              <w:t>供应商</w:t>
            </w:r>
            <w:r>
              <w:rPr>
                <w:rFonts w:hint="eastAsia" w:ascii="宋体" w:hAnsi="宋体" w:cs="宋体"/>
                <w:color w:val="auto"/>
                <w:kern w:val="2"/>
                <w:sz w:val="22"/>
                <w:szCs w:val="21"/>
                <w:highlight w:val="none"/>
                <w:lang w:bidi="ar"/>
              </w:rPr>
              <w:t>的价格分统一按照以下公式计算：</w:t>
            </w:r>
          </w:p>
          <w:p w14:paraId="29E530FA">
            <w:pPr>
              <w:widowControl/>
              <w:textAlignment w:val="center"/>
              <w:rPr>
                <w:rFonts w:hint="eastAsia" w:ascii="宋体" w:hAnsi="宋体" w:cs="宋体"/>
                <w:color w:val="auto"/>
                <w:sz w:val="22"/>
                <w:szCs w:val="21"/>
                <w:highlight w:val="none"/>
              </w:rPr>
            </w:pPr>
            <w:r>
              <w:rPr>
                <w:rFonts w:hint="eastAsia" w:ascii="宋体" w:hAnsi="宋体" w:cs="宋体"/>
                <w:color w:val="auto"/>
                <w:kern w:val="2"/>
                <w:sz w:val="22"/>
                <w:szCs w:val="21"/>
                <w:highlight w:val="none"/>
                <w:lang w:bidi="ar"/>
              </w:rPr>
              <w:t>报价得分=(评标基准价／投标报价)×30。</w:t>
            </w:r>
          </w:p>
        </w:tc>
      </w:tr>
      <w:tr w14:paraId="2DE1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BAD2DE3">
            <w:pPr>
              <w:widowControl/>
              <w:jc w:val="center"/>
              <w:textAlignment w:val="center"/>
              <w:rPr>
                <w:rFonts w:hint="eastAsia" w:ascii="宋体" w:hAnsi="宋体" w:cs="宋体"/>
                <w:b/>
                <w:color w:val="auto"/>
                <w:sz w:val="22"/>
                <w:szCs w:val="21"/>
                <w:highlight w:val="none"/>
              </w:rPr>
            </w:pPr>
            <w:r>
              <w:rPr>
                <w:rFonts w:hint="eastAsia" w:ascii="宋体" w:hAnsi="宋体" w:cs="宋体"/>
                <w:b/>
                <w:bCs/>
                <w:color w:val="auto"/>
                <w:kern w:val="2"/>
                <w:sz w:val="22"/>
                <w:szCs w:val="21"/>
                <w:highlight w:val="none"/>
                <w:lang w:bidi="ar"/>
              </w:rPr>
              <w:t>业绩</w:t>
            </w:r>
          </w:p>
          <w:p w14:paraId="7AAD35F6">
            <w:pPr>
              <w:widowControl/>
              <w:jc w:val="center"/>
              <w:textAlignment w:val="center"/>
              <w:rPr>
                <w:rFonts w:hint="eastAsia" w:ascii="宋体" w:hAnsi="宋体" w:cs="宋体"/>
                <w:b/>
                <w:color w:val="auto"/>
                <w:sz w:val="22"/>
                <w:szCs w:val="21"/>
                <w:highlight w:val="none"/>
              </w:rPr>
            </w:pPr>
            <w:r>
              <w:rPr>
                <w:rFonts w:hint="eastAsia" w:ascii="宋体" w:hAnsi="宋体" w:cs="宋体"/>
                <w:b/>
                <w:bCs/>
                <w:color w:val="auto"/>
                <w:kern w:val="2"/>
                <w:sz w:val="22"/>
                <w:szCs w:val="21"/>
                <w:highlight w:val="none"/>
                <w:lang w:bidi="ar"/>
              </w:rPr>
              <w:t>（10分）</w:t>
            </w:r>
          </w:p>
        </w:tc>
        <w:tc>
          <w:tcPr>
            <w:tcW w:w="769" w:type="dxa"/>
            <w:tcBorders>
              <w:top w:val="single" w:color="auto" w:sz="4" w:space="0"/>
              <w:left w:val="single" w:color="auto" w:sz="4" w:space="0"/>
              <w:bottom w:val="single" w:color="auto" w:sz="4" w:space="0"/>
              <w:right w:val="single" w:color="auto" w:sz="4" w:space="0"/>
            </w:tcBorders>
            <w:vAlign w:val="center"/>
          </w:tcPr>
          <w:p w14:paraId="392FFA72">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10</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8BEF3E7">
            <w:pPr>
              <w:widowControl/>
              <w:textAlignment w:val="center"/>
              <w:rPr>
                <w:rFonts w:hint="eastAsia" w:ascii="宋体" w:hAnsi="宋体" w:cs="宋体"/>
                <w:color w:val="auto"/>
                <w:sz w:val="22"/>
                <w:szCs w:val="21"/>
                <w:highlight w:val="none"/>
              </w:rPr>
            </w:pPr>
            <w:r>
              <w:rPr>
                <w:rFonts w:hint="eastAsia" w:ascii="宋体" w:hAnsi="宋体" w:cs="宋体"/>
                <w:bCs/>
                <w:color w:val="auto"/>
                <w:kern w:val="2"/>
                <w:sz w:val="22"/>
                <w:szCs w:val="21"/>
                <w:highlight w:val="none"/>
                <w:lang w:eastAsia="zh-CN" w:bidi="ar"/>
              </w:rPr>
              <w:t>供应商</w:t>
            </w:r>
            <w:r>
              <w:rPr>
                <w:rFonts w:hint="eastAsia" w:ascii="宋体" w:hAnsi="宋体" w:cs="宋体"/>
                <w:bCs/>
                <w:color w:val="auto"/>
                <w:kern w:val="2"/>
                <w:sz w:val="22"/>
                <w:szCs w:val="21"/>
                <w:highlight w:val="none"/>
                <w:lang w:bidi="ar"/>
              </w:rPr>
              <w:t>自2022年1月1日以来（合同签订时间为准）具有同类业绩，每有1个案例得2分，最高得10分。（提供合同复印件加盖公章，未提供或不符合要求不得分）。</w:t>
            </w:r>
          </w:p>
        </w:tc>
      </w:tr>
      <w:tr w14:paraId="2D03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516B403">
            <w:pPr>
              <w:widowControl/>
              <w:jc w:val="center"/>
              <w:textAlignment w:val="center"/>
              <w:rPr>
                <w:rFonts w:hint="eastAsia" w:ascii="宋体" w:hAnsi="宋体" w:cs="宋体"/>
                <w:b/>
                <w:bCs/>
                <w:color w:val="auto"/>
                <w:kern w:val="2"/>
                <w:sz w:val="22"/>
                <w:szCs w:val="21"/>
                <w:highlight w:val="none"/>
                <w:lang w:bidi="ar"/>
              </w:rPr>
            </w:pPr>
            <w:r>
              <w:rPr>
                <w:rFonts w:hint="eastAsia" w:ascii="宋体" w:hAnsi="宋体" w:cs="宋体"/>
                <w:b/>
                <w:bCs/>
                <w:color w:val="auto"/>
                <w:kern w:val="2"/>
                <w:sz w:val="22"/>
                <w:szCs w:val="21"/>
                <w:highlight w:val="none"/>
                <w:lang w:bidi="ar"/>
              </w:rPr>
              <w:t>履约能力（10）</w:t>
            </w:r>
          </w:p>
        </w:tc>
        <w:tc>
          <w:tcPr>
            <w:tcW w:w="769" w:type="dxa"/>
            <w:tcBorders>
              <w:top w:val="single" w:color="auto" w:sz="4" w:space="0"/>
              <w:left w:val="single" w:color="auto" w:sz="4" w:space="0"/>
              <w:bottom w:val="single" w:color="auto" w:sz="4" w:space="0"/>
              <w:right w:val="single" w:color="auto" w:sz="4" w:space="0"/>
            </w:tcBorders>
            <w:vAlign w:val="center"/>
          </w:tcPr>
          <w:p w14:paraId="430494AE">
            <w:pPr>
              <w:widowControl/>
              <w:jc w:val="center"/>
              <w:textAlignment w:val="center"/>
              <w:rPr>
                <w:rFonts w:hint="eastAsia" w:ascii="宋体" w:hAnsi="宋体" w:cs="宋体"/>
                <w:b/>
                <w:color w:val="auto"/>
                <w:kern w:val="2"/>
                <w:sz w:val="22"/>
                <w:szCs w:val="21"/>
                <w:highlight w:val="none"/>
                <w:lang w:bidi="ar"/>
              </w:rPr>
            </w:pPr>
            <w:r>
              <w:rPr>
                <w:rFonts w:hint="eastAsia" w:ascii="宋体" w:hAnsi="宋体" w:cs="宋体"/>
                <w:b/>
                <w:color w:val="auto"/>
                <w:kern w:val="2"/>
                <w:sz w:val="22"/>
                <w:szCs w:val="21"/>
                <w:highlight w:val="none"/>
                <w:lang w:bidi="ar"/>
              </w:rPr>
              <w:t>10</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941FD00">
            <w:pPr>
              <w:widowControl/>
              <w:textAlignment w:val="center"/>
              <w:rPr>
                <w:rFonts w:hint="eastAsia" w:ascii="宋体" w:hAnsi="宋体" w:cs="宋体"/>
                <w:bCs/>
                <w:color w:val="auto"/>
                <w:kern w:val="2"/>
                <w:sz w:val="22"/>
                <w:szCs w:val="21"/>
                <w:highlight w:val="none"/>
                <w:lang w:bidi="ar"/>
              </w:rPr>
            </w:pPr>
            <w:r>
              <w:rPr>
                <w:rFonts w:hint="eastAsia" w:ascii="宋体" w:hAnsi="宋体" w:cs="宋体"/>
                <w:bCs/>
                <w:color w:val="auto"/>
                <w:kern w:val="2"/>
                <w:sz w:val="22"/>
                <w:szCs w:val="21"/>
                <w:highlight w:val="none"/>
                <w:lang w:bidi="ar"/>
              </w:rPr>
              <w:t>拥有副高及以上专业技术职称 (电气工程及自动化或自动化或软件工程) 职称1人得2分，中级职称1人得1分，无职称的，不得分，本项最高得分10分。</w:t>
            </w:r>
          </w:p>
          <w:p w14:paraId="21C8BCE4">
            <w:pPr>
              <w:widowControl/>
              <w:textAlignment w:val="center"/>
              <w:rPr>
                <w:rFonts w:hint="eastAsia" w:ascii="宋体" w:hAnsi="宋体" w:cs="宋体"/>
                <w:bCs/>
                <w:color w:val="auto"/>
                <w:kern w:val="2"/>
                <w:sz w:val="22"/>
                <w:szCs w:val="21"/>
                <w:highlight w:val="none"/>
                <w:lang w:bidi="ar"/>
              </w:rPr>
            </w:pPr>
            <w:r>
              <w:rPr>
                <w:rFonts w:hint="eastAsia" w:ascii="宋体" w:hAnsi="宋体" w:cs="宋体"/>
                <w:bCs/>
                <w:color w:val="auto"/>
                <w:kern w:val="2"/>
                <w:sz w:val="22"/>
                <w:szCs w:val="21"/>
                <w:highlight w:val="none"/>
                <w:lang w:bidi="ar"/>
              </w:rPr>
              <w:t>（以最高职称认定为准，不得重复计分。提供有效职称证书复印件加盖公章，同时提供投标截止时间前最近三个月内任意一个月投标供应商为其缴纳的社保证明，未提供或提供不全的不得分。）</w:t>
            </w:r>
          </w:p>
        </w:tc>
      </w:tr>
      <w:tr w14:paraId="58DB1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1"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01834AB">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整体技术方案</w:t>
            </w:r>
          </w:p>
          <w:p w14:paraId="1006AEC7">
            <w:pPr>
              <w:widowControl/>
              <w:jc w:val="center"/>
              <w:textAlignment w:val="center"/>
              <w:rPr>
                <w:rFonts w:hint="eastAsia" w:ascii="宋体" w:hAnsi="宋体" w:cs="宋体"/>
                <w:b/>
                <w:color w:val="auto"/>
                <w:sz w:val="22"/>
                <w:szCs w:val="21"/>
                <w:highlight w:val="none"/>
              </w:rPr>
            </w:pPr>
            <w:r>
              <w:rPr>
                <w:rFonts w:hint="eastAsia" w:ascii="宋体" w:hAnsi="宋体" w:cs="宋体"/>
                <w:b/>
                <w:bCs/>
                <w:color w:val="auto"/>
                <w:kern w:val="2"/>
                <w:sz w:val="22"/>
                <w:szCs w:val="21"/>
                <w:highlight w:val="none"/>
                <w:lang w:bidi="ar"/>
              </w:rPr>
              <w:t>（10分）</w:t>
            </w:r>
          </w:p>
        </w:tc>
        <w:tc>
          <w:tcPr>
            <w:tcW w:w="769" w:type="dxa"/>
            <w:tcBorders>
              <w:top w:val="single" w:color="auto" w:sz="4" w:space="0"/>
              <w:left w:val="single" w:color="auto" w:sz="4" w:space="0"/>
              <w:bottom w:val="single" w:color="auto" w:sz="4" w:space="0"/>
              <w:right w:val="single" w:color="auto" w:sz="4" w:space="0"/>
            </w:tcBorders>
            <w:vAlign w:val="center"/>
          </w:tcPr>
          <w:p w14:paraId="4399FC37">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10</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EE058D3">
            <w:pPr>
              <w:widowControl/>
              <w:rPr>
                <w:rFonts w:hint="eastAsia" w:ascii="宋体" w:hAnsi="宋体" w:cs="宋体"/>
                <w:color w:val="auto"/>
                <w:kern w:val="2"/>
                <w:sz w:val="22"/>
                <w:highlight w:val="none"/>
                <w:lang w:eastAsia="zh-CN" w:bidi="ar"/>
              </w:rPr>
            </w:pPr>
            <w:r>
              <w:rPr>
                <w:rFonts w:hint="eastAsia" w:ascii="宋体" w:hAnsi="宋体" w:cs="宋体"/>
                <w:color w:val="auto"/>
                <w:kern w:val="2"/>
                <w:sz w:val="22"/>
                <w:highlight w:val="none"/>
                <w:lang w:bidi="ar"/>
              </w:rPr>
              <w:t>投标设备具有科学先进合理的整体技术解决方案，根据实际需求可进行升级开发，整体具有可扩展升级能力。根据技术方案的科学先进性、可扩充性、安全性等因素进行综合评审</w:t>
            </w:r>
            <w:r>
              <w:rPr>
                <w:rFonts w:hint="eastAsia" w:ascii="宋体" w:hAnsi="宋体" w:cs="宋体"/>
                <w:color w:val="auto"/>
                <w:kern w:val="2"/>
                <w:sz w:val="22"/>
                <w:highlight w:val="none"/>
                <w:lang w:eastAsia="zh-CN" w:bidi="ar"/>
              </w:rPr>
              <w:t>。</w:t>
            </w:r>
          </w:p>
          <w:p w14:paraId="19DB93A6">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整体技术方案科学先进安全并具备良好的可扩展升级能力得10分，</w:t>
            </w:r>
          </w:p>
          <w:p w14:paraId="1CEE2C85">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整体技术方案比较科学先进并具备一定的可升级性得</w:t>
            </w:r>
            <w:r>
              <w:rPr>
                <w:rFonts w:hint="eastAsia" w:ascii="宋体" w:hAnsi="宋体" w:cs="宋体"/>
                <w:color w:val="auto"/>
                <w:kern w:val="2"/>
                <w:sz w:val="22"/>
                <w:highlight w:val="none"/>
                <w:lang w:val="en-US" w:eastAsia="zh-CN" w:bidi="ar"/>
              </w:rPr>
              <w:t>7</w:t>
            </w:r>
            <w:r>
              <w:rPr>
                <w:rFonts w:hint="eastAsia" w:ascii="宋体" w:hAnsi="宋体" w:cs="宋体"/>
                <w:color w:val="auto"/>
                <w:kern w:val="2"/>
                <w:sz w:val="22"/>
                <w:highlight w:val="none"/>
                <w:lang w:bidi="ar"/>
              </w:rPr>
              <w:t>分，</w:t>
            </w:r>
          </w:p>
          <w:p w14:paraId="1B470031">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整体技术方案科学先进性及可升级性均一般得</w:t>
            </w:r>
            <w:r>
              <w:rPr>
                <w:rFonts w:hint="eastAsia" w:ascii="宋体" w:hAnsi="宋体" w:cs="宋体"/>
                <w:color w:val="auto"/>
                <w:kern w:val="2"/>
                <w:sz w:val="22"/>
                <w:highlight w:val="none"/>
                <w:lang w:val="en-US" w:eastAsia="zh-CN" w:bidi="ar"/>
              </w:rPr>
              <w:t>4</w:t>
            </w:r>
            <w:r>
              <w:rPr>
                <w:rFonts w:hint="eastAsia" w:ascii="宋体" w:hAnsi="宋体" w:cs="宋体"/>
                <w:color w:val="auto"/>
                <w:kern w:val="2"/>
                <w:sz w:val="22"/>
                <w:highlight w:val="none"/>
                <w:lang w:bidi="ar"/>
              </w:rPr>
              <w:t>分，</w:t>
            </w:r>
          </w:p>
          <w:p w14:paraId="50F349C9">
            <w:pPr>
              <w:widowControl/>
              <w:rPr>
                <w:rFonts w:hint="eastAsia" w:ascii="宋体" w:hAnsi="宋体" w:cs="宋体"/>
                <w:color w:val="auto"/>
                <w:sz w:val="22"/>
                <w:highlight w:val="none"/>
              </w:rPr>
            </w:pPr>
            <w:r>
              <w:rPr>
                <w:rFonts w:hint="eastAsia" w:ascii="宋体" w:hAnsi="宋体" w:cs="宋体"/>
                <w:color w:val="auto"/>
                <w:kern w:val="2"/>
                <w:sz w:val="22"/>
                <w:highlight w:val="none"/>
                <w:lang w:bidi="ar"/>
              </w:rPr>
              <w:t>整体技术方案差</w:t>
            </w:r>
            <w:r>
              <w:rPr>
                <w:rFonts w:hint="eastAsia" w:ascii="宋体" w:hAnsi="宋体" w:cs="宋体"/>
                <w:color w:val="auto"/>
                <w:kern w:val="2"/>
                <w:sz w:val="22"/>
                <w:highlight w:val="none"/>
                <w:lang w:val="en-US" w:eastAsia="zh-CN" w:bidi="ar"/>
              </w:rPr>
              <w:t>或</w:t>
            </w:r>
            <w:r>
              <w:rPr>
                <w:rFonts w:hint="eastAsia" w:ascii="宋体" w:hAnsi="宋体" w:cs="宋体"/>
                <w:color w:val="auto"/>
                <w:kern w:val="2"/>
                <w:sz w:val="22"/>
                <w:highlight w:val="none"/>
                <w:lang w:bidi="ar"/>
              </w:rPr>
              <w:t>未提供整体技术方案</w:t>
            </w:r>
            <w:r>
              <w:rPr>
                <w:rFonts w:hint="eastAsia" w:ascii="宋体" w:hAnsi="宋体" w:cs="宋体"/>
                <w:color w:val="auto"/>
                <w:kern w:val="2"/>
                <w:sz w:val="22"/>
                <w:highlight w:val="none"/>
                <w:lang w:val="en-US" w:eastAsia="zh-CN" w:bidi="ar"/>
              </w:rPr>
              <w:t>的不得分</w:t>
            </w:r>
            <w:r>
              <w:rPr>
                <w:rFonts w:hint="eastAsia" w:ascii="宋体" w:hAnsi="宋体" w:cs="宋体"/>
                <w:color w:val="auto"/>
                <w:kern w:val="2"/>
                <w:sz w:val="22"/>
                <w:highlight w:val="none"/>
                <w:lang w:bidi="ar"/>
              </w:rPr>
              <w:t>。</w:t>
            </w:r>
          </w:p>
        </w:tc>
      </w:tr>
      <w:tr w14:paraId="7B29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4"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5C73940">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项目实施方案</w:t>
            </w:r>
          </w:p>
          <w:p w14:paraId="5A28D12F">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（10分）</w:t>
            </w:r>
          </w:p>
        </w:tc>
        <w:tc>
          <w:tcPr>
            <w:tcW w:w="769" w:type="dxa"/>
            <w:tcBorders>
              <w:top w:val="single" w:color="auto" w:sz="4" w:space="0"/>
              <w:left w:val="single" w:color="auto" w:sz="4" w:space="0"/>
              <w:bottom w:val="single" w:color="auto" w:sz="4" w:space="0"/>
              <w:right w:val="single" w:color="auto" w:sz="4" w:space="0"/>
            </w:tcBorders>
            <w:vAlign w:val="center"/>
          </w:tcPr>
          <w:p w14:paraId="320098A0">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10</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7336D0E">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根据供应商提供的项目整体实施方案（包括项目组织实施、人员、安装、调试、培训、系统验收等），内容是否详细、思路清晰、先进性等进行综合评分；</w:t>
            </w:r>
          </w:p>
          <w:p w14:paraId="0C0D5698">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整体实施方案详尽、合理，针对性强的得10分；</w:t>
            </w:r>
          </w:p>
          <w:p w14:paraId="44881CE5">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方案内容合理，针对性不强的得</w:t>
            </w:r>
            <w:r>
              <w:rPr>
                <w:rFonts w:hint="eastAsia" w:ascii="宋体" w:hAnsi="宋体" w:cs="宋体"/>
                <w:color w:val="auto"/>
                <w:kern w:val="2"/>
                <w:sz w:val="22"/>
                <w:highlight w:val="none"/>
                <w:lang w:val="en-US" w:eastAsia="zh-CN" w:bidi="ar"/>
              </w:rPr>
              <w:t>7</w:t>
            </w:r>
            <w:r>
              <w:rPr>
                <w:rFonts w:hint="eastAsia" w:ascii="宋体" w:hAnsi="宋体" w:cs="宋体"/>
                <w:color w:val="auto"/>
                <w:kern w:val="2"/>
                <w:sz w:val="22"/>
                <w:highlight w:val="none"/>
                <w:lang w:bidi="ar"/>
              </w:rPr>
              <w:t>分；</w:t>
            </w:r>
          </w:p>
          <w:p w14:paraId="045CFBAE">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方案内容不完整，有明显漏洞的得</w:t>
            </w:r>
            <w:r>
              <w:rPr>
                <w:rFonts w:hint="eastAsia" w:ascii="宋体" w:hAnsi="宋体" w:cs="宋体"/>
                <w:color w:val="auto"/>
                <w:kern w:val="2"/>
                <w:sz w:val="22"/>
                <w:highlight w:val="none"/>
                <w:lang w:val="en-US" w:eastAsia="zh-CN" w:bidi="ar"/>
              </w:rPr>
              <w:t>4</w:t>
            </w:r>
            <w:r>
              <w:rPr>
                <w:rFonts w:hint="eastAsia" w:ascii="宋体" w:hAnsi="宋体" w:cs="宋体"/>
                <w:color w:val="auto"/>
                <w:kern w:val="2"/>
                <w:sz w:val="22"/>
                <w:highlight w:val="none"/>
                <w:lang w:bidi="ar"/>
              </w:rPr>
              <w:t>分；</w:t>
            </w:r>
          </w:p>
          <w:p w14:paraId="2909FC8C">
            <w:pPr>
              <w:widowControl/>
              <w:rPr>
                <w:rFonts w:hint="eastAsia" w:ascii="宋体" w:hAnsi="宋体" w:cs="宋体"/>
                <w:color w:val="auto"/>
                <w:highlight w:val="none"/>
              </w:rPr>
            </w:pPr>
            <w:r>
              <w:rPr>
                <w:rFonts w:hint="eastAsia" w:ascii="宋体" w:hAnsi="宋体" w:cs="宋体"/>
                <w:color w:val="auto"/>
                <w:kern w:val="2"/>
                <w:sz w:val="22"/>
                <w:highlight w:val="none"/>
                <w:lang w:bidi="ar"/>
              </w:rPr>
              <w:t>完全不满足或未提供整体项目实施方案的</w:t>
            </w:r>
            <w:r>
              <w:rPr>
                <w:rFonts w:hint="eastAsia" w:ascii="宋体" w:hAnsi="宋体" w:cs="宋体"/>
                <w:color w:val="auto"/>
                <w:kern w:val="2"/>
                <w:sz w:val="22"/>
                <w:highlight w:val="none"/>
                <w:lang w:val="en-US" w:eastAsia="zh-CN" w:bidi="ar"/>
              </w:rPr>
              <w:t>不得分</w:t>
            </w:r>
            <w:r>
              <w:rPr>
                <w:rFonts w:hint="eastAsia" w:ascii="宋体" w:hAnsi="宋体" w:cs="宋体"/>
                <w:color w:val="auto"/>
                <w:kern w:val="2"/>
                <w:sz w:val="22"/>
                <w:highlight w:val="none"/>
                <w:lang w:bidi="ar"/>
              </w:rPr>
              <w:t>。</w:t>
            </w:r>
          </w:p>
        </w:tc>
      </w:tr>
      <w:tr w14:paraId="121C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6C0F489">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售后服务方案</w:t>
            </w:r>
          </w:p>
          <w:p w14:paraId="4D886CC9">
            <w:pPr>
              <w:widowControl/>
              <w:jc w:val="center"/>
              <w:textAlignment w:val="center"/>
              <w:rPr>
                <w:rFonts w:hint="eastAsia" w:ascii="宋体" w:hAnsi="宋体" w:cs="宋体"/>
                <w:b/>
                <w:color w:val="auto"/>
                <w:sz w:val="22"/>
                <w:szCs w:val="21"/>
                <w:highlight w:val="none"/>
              </w:rPr>
            </w:pPr>
            <w:r>
              <w:rPr>
                <w:rFonts w:hint="eastAsia" w:ascii="宋体" w:hAnsi="宋体" w:cs="宋体"/>
                <w:b/>
                <w:bCs/>
                <w:color w:val="auto"/>
                <w:kern w:val="2"/>
                <w:sz w:val="22"/>
                <w:szCs w:val="21"/>
                <w:highlight w:val="none"/>
                <w:lang w:bidi="ar"/>
              </w:rPr>
              <w:t>（10分）</w:t>
            </w:r>
          </w:p>
        </w:tc>
        <w:tc>
          <w:tcPr>
            <w:tcW w:w="769" w:type="dxa"/>
            <w:tcBorders>
              <w:top w:val="single" w:color="auto" w:sz="4" w:space="0"/>
              <w:left w:val="single" w:color="auto" w:sz="4" w:space="0"/>
              <w:bottom w:val="single" w:color="auto" w:sz="4" w:space="0"/>
              <w:right w:val="single" w:color="auto" w:sz="4" w:space="0"/>
            </w:tcBorders>
            <w:vAlign w:val="center"/>
          </w:tcPr>
          <w:p w14:paraId="291E973B">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10</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4FBD39F">
            <w:pPr>
              <w:widowControl/>
              <w:rPr>
                <w:rFonts w:hint="eastAsia" w:ascii="宋体" w:hAnsi="宋体" w:cs="宋体"/>
                <w:color w:val="auto"/>
                <w:sz w:val="22"/>
                <w:highlight w:val="none"/>
              </w:rPr>
            </w:pPr>
            <w:r>
              <w:rPr>
                <w:rFonts w:hint="eastAsia" w:ascii="宋体" w:hAnsi="宋体" w:cs="宋体"/>
                <w:color w:val="auto"/>
                <w:kern w:val="2"/>
                <w:sz w:val="22"/>
                <w:highlight w:val="none"/>
                <w:lang w:bidi="ar"/>
              </w:rPr>
              <w:t>响应机制合理，处理问题及时、复杂问题有明确的处理及反馈机制、对项目实施过程中会出现的问题有前瞻性。得10分；</w:t>
            </w:r>
          </w:p>
          <w:p w14:paraId="7B609F0C">
            <w:pPr>
              <w:widowControl/>
              <w:rPr>
                <w:rFonts w:hint="eastAsia" w:ascii="宋体" w:hAnsi="宋体" w:cs="宋体"/>
                <w:color w:val="auto"/>
                <w:sz w:val="22"/>
                <w:highlight w:val="none"/>
              </w:rPr>
            </w:pPr>
            <w:r>
              <w:rPr>
                <w:rFonts w:hint="eastAsia" w:ascii="宋体" w:hAnsi="宋体" w:cs="宋体"/>
                <w:color w:val="auto"/>
                <w:kern w:val="2"/>
                <w:sz w:val="22"/>
                <w:highlight w:val="none"/>
                <w:lang w:bidi="ar"/>
              </w:rPr>
              <w:t>响应机制较为合理、处理问题较为及时、对问题的处理有相应的处理机制、对部分问题有前瞻性。得8分；</w:t>
            </w:r>
          </w:p>
          <w:p w14:paraId="1C1BB080">
            <w:pPr>
              <w:widowControl/>
              <w:rPr>
                <w:rFonts w:hint="eastAsia" w:ascii="宋体" w:hAnsi="宋体" w:cs="宋体"/>
                <w:color w:val="auto"/>
                <w:sz w:val="22"/>
                <w:highlight w:val="none"/>
              </w:rPr>
            </w:pPr>
            <w:r>
              <w:rPr>
                <w:rFonts w:hint="eastAsia" w:ascii="宋体" w:hAnsi="宋体" w:cs="宋体"/>
                <w:color w:val="auto"/>
                <w:kern w:val="2"/>
                <w:sz w:val="22"/>
                <w:highlight w:val="none"/>
                <w:lang w:bidi="ar"/>
              </w:rPr>
              <w:t>响应机制及处理问题基本合理、能够处理出现的问题，但前瞻性不足。得6分；</w:t>
            </w:r>
          </w:p>
          <w:p w14:paraId="4CD12EFB">
            <w:pPr>
              <w:rPr>
                <w:color w:val="auto"/>
                <w:sz w:val="22"/>
                <w:highlight w:val="none"/>
              </w:rPr>
            </w:pPr>
            <w:r>
              <w:rPr>
                <w:rFonts w:hint="eastAsia" w:ascii="Times New Roman" w:hAnsi="Times New Roman" w:cs="宋体"/>
                <w:color w:val="auto"/>
                <w:kern w:val="2"/>
                <w:sz w:val="22"/>
                <w:highlight w:val="none"/>
                <w:lang w:bidi="ar"/>
              </w:rPr>
              <w:t>响应机制及处理问题有缺陷、问题处理方式有欠缺，无前瞻性。得</w:t>
            </w:r>
            <w:r>
              <w:rPr>
                <w:rFonts w:ascii="Times New Roman" w:hAnsi="Times New Roman"/>
                <w:color w:val="auto"/>
                <w:kern w:val="2"/>
                <w:sz w:val="22"/>
                <w:highlight w:val="none"/>
                <w:lang w:bidi="ar"/>
              </w:rPr>
              <w:t>4</w:t>
            </w:r>
            <w:r>
              <w:rPr>
                <w:rFonts w:hint="eastAsia" w:ascii="Times New Roman" w:hAnsi="Times New Roman" w:cs="宋体"/>
                <w:color w:val="auto"/>
                <w:kern w:val="2"/>
                <w:sz w:val="22"/>
                <w:highlight w:val="none"/>
                <w:lang w:bidi="ar"/>
              </w:rPr>
              <w:t>分；</w:t>
            </w:r>
          </w:p>
          <w:p w14:paraId="30AE945E">
            <w:pPr>
              <w:rPr>
                <w:color w:val="auto"/>
                <w:sz w:val="22"/>
                <w:highlight w:val="none"/>
              </w:rPr>
            </w:pPr>
            <w:r>
              <w:rPr>
                <w:rFonts w:hint="eastAsia" w:ascii="Times New Roman" w:hAnsi="Times New Roman" w:cs="宋体"/>
                <w:color w:val="auto"/>
                <w:kern w:val="2"/>
                <w:sz w:val="22"/>
                <w:highlight w:val="none"/>
                <w:lang w:bidi="ar"/>
              </w:rPr>
              <w:t>售后方案不明确或不合理，无相应的处理问题方式。得</w:t>
            </w:r>
            <w:r>
              <w:rPr>
                <w:rFonts w:ascii="Times New Roman" w:hAnsi="Times New Roman"/>
                <w:color w:val="auto"/>
                <w:kern w:val="2"/>
                <w:sz w:val="22"/>
                <w:highlight w:val="none"/>
                <w:lang w:bidi="ar"/>
              </w:rPr>
              <w:t>2</w:t>
            </w:r>
            <w:r>
              <w:rPr>
                <w:rFonts w:hint="eastAsia" w:ascii="Times New Roman" w:hAnsi="Times New Roman" w:cs="宋体"/>
                <w:color w:val="auto"/>
                <w:kern w:val="2"/>
                <w:sz w:val="22"/>
                <w:highlight w:val="none"/>
                <w:lang w:bidi="ar"/>
              </w:rPr>
              <w:t>分。</w:t>
            </w:r>
          </w:p>
          <w:p w14:paraId="0963FD23">
            <w:pPr>
              <w:widowControl/>
              <w:textAlignment w:val="center"/>
              <w:rPr>
                <w:rFonts w:hint="eastAsia" w:ascii="宋体" w:hAnsi="宋体" w:cs="宋体"/>
                <w:bCs/>
                <w:color w:val="auto"/>
                <w:sz w:val="22"/>
                <w:szCs w:val="21"/>
                <w:highlight w:val="none"/>
              </w:rPr>
            </w:pPr>
            <w:r>
              <w:rPr>
                <w:rFonts w:hint="eastAsia" w:ascii="Times New Roman" w:hAnsi="Times New Roman" w:cs="宋体"/>
                <w:color w:val="auto"/>
                <w:kern w:val="2"/>
                <w:sz w:val="22"/>
                <w:highlight w:val="none"/>
                <w:lang w:bidi="ar"/>
              </w:rPr>
              <w:t>未提供不得分。</w:t>
            </w:r>
          </w:p>
        </w:tc>
      </w:tr>
      <w:tr w14:paraId="349EC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989C806">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服务及时性</w:t>
            </w:r>
          </w:p>
          <w:p w14:paraId="10B840BF">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（10分）</w:t>
            </w:r>
          </w:p>
        </w:tc>
        <w:tc>
          <w:tcPr>
            <w:tcW w:w="769" w:type="dxa"/>
            <w:tcBorders>
              <w:top w:val="single" w:color="auto" w:sz="4" w:space="0"/>
              <w:left w:val="single" w:color="auto" w:sz="4" w:space="0"/>
              <w:bottom w:val="single" w:color="auto" w:sz="4" w:space="0"/>
              <w:right w:val="single" w:color="auto" w:sz="4" w:space="0"/>
            </w:tcBorders>
            <w:vAlign w:val="center"/>
          </w:tcPr>
          <w:p w14:paraId="391C0D25">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10</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D9EC22B">
            <w:pPr>
              <w:rPr>
                <w:color w:val="auto"/>
                <w:sz w:val="22"/>
                <w:highlight w:val="none"/>
              </w:rPr>
            </w:pPr>
            <w:r>
              <w:rPr>
                <w:rFonts w:hint="eastAsia" w:ascii="宋体" w:hAnsi="宋体" w:cs="宋体"/>
                <w:color w:val="auto"/>
                <w:kern w:val="2"/>
                <w:szCs w:val="21"/>
                <w:highlight w:val="none"/>
                <w:lang w:eastAsia="zh-CN" w:bidi="ar"/>
              </w:rPr>
              <w:t>供应商</w:t>
            </w:r>
            <w:r>
              <w:rPr>
                <w:rFonts w:hint="eastAsia" w:ascii="宋体" w:hAnsi="宋体" w:cs="宋体"/>
                <w:color w:val="auto"/>
                <w:kern w:val="2"/>
                <w:szCs w:val="21"/>
                <w:highlight w:val="none"/>
                <w:lang w:bidi="ar"/>
              </w:rPr>
              <w:t>或设备制造商承诺在软件使用期间（无论是否过保）可在24小时内为招标人提供技术指导或解决故障服务的得10分；在48小时内为招标人提供技术指导或解决故障服务的得5分；超过48小时为招标人提供技术指导或解决故障服务的得0分；（需提供承诺及切实可行的保障措施。若评标委员会认为保障措施不具备可行性或未提供保障措施，本项不得分，加盖公章。）</w:t>
            </w:r>
          </w:p>
        </w:tc>
      </w:tr>
      <w:tr w14:paraId="5484E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7BD4979">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产品培训方案</w:t>
            </w:r>
          </w:p>
          <w:p w14:paraId="24A2560B">
            <w:pPr>
              <w:widowControl/>
              <w:jc w:val="center"/>
              <w:textAlignment w:val="center"/>
              <w:rPr>
                <w:color w:val="auto"/>
                <w:highlight w:val="none"/>
              </w:rPr>
            </w:pPr>
            <w:r>
              <w:rPr>
                <w:rFonts w:hint="eastAsia" w:ascii="宋体" w:hAnsi="宋体" w:cs="宋体"/>
                <w:b/>
                <w:bCs/>
                <w:color w:val="auto"/>
                <w:kern w:val="2"/>
                <w:sz w:val="22"/>
                <w:szCs w:val="21"/>
                <w:highlight w:val="none"/>
                <w:lang w:bidi="ar"/>
              </w:rPr>
              <w:t>（7）</w:t>
            </w:r>
          </w:p>
        </w:tc>
        <w:tc>
          <w:tcPr>
            <w:tcW w:w="769" w:type="dxa"/>
            <w:tcBorders>
              <w:top w:val="single" w:color="auto" w:sz="4" w:space="0"/>
              <w:left w:val="single" w:color="auto" w:sz="4" w:space="0"/>
              <w:bottom w:val="single" w:color="auto" w:sz="4" w:space="0"/>
              <w:right w:val="single" w:color="auto" w:sz="4" w:space="0"/>
            </w:tcBorders>
            <w:vAlign w:val="center"/>
          </w:tcPr>
          <w:p w14:paraId="1667016B">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7</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8C846D2">
            <w:pPr>
              <w:rPr>
                <w:color w:val="auto"/>
                <w:sz w:val="22"/>
                <w:highlight w:val="none"/>
              </w:rPr>
            </w:pPr>
            <w:r>
              <w:rPr>
                <w:rFonts w:hint="eastAsia" w:ascii="Times New Roman" w:hAnsi="Times New Roman" w:cs="宋体"/>
                <w:color w:val="auto"/>
                <w:kern w:val="2"/>
                <w:sz w:val="22"/>
                <w:highlight w:val="none"/>
                <w:lang w:bidi="ar"/>
              </w:rPr>
              <w:t>根据</w:t>
            </w:r>
            <w:r>
              <w:rPr>
                <w:rFonts w:hint="eastAsia" w:ascii="Times New Roman" w:hAnsi="Times New Roman" w:cs="宋体"/>
                <w:color w:val="auto"/>
                <w:kern w:val="2"/>
                <w:sz w:val="22"/>
                <w:highlight w:val="none"/>
                <w:lang w:eastAsia="zh-CN" w:bidi="ar"/>
              </w:rPr>
              <w:t>供应商</w:t>
            </w:r>
            <w:r>
              <w:rPr>
                <w:rFonts w:hint="eastAsia" w:ascii="Times New Roman" w:hAnsi="Times New Roman" w:cs="宋体"/>
                <w:color w:val="auto"/>
                <w:kern w:val="2"/>
                <w:sz w:val="22"/>
                <w:highlight w:val="none"/>
                <w:lang w:bidi="ar"/>
              </w:rPr>
              <w:t>提供的培训方案（包括但不限于培训计划、具体安排、时间规划、培训内容及培训效果评价、培训质量保证等）。</w:t>
            </w:r>
          </w:p>
          <w:p w14:paraId="6913BBD5">
            <w:pPr>
              <w:rPr>
                <w:color w:val="auto"/>
                <w:sz w:val="22"/>
                <w:highlight w:val="none"/>
              </w:rPr>
            </w:pPr>
            <w:r>
              <w:rPr>
                <w:rFonts w:hint="eastAsia" w:ascii="Times New Roman" w:hAnsi="Times New Roman" w:cs="宋体"/>
                <w:color w:val="auto"/>
                <w:kern w:val="2"/>
                <w:sz w:val="22"/>
                <w:highlight w:val="none"/>
                <w:lang w:bidi="ar"/>
              </w:rPr>
              <w:t>培训方式多样，内容丰富，针对性强得</w:t>
            </w:r>
            <w:r>
              <w:rPr>
                <w:rFonts w:ascii="Times New Roman" w:hAnsi="Times New Roman"/>
                <w:color w:val="auto"/>
                <w:kern w:val="2"/>
                <w:sz w:val="22"/>
                <w:highlight w:val="none"/>
                <w:lang w:bidi="ar"/>
              </w:rPr>
              <w:t>7</w:t>
            </w:r>
            <w:r>
              <w:rPr>
                <w:rFonts w:hint="eastAsia" w:ascii="Times New Roman" w:hAnsi="Times New Roman" w:cs="宋体"/>
                <w:color w:val="auto"/>
                <w:kern w:val="2"/>
                <w:sz w:val="22"/>
                <w:highlight w:val="none"/>
                <w:lang w:bidi="ar"/>
              </w:rPr>
              <w:t>分；</w:t>
            </w:r>
          </w:p>
          <w:p w14:paraId="6604D131">
            <w:pPr>
              <w:rPr>
                <w:color w:val="auto"/>
                <w:sz w:val="22"/>
                <w:highlight w:val="none"/>
              </w:rPr>
            </w:pPr>
            <w:r>
              <w:rPr>
                <w:rFonts w:hint="eastAsia" w:ascii="Times New Roman" w:hAnsi="Times New Roman" w:cs="宋体"/>
                <w:color w:val="auto"/>
                <w:kern w:val="2"/>
                <w:sz w:val="22"/>
                <w:highlight w:val="none"/>
                <w:lang w:bidi="ar"/>
              </w:rPr>
              <w:t>培训方式简单，内容完整，针对性较强得</w:t>
            </w:r>
            <w:r>
              <w:rPr>
                <w:rFonts w:ascii="Times New Roman" w:hAnsi="Times New Roman"/>
                <w:color w:val="auto"/>
                <w:kern w:val="2"/>
                <w:sz w:val="22"/>
                <w:highlight w:val="none"/>
                <w:lang w:bidi="ar"/>
              </w:rPr>
              <w:t>5</w:t>
            </w:r>
            <w:r>
              <w:rPr>
                <w:rFonts w:hint="eastAsia" w:ascii="Times New Roman" w:hAnsi="Times New Roman" w:cs="宋体"/>
                <w:color w:val="auto"/>
                <w:kern w:val="2"/>
                <w:sz w:val="22"/>
                <w:highlight w:val="none"/>
                <w:lang w:bidi="ar"/>
              </w:rPr>
              <w:t>分；</w:t>
            </w:r>
          </w:p>
          <w:p w14:paraId="709089A6">
            <w:pPr>
              <w:rPr>
                <w:color w:val="auto"/>
                <w:sz w:val="22"/>
                <w:highlight w:val="none"/>
              </w:rPr>
            </w:pPr>
            <w:r>
              <w:rPr>
                <w:rFonts w:hint="eastAsia" w:ascii="Times New Roman" w:hAnsi="Times New Roman" w:cs="宋体"/>
                <w:color w:val="auto"/>
                <w:kern w:val="2"/>
                <w:sz w:val="22"/>
                <w:highlight w:val="none"/>
                <w:lang w:bidi="ar"/>
              </w:rPr>
              <w:t>培训方式单一，内容少，针对性较弱得</w:t>
            </w:r>
            <w:r>
              <w:rPr>
                <w:rFonts w:ascii="Times New Roman" w:hAnsi="Times New Roman"/>
                <w:color w:val="auto"/>
                <w:kern w:val="2"/>
                <w:sz w:val="22"/>
                <w:highlight w:val="none"/>
                <w:lang w:bidi="ar"/>
              </w:rPr>
              <w:t>3</w:t>
            </w:r>
            <w:r>
              <w:rPr>
                <w:rFonts w:hint="eastAsia" w:ascii="Times New Roman" w:hAnsi="Times New Roman" w:cs="宋体"/>
                <w:color w:val="auto"/>
                <w:kern w:val="2"/>
                <w:sz w:val="22"/>
                <w:highlight w:val="none"/>
                <w:lang w:bidi="ar"/>
              </w:rPr>
              <w:t>分；</w:t>
            </w:r>
          </w:p>
          <w:p w14:paraId="0D98F7EF">
            <w:pPr>
              <w:rPr>
                <w:color w:val="auto"/>
                <w:sz w:val="22"/>
                <w:highlight w:val="none"/>
              </w:rPr>
            </w:pPr>
            <w:r>
              <w:rPr>
                <w:rFonts w:hint="eastAsia" w:ascii="Times New Roman" w:hAnsi="Times New Roman" w:cs="宋体"/>
                <w:color w:val="auto"/>
                <w:kern w:val="2"/>
                <w:sz w:val="22"/>
                <w:highlight w:val="none"/>
                <w:lang w:bidi="ar"/>
              </w:rPr>
              <w:t>不能满足本项目要求或未提供的不得分。</w:t>
            </w:r>
          </w:p>
        </w:tc>
      </w:tr>
      <w:tr w14:paraId="4E19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1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C3F636B">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质保期</w:t>
            </w:r>
          </w:p>
          <w:p w14:paraId="0B14C622">
            <w:pPr>
              <w:widowControl/>
              <w:jc w:val="center"/>
              <w:textAlignment w:val="center"/>
              <w:rPr>
                <w:color w:val="auto"/>
                <w:highlight w:val="none"/>
              </w:rPr>
            </w:pPr>
            <w:r>
              <w:rPr>
                <w:rFonts w:hint="eastAsia" w:ascii="宋体" w:hAnsi="宋体" w:cs="宋体"/>
                <w:b/>
                <w:bCs/>
                <w:color w:val="auto"/>
                <w:kern w:val="2"/>
                <w:sz w:val="22"/>
                <w:szCs w:val="21"/>
                <w:highlight w:val="none"/>
                <w:lang w:bidi="ar"/>
              </w:rPr>
              <w:t>（3）</w:t>
            </w:r>
          </w:p>
        </w:tc>
        <w:tc>
          <w:tcPr>
            <w:tcW w:w="769" w:type="dxa"/>
            <w:tcBorders>
              <w:top w:val="single" w:color="auto" w:sz="4" w:space="0"/>
              <w:left w:val="single" w:color="auto" w:sz="4" w:space="0"/>
              <w:bottom w:val="single" w:color="auto" w:sz="4" w:space="0"/>
              <w:right w:val="single" w:color="auto" w:sz="4" w:space="0"/>
            </w:tcBorders>
            <w:vAlign w:val="center"/>
          </w:tcPr>
          <w:p w14:paraId="6BA3551F">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3</w:t>
            </w:r>
          </w:p>
        </w:tc>
        <w:tc>
          <w:tcPr>
            <w:tcW w:w="71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3578A13">
            <w:pPr>
              <w:rPr>
                <w:color w:val="auto"/>
                <w:sz w:val="22"/>
                <w:highlight w:val="none"/>
              </w:rPr>
            </w:pPr>
            <w:r>
              <w:rPr>
                <w:rFonts w:hint="eastAsia" w:ascii="Times New Roman" w:hAnsi="Times New Roman" w:cs="宋体"/>
                <w:color w:val="auto"/>
                <w:kern w:val="2"/>
                <w:sz w:val="22"/>
                <w:highlight w:val="none"/>
                <w:lang w:bidi="ar"/>
              </w:rPr>
              <w:t>在免费维保服务一年的基础上，每增加一年相同条件的免费维保服务得</w:t>
            </w:r>
            <w:r>
              <w:rPr>
                <w:rFonts w:ascii="Times New Roman" w:hAnsi="Times New Roman"/>
                <w:color w:val="auto"/>
                <w:kern w:val="2"/>
                <w:sz w:val="22"/>
                <w:highlight w:val="none"/>
                <w:lang w:bidi="ar"/>
              </w:rPr>
              <w:t>1</w:t>
            </w:r>
            <w:r>
              <w:rPr>
                <w:rFonts w:hint="eastAsia" w:ascii="Times New Roman" w:hAnsi="Times New Roman" w:cs="宋体"/>
                <w:color w:val="auto"/>
                <w:kern w:val="2"/>
                <w:sz w:val="22"/>
                <w:highlight w:val="none"/>
                <w:lang w:bidi="ar"/>
              </w:rPr>
              <w:t>分，本项最高得</w:t>
            </w:r>
            <w:r>
              <w:rPr>
                <w:rFonts w:ascii="Times New Roman" w:hAnsi="Times New Roman"/>
                <w:color w:val="auto"/>
                <w:kern w:val="2"/>
                <w:sz w:val="22"/>
                <w:highlight w:val="none"/>
                <w:lang w:bidi="ar"/>
              </w:rPr>
              <w:t>3</w:t>
            </w:r>
            <w:r>
              <w:rPr>
                <w:rFonts w:hint="eastAsia" w:ascii="Times New Roman" w:hAnsi="Times New Roman" w:cs="宋体"/>
                <w:color w:val="auto"/>
                <w:kern w:val="2"/>
                <w:sz w:val="22"/>
                <w:highlight w:val="none"/>
                <w:lang w:bidi="ar"/>
              </w:rPr>
              <w:t>分。</w:t>
            </w:r>
          </w:p>
        </w:tc>
      </w:tr>
      <w:bookmarkEnd w:id="6"/>
    </w:tbl>
    <w:p w14:paraId="56752056">
      <w:pPr>
        <w:rPr>
          <w:rFonts w:hint="eastAsia" w:ascii="宋体" w:hAnsi="宋体" w:cs="黑体"/>
          <w:b/>
          <w:color w:val="auto"/>
          <w:sz w:val="36"/>
          <w:highlight w:val="none"/>
        </w:rPr>
      </w:pPr>
      <w:r>
        <w:rPr>
          <w:rFonts w:hint="eastAsia" w:ascii="宋体" w:hAnsi="宋体" w:cs="黑体"/>
          <w:b/>
          <w:color w:val="auto"/>
          <w:sz w:val="36"/>
          <w:highlight w:val="none"/>
        </w:rPr>
        <w:br w:type="page"/>
      </w:r>
    </w:p>
    <w:p w14:paraId="0CA332B2">
      <w:pPr>
        <w:pStyle w:val="262"/>
        <w:numPr>
          <w:ilvl w:val="0"/>
          <w:numId w:val="53"/>
        </w:numPr>
        <w:rPr>
          <w:color w:val="auto"/>
          <w:highlight w:val="none"/>
        </w:rPr>
      </w:pPr>
      <w:r>
        <w:rPr>
          <w:rFonts w:hint="eastAsia"/>
          <w:color w:val="auto"/>
          <w:highlight w:val="none"/>
        </w:rPr>
        <w:t xml:space="preserve"> </w:t>
      </w:r>
      <w:r>
        <w:rPr>
          <w:color w:val="auto"/>
          <w:highlight w:val="none"/>
        </w:rPr>
        <w:t xml:space="preserve"> 采购需求</w:t>
      </w:r>
    </w:p>
    <w:p w14:paraId="19A1DD79">
      <w:pPr>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一、项目需求</w:t>
      </w:r>
    </w:p>
    <w:p w14:paraId="274F293B">
      <w:pPr>
        <w:adjustRightInd w:val="0"/>
        <w:snapToGrid w:val="0"/>
        <w:spacing w:line="360" w:lineRule="auto"/>
        <w:ind w:firstLine="480" w:firstLineChars="200"/>
        <w:rPr>
          <w:rFonts w:hint="eastAsia" w:ascii="宋体" w:hAnsi="宋体" w:cs="宋体"/>
          <w:b/>
          <w:bCs/>
          <w:color w:val="auto"/>
          <w:sz w:val="24"/>
          <w:szCs w:val="24"/>
          <w:highlight w:val="none"/>
        </w:rPr>
      </w:pPr>
      <w:r>
        <w:rPr>
          <w:rFonts w:hint="eastAsia" w:ascii="宋体" w:hAnsi="宋体" w:cs="宋体"/>
          <w:color w:val="auto"/>
          <w:sz w:val="24"/>
          <w:szCs w:val="24"/>
          <w:highlight w:val="none"/>
        </w:rPr>
        <w:t>本次采购开展的电动汽车充电设施智能运维决策软件采购项目，该软件支撑电动汽车规模化接入，具有智能运维决策以及充电状态控制等功能，支持二次开发。项目执行期为合同签订日至2026年2月。</w:t>
      </w:r>
    </w:p>
    <w:p w14:paraId="041DF316">
      <w:pPr>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二、技术参数</w:t>
      </w:r>
    </w:p>
    <w:tbl>
      <w:tblPr>
        <w:tblStyle w:val="46"/>
        <w:tblW w:w="854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676"/>
        <w:gridCol w:w="3244"/>
        <w:gridCol w:w="2627"/>
      </w:tblGrid>
      <w:tr w14:paraId="46FDE8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5CC15832">
            <w:pPr>
              <w:spacing w:line="56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指标</w:t>
            </w:r>
          </w:p>
        </w:tc>
        <w:tc>
          <w:tcPr>
            <w:tcW w:w="3244" w:type="dxa"/>
            <w:vAlign w:val="center"/>
          </w:tcPr>
          <w:p w14:paraId="00616B82">
            <w:pPr>
              <w:spacing w:line="56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解释</w:t>
            </w:r>
          </w:p>
        </w:tc>
        <w:tc>
          <w:tcPr>
            <w:tcW w:w="2627" w:type="dxa"/>
            <w:vAlign w:val="center"/>
          </w:tcPr>
          <w:p w14:paraId="3465F893">
            <w:pPr>
              <w:spacing w:line="56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值</w:t>
            </w:r>
          </w:p>
        </w:tc>
      </w:tr>
      <w:tr w14:paraId="0ED547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15CE9C6D">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安全信息登录</w:t>
            </w:r>
          </w:p>
        </w:tc>
        <w:tc>
          <w:tcPr>
            <w:tcW w:w="3244" w:type="dxa"/>
            <w:vAlign w:val="center"/>
          </w:tcPr>
          <w:p w14:paraId="3253AE1B">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系统登录界面需要连接身份认证服务，输入账户、密码、验证码之后，方可登录系统。</w:t>
            </w:r>
          </w:p>
        </w:tc>
        <w:tc>
          <w:tcPr>
            <w:tcW w:w="2627" w:type="dxa"/>
            <w:vAlign w:val="center"/>
          </w:tcPr>
          <w:p w14:paraId="4F4B179A">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p>
        </w:tc>
      </w:tr>
      <w:tr w14:paraId="197458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27367A1E">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充电设施信息实时展示</w:t>
            </w:r>
          </w:p>
        </w:tc>
        <w:tc>
          <w:tcPr>
            <w:tcW w:w="3244" w:type="dxa"/>
            <w:vAlign w:val="center"/>
          </w:tcPr>
          <w:p w14:paraId="6FF78AE4">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展示当下区域内展示各站场的健康桩数、故障桩的数量。</w:t>
            </w:r>
          </w:p>
        </w:tc>
        <w:tc>
          <w:tcPr>
            <w:tcW w:w="2627" w:type="dxa"/>
            <w:vAlign w:val="center"/>
          </w:tcPr>
          <w:p w14:paraId="06983D4D">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支撑≥500个交直流桩的充电信息展示，充电场站≥20个。</w:t>
            </w:r>
          </w:p>
        </w:tc>
      </w:tr>
      <w:tr w14:paraId="571B1A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1F7FF2FD">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充电设施快速查询</w:t>
            </w:r>
          </w:p>
        </w:tc>
        <w:tc>
          <w:tcPr>
            <w:tcW w:w="3244" w:type="dxa"/>
            <w:vAlign w:val="center"/>
          </w:tcPr>
          <w:p w14:paraId="0A999C12">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支持电动汽车规模化接入后的查询，并内置地图显示功能。</w:t>
            </w:r>
          </w:p>
        </w:tc>
        <w:tc>
          <w:tcPr>
            <w:tcW w:w="2627" w:type="dxa"/>
            <w:vAlign w:val="center"/>
          </w:tcPr>
          <w:p w14:paraId="42050EF1">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支撑≥500个交直流桩的充电信息查询，充电场站≥20个。</w:t>
            </w:r>
          </w:p>
        </w:tc>
      </w:tr>
      <w:tr w14:paraId="12B644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45D1B07F">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充电设施运行风险</w:t>
            </w:r>
          </w:p>
          <w:p w14:paraId="186CDD5E">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健康评估</w:t>
            </w:r>
          </w:p>
        </w:tc>
        <w:tc>
          <w:tcPr>
            <w:tcW w:w="3244" w:type="dxa"/>
            <w:vAlign w:val="center"/>
          </w:tcPr>
          <w:p w14:paraId="237521D6">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基于充电设施运行风险健康评估模型，评估充电桩的健康度。</w:t>
            </w:r>
          </w:p>
        </w:tc>
        <w:tc>
          <w:tcPr>
            <w:tcW w:w="2627" w:type="dxa"/>
            <w:vAlign w:val="center"/>
          </w:tcPr>
          <w:p w14:paraId="5F9FDB8B">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支撑≥500个交直流桩的健康度评估，可评估的模型≥3种。</w:t>
            </w:r>
          </w:p>
        </w:tc>
      </w:tr>
      <w:tr w14:paraId="07FDF8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756731E2">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充电设施充电过程异常结果展示</w:t>
            </w:r>
          </w:p>
        </w:tc>
        <w:tc>
          <w:tcPr>
            <w:tcW w:w="3244" w:type="dxa"/>
            <w:vAlign w:val="center"/>
          </w:tcPr>
          <w:p w14:paraId="12F1AB3B">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对电动汽车充电安全特性、电动汽车、充电设备异常分析结果展示。</w:t>
            </w:r>
          </w:p>
        </w:tc>
        <w:tc>
          <w:tcPr>
            <w:tcW w:w="2627" w:type="dxa"/>
            <w:vAlign w:val="center"/>
          </w:tcPr>
          <w:p w14:paraId="5C42C149">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充电过程的异常展示案例≥5种。</w:t>
            </w:r>
          </w:p>
        </w:tc>
      </w:tr>
      <w:tr w14:paraId="1DD9E8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354507B4">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充电设施安全预警</w:t>
            </w:r>
          </w:p>
        </w:tc>
        <w:tc>
          <w:tcPr>
            <w:tcW w:w="3244" w:type="dxa"/>
            <w:vAlign w:val="center"/>
          </w:tcPr>
          <w:p w14:paraId="3445546A">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可支持excel文件充电设施数据上传,判断充电桩故障，列出故障类型，描述相应的故障信息,预警结果信息可支持下载。</w:t>
            </w:r>
          </w:p>
        </w:tc>
        <w:tc>
          <w:tcPr>
            <w:tcW w:w="2627" w:type="dxa"/>
            <w:vAlign w:val="center"/>
          </w:tcPr>
          <w:p w14:paraId="62C4400C">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上传的数据规模≥100条数据，安全预警时间平均时间≥5s。</w:t>
            </w:r>
          </w:p>
        </w:tc>
      </w:tr>
      <w:tr w14:paraId="2031D7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4BBA2031">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充电设施故障诊断</w:t>
            </w:r>
          </w:p>
        </w:tc>
        <w:tc>
          <w:tcPr>
            <w:tcW w:w="3244" w:type="dxa"/>
            <w:vAlign w:val="center"/>
          </w:tcPr>
          <w:p w14:paraId="3E71C487">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可支持excel文件充电设施数据上传，判断充电桩故障，列出故障类型，描述相应的故障信息，故障诊断结果可支持下载。</w:t>
            </w:r>
          </w:p>
        </w:tc>
        <w:tc>
          <w:tcPr>
            <w:tcW w:w="2627" w:type="dxa"/>
            <w:vAlign w:val="center"/>
          </w:tcPr>
          <w:p w14:paraId="2D8D48E2">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上传的数据规模≥100条数据，故障诊断的平均时间＜5s，可评估的模型≥5种</w:t>
            </w:r>
          </w:p>
        </w:tc>
      </w:tr>
      <w:tr w14:paraId="364A66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676" w:type="dxa"/>
            <w:vAlign w:val="center"/>
          </w:tcPr>
          <w:p w14:paraId="332FA052">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充电设施运维策略</w:t>
            </w:r>
          </w:p>
        </w:tc>
        <w:tc>
          <w:tcPr>
            <w:tcW w:w="3244" w:type="dxa"/>
            <w:vAlign w:val="center"/>
          </w:tcPr>
          <w:p w14:paraId="45263804">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可展示充电设施智能化运维服务策略的详细内容，并支持在线检索查询。</w:t>
            </w:r>
          </w:p>
        </w:tc>
        <w:tc>
          <w:tcPr>
            <w:tcW w:w="2627" w:type="dxa"/>
            <w:vAlign w:val="center"/>
          </w:tcPr>
          <w:p w14:paraId="663FBD34">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可展示充电设施智能化运维服务的对象类别≥6种，相关运维策略≥100项，检索查询时间响应时间＜2s</w:t>
            </w:r>
          </w:p>
        </w:tc>
      </w:tr>
    </w:tbl>
    <w:p w14:paraId="5DFBDD38">
      <w:pPr>
        <w:pStyle w:val="271"/>
        <w:adjustRightInd w:val="0"/>
        <w:snapToGrid w:val="0"/>
        <w:spacing w:line="360" w:lineRule="auto"/>
        <w:rPr>
          <w:rFonts w:hint="eastAsia" w:ascii="宋体" w:hAnsi="宋体" w:cs="宋体"/>
          <w:b/>
          <w:bCs/>
          <w:color w:val="auto"/>
          <w:sz w:val="24"/>
          <w:highlight w:val="none"/>
        </w:rPr>
      </w:pPr>
    </w:p>
    <w:p w14:paraId="72EEF0C2">
      <w:pPr>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三、商务条款</w:t>
      </w:r>
    </w:p>
    <w:p w14:paraId="70BE9F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1.提交成果要求</w:t>
      </w:r>
    </w:p>
    <w:p w14:paraId="005F3F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（1）电动汽车充电设施智能运维决策软件1套；</w:t>
      </w:r>
    </w:p>
    <w:p w14:paraId="491CAF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（2）电动汽车充电设施智能运维决策数据库1套；</w:t>
      </w:r>
    </w:p>
    <w:p w14:paraId="79DA0E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（3）《电动汽车充电设施智能运维决策软件使用说明书》3份；</w:t>
      </w:r>
    </w:p>
    <w:p w14:paraId="2D9AA2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（4）《电动汽车充电设施智能运维决策软件设计说明书》3份；</w:t>
      </w:r>
    </w:p>
    <w:p w14:paraId="39CD14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2、项目进度要求</w:t>
      </w:r>
    </w:p>
    <w:p w14:paraId="303F2F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根据项目生命周期里程碑，分别提出相应时间节点要求和任务。</w:t>
      </w:r>
    </w:p>
    <w:p w14:paraId="2732B7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1）合同签订1个月内：</w:t>
      </w:r>
    </w:p>
    <w:p w14:paraId="4348C1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完成电动汽车充电设施智能运维决策软件设计方案；</w:t>
      </w:r>
    </w:p>
    <w:p w14:paraId="56AF52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2）合同签订2个月内：</w:t>
      </w:r>
    </w:p>
    <w:p w14:paraId="7DAC32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完成电动汽车充电设施智能运维决策软件初步设计；</w:t>
      </w:r>
    </w:p>
    <w:p w14:paraId="276998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3）合同签订3个月内：</w:t>
      </w:r>
    </w:p>
    <w:p w14:paraId="224409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完成电动汽车充电设施智能运维决策软件开发，完成相关材料的撰写。</w:t>
      </w:r>
    </w:p>
    <w:p w14:paraId="122E17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3.交货期：合同签订后3个月内到货并安装调试完毕。 </w:t>
      </w:r>
    </w:p>
    <w:p w14:paraId="6119E1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4.交货地点：南京邮电大学 </w:t>
      </w:r>
    </w:p>
    <w:p w14:paraId="381482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5.培训及售后：卖方需在买方现场提供免费技术培训，确保买方人员能独立操作、进行日常维护及基本故障排除。</w:t>
      </w:r>
    </w:p>
    <w:p w14:paraId="5DCB77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6.质保期：1年</w:t>
      </w:r>
    </w:p>
    <w:p w14:paraId="393BA0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.验收要求：安装调试完毕，由买方组织验收，所有参数达到采购参数要求。检验不合格或不符合质量要求，卖方除无条件退货外，还应承担买方的一切损失</w:t>
      </w:r>
      <w:r>
        <w:rPr>
          <w:rFonts w:hint="eastAsia" w:ascii="宋体" w:hAnsi="宋体" w:cs="宋体"/>
          <w:color w:val="auto"/>
          <w:sz w:val="24"/>
          <w:szCs w:val="24"/>
          <w:highlight w:val="none"/>
          <w:lang w:eastAsia="zh-CN"/>
        </w:rPr>
        <w:t>。</w:t>
      </w:r>
    </w:p>
    <w:p w14:paraId="373769F6">
      <w:pPr>
        <w:adjustRightInd w:val="0"/>
        <w:snapToGrid w:val="0"/>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8.知识产权的归属和处理方式</w:t>
      </w:r>
    </w:p>
    <w:p w14:paraId="2C5FE799">
      <w:pPr>
        <w:adjustRightInd w:val="0"/>
        <w:snapToGrid w:val="0"/>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3FCC1D33">
      <w:pPr>
        <w:adjustRightInd w:val="0"/>
        <w:snapToGrid w:val="0"/>
        <w:spacing w:line="360" w:lineRule="auto"/>
        <w:ind w:firstLine="480" w:firstLineChars="200"/>
        <w:rPr>
          <w:rFonts w:hint="default"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9.付款方式：</w:t>
      </w:r>
      <w:r>
        <w:rPr>
          <w:rFonts w:hint="eastAsia" w:ascii="宋体" w:hAnsi="宋体" w:cs="宋体"/>
          <w:color w:val="auto"/>
          <w:sz w:val="24"/>
          <w:szCs w:val="24"/>
          <w:highlight w:val="none"/>
        </w:rPr>
        <w:t>验收合格后30日内支付合同总价的100%。</w:t>
      </w:r>
    </w:p>
    <w:p w14:paraId="57EAD743">
      <w:pPr>
        <w:rPr>
          <w:color w:val="auto"/>
          <w:highlight w:val="none"/>
        </w:rPr>
      </w:pPr>
    </w:p>
    <w:p w14:paraId="4E4BF9E9">
      <w:pPr>
        <w:rPr>
          <w:color w:val="auto"/>
          <w:highlight w:val="none"/>
        </w:rPr>
      </w:pPr>
      <w:r>
        <w:rPr>
          <w:color w:val="auto"/>
          <w:highlight w:val="none"/>
        </w:rPr>
        <w:br w:type="page"/>
      </w:r>
    </w:p>
    <w:p w14:paraId="03FA00F1">
      <w:pPr>
        <w:pStyle w:val="262"/>
        <w:rPr>
          <w:color w:val="auto"/>
          <w:highlight w:val="none"/>
        </w:rPr>
      </w:pPr>
      <w:r>
        <w:rPr>
          <w:color w:val="auto"/>
          <w:highlight w:val="none"/>
        </w:rPr>
        <w:t>第五章  合同主要条款及格式</w:t>
      </w:r>
    </w:p>
    <w:p w14:paraId="59CCC3D8">
      <w:pPr>
        <w:pStyle w:val="17"/>
        <w:ind w:firstLine="480"/>
        <w:rPr>
          <w:color w:val="auto"/>
          <w:highlight w:val="none"/>
        </w:rPr>
      </w:pPr>
      <w:bookmarkStart w:id="7" w:name="_Toc513029243"/>
      <w:bookmarkStart w:id="8" w:name="_Toc16938559"/>
      <w:bookmarkStart w:id="9" w:name="_Toc20823315"/>
      <w:r>
        <w:rPr>
          <w:color w:val="auto"/>
          <w:highlight w:val="none"/>
        </w:rPr>
        <w:t>以下为成交后签订本项目合同的通用条款，成交人不得提出实质性的修改，关于专用条款将由采购人与成交人结合本项目具体情况协商后签订。</w:t>
      </w:r>
    </w:p>
    <w:bookmarkEnd w:id="7"/>
    <w:bookmarkEnd w:id="8"/>
    <w:bookmarkEnd w:id="9"/>
    <w:p w14:paraId="78AEBD0D">
      <w:pPr>
        <w:widowControl/>
        <w:snapToGrid w:val="0"/>
        <w:spacing w:before="19"/>
        <w:ind w:left="-358" w:leftChars="-255" w:right="-334" w:rightChars="-159" w:hanging="177" w:hangingChars="49"/>
        <w:jc w:val="center"/>
        <w:rPr>
          <w:rFonts w:ascii="仿宋_GB2312" w:eastAsia="仿宋_GB2312"/>
          <w:b/>
          <w:color w:val="auto"/>
          <w:sz w:val="36"/>
          <w:highlight w:val="none"/>
        </w:rPr>
      </w:pPr>
      <w:bookmarkStart w:id="10" w:name="_Hlt16619369"/>
      <w:bookmarkEnd w:id="10"/>
      <w:r>
        <w:rPr>
          <w:rFonts w:hint="eastAsia" w:ascii="仿宋_GB2312" w:eastAsia="仿宋_GB2312"/>
          <w:b/>
          <w:color w:val="auto"/>
          <w:sz w:val="36"/>
          <w:highlight w:val="none"/>
        </w:rPr>
        <w:t>南京邮电大学采购合同</w:t>
      </w:r>
    </w:p>
    <w:p w14:paraId="19010A33">
      <w:pP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甲方：南京邮电大学                             签订地点：南京邮电大学</w:t>
      </w:r>
    </w:p>
    <w:p w14:paraId="73ADDC4B">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乙方：                                          </w:t>
      </w:r>
    </w:p>
    <w:p w14:paraId="13247E83">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    甲乙双方根据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项目招标采购结果,依据《中华人民共和国民法典》及相关法律规定，达成如下货物购销合同:</w:t>
      </w:r>
    </w:p>
    <w:p w14:paraId="0EA0776B">
      <w:pPr>
        <w:spacing w:before="19"/>
        <w:rPr>
          <w:rFonts w:hint="eastAsia" w:ascii="宋体" w:hAnsi="宋体" w:cs="宋体"/>
          <w:color w:val="auto"/>
          <w:szCs w:val="21"/>
          <w:highlight w:val="none"/>
        </w:rPr>
      </w:pPr>
      <w:r>
        <w:rPr>
          <w:rFonts w:hint="eastAsia" w:ascii="宋体" w:hAnsi="宋体" w:cs="宋体"/>
          <w:color w:val="auto"/>
          <w:szCs w:val="21"/>
          <w:highlight w:val="none"/>
        </w:rPr>
        <w:t>一、货物及其数量、金额：</w:t>
      </w:r>
    </w:p>
    <w:tbl>
      <w:tblPr>
        <w:tblStyle w:val="45"/>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482E964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586D748A">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编号</w:t>
            </w:r>
          </w:p>
        </w:tc>
        <w:tc>
          <w:tcPr>
            <w:tcW w:w="1221" w:type="dxa"/>
            <w:shd w:val="pct10" w:color="auto" w:fill="FFFFFF"/>
            <w:vAlign w:val="center"/>
          </w:tcPr>
          <w:p w14:paraId="2D07773C">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货物名称</w:t>
            </w:r>
          </w:p>
        </w:tc>
        <w:tc>
          <w:tcPr>
            <w:tcW w:w="4186" w:type="dxa"/>
            <w:shd w:val="pct10" w:color="auto" w:fill="FFFFFF"/>
            <w:vAlign w:val="center"/>
          </w:tcPr>
          <w:p w14:paraId="47D5EE40">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规 格 型 号（品牌）</w:t>
            </w:r>
          </w:p>
        </w:tc>
        <w:tc>
          <w:tcPr>
            <w:tcW w:w="1046" w:type="dxa"/>
            <w:shd w:val="pct10" w:color="auto" w:fill="FFFFFF"/>
            <w:vAlign w:val="center"/>
          </w:tcPr>
          <w:p w14:paraId="628F8DA7">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1046" w:type="dxa"/>
            <w:shd w:val="pct10" w:color="auto" w:fill="FFFFFF"/>
            <w:vAlign w:val="center"/>
          </w:tcPr>
          <w:p w14:paraId="1EAD3593">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单价（元）</w:t>
            </w:r>
          </w:p>
        </w:tc>
        <w:tc>
          <w:tcPr>
            <w:tcW w:w="1221" w:type="dxa"/>
            <w:shd w:val="pct10" w:color="auto" w:fill="FFFFFF"/>
            <w:vAlign w:val="center"/>
          </w:tcPr>
          <w:p w14:paraId="7470FCE7">
            <w:pPr>
              <w:rPr>
                <w:rFonts w:hint="eastAsia" w:ascii="宋体" w:hAnsi="宋体" w:cs="宋体"/>
                <w:b/>
                <w:color w:val="auto"/>
                <w:szCs w:val="21"/>
                <w:highlight w:val="none"/>
              </w:rPr>
            </w:pPr>
            <w:r>
              <w:rPr>
                <w:rFonts w:hint="eastAsia" w:ascii="宋体" w:hAnsi="宋体" w:cs="宋体"/>
                <w:b/>
                <w:color w:val="auto"/>
                <w:szCs w:val="21"/>
                <w:highlight w:val="none"/>
              </w:rPr>
              <w:t>总价（元）</w:t>
            </w:r>
          </w:p>
        </w:tc>
      </w:tr>
      <w:tr w14:paraId="6D168FC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1DC9FAD0">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1221" w:type="dxa"/>
            <w:vAlign w:val="center"/>
          </w:tcPr>
          <w:p w14:paraId="4CAFF378">
            <w:pPr>
              <w:spacing w:line="600" w:lineRule="atLeast"/>
              <w:jc w:val="center"/>
              <w:rPr>
                <w:rFonts w:hint="eastAsia" w:ascii="宋体" w:hAnsi="宋体" w:cs="宋体"/>
                <w:color w:val="auto"/>
                <w:szCs w:val="21"/>
                <w:highlight w:val="none"/>
              </w:rPr>
            </w:pPr>
          </w:p>
        </w:tc>
        <w:tc>
          <w:tcPr>
            <w:tcW w:w="4186" w:type="dxa"/>
            <w:vAlign w:val="center"/>
          </w:tcPr>
          <w:p w14:paraId="7D84F265">
            <w:pPr>
              <w:spacing w:line="360" w:lineRule="auto"/>
              <w:rPr>
                <w:rFonts w:hint="eastAsia" w:ascii="宋体" w:hAnsi="宋体" w:cs="宋体"/>
                <w:color w:val="auto"/>
                <w:szCs w:val="21"/>
                <w:highlight w:val="none"/>
              </w:rPr>
            </w:pPr>
          </w:p>
        </w:tc>
        <w:tc>
          <w:tcPr>
            <w:tcW w:w="1046" w:type="dxa"/>
            <w:vAlign w:val="center"/>
          </w:tcPr>
          <w:p w14:paraId="6ADD0DE6">
            <w:pPr>
              <w:spacing w:line="600" w:lineRule="atLeast"/>
              <w:ind w:firstLine="103"/>
              <w:rPr>
                <w:rFonts w:hint="eastAsia" w:ascii="宋体" w:hAnsi="宋体" w:cs="宋体"/>
                <w:b/>
                <w:color w:val="auto"/>
                <w:szCs w:val="21"/>
                <w:highlight w:val="none"/>
              </w:rPr>
            </w:pPr>
          </w:p>
        </w:tc>
        <w:tc>
          <w:tcPr>
            <w:tcW w:w="1046" w:type="dxa"/>
            <w:vAlign w:val="center"/>
          </w:tcPr>
          <w:p w14:paraId="3676D314">
            <w:pPr>
              <w:spacing w:line="240" w:lineRule="atLeast"/>
              <w:jc w:val="center"/>
              <w:rPr>
                <w:rFonts w:hint="eastAsia" w:ascii="宋体" w:hAnsi="宋体" w:cs="宋体"/>
                <w:b/>
                <w:color w:val="auto"/>
                <w:szCs w:val="21"/>
                <w:highlight w:val="none"/>
              </w:rPr>
            </w:pPr>
          </w:p>
        </w:tc>
        <w:tc>
          <w:tcPr>
            <w:tcW w:w="1221" w:type="dxa"/>
            <w:vAlign w:val="center"/>
          </w:tcPr>
          <w:p w14:paraId="2BDDF923">
            <w:pPr>
              <w:spacing w:line="360" w:lineRule="auto"/>
              <w:rPr>
                <w:rFonts w:hint="eastAsia" w:ascii="宋体" w:hAnsi="宋体" w:cs="宋体"/>
                <w:color w:val="auto"/>
                <w:szCs w:val="21"/>
                <w:highlight w:val="none"/>
              </w:rPr>
            </w:pPr>
          </w:p>
        </w:tc>
      </w:tr>
      <w:tr w14:paraId="7981FCE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3A632121">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2</w:t>
            </w:r>
          </w:p>
        </w:tc>
        <w:tc>
          <w:tcPr>
            <w:tcW w:w="1221" w:type="dxa"/>
            <w:vAlign w:val="center"/>
          </w:tcPr>
          <w:p w14:paraId="5EAE0F58">
            <w:pPr>
              <w:spacing w:line="600" w:lineRule="atLeast"/>
              <w:jc w:val="center"/>
              <w:rPr>
                <w:rFonts w:hint="eastAsia" w:ascii="宋体" w:hAnsi="宋体" w:cs="宋体"/>
                <w:color w:val="auto"/>
                <w:szCs w:val="21"/>
                <w:highlight w:val="none"/>
              </w:rPr>
            </w:pPr>
          </w:p>
        </w:tc>
        <w:tc>
          <w:tcPr>
            <w:tcW w:w="4186" w:type="dxa"/>
            <w:vAlign w:val="center"/>
          </w:tcPr>
          <w:p w14:paraId="0BFF69C3">
            <w:pPr>
              <w:spacing w:line="360" w:lineRule="auto"/>
              <w:rPr>
                <w:rFonts w:hint="eastAsia" w:ascii="宋体" w:hAnsi="宋体" w:cs="宋体"/>
                <w:b/>
                <w:color w:val="auto"/>
                <w:szCs w:val="21"/>
                <w:highlight w:val="none"/>
              </w:rPr>
            </w:pPr>
          </w:p>
        </w:tc>
        <w:tc>
          <w:tcPr>
            <w:tcW w:w="1046" w:type="dxa"/>
            <w:vAlign w:val="center"/>
          </w:tcPr>
          <w:p w14:paraId="175A172E">
            <w:pPr>
              <w:spacing w:line="600" w:lineRule="atLeast"/>
              <w:ind w:firstLine="103"/>
              <w:rPr>
                <w:rFonts w:hint="eastAsia" w:ascii="宋体" w:hAnsi="宋体" w:cs="宋体"/>
                <w:b/>
                <w:color w:val="auto"/>
                <w:szCs w:val="21"/>
                <w:highlight w:val="none"/>
              </w:rPr>
            </w:pPr>
          </w:p>
        </w:tc>
        <w:tc>
          <w:tcPr>
            <w:tcW w:w="1046" w:type="dxa"/>
            <w:vAlign w:val="center"/>
          </w:tcPr>
          <w:p w14:paraId="2F04E92C">
            <w:pPr>
              <w:spacing w:line="600" w:lineRule="atLeast"/>
              <w:ind w:firstLine="103"/>
              <w:rPr>
                <w:rFonts w:hint="eastAsia" w:ascii="宋体" w:hAnsi="宋体" w:cs="宋体"/>
                <w:b/>
                <w:color w:val="auto"/>
                <w:szCs w:val="21"/>
                <w:highlight w:val="none"/>
              </w:rPr>
            </w:pPr>
          </w:p>
        </w:tc>
        <w:tc>
          <w:tcPr>
            <w:tcW w:w="1221" w:type="dxa"/>
            <w:vAlign w:val="center"/>
          </w:tcPr>
          <w:p w14:paraId="21CE7CBA">
            <w:pPr>
              <w:spacing w:line="360" w:lineRule="auto"/>
              <w:rPr>
                <w:rFonts w:hint="eastAsia" w:ascii="宋体" w:hAnsi="宋体" w:cs="宋体"/>
                <w:color w:val="auto"/>
                <w:szCs w:val="21"/>
                <w:highlight w:val="none"/>
              </w:rPr>
            </w:pPr>
          </w:p>
        </w:tc>
      </w:tr>
      <w:tr w14:paraId="4988AE9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49730EEA">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1221" w:type="dxa"/>
            <w:vAlign w:val="center"/>
          </w:tcPr>
          <w:p w14:paraId="5DAA52DF">
            <w:pPr>
              <w:spacing w:line="600" w:lineRule="atLeast"/>
              <w:jc w:val="center"/>
              <w:rPr>
                <w:rFonts w:hint="eastAsia" w:ascii="宋体" w:hAnsi="宋体" w:cs="宋体"/>
                <w:color w:val="auto"/>
                <w:szCs w:val="21"/>
                <w:highlight w:val="none"/>
              </w:rPr>
            </w:pPr>
          </w:p>
        </w:tc>
        <w:tc>
          <w:tcPr>
            <w:tcW w:w="4186" w:type="dxa"/>
            <w:vAlign w:val="center"/>
          </w:tcPr>
          <w:p w14:paraId="0832285E">
            <w:pPr>
              <w:spacing w:line="360" w:lineRule="auto"/>
              <w:rPr>
                <w:rFonts w:hint="eastAsia" w:ascii="宋体" w:hAnsi="宋体" w:cs="宋体"/>
                <w:b/>
                <w:color w:val="auto"/>
                <w:szCs w:val="21"/>
                <w:highlight w:val="none"/>
              </w:rPr>
            </w:pPr>
          </w:p>
        </w:tc>
        <w:tc>
          <w:tcPr>
            <w:tcW w:w="1046" w:type="dxa"/>
            <w:vAlign w:val="center"/>
          </w:tcPr>
          <w:p w14:paraId="3F093E46">
            <w:pPr>
              <w:spacing w:line="600" w:lineRule="atLeast"/>
              <w:ind w:firstLine="103"/>
              <w:rPr>
                <w:rFonts w:hint="eastAsia" w:ascii="宋体" w:hAnsi="宋体" w:cs="宋体"/>
                <w:b/>
                <w:color w:val="auto"/>
                <w:szCs w:val="21"/>
                <w:highlight w:val="none"/>
              </w:rPr>
            </w:pPr>
          </w:p>
        </w:tc>
        <w:tc>
          <w:tcPr>
            <w:tcW w:w="1046" w:type="dxa"/>
            <w:vAlign w:val="center"/>
          </w:tcPr>
          <w:p w14:paraId="49770864">
            <w:pPr>
              <w:spacing w:line="600" w:lineRule="atLeast"/>
              <w:ind w:firstLine="103"/>
              <w:rPr>
                <w:rFonts w:hint="eastAsia" w:ascii="宋体" w:hAnsi="宋体" w:cs="宋体"/>
                <w:b/>
                <w:color w:val="auto"/>
                <w:szCs w:val="21"/>
                <w:highlight w:val="none"/>
              </w:rPr>
            </w:pPr>
          </w:p>
        </w:tc>
        <w:tc>
          <w:tcPr>
            <w:tcW w:w="1221" w:type="dxa"/>
            <w:vAlign w:val="center"/>
          </w:tcPr>
          <w:p w14:paraId="0F0A1D49">
            <w:pPr>
              <w:spacing w:line="360" w:lineRule="auto"/>
              <w:rPr>
                <w:rFonts w:hint="eastAsia" w:ascii="宋体" w:hAnsi="宋体" w:cs="宋体"/>
                <w:color w:val="auto"/>
                <w:szCs w:val="21"/>
                <w:highlight w:val="none"/>
              </w:rPr>
            </w:pPr>
          </w:p>
        </w:tc>
      </w:tr>
      <w:tr w14:paraId="4C82AD5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515DB667">
            <w:pPr>
              <w:rPr>
                <w:rFonts w:hint="eastAsia"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合计（小写）：        元</w:t>
            </w:r>
          </w:p>
          <w:p w14:paraId="7D5A417F">
            <w:pPr>
              <w:rPr>
                <w:rFonts w:hint="eastAsia" w:ascii="宋体" w:hAnsi="宋体" w:cs="宋体"/>
                <w:color w:val="auto"/>
                <w:szCs w:val="21"/>
                <w:highlight w:val="none"/>
              </w:rPr>
            </w:pPr>
            <w:r>
              <w:rPr>
                <w:rFonts w:hint="eastAsia" w:ascii="宋体" w:hAnsi="宋体" w:cs="宋体"/>
                <w:color w:val="auto"/>
                <w:szCs w:val="21"/>
                <w:highlight w:val="none"/>
              </w:rPr>
              <w:t>本合同总价款是货物设计、制造、包装、仓储、运输、安装及验收合格之前以及</w:t>
            </w:r>
            <w:r>
              <w:rPr>
                <w:rFonts w:hint="eastAsia" w:ascii="宋体" w:hAnsi="宋体" w:cs="宋体"/>
                <w:color w:val="auto"/>
                <w:szCs w:val="21"/>
                <w:highlight w:val="none"/>
                <w:lang w:eastAsia="zh-CN"/>
              </w:rPr>
              <w:t>质保期</w:t>
            </w:r>
            <w:r>
              <w:rPr>
                <w:rFonts w:hint="eastAsia" w:ascii="宋体" w:hAnsi="宋体" w:cs="宋体"/>
                <w:color w:val="auto"/>
                <w:szCs w:val="21"/>
                <w:highlight w:val="none"/>
              </w:rPr>
              <w:t>内备品备件发生的所有含税费用。本合同总价款还包含乙方应当提供的伴随服务/售后服务费用。</w:t>
            </w:r>
          </w:p>
        </w:tc>
      </w:tr>
    </w:tbl>
    <w:p w14:paraId="6FD4FC0B">
      <w:pPr>
        <w:pStyle w:val="272"/>
        <w:spacing w:line="4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二、交货时间：合同签订后</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日内到货并安装调试完毕，乙方逾期交付的，每天按照合同总价千分之五向采购人支付违约金，晚到30天以上，采购人有权取消合同并要求乙方支付合同总价5%的违约金。</w:t>
      </w:r>
    </w:p>
    <w:p w14:paraId="27339C76">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三、交货地点：_____</w:t>
      </w:r>
    </w:p>
    <w:p w14:paraId="775E5693">
      <w:pPr>
        <w:spacing w:before="19"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四、付款方式：_____</w:t>
      </w:r>
    </w:p>
    <w:p w14:paraId="0670633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五、质保期：______(自验收合格之日起计。所有货物保修服务方式均为乙方派员到货物使用现场维修，由此产生的一切费用均由乙方承担。)</w:t>
      </w:r>
    </w:p>
    <w:p w14:paraId="567C0CA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六、质量要求、技术标准、乙方对质量负责的条件和期限：</w:t>
      </w:r>
    </w:p>
    <w:p w14:paraId="130ACB7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1、乙方所提供的货物，若技术性能无特殊说明，则按生产企业或国家有关部门最新颁布的标准及规范为准。</w:t>
      </w:r>
    </w:p>
    <w:p w14:paraId="617E26B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A09E4D5">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2241984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八、工程部分（两万元以上）需按南京邮电大学审计相关规定执行。</w:t>
      </w:r>
    </w:p>
    <w:p w14:paraId="1284892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九、招投标文件为本合同的附件，与本合同具有同等法律效力（本条款适用于招投标项目）。甲乙双方商定的其他必要文件，附件与本合同不相符合之处，以本合同内容为准。上述文件内容互为补充。</w:t>
      </w:r>
    </w:p>
    <w:p w14:paraId="7B852D3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十、违约责任</w:t>
      </w:r>
    </w:p>
    <w:p w14:paraId="1DE0B3B7">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1、甲方无正当理由拒收货物、拒付货物款的，由甲方向乙方偿付合同总价的5%违约金。如乙方不能交付货物，乙方应向甲方支付合同总价5％的违约金。</w:t>
      </w:r>
    </w:p>
    <w:p w14:paraId="3F18529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4C54A0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EBA9EDF">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3C3904E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十一、 合同的变更和终止</w:t>
      </w:r>
    </w:p>
    <w:p w14:paraId="0283F66F">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除《中华人民共和国政府采购法》第四十九条、第50条第二款规定的情形外，本合同一经签订，甲乙双方不得擅自变更、中止或终止合同。</w:t>
      </w:r>
    </w:p>
    <w:p w14:paraId="1D7C9BC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十二、合同的转让</w:t>
      </w:r>
    </w:p>
    <w:p w14:paraId="3D241FC8">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乙方不得擅自部分或全部转让其应履行的合同义务。</w:t>
      </w:r>
    </w:p>
    <w:p w14:paraId="5615176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十三、 争议的解决</w:t>
      </w:r>
    </w:p>
    <w:p w14:paraId="66F6B65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278266B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2、因履行本合同引起的或与本合同有关的争议，甲、乙双方应首先通过友好协商解决，如果协商不能解决争议，任何一方均可向甲方所在地人民法院起诉解决。</w:t>
      </w:r>
    </w:p>
    <w:p w14:paraId="59AC57D1">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十四、付款前乙方须提供</w:t>
      </w:r>
      <w:r>
        <w:rPr>
          <w:rFonts w:hint="eastAsia" w:ascii="宋体" w:hAnsi="宋体" w:cs="宋体"/>
          <w:color w:val="auto"/>
          <w:szCs w:val="21"/>
          <w:highlight w:val="none"/>
          <w:u w:val="single"/>
        </w:rPr>
        <w:t>增值税专用发票</w:t>
      </w:r>
      <w:r>
        <w:rPr>
          <w:rFonts w:hint="eastAsia" w:ascii="宋体" w:hAnsi="宋体" w:cs="宋体"/>
          <w:color w:val="auto"/>
          <w:szCs w:val="21"/>
          <w:highlight w:val="none"/>
        </w:rPr>
        <w:t>，总价不变。</w:t>
      </w:r>
    </w:p>
    <w:p w14:paraId="1BE24E9E">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十五、本合同由甲、乙双方共同签订，合同一式陆份，甲方伍份、乙方壹份。自双方签字、盖章之日起生效。</w:t>
      </w:r>
    </w:p>
    <w:p w14:paraId="7469C6D1">
      <w:pPr>
        <w:spacing w:before="19" w:line="360" w:lineRule="auto"/>
        <w:ind w:firstLine="420"/>
        <w:rPr>
          <w:rFonts w:hint="eastAsia" w:ascii="宋体" w:hAnsi="宋体" w:cs="宋体"/>
          <w:color w:val="auto"/>
          <w:szCs w:val="21"/>
          <w:highlight w:val="none"/>
        </w:rPr>
      </w:pPr>
    </w:p>
    <w:p w14:paraId="730D76F3">
      <w:pPr>
        <w:spacing w:before="19" w:line="360" w:lineRule="auto"/>
        <w:ind w:firstLine="420"/>
        <w:rPr>
          <w:rFonts w:hint="eastAsia" w:ascii="宋体" w:hAnsi="宋体" w:cs="宋体"/>
          <w:color w:val="auto"/>
          <w:szCs w:val="21"/>
          <w:highlight w:val="none"/>
        </w:rPr>
      </w:pPr>
    </w:p>
    <w:p w14:paraId="7154FBCF">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甲方                                               乙方</w:t>
      </w:r>
    </w:p>
    <w:p w14:paraId="1C21A384">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单位名称：南京邮电大学                             单位名称：</w:t>
      </w:r>
    </w:p>
    <w:p w14:paraId="4424F311">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单位地址：                                         单位地址：</w:t>
      </w:r>
    </w:p>
    <w:p w14:paraId="5B00130E">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法定代表人：                                       法定代表人：</w:t>
      </w:r>
    </w:p>
    <w:p w14:paraId="5F91C08B">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委托代理人（签字）：                               委托代理人（签字）：</w:t>
      </w:r>
    </w:p>
    <w:p w14:paraId="27A02496">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                                            </w:t>
      </w:r>
    </w:p>
    <w:p w14:paraId="35F4CC5E">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开户银行：工商银行察哈尔路支行                     开户银行： </w:t>
      </w:r>
    </w:p>
    <w:p w14:paraId="38A2D177">
      <w:pPr>
        <w:spacing w:before="19" w:line="360" w:lineRule="auto"/>
        <w:ind w:firstLine="420"/>
        <w:rPr>
          <w:rFonts w:hint="eastAsia" w:ascii="宋体" w:hAnsi="宋体"/>
          <w:color w:val="auto"/>
          <w:szCs w:val="28"/>
          <w:highlight w:val="none"/>
        </w:rPr>
      </w:pPr>
      <w:r>
        <w:rPr>
          <w:rFonts w:hint="eastAsia" w:ascii="宋体" w:hAnsi="宋体" w:cs="宋体"/>
          <w:color w:val="auto"/>
          <w:szCs w:val="21"/>
          <w:highlight w:val="none"/>
        </w:rPr>
        <w:t xml:space="preserve">户名： 南京邮电大学                                户名： </w:t>
      </w:r>
    </w:p>
    <w:p w14:paraId="059A3D51">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账号： </w:t>
      </w:r>
    </w:p>
    <w:p w14:paraId="04AD552B">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行号：  </w:t>
      </w:r>
    </w:p>
    <w:p w14:paraId="5FE0AFC7">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地址、电话：                                       项目联系人：</w:t>
      </w:r>
    </w:p>
    <w:p w14:paraId="191EC262">
      <w:pPr>
        <w:spacing w:before="19" w:line="360" w:lineRule="auto"/>
        <w:ind w:firstLine="420"/>
        <w:rPr>
          <w:rFonts w:hint="eastAsia" w:ascii="宋体" w:hAnsi="宋体"/>
          <w:color w:val="auto"/>
          <w:szCs w:val="28"/>
          <w:highlight w:val="none"/>
        </w:rPr>
      </w:pPr>
    </w:p>
    <w:p w14:paraId="45B71DF5">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签约日期（即合同生效日期）：    年     月     日   联系电话：</w:t>
      </w:r>
    </w:p>
    <w:p w14:paraId="557114E5">
      <w:pPr>
        <w:rPr>
          <w:color w:val="auto"/>
          <w:highlight w:val="none"/>
        </w:rPr>
      </w:pPr>
    </w:p>
    <w:p w14:paraId="0D6781C8">
      <w:pPr>
        <w:rPr>
          <w:color w:val="auto"/>
          <w:highlight w:val="none"/>
        </w:rPr>
      </w:pPr>
    </w:p>
    <w:p w14:paraId="52C4E398">
      <w:pPr>
        <w:rPr>
          <w:color w:val="auto"/>
          <w:highlight w:val="none"/>
        </w:rPr>
      </w:pPr>
    </w:p>
    <w:p w14:paraId="62CA7AA9">
      <w:pPr>
        <w:rPr>
          <w:color w:val="auto"/>
          <w:highlight w:val="none"/>
        </w:rPr>
      </w:pPr>
    </w:p>
    <w:p w14:paraId="0ECFEECB">
      <w:pPr>
        <w:rPr>
          <w:color w:val="auto"/>
          <w:highlight w:val="none"/>
        </w:rPr>
      </w:pPr>
    </w:p>
    <w:p w14:paraId="490BAC90">
      <w:pPr>
        <w:rPr>
          <w:color w:val="auto"/>
          <w:highlight w:val="none"/>
        </w:rPr>
      </w:pPr>
    </w:p>
    <w:p w14:paraId="3E49D589">
      <w:pPr>
        <w:rPr>
          <w:color w:val="auto"/>
          <w:highlight w:val="none"/>
        </w:rPr>
      </w:pPr>
    </w:p>
    <w:p w14:paraId="745FD080">
      <w:pPr>
        <w:rPr>
          <w:color w:val="auto"/>
          <w:highlight w:val="none"/>
        </w:rPr>
      </w:pPr>
    </w:p>
    <w:p w14:paraId="347E1E02">
      <w:pPr>
        <w:rPr>
          <w:color w:val="auto"/>
          <w:highlight w:val="none"/>
        </w:rPr>
      </w:pPr>
    </w:p>
    <w:p w14:paraId="66314C6F">
      <w:pPr>
        <w:rPr>
          <w:color w:val="auto"/>
          <w:highlight w:val="none"/>
        </w:rPr>
      </w:pPr>
    </w:p>
    <w:p w14:paraId="5392AB16">
      <w:pPr>
        <w:rPr>
          <w:color w:val="auto"/>
          <w:highlight w:val="none"/>
        </w:rPr>
      </w:pPr>
    </w:p>
    <w:p w14:paraId="6B2B4009">
      <w:pPr>
        <w:rPr>
          <w:color w:val="auto"/>
          <w:highlight w:val="none"/>
        </w:rPr>
      </w:pPr>
    </w:p>
    <w:p w14:paraId="6EF0EA2B">
      <w:pPr>
        <w:rPr>
          <w:color w:val="auto"/>
          <w:highlight w:val="none"/>
        </w:rPr>
      </w:pPr>
    </w:p>
    <w:p w14:paraId="5F6FB565">
      <w:pPr>
        <w:rPr>
          <w:color w:val="auto"/>
          <w:highlight w:val="none"/>
        </w:rPr>
      </w:pPr>
      <w:r>
        <w:rPr>
          <w:rFonts w:hint="eastAsia"/>
          <w:color w:val="auto"/>
          <w:highlight w:val="none"/>
        </w:rPr>
        <w:br w:type="page"/>
      </w:r>
    </w:p>
    <w:p w14:paraId="1603A892">
      <w:pPr>
        <w:pStyle w:val="262"/>
        <w:rPr>
          <w:color w:val="auto"/>
          <w:highlight w:val="none"/>
        </w:rPr>
      </w:pPr>
      <w:r>
        <w:rPr>
          <w:rFonts w:hint="eastAsia"/>
          <w:color w:val="auto"/>
          <w:highlight w:val="none"/>
        </w:rPr>
        <w:t>第</w:t>
      </w:r>
      <w:r>
        <w:rPr>
          <w:color w:val="auto"/>
          <w:highlight w:val="none"/>
        </w:rPr>
        <w:t>六章  响应文件格式及附件</w:t>
      </w:r>
    </w:p>
    <w:p w14:paraId="60F963AE">
      <w:pPr>
        <w:jc w:val="center"/>
        <w:rPr>
          <w:rFonts w:hint="eastAsia" w:ascii="宋体" w:hAnsi="宋体"/>
          <w:b/>
          <w:color w:val="auto"/>
          <w:sz w:val="72"/>
          <w:highlight w:val="none"/>
        </w:rPr>
      </w:pPr>
    </w:p>
    <w:p w14:paraId="1F55D897">
      <w:pPr>
        <w:jc w:val="center"/>
        <w:rPr>
          <w:rFonts w:hint="eastAsia" w:ascii="宋体" w:hAnsi="宋体"/>
          <w:b/>
          <w:color w:val="auto"/>
          <w:sz w:val="72"/>
          <w:szCs w:val="72"/>
          <w:highlight w:val="none"/>
        </w:rPr>
      </w:pPr>
      <w:r>
        <w:rPr>
          <w:rFonts w:hint="eastAsia" w:ascii="宋体" w:hAnsi="宋体"/>
          <w:b/>
          <w:color w:val="auto"/>
          <w:sz w:val="72"/>
          <w:szCs w:val="72"/>
          <w:highlight w:val="none"/>
        </w:rPr>
        <w:t>响应文件</w:t>
      </w:r>
    </w:p>
    <w:p w14:paraId="28915C04">
      <w:pPr>
        <w:ind w:firstLine="2472" w:firstLineChars="1026"/>
        <w:rPr>
          <w:rFonts w:hint="eastAsia" w:ascii="宋体" w:hAnsi="宋体"/>
          <w:b/>
          <w:color w:val="auto"/>
          <w:sz w:val="24"/>
          <w:highlight w:val="none"/>
        </w:rPr>
      </w:pPr>
    </w:p>
    <w:p w14:paraId="67653AC8">
      <w:pPr>
        <w:jc w:val="center"/>
        <w:rPr>
          <w:rFonts w:hint="eastAsia" w:ascii="宋体" w:hAnsi="宋体"/>
          <w:b/>
          <w:color w:val="auto"/>
          <w:sz w:val="24"/>
          <w:highlight w:val="none"/>
        </w:rPr>
      </w:pPr>
    </w:p>
    <w:p w14:paraId="44993F3E">
      <w:pPr>
        <w:jc w:val="center"/>
        <w:rPr>
          <w:rFonts w:hint="eastAsia" w:ascii="宋体" w:hAnsi="宋体"/>
          <w:b/>
          <w:color w:val="auto"/>
          <w:sz w:val="24"/>
          <w:highlight w:val="none"/>
        </w:rPr>
      </w:pPr>
    </w:p>
    <w:p w14:paraId="44B2B348">
      <w:pPr>
        <w:jc w:val="center"/>
        <w:rPr>
          <w:rFonts w:hint="eastAsia" w:ascii="宋体" w:hAnsi="宋体"/>
          <w:b/>
          <w:color w:val="auto"/>
          <w:sz w:val="24"/>
          <w:highlight w:val="none"/>
        </w:rPr>
      </w:pPr>
    </w:p>
    <w:p w14:paraId="148090B0">
      <w:pPr>
        <w:spacing w:before="480" w:beforeLines="200"/>
        <w:jc w:val="center"/>
        <w:rPr>
          <w:rFonts w:hint="eastAsia" w:ascii="宋体" w:hAnsi="宋体" w:cs="宋体"/>
          <w:b/>
          <w:color w:val="auto"/>
          <w:sz w:val="36"/>
          <w:highlight w:val="none"/>
        </w:rPr>
      </w:pPr>
      <w:r>
        <w:rPr>
          <w:rFonts w:hint="eastAsia" w:ascii="宋体" w:hAnsi="宋体" w:cs="宋体"/>
          <w:b/>
          <w:color w:val="auto"/>
          <w:sz w:val="36"/>
          <w:highlight w:val="none"/>
        </w:rPr>
        <w:t>（正或副本）</w:t>
      </w:r>
    </w:p>
    <w:p w14:paraId="75539C72">
      <w:pPr>
        <w:jc w:val="center"/>
        <w:rPr>
          <w:rFonts w:hint="eastAsia" w:ascii="宋体" w:hAnsi="宋体"/>
          <w:b/>
          <w:color w:val="auto"/>
          <w:sz w:val="24"/>
          <w:highlight w:val="none"/>
        </w:rPr>
      </w:pPr>
    </w:p>
    <w:p w14:paraId="5EDCDEF4">
      <w:pPr>
        <w:jc w:val="center"/>
        <w:rPr>
          <w:rFonts w:hint="eastAsia" w:ascii="宋体" w:hAnsi="宋体"/>
          <w:b/>
          <w:color w:val="auto"/>
          <w:sz w:val="24"/>
          <w:highlight w:val="none"/>
        </w:rPr>
      </w:pPr>
    </w:p>
    <w:p w14:paraId="0CCC9521">
      <w:pPr>
        <w:jc w:val="center"/>
        <w:rPr>
          <w:rFonts w:hint="eastAsia" w:ascii="宋体" w:hAnsi="宋体"/>
          <w:b/>
          <w:color w:val="auto"/>
          <w:sz w:val="24"/>
          <w:highlight w:val="none"/>
        </w:rPr>
      </w:pPr>
    </w:p>
    <w:p w14:paraId="452168EF">
      <w:pPr>
        <w:jc w:val="center"/>
        <w:rPr>
          <w:rFonts w:hint="eastAsia" w:ascii="宋体" w:hAnsi="宋体"/>
          <w:b/>
          <w:color w:val="auto"/>
          <w:sz w:val="24"/>
          <w:highlight w:val="none"/>
        </w:rPr>
      </w:pPr>
    </w:p>
    <w:p w14:paraId="500C1EBE">
      <w:pPr>
        <w:jc w:val="center"/>
        <w:rPr>
          <w:rFonts w:hint="eastAsia" w:ascii="宋体" w:hAnsi="宋体"/>
          <w:b/>
          <w:color w:val="auto"/>
          <w:sz w:val="24"/>
          <w:highlight w:val="none"/>
        </w:rPr>
      </w:pPr>
    </w:p>
    <w:p w14:paraId="2E92B6AD">
      <w:pPr>
        <w:jc w:val="center"/>
        <w:rPr>
          <w:rFonts w:hint="eastAsia" w:ascii="宋体" w:hAnsi="宋体"/>
          <w:b/>
          <w:color w:val="auto"/>
          <w:sz w:val="24"/>
          <w:highlight w:val="none"/>
        </w:rPr>
      </w:pPr>
    </w:p>
    <w:p w14:paraId="2DEB3977">
      <w:pPr>
        <w:jc w:val="center"/>
        <w:rPr>
          <w:rFonts w:hint="eastAsia" w:ascii="宋体" w:hAnsi="宋体"/>
          <w:b/>
          <w:color w:val="auto"/>
          <w:sz w:val="24"/>
          <w:highlight w:val="none"/>
        </w:rPr>
      </w:pPr>
    </w:p>
    <w:p w14:paraId="02AE9261">
      <w:pPr>
        <w:ind w:firstLine="843" w:firstLineChars="300"/>
        <w:rPr>
          <w:rFonts w:hint="eastAsia" w:ascii="宋体" w:hAnsi="宋体"/>
          <w:b/>
          <w:color w:val="auto"/>
          <w:sz w:val="28"/>
          <w:szCs w:val="28"/>
          <w:highlight w:val="none"/>
        </w:rPr>
      </w:pPr>
      <w:r>
        <w:rPr>
          <w:rFonts w:hint="eastAsia" w:ascii="宋体" w:hAnsi="宋体"/>
          <w:b/>
          <w:color w:val="auto"/>
          <w:sz w:val="28"/>
          <w:szCs w:val="28"/>
          <w:highlight w:val="none"/>
        </w:rPr>
        <w:t>项目编号：</w:t>
      </w:r>
    </w:p>
    <w:p w14:paraId="369D5E92">
      <w:pPr>
        <w:ind w:firstLine="843" w:firstLineChars="300"/>
        <w:rPr>
          <w:rFonts w:hint="eastAsia" w:ascii="宋体" w:hAnsi="宋体"/>
          <w:b/>
          <w:color w:val="auto"/>
          <w:sz w:val="28"/>
          <w:szCs w:val="28"/>
          <w:highlight w:val="none"/>
          <w:u w:val="single"/>
        </w:rPr>
      </w:pPr>
      <w:r>
        <w:rPr>
          <w:rFonts w:hint="eastAsia" w:ascii="宋体" w:hAnsi="宋体"/>
          <w:b/>
          <w:color w:val="auto"/>
          <w:sz w:val="28"/>
          <w:szCs w:val="28"/>
          <w:highlight w:val="none"/>
        </w:rPr>
        <w:t>项目名称：</w:t>
      </w:r>
    </w:p>
    <w:p w14:paraId="1B30466E">
      <w:pPr>
        <w:rPr>
          <w:rFonts w:hint="eastAsia" w:ascii="宋体" w:hAnsi="宋体"/>
          <w:b/>
          <w:color w:val="auto"/>
          <w:sz w:val="28"/>
          <w:szCs w:val="28"/>
          <w:highlight w:val="none"/>
        </w:rPr>
      </w:pPr>
    </w:p>
    <w:p w14:paraId="0B9C4017">
      <w:pPr>
        <w:rPr>
          <w:rFonts w:hint="eastAsia" w:ascii="宋体" w:hAnsi="宋体"/>
          <w:b/>
          <w:color w:val="auto"/>
          <w:sz w:val="28"/>
          <w:szCs w:val="28"/>
          <w:highlight w:val="none"/>
        </w:rPr>
      </w:pPr>
    </w:p>
    <w:p w14:paraId="6ABBE2AC">
      <w:pPr>
        <w:rPr>
          <w:rFonts w:hint="eastAsia" w:ascii="宋体" w:hAnsi="宋体"/>
          <w:b/>
          <w:color w:val="auto"/>
          <w:sz w:val="28"/>
          <w:szCs w:val="28"/>
          <w:highlight w:val="none"/>
        </w:rPr>
      </w:pPr>
    </w:p>
    <w:p w14:paraId="454DB2D4">
      <w:pPr>
        <w:rPr>
          <w:rFonts w:hint="eastAsia" w:ascii="宋体" w:hAnsi="宋体"/>
          <w:b/>
          <w:color w:val="auto"/>
          <w:sz w:val="28"/>
          <w:szCs w:val="28"/>
          <w:highlight w:val="none"/>
        </w:rPr>
      </w:pPr>
    </w:p>
    <w:p w14:paraId="1C28EABF">
      <w:pPr>
        <w:rPr>
          <w:rFonts w:hint="eastAsia" w:ascii="宋体" w:hAnsi="宋体"/>
          <w:b/>
          <w:color w:val="auto"/>
          <w:sz w:val="28"/>
          <w:szCs w:val="28"/>
          <w:highlight w:val="none"/>
        </w:rPr>
      </w:pPr>
    </w:p>
    <w:p w14:paraId="01ACBD1D">
      <w:pPr>
        <w:rPr>
          <w:rFonts w:hint="eastAsia" w:ascii="宋体" w:hAnsi="宋体"/>
          <w:b/>
          <w:color w:val="auto"/>
          <w:sz w:val="28"/>
          <w:szCs w:val="28"/>
          <w:highlight w:val="none"/>
        </w:rPr>
      </w:pPr>
    </w:p>
    <w:p w14:paraId="79509356">
      <w:pPr>
        <w:rPr>
          <w:rFonts w:hint="eastAsia" w:ascii="宋体" w:hAnsi="宋体"/>
          <w:b/>
          <w:color w:val="auto"/>
          <w:sz w:val="28"/>
          <w:szCs w:val="28"/>
          <w:highlight w:val="none"/>
          <w:u w:val="single"/>
        </w:rPr>
      </w:pPr>
      <w:r>
        <w:rPr>
          <w:rFonts w:hint="eastAsia" w:ascii="宋体" w:hAnsi="宋体"/>
          <w:b/>
          <w:color w:val="auto"/>
          <w:sz w:val="28"/>
          <w:szCs w:val="28"/>
          <w:highlight w:val="none"/>
        </w:rPr>
        <w:t>供应商名称：</w:t>
      </w:r>
    </w:p>
    <w:p w14:paraId="3B14C473">
      <w:pPr>
        <w:rPr>
          <w:rFonts w:hint="eastAsia" w:ascii="宋体" w:hAnsi="宋体"/>
          <w:b/>
          <w:color w:val="auto"/>
          <w:sz w:val="28"/>
          <w:szCs w:val="28"/>
          <w:highlight w:val="none"/>
        </w:rPr>
      </w:pPr>
      <w:r>
        <w:rPr>
          <w:rFonts w:hint="eastAsia" w:ascii="宋体" w:hAnsi="宋体"/>
          <w:b/>
          <w:color w:val="auto"/>
          <w:sz w:val="28"/>
          <w:szCs w:val="28"/>
          <w:highlight w:val="none"/>
        </w:rPr>
        <w:t>日期：</w:t>
      </w:r>
    </w:p>
    <w:p w14:paraId="2AD89A1C">
      <w:pPr>
        <w:jc w:val="center"/>
        <w:rPr>
          <w:rFonts w:hint="eastAsia" w:ascii="宋体" w:hAnsi="宋体"/>
          <w:b/>
          <w:bCs/>
          <w:color w:val="auto"/>
          <w:sz w:val="24"/>
          <w:highlight w:val="none"/>
        </w:rPr>
      </w:pPr>
    </w:p>
    <w:p w14:paraId="549C2C88">
      <w:pPr>
        <w:pStyle w:val="265"/>
        <w:rPr>
          <w:rFonts w:hint="eastAsia" w:asciiTheme="minorEastAsia" w:hAnsiTheme="minorEastAsia" w:eastAsiaTheme="minorEastAsia" w:cstheme="minorEastAsia"/>
          <w:color w:val="auto"/>
          <w:highlight w:val="none"/>
        </w:rPr>
      </w:pPr>
      <w:r>
        <w:rPr>
          <w:color w:val="auto"/>
          <w:sz w:val="36"/>
          <w:highlight w:val="none"/>
        </w:rPr>
        <w:br w:type="page"/>
      </w:r>
      <w:bookmarkStart w:id="11" w:name="_Toc405408732"/>
      <w:r>
        <w:rPr>
          <w:rFonts w:hint="eastAsia" w:asciiTheme="minorEastAsia" w:hAnsiTheme="minorEastAsia" w:eastAsiaTheme="minorEastAsia" w:cstheme="minorEastAsia"/>
          <w:color w:val="auto"/>
          <w:highlight w:val="none"/>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2141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1846F16D">
            <w:pPr>
              <w:jc w:val="center"/>
              <w:rPr>
                <w:rFonts w:hint="eastAsia" w:ascii="宋体" w:hAnsi="宋体" w:cs="宋体"/>
                <w:b/>
                <w:color w:val="auto"/>
                <w:szCs w:val="21"/>
                <w:highlight w:val="none"/>
              </w:rPr>
            </w:pPr>
            <w:r>
              <w:rPr>
                <w:rFonts w:hint="eastAsia" w:ascii="宋体" w:hAnsi="宋体" w:cs="宋体"/>
                <w:b/>
                <w:color w:val="auto"/>
                <w:szCs w:val="21"/>
                <w:highlight w:val="none"/>
              </w:rPr>
              <w:t>资格要求</w:t>
            </w:r>
          </w:p>
        </w:tc>
        <w:tc>
          <w:tcPr>
            <w:tcW w:w="869" w:type="pct"/>
          </w:tcPr>
          <w:p w14:paraId="05C5B0CD">
            <w:pPr>
              <w:jc w:val="center"/>
              <w:rPr>
                <w:rFonts w:hint="eastAsia"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582C1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737EC995">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具有独立承担民事责任的能力（提供法人或者其他组织的营业执照等证明材料复印件加盖公章，自然人的身份证复印件加盖公章）；</w:t>
            </w:r>
          </w:p>
        </w:tc>
        <w:tc>
          <w:tcPr>
            <w:tcW w:w="869" w:type="pct"/>
          </w:tcPr>
          <w:p w14:paraId="33EE0EE5">
            <w:pPr>
              <w:jc w:val="center"/>
              <w:rPr>
                <w:rFonts w:hint="eastAsia" w:ascii="宋体" w:hAnsi="宋体" w:cs="宋体"/>
                <w:b/>
                <w:color w:val="auto"/>
                <w:szCs w:val="21"/>
                <w:highlight w:val="none"/>
              </w:rPr>
            </w:pPr>
          </w:p>
        </w:tc>
      </w:tr>
      <w:tr w14:paraId="22A5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7E1502C">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具有良好的商业信誉和健全的财务会计制度（提供2023年度或2024年度的审计报告复印件加盖公章或响应截止时间前半年内（2025年</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月至2025年</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tc>
        <w:tc>
          <w:tcPr>
            <w:tcW w:w="869" w:type="pct"/>
          </w:tcPr>
          <w:p w14:paraId="52507D1E">
            <w:pPr>
              <w:jc w:val="center"/>
              <w:rPr>
                <w:rFonts w:hint="eastAsia" w:ascii="宋体" w:hAnsi="宋体" w:cs="宋体"/>
                <w:b/>
                <w:color w:val="auto"/>
                <w:szCs w:val="21"/>
                <w:highlight w:val="none"/>
              </w:rPr>
            </w:pPr>
          </w:p>
        </w:tc>
      </w:tr>
      <w:tr w14:paraId="6E17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2A4ABF4">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具有履行合同所必需的设备和专业技术能力（根据项目需求提供履行合同所必需的设备和专业技术能力的声明函或证明材料）（格式见后附件）；</w:t>
            </w:r>
          </w:p>
        </w:tc>
        <w:tc>
          <w:tcPr>
            <w:tcW w:w="869" w:type="pct"/>
          </w:tcPr>
          <w:p w14:paraId="05CE11D3">
            <w:pPr>
              <w:jc w:val="center"/>
              <w:rPr>
                <w:rFonts w:hint="eastAsia" w:ascii="宋体" w:hAnsi="宋体" w:cs="宋体"/>
                <w:b/>
                <w:color w:val="auto"/>
                <w:szCs w:val="21"/>
                <w:highlight w:val="none"/>
              </w:rPr>
            </w:pPr>
          </w:p>
        </w:tc>
      </w:tr>
      <w:tr w14:paraId="2F07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16D2756">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有依法缴纳税收和社会保障资金的良好记录（提供响应截止时间前半年内（2025年</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月至2025年</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月）至少一个月缴纳税收（企业代缴的个人所得税除外）的凭据复印件加盖公章，并提供缴纳社会保险的凭据（专用收据或社会保险缴纳清单）复印件加盖公章，根据国家相关政策免缴或迟缴的需提供相关证明材料）；</w:t>
            </w:r>
          </w:p>
        </w:tc>
        <w:tc>
          <w:tcPr>
            <w:tcW w:w="869" w:type="pct"/>
          </w:tcPr>
          <w:p w14:paraId="19EEE6CD">
            <w:pPr>
              <w:jc w:val="center"/>
              <w:rPr>
                <w:rFonts w:hint="eastAsia" w:ascii="宋体" w:hAnsi="宋体" w:cs="宋体"/>
                <w:b/>
                <w:color w:val="auto"/>
                <w:szCs w:val="21"/>
                <w:highlight w:val="none"/>
              </w:rPr>
            </w:pPr>
          </w:p>
        </w:tc>
      </w:tr>
      <w:tr w14:paraId="198A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8410B9C">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参加采购活动前三年内，在经营活动中没有重大违法记录（提供参加本次采购活动前三年内在经营活动中没有重大违法记录的书面声明）（格式见后附件）；</w:t>
            </w:r>
          </w:p>
        </w:tc>
        <w:tc>
          <w:tcPr>
            <w:tcW w:w="869" w:type="pct"/>
          </w:tcPr>
          <w:p w14:paraId="24D5B0AA">
            <w:pPr>
              <w:jc w:val="center"/>
              <w:rPr>
                <w:rFonts w:hint="eastAsia" w:ascii="宋体" w:hAnsi="宋体" w:cs="宋体"/>
                <w:b/>
                <w:color w:val="auto"/>
                <w:szCs w:val="21"/>
                <w:highlight w:val="none"/>
              </w:rPr>
            </w:pPr>
          </w:p>
        </w:tc>
      </w:tr>
      <w:tr w14:paraId="46F6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5F1A1FE3">
            <w:pPr>
              <w:rPr>
                <w:rFonts w:hint="eastAsia" w:ascii="宋体" w:hAnsi="宋体" w:cs="宋体"/>
                <w:b/>
                <w:color w:val="auto"/>
                <w:szCs w:val="21"/>
                <w:highlight w:val="none"/>
              </w:rPr>
            </w:pPr>
            <w:r>
              <w:rPr>
                <w:rFonts w:hint="eastAsia" w:ascii="宋体" w:hAnsi="宋体" w:cs="宋体"/>
                <w:color w:val="auto"/>
                <w:szCs w:val="21"/>
                <w:highlight w:val="none"/>
              </w:rPr>
              <w:t>法律、行政法规规定的其他条件：无。</w:t>
            </w:r>
          </w:p>
        </w:tc>
        <w:tc>
          <w:tcPr>
            <w:tcW w:w="869" w:type="pct"/>
          </w:tcPr>
          <w:p w14:paraId="5877D46F">
            <w:pPr>
              <w:jc w:val="center"/>
              <w:rPr>
                <w:rFonts w:hint="eastAsia" w:ascii="宋体" w:hAnsi="宋体" w:cs="宋体"/>
                <w:b/>
                <w:color w:val="auto"/>
                <w:szCs w:val="21"/>
                <w:highlight w:val="none"/>
              </w:rPr>
            </w:pPr>
          </w:p>
        </w:tc>
      </w:tr>
      <w:tr w14:paraId="49AB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55A257A6">
            <w:pPr>
              <w:pStyle w:val="17"/>
              <w:spacing w:after="0" w:line="240" w:lineRule="auto"/>
              <w:ind w:firstLine="0" w:firstLineChars="0"/>
              <w:rPr>
                <w:rFonts w:hint="eastAsia" w:ascii="宋体" w:hAnsi="宋体" w:cs="宋体"/>
                <w:b/>
                <w:color w:val="auto"/>
                <w:sz w:val="21"/>
                <w:szCs w:val="21"/>
                <w:highlight w:val="none"/>
              </w:rPr>
            </w:pPr>
            <w:r>
              <w:rPr>
                <w:rFonts w:hint="eastAsia" w:ascii="宋体" w:hAnsi="宋体" w:cs="宋体"/>
                <w:color w:val="auto"/>
                <w:sz w:val="21"/>
                <w:szCs w:val="21"/>
                <w:highlight w:val="none"/>
              </w:rPr>
              <w:t>本项目的特定资格要求：无</w:t>
            </w:r>
          </w:p>
        </w:tc>
        <w:tc>
          <w:tcPr>
            <w:tcW w:w="869" w:type="pct"/>
          </w:tcPr>
          <w:p w14:paraId="7F5FC927">
            <w:pPr>
              <w:jc w:val="center"/>
              <w:rPr>
                <w:rFonts w:hint="eastAsia" w:ascii="宋体" w:hAnsi="宋体" w:cs="宋体"/>
                <w:b/>
                <w:color w:val="auto"/>
                <w:szCs w:val="21"/>
                <w:highlight w:val="none"/>
              </w:rPr>
            </w:pPr>
          </w:p>
        </w:tc>
      </w:tr>
      <w:tr w14:paraId="7990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45854A7">
            <w:pPr>
              <w:pStyle w:val="17"/>
              <w:spacing w:after="0" w:line="240" w:lineRule="auto"/>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拒绝下述供应商参加本次采购：</w:t>
            </w:r>
          </w:p>
          <w:p w14:paraId="47D1A036">
            <w:pPr>
              <w:pStyle w:val="17"/>
              <w:spacing w:after="0" w:line="240" w:lineRule="auto"/>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①供应商单位负责人为同一人或者存在直接控股、管理关系的不同供应商，不得参加同一合同项下的采购或采购活动；</w:t>
            </w:r>
          </w:p>
          <w:p w14:paraId="1BE74D80">
            <w:pPr>
              <w:pStyle w:val="17"/>
              <w:spacing w:after="0" w:line="240" w:lineRule="auto"/>
              <w:ind w:firstLine="0" w:firstLineChars="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②凡为本项目提供整体设计、规范编制或者项目管理、检测等服务的供应商，不得再参加本项目的采购或采购活动；</w:t>
            </w:r>
          </w:p>
          <w:p w14:paraId="45F26C02">
            <w:pPr>
              <w:jc w:val="left"/>
              <w:rPr>
                <w:rFonts w:hint="eastAsia" w:ascii="宋体" w:hAnsi="宋体" w:cs="宋体"/>
                <w:b/>
                <w:color w:val="auto"/>
                <w:szCs w:val="21"/>
                <w:highlight w:val="none"/>
              </w:rPr>
            </w:pPr>
            <w:r>
              <w:rPr>
                <w:rFonts w:hint="eastAsia" w:ascii="宋体" w:hAnsi="宋体" w:cs="宋体"/>
                <w:color w:val="auto"/>
                <w:szCs w:val="21"/>
                <w:highlight w:val="none"/>
              </w:rPr>
              <w:t>③供应商被“信用中国”网站（www.creditchina.gov.cn）列入失信被执行人、重大税收违法失信主体、严重违法失信行为记录名单。</w:t>
            </w:r>
          </w:p>
        </w:tc>
        <w:tc>
          <w:tcPr>
            <w:tcW w:w="869" w:type="pct"/>
          </w:tcPr>
          <w:p w14:paraId="60F94ED5">
            <w:pPr>
              <w:jc w:val="center"/>
              <w:rPr>
                <w:rFonts w:hint="eastAsia" w:ascii="宋体" w:hAnsi="宋体" w:cs="宋体"/>
                <w:b/>
                <w:color w:val="auto"/>
                <w:szCs w:val="21"/>
                <w:highlight w:val="none"/>
              </w:rPr>
            </w:pPr>
          </w:p>
        </w:tc>
      </w:tr>
      <w:tr w14:paraId="26E4A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370AF673">
            <w:pPr>
              <w:jc w:val="center"/>
              <w:rPr>
                <w:rFonts w:hint="eastAsia" w:ascii="宋体" w:hAnsi="宋体" w:cs="宋体"/>
                <w:b/>
                <w:color w:val="auto"/>
                <w:szCs w:val="21"/>
                <w:highlight w:val="none"/>
              </w:rPr>
            </w:pPr>
            <w:r>
              <w:rPr>
                <w:rFonts w:hint="eastAsia" w:ascii="宋体" w:hAnsi="宋体" w:cs="宋体"/>
                <w:b/>
                <w:color w:val="auto"/>
                <w:szCs w:val="21"/>
                <w:highlight w:val="none"/>
              </w:rPr>
              <w:t>评分项目</w:t>
            </w:r>
          </w:p>
        </w:tc>
        <w:tc>
          <w:tcPr>
            <w:tcW w:w="869" w:type="pct"/>
          </w:tcPr>
          <w:p w14:paraId="1DCA4C1A">
            <w:pPr>
              <w:jc w:val="center"/>
              <w:rPr>
                <w:rFonts w:hint="eastAsia"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29E2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207" w:type="dxa"/>
            <w:vAlign w:val="center"/>
          </w:tcPr>
          <w:p w14:paraId="4B6F2C1D">
            <w:pPr>
              <w:widowControl/>
              <w:jc w:val="center"/>
              <w:textAlignment w:val="center"/>
              <w:rPr>
                <w:rFonts w:hint="eastAsia" w:ascii="宋体" w:hAnsi="宋体" w:cs="宋体"/>
                <w:b/>
                <w:color w:val="auto"/>
                <w:sz w:val="22"/>
                <w:szCs w:val="21"/>
                <w:highlight w:val="none"/>
              </w:rPr>
            </w:pPr>
            <w:r>
              <w:rPr>
                <w:rFonts w:hint="eastAsia" w:ascii="宋体" w:hAnsi="宋体" w:cs="宋体"/>
                <w:b/>
                <w:color w:val="auto"/>
                <w:kern w:val="2"/>
                <w:sz w:val="22"/>
                <w:szCs w:val="21"/>
                <w:highlight w:val="none"/>
                <w:lang w:bidi="ar"/>
              </w:rPr>
              <w:t>投标报价</w:t>
            </w:r>
          </w:p>
          <w:p w14:paraId="36A5EB08">
            <w:pPr>
              <w:widowControl/>
              <w:jc w:val="center"/>
              <w:textAlignment w:val="center"/>
              <w:rPr>
                <w:rFonts w:hint="eastAsia" w:ascii="宋体" w:hAnsi="宋体" w:cs="宋体"/>
                <w:b/>
                <w:color w:val="auto"/>
                <w:szCs w:val="21"/>
                <w:highlight w:val="none"/>
              </w:rPr>
            </w:pPr>
            <w:r>
              <w:rPr>
                <w:rFonts w:hint="eastAsia" w:ascii="宋体" w:hAnsi="宋体" w:cs="宋体"/>
                <w:b/>
                <w:color w:val="auto"/>
                <w:kern w:val="2"/>
                <w:sz w:val="22"/>
                <w:szCs w:val="21"/>
                <w:highlight w:val="none"/>
                <w:lang w:bidi="ar"/>
              </w:rPr>
              <w:t>（30分）</w:t>
            </w:r>
          </w:p>
        </w:tc>
        <w:tc>
          <w:tcPr>
            <w:tcW w:w="3506" w:type="pct"/>
            <w:vAlign w:val="center"/>
          </w:tcPr>
          <w:p w14:paraId="7BDF1333">
            <w:pPr>
              <w:widowControl/>
              <w:textAlignment w:val="center"/>
              <w:rPr>
                <w:rFonts w:hint="eastAsia" w:ascii="宋体" w:hAnsi="宋体" w:cs="宋体"/>
                <w:color w:val="auto"/>
                <w:sz w:val="22"/>
                <w:szCs w:val="21"/>
                <w:highlight w:val="none"/>
              </w:rPr>
            </w:pPr>
            <w:r>
              <w:rPr>
                <w:rFonts w:hint="eastAsia" w:ascii="宋体" w:hAnsi="宋体" w:cs="宋体"/>
                <w:color w:val="auto"/>
                <w:kern w:val="2"/>
                <w:sz w:val="22"/>
                <w:szCs w:val="21"/>
                <w:highlight w:val="none"/>
                <w:lang w:bidi="ar"/>
              </w:rPr>
              <w:t>以满足采购文件要求且投标价格最低的投标报价为评标基准价，其价格分为满分。其他</w:t>
            </w:r>
            <w:r>
              <w:rPr>
                <w:rFonts w:hint="eastAsia" w:ascii="宋体" w:hAnsi="宋体" w:cs="宋体"/>
                <w:color w:val="auto"/>
                <w:kern w:val="2"/>
                <w:sz w:val="22"/>
                <w:szCs w:val="21"/>
                <w:highlight w:val="none"/>
                <w:lang w:eastAsia="zh-CN" w:bidi="ar"/>
              </w:rPr>
              <w:t>供应商</w:t>
            </w:r>
            <w:r>
              <w:rPr>
                <w:rFonts w:hint="eastAsia" w:ascii="宋体" w:hAnsi="宋体" w:cs="宋体"/>
                <w:color w:val="auto"/>
                <w:kern w:val="2"/>
                <w:sz w:val="22"/>
                <w:szCs w:val="21"/>
                <w:highlight w:val="none"/>
                <w:lang w:bidi="ar"/>
              </w:rPr>
              <w:t>的价格分统一按照以下公式计算：</w:t>
            </w:r>
          </w:p>
          <w:p w14:paraId="40AAB495">
            <w:pPr>
              <w:widowControl/>
              <w:textAlignment w:val="center"/>
              <w:rPr>
                <w:rFonts w:hint="eastAsia" w:ascii="宋体" w:hAnsi="宋体" w:cs="宋体"/>
                <w:b/>
                <w:color w:val="auto"/>
                <w:szCs w:val="21"/>
                <w:highlight w:val="none"/>
              </w:rPr>
            </w:pPr>
            <w:r>
              <w:rPr>
                <w:rFonts w:hint="eastAsia" w:ascii="宋体" w:hAnsi="宋体" w:cs="宋体"/>
                <w:color w:val="auto"/>
                <w:kern w:val="2"/>
                <w:sz w:val="22"/>
                <w:szCs w:val="21"/>
                <w:highlight w:val="none"/>
                <w:lang w:bidi="ar"/>
              </w:rPr>
              <w:t>报价得分=(评标基准价／投标报价)×30。</w:t>
            </w:r>
          </w:p>
        </w:tc>
        <w:tc>
          <w:tcPr>
            <w:tcW w:w="869" w:type="pct"/>
          </w:tcPr>
          <w:p w14:paraId="2B69CF37">
            <w:pPr>
              <w:rPr>
                <w:rFonts w:hint="eastAsia" w:ascii="宋体" w:hAnsi="宋体" w:cs="宋体"/>
                <w:b/>
                <w:color w:val="auto"/>
                <w:szCs w:val="21"/>
                <w:highlight w:val="none"/>
              </w:rPr>
            </w:pPr>
          </w:p>
        </w:tc>
      </w:tr>
      <w:tr w14:paraId="2653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207" w:type="dxa"/>
            <w:vAlign w:val="center"/>
          </w:tcPr>
          <w:p w14:paraId="199F7375">
            <w:pPr>
              <w:widowControl/>
              <w:jc w:val="center"/>
              <w:textAlignment w:val="center"/>
              <w:rPr>
                <w:rFonts w:hint="eastAsia" w:ascii="宋体" w:hAnsi="宋体" w:cs="宋体"/>
                <w:b/>
                <w:color w:val="auto"/>
                <w:sz w:val="22"/>
                <w:szCs w:val="21"/>
                <w:highlight w:val="none"/>
              </w:rPr>
            </w:pPr>
            <w:r>
              <w:rPr>
                <w:rFonts w:hint="eastAsia" w:ascii="宋体" w:hAnsi="宋体" w:cs="宋体"/>
                <w:b/>
                <w:bCs/>
                <w:color w:val="auto"/>
                <w:kern w:val="2"/>
                <w:sz w:val="22"/>
                <w:szCs w:val="21"/>
                <w:highlight w:val="none"/>
                <w:lang w:bidi="ar"/>
              </w:rPr>
              <w:t>业绩</w:t>
            </w:r>
          </w:p>
          <w:p w14:paraId="21D2D62F">
            <w:pPr>
              <w:widowControl/>
              <w:jc w:val="center"/>
              <w:textAlignment w:val="center"/>
              <w:rPr>
                <w:rFonts w:hint="eastAsia" w:ascii="宋体" w:hAnsi="宋体" w:cs="宋体"/>
                <w:b/>
                <w:color w:val="auto"/>
                <w:szCs w:val="21"/>
                <w:highlight w:val="none"/>
              </w:rPr>
            </w:pPr>
            <w:r>
              <w:rPr>
                <w:rFonts w:hint="eastAsia" w:ascii="宋体" w:hAnsi="宋体" w:cs="宋体"/>
                <w:b/>
                <w:bCs/>
                <w:color w:val="auto"/>
                <w:kern w:val="2"/>
                <w:sz w:val="22"/>
                <w:szCs w:val="21"/>
                <w:highlight w:val="none"/>
                <w:lang w:bidi="ar"/>
              </w:rPr>
              <w:t>（10分）</w:t>
            </w:r>
          </w:p>
        </w:tc>
        <w:tc>
          <w:tcPr>
            <w:tcW w:w="3506" w:type="pct"/>
            <w:vAlign w:val="center"/>
          </w:tcPr>
          <w:p w14:paraId="2B759ED8">
            <w:pPr>
              <w:widowControl/>
              <w:textAlignment w:val="center"/>
              <w:rPr>
                <w:rFonts w:hint="eastAsia" w:ascii="宋体" w:hAnsi="宋体" w:cs="宋体"/>
                <w:b/>
                <w:color w:val="auto"/>
                <w:szCs w:val="21"/>
                <w:highlight w:val="none"/>
              </w:rPr>
            </w:pPr>
            <w:r>
              <w:rPr>
                <w:rFonts w:hint="eastAsia" w:ascii="宋体" w:hAnsi="宋体" w:cs="宋体"/>
                <w:bCs/>
                <w:color w:val="auto"/>
                <w:kern w:val="2"/>
                <w:sz w:val="22"/>
                <w:szCs w:val="21"/>
                <w:highlight w:val="none"/>
                <w:lang w:eastAsia="zh-CN" w:bidi="ar"/>
              </w:rPr>
              <w:t>供应商</w:t>
            </w:r>
            <w:r>
              <w:rPr>
                <w:rFonts w:hint="eastAsia" w:ascii="宋体" w:hAnsi="宋体" w:cs="宋体"/>
                <w:bCs/>
                <w:color w:val="auto"/>
                <w:kern w:val="2"/>
                <w:sz w:val="22"/>
                <w:szCs w:val="21"/>
                <w:highlight w:val="none"/>
                <w:lang w:bidi="ar"/>
              </w:rPr>
              <w:t>自2022年1月1日以来（合同签订时间为准）具有同类业绩，每有1个案例得2分，最高得10分。（提供合同复印件加盖公章，未提供或不符合要求不得分）。</w:t>
            </w:r>
          </w:p>
        </w:tc>
        <w:tc>
          <w:tcPr>
            <w:tcW w:w="869" w:type="pct"/>
          </w:tcPr>
          <w:p w14:paraId="2B72D035">
            <w:pPr>
              <w:rPr>
                <w:rFonts w:hint="eastAsia" w:ascii="宋体" w:hAnsi="宋体" w:cs="宋体"/>
                <w:b/>
                <w:color w:val="auto"/>
                <w:szCs w:val="21"/>
                <w:highlight w:val="none"/>
              </w:rPr>
            </w:pPr>
          </w:p>
        </w:tc>
      </w:tr>
      <w:tr w14:paraId="112B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07" w:type="dxa"/>
            <w:vAlign w:val="center"/>
          </w:tcPr>
          <w:p w14:paraId="14498F81">
            <w:pPr>
              <w:widowControl/>
              <w:jc w:val="center"/>
              <w:textAlignment w:val="center"/>
              <w:rPr>
                <w:rFonts w:hint="eastAsia" w:ascii="宋体" w:hAnsi="宋体" w:cs="宋体"/>
                <w:b/>
                <w:color w:val="auto"/>
                <w:szCs w:val="21"/>
                <w:highlight w:val="none"/>
              </w:rPr>
            </w:pPr>
            <w:r>
              <w:rPr>
                <w:rFonts w:hint="eastAsia" w:ascii="宋体" w:hAnsi="宋体" w:cs="宋体"/>
                <w:b/>
                <w:bCs/>
                <w:color w:val="auto"/>
                <w:kern w:val="2"/>
                <w:sz w:val="22"/>
                <w:szCs w:val="21"/>
                <w:highlight w:val="none"/>
                <w:lang w:bidi="ar"/>
              </w:rPr>
              <w:t>履约能力（10）</w:t>
            </w:r>
          </w:p>
        </w:tc>
        <w:tc>
          <w:tcPr>
            <w:tcW w:w="3506" w:type="pct"/>
            <w:vAlign w:val="center"/>
          </w:tcPr>
          <w:p w14:paraId="63FB33D8">
            <w:pPr>
              <w:widowControl/>
              <w:textAlignment w:val="center"/>
              <w:rPr>
                <w:rFonts w:hint="eastAsia" w:ascii="宋体" w:hAnsi="宋体" w:cs="宋体"/>
                <w:bCs/>
                <w:color w:val="auto"/>
                <w:kern w:val="2"/>
                <w:sz w:val="22"/>
                <w:szCs w:val="21"/>
                <w:highlight w:val="none"/>
                <w:lang w:bidi="ar"/>
              </w:rPr>
            </w:pPr>
            <w:r>
              <w:rPr>
                <w:rFonts w:hint="eastAsia" w:ascii="宋体" w:hAnsi="宋体" w:cs="宋体"/>
                <w:bCs/>
                <w:color w:val="auto"/>
                <w:kern w:val="2"/>
                <w:sz w:val="22"/>
                <w:szCs w:val="21"/>
                <w:highlight w:val="none"/>
                <w:lang w:bidi="ar"/>
              </w:rPr>
              <w:t>拥有副高及以上专业技术职称 (电气工程及自动化或自动化或软件工程) 职称1人得2分，中级职称1人得1分，无职称的，不得分，本项最高得分10分。</w:t>
            </w:r>
          </w:p>
          <w:p w14:paraId="22C14DE4">
            <w:pPr>
              <w:widowControl/>
              <w:textAlignment w:val="center"/>
              <w:rPr>
                <w:rFonts w:hint="eastAsia" w:ascii="宋体" w:hAnsi="宋体" w:cs="宋体"/>
                <w:b/>
                <w:color w:val="auto"/>
                <w:szCs w:val="21"/>
                <w:highlight w:val="none"/>
              </w:rPr>
            </w:pPr>
            <w:r>
              <w:rPr>
                <w:rFonts w:hint="eastAsia" w:ascii="宋体" w:hAnsi="宋体" w:cs="宋体"/>
                <w:bCs/>
                <w:color w:val="auto"/>
                <w:kern w:val="2"/>
                <w:sz w:val="22"/>
                <w:szCs w:val="21"/>
                <w:highlight w:val="none"/>
                <w:lang w:bidi="ar"/>
              </w:rPr>
              <w:t>（以最高职称认定为准，不得重复计分。提供有效职称证书复印件加盖公章，同时提供投标截止时间前最近三个月内任意一个月投标供应商为其缴纳的社保证明，未提供或提供不全的不得分。）</w:t>
            </w:r>
          </w:p>
        </w:tc>
        <w:tc>
          <w:tcPr>
            <w:tcW w:w="869" w:type="pct"/>
          </w:tcPr>
          <w:p w14:paraId="1E55FD5A">
            <w:pPr>
              <w:rPr>
                <w:rFonts w:hint="eastAsia" w:ascii="宋体" w:hAnsi="宋体" w:cs="宋体"/>
                <w:b/>
                <w:color w:val="auto"/>
                <w:szCs w:val="21"/>
                <w:highlight w:val="none"/>
              </w:rPr>
            </w:pPr>
          </w:p>
        </w:tc>
      </w:tr>
      <w:tr w14:paraId="3959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207" w:type="dxa"/>
            <w:vAlign w:val="center"/>
          </w:tcPr>
          <w:p w14:paraId="5E9CC19F">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整体技术方案</w:t>
            </w:r>
          </w:p>
          <w:p w14:paraId="6E6B4B31">
            <w:pPr>
              <w:widowControl/>
              <w:jc w:val="center"/>
              <w:textAlignment w:val="center"/>
              <w:rPr>
                <w:rFonts w:hint="eastAsia" w:ascii="宋体" w:hAnsi="宋体" w:cs="宋体"/>
                <w:b/>
                <w:color w:val="auto"/>
                <w:szCs w:val="21"/>
                <w:highlight w:val="none"/>
              </w:rPr>
            </w:pPr>
            <w:r>
              <w:rPr>
                <w:rFonts w:hint="eastAsia" w:ascii="宋体" w:hAnsi="宋体" w:cs="宋体"/>
                <w:b/>
                <w:bCs/>
                <w:color w:val="auto"/>
                <w:kern w:val="2"/>
                <w:sz w:val="22"/>
                <w:szCs w:val="21"/>
                <w:highlight w:val="none"/>
                <w:lang w:bidi="ar"/>
              </w:rPr>
              <w:t>（10分）</w:t>
            </w:r>
          </w:p>
        </w:tc>
        <w:tc>
          <w:tcPr>
            <w:tcW w:w="3506" w:type="pct"/>
            <w:vAlign w:val="center"/>
          </w:tcPr>
          <w:p w14:paraId="4F99A8E0">
            <w:pPr>
              <w:widowControl/>
              <w:rPr>
                <w:rFonts w:hint="eastAsia" w:ascii="宋体" w:hAnsi="宋体" w:cs="宋体"/>
                <w:color w:val="auto"/>
                <w:kern w:val="2"/>
                <w:sz w:val="22"/>
                <w:highlight w:val="none"/>
                <w:lang w:eastAsia="zh-CN" w:bidi="ar"/>
              </w:rPr>
            </w:pPr>
            <w:r>
              <w:rPr>
                <w:rFonts w:hint="eastAsia" w:ascii="宋体" w:hAnsi="宋体" w:cs="宋体"/>
                <w:color w:val="auto"/>
                <w:kern w:val="2"/>
                <w:sz w:val="22"/>
                <w:highlight w:val="none"/>
                <w:lang w:bidi="ar"/>
              </w:rPr>
              <w:t>投标设备具有科学先进合理的整体技术解决方案，根据实际需求可进行升级开发，整体具有可扩展升级能力。根据技术方案的科学先进性、可扩充性、安全性等因素进行综合评审</w:t>
            </w:r>
            <w:r>
              <w:rPr>
                <w:rFonts w:hint="eastAsia" w:ascii="宋体" w:hAnsi="宋体" w:cs="宋体"/>
                <w:color w:val="auto"/>
                <w:kern w:val="2"/>
                <w:sz w:val="22"/>
                <w:highlight w:val="none"/>
                <w:lang w:eastAsia="zh-CN" w:bidi="ar"/>
              </w:rPr>
              <w:t>。</w:t>
            </w:r>
          </w:p>
          <w:p w14:paraId="7BD33873">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整体技术方案科学先进安全并具备良好的可扩展升级能力得10分，</w:t>
            </w:r>
          </w:p>
          <w:p w14:paraId="58C9432F">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整体技术方案比较科学先进并具备一定的可升级性得</w:t>
            </w:r>
            <w:r>
              <w:rPr>
                <w:rFonts w:hint="eastAsia" w:ascii="宋体" w:hAnsi="宋体" w:cs="宋体"/>
                <w:color w:val="auto"/>
                <w:kern w:val="2"/>
                <w:sz w:val="22"/>
                <w:highlight w:val="none"/>
                <w:lang w:val="en-US" w:eastAsia="zh-CN" w:bidi="ar"/>
              </w:rPr>
              <w:t>7</w:t>
            </w:r>
            <w:r>
              <w:rPr>
                <w:rFonts w:hint="eastAsia" w:ascii="宋体" w:hAnsi="宋体" w:cs="宋体"/>
                <w:color w:val="auto"/>
                <w:kern w:val="2"/>
                <w:sz w:val="22"/>
                <w:highlight w:val="none"/>
                <w:lang w:bidi="ar"/>
              </w:rPr>
              <w:t>分，</w:t>
            </w:r>
          </w:p>
          <w:p w14:paraId="159F7EED">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整体技术方案科学先进性及可升级性均一般得</w:t>
            </w:r>
            <w:r>
              <w:rPr>
                <w:rFonts w:hint="eastAsia" w:ascii="宋体" w:hAnsi="宋体" w:cs="宋体"/>
                <w:color w:val="auto"/>
                <w:kern w:val="2"/>
                <w:sz w:val="22"/>
                <w:highlight w:val="none"/>
                <w:lang w:val="en-US" w:eastAsia="zh-CN" w:bidi="ar"/>
              </w:rPr>
              <w:t>4</w:t>
            </w:r>
            <w:r>
              <w:rPr>
                <w:rFonts w:hint="eastAsia" w:ascii="宋体" w:hAnsi="宋体" w:cs="宋体"/>
                <w:color w:val="auto"/>
                <w:kern w:val="2"/>
                <w:sz w:val="22"/>
                <w:highlight w:val="none"/>
                <w:lang w:bidi="ar"/>
              </w:rPr>
              <w:t>分，</w:t>
            </w:r>
          </w:p>
          <w:p w14:paraId="34D0AE0A">
            <w:pPr>
              <w:widowControl/>
              <w:rPr>
                <w:rFonts w:hint="eastAsia" w:ascii="宋体" w:hAnsi="宋体" w:cs="宋体"/>
                <w:b/>
                <w:color w:val="auto"/>
                <w:szCs w:val="21"/>
                <w:highlight w:val="none"/>
              </w:rPr>
            </w:pPr>
            <w:r>
              <w:rPr>
                <w:rFonts w:hint="eastAsia" w:ascii="宋体" w:hAnsi="宋体" w:cs="宋体"/>
                <w:color w:val="auto"/>
                <w:kern w:val="2"/>
                <w:sz w:val="22"/>
                <w:highlight w:val="none"/>
                <w:lang w:bidi="ar"/>
              </w:rPr>
              <w:t>整体技术方案差</w:t>
            </w:r>
            <w:r>
              <w:rPr>
                <w:rFonts w:hint="eastAsia" w:ascii="宋体" w:hAnsi="宋体" w:cs="宋体"/>
                <w:color w:val="auto"/>
                <w:kern w:val="2"/>
                <w:sz w:val="22"/>
                <w:highlight w:val="none"/>
                <w:lang w:val="en-US" w:eastAsia="zh-CN" w:bidi="ar"/>
              </w:rPr>
              <w:t>或</w:t>
            </w:r>
            <w:r>
              <w:rPr>
                <w:rFonts w:hint="eastAsia" w:ascii="宋体" w:hAnsi="宋体" w:cs="宋体"/>
                <w:color w:val="auto"/>
                <w:kern w:val="2"/>
                <w:sz w:val="22"/>
                <w:highlight w:val="none"/>
                <w:lang w:bidi="ar"/>
              </w:rPr>
              <w:t>未提供整体技术方案</w:t>
            </w:r>
            <w:r>
              <w:rPr>
                <w:rFonts w:hint="eastAsia" w:ascii="宋体" w:hAnsi="宋体" w:cs="宋体"/>
                <w:color w:val="auto"/>
                <w:kern w:val="2"/>
                <w:sz w:val="22"/>
                <w:highlight w:val="none"/>
                <w:lang w:val="en-US" w:eastAsia="zh-CN" w:bidi="ar"/>
              </w:rPr>
              <w:t>的不得分</w:t>
            </w:r>
            <w:r>
              <w:rPr>
                <w:rFonts w:hint="eastAsia" w:ascii="宋体" w:hAnsi="宋体" w:cs="宋体"/>
                <w:color w:val="auto"/>
                <w:kern w:val="2"/>
                <w:sz w:val="22"/>
                <w:highlight w:val="none"/>
                <w:lang w:bidi="ar"/>
              </w:rPr>
              <w:t>。</w:t>
            </w:r>
          </w:p>
        </w:tc>
        <w:tc>
          <w:tcPr>
            <w:tcW w:w="869" w:type="pct"/>
          </w:tcPr>
          <w:p w14:paraId="02519245">
            <w:pPr>
              <w:rPr>
                <w:rFonts w:hint="eastAsia" w:ascii="宋体" w:hAnsi="宋体" w:cs="宋体"/>
                <w:b/>
                <w:color w:val="auto"/>
                <w:szCs w:val="21"/>
                <w:highlight w:val="none"/>
              </w:rPr>
            </w:pPr>
          </w:p>
        </w:tc>
      </w:tr>
      <w:tr w14:paraId="1E88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Align w:val="center"/>
          </w:tcPr>
          <w:p w14:paraId="7C75CC72">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项目实施方案</w:t>
            </w:r>
          </w:p>
          <w:p w14:paraId="6765BA95">
            <w:pPr>
              <w:widowControl/>
              <w:jc w:val="center"/>
              <w:textAlignment w:val="center"/>
              <w:rPr>
                <w:rFonts w:hint="eastAsia" w:ascii="宋体" w:hAnsi="宋体" w:cs="宋体"/>
                <w:b/>
                <w:color w:val="auto"/>
                <w:szCs w:val="21"/>
                <w:highlight w:val="none"/>
              </w:rPr>
            </w:pPr>
            <w:r>
              <w:rPr>
                <w:rFonts w:hint="eastAsia" w:ascii="宋体" w:hAnsi="宋体" w:cs="宋体"/>
                <w:b/>
                <w:bCs/>
                <w:color w:val="auto"/>
                <w:kern w:val="2"/>
                <w:sz w:val="22"/>
                <w:szCs w:val="21"/>
                <w:highlight w:val="none"/>
                <w:lang w:bidi="ar"/>
              </w:rPr>
              <w:t>（10分）</w:t>
            </w:r>
          </w:p>
        </w:tc>
        <w:tc>
          <w:tcPr>
            <w:tcW w:w="3506" w:type="pct"/>
            <w:vAlign w:val="center"/>
          </w:tcPr>
          <w:p w14:paraId="4B0C4D29">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根据供应商提供的项目整体实施方案（包括项目组织实施、人员、安装、调试、培训、系统验收等），内容是否详细、思路清晰、先进性等进行综合评分；</w:t>
            </w:r>
          </w:p>
          <w:p w14:paraId="14B3073D">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整体实施方案详尽、合理，针对性强的得10分；</w:t>
            </w:r>
          </w:p>
          <w:p w14:paraId="56ECF127">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方案内容合理，针对性不强的得</w:t>
            </w:r>
            <w:r>
              <w:rPr>
                <w:rFonts w:hint="eastAsia" w:ascii="宋体" w:hAnsi="宋体" w:cs="宋体"/>
                <w:color w:val="auto"/>
                <w:kern w:val="2"/>
                <w:sz w:val="22"/>
                <w:highlight w:val="none"/>
                <w:lang w:val="en-US" w:eastAsia="zh-CN" w:bidi="ar"/>
              </w:rPr>
              <w:t>7</w:t>
            </w:r>
            <w:r>
              <w:rPr>
                <w:rFonts w:hint="eastAsia" w:ascii="宋体" w:hAnsi="宋体" w:cs="宋体"/>
                <w:color w:val="auto"/>
                <w:kern w:val="2"/>
                <w:sz w:val="22"/>
                <w:highlight w:val="none"/>
                <w:lang w:bidi="ar"/>
              </w:rPr>
              <w:t>分；</w:t>
            </w:r>
          </w:p>
          <w:p w14:paraId="46B84603">
            <w:pPr>
              <w:widowControl/>
              <w:rPr>
                <w:rFonts w:hint="eastAsia" w:ascii="宋体" w:hAnsi="宋体" w:cs="宋体"/>
                <w:color w:val="auto"/>
                <w:kern w:val="2"/>
                <w:sz w:val="22"/>
                <w:highlight w:val="none"/>
                <w:lang w:bidi="ar"/>
              </w:rPr>
            </w:pPr>
            <w:r>
              <w:rPr>
                <w:rFonts w:hint="eastAsia" w:ascii="宋体" w:hAnsi="宋体" w:cs="宋体"/>
                <w:color w:val="auto"/>
                <w:kern w:val="2"/>
                <w:sz w:val="22"/>
                <w:highlight w:val="none"/>
                <w:lang w:bidi="ar"/>
              </w:rPr>
              <w:t>方案内容不完整，有明显漏洞的得</w:t>
            </w:r>
            <w:r>
              <w:rPr>
                <w:rFonts w:hint="eastAsia" w:ascii="宋体" w:hAnsi="宋体" w:cs="宋体"/>
                <w:color w:val="auto"/>
                <w:kern w:val="2"/>
                <w:sz w:val="22"/>
                <w:highlight w:val="none"/>
                <w:lang w:val="en-US" w:eastAsia="zh-CN" w:bidi="ar"/>
              </w:rPr>
              <w:t>4</w:t>
            </w:r>
            <w:r>
              <w:rPr>
                <w:rFonts w:hint="eastAsia" w:ascii="宋体" w:hAnsi="宋体" w:cs="宋体"/>
                <w:color w:val="auto"/>
                <w:kern w:val="2"/>
                <w:sz w:val="22"/>
                <w:highlight w:val="none"/>
                <w:lang w:bidi="ar"/>
              </w:rPr>
              <w:t>分；</w:t>
            </w:r>
          </w:p>
          <w:p w14:paraId="6DDAB4FE">
            <w:pPr>
              <w:widowControl/>
              <w:rPr>
                <w:rFonts w:hint="eastAsia" w:ascii="宋体" w:hAnsi="宋体" w:cs="宋体"/>
                <w:b/>
                <w:color w:val="auto"/>
                <w:szCs w:val="21"/>
                <w:highlight w:val="none"/>
              </w:rPr>
            </w:pPr>
            <w:r>
              <w:rPr>
                <w:rFonts w:hint="eastAsia" w:ascii="宋体" w:hAnsi="宋体" w:cs="宋体"/>
                <w:color w:val="auto"/>
                <w:kern w:val="2"/>
                <w:sz w:val="22"/>
                <w:highlight w:val="none"/>
                <w:lang w:bidi="ar"/>
              </w:rPr>
              <w:t>完全不满足或未提供整体项目实施方案的</w:t>
            </w:r>
            <w:r>
              <w:rPr>
                <w:rFonts w:hint="eastAsia" w:ascii="宋体" w:hAnsi="宋体" w:cs="宋体"/>
                <w:color w:val="auto"/>
                <w:kern w:val="2"/>
                <w:sz w:val="22"/>
                <w:highlight w:val="none"/>
                <w:lang w:val="en-US" w:eastAsia="zh-CN" w:bidi="ar"/>
              </w:rPr>
              <w:t>不得分</w:t>
            </w:r>
            <w:r>
              <w:rPr>
                <w:rFonts w:hint="eastAsia" w:ascii="宋体" w:hAnsi="宋体" w:cs="宋体"/>
                <w:color w:val="auto"/>
                <w:kern w:val="2"/>
                <w:sz w:val="22"/>
                <w:highlight w:val="none"/>
                <w:lang w:bidi="ar"/>
              </w:rPr>
              <w:t>。</w:t>
            </w:r>
          </w:p>
        </w:tc>
        <w:tc>
          <w:tcPr>
            <w:tcW w:w="869" w:type="pct"/>
          </w:tcPr>
          <w:p w14:paraId="2D3B7878">
            <w:pPr>
              <w:rPr>
                <w:rFonts w:hint="eastAsia" w:ascii="宋体" w:hAnsi="宋体" w:cs="宋体"/>
                <w:b/>
                <w:color w:val="auto"/>
                <w:szCs w:val="21"/>
                <w:highlight w:val="none"/>
              </w:rPr>
            </w:pPr>
          </w:p>
        </w:tc>
      </w:tr>
      <w:tr w14:paraId="6EA4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Align w:val="center"/>
          </w:tcPr>
          <w:p w14:paraId="1941B1C6">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售后服务方案</w:t>
            </w:r>
          </w:p>
          <w:p w14:paraId="012C5780">
            <w:pPr>
              <w:widowControl/>
              <w:jc w:val="center"/>
              <w:textAlignment w:val="center"/>
              <w:rPr>
                <w:rFonts w:hint="eastAsia" w:ascii="宋体" w:hAnsi="宋体" w:cs="宋体"/>
                <w:b/>
                <w:color w:val="auto"/>
                <w:szCs w:val="21"/>
                <w:highlight w:val="none"/>
              </w:rPr>
            </w:pPr>
            <w:r>
              <w:rPr>
                <w:rFonts w:hint="eastAsia" w:ascii="宋体" w:hAnsi="宋体" w:cs="宋体"/>
                <w:b/>
                <w:bCs/>
                <w:color w:val="auto"/>
                <w:kern w:val="2"/>
                <w:sz w:val="22"/>
                <w:szCs w:val="21"/>
                <w:highlight w:val="none"/>
                <w:lang w:bidi="ar"/>
              </w:rPr>
              <w:t>（10分）</w:t>
            </w:r>
          </w:p>
        </w:tc>
        <w:tc>
          <w:tcPr>
            <w:tcW w:w="3506" w:type="pct"/>
            <w:vAlign w:val="center"/>
          </w:tcPr>
          <w:p w14:paraId="4C1526E4">
            <w:pPr>
              <w:widowControl/>
              <w:rPr>
                <w:rFonts w:hint="eastAsia" w:ascii="宋体" w:hAnsi="宋体" w:cs="宋体"/>
                <w:color w:val="auto"/>
                <w:sz w:val="22"/>
                <w:highlight w:val="none"/>
              </w:rPr>
            </w:pPr>
            <w:r>
              <w:rPr>
                <w:rFonts w:hint="eastAsia" w:ascii="宋体" w:hAnsi="宋体" w:cs="宋体"/>
                <w:color w:val="auto"/>
                <w:kern w:val="2"/>
                <w:sz w:val="22"/>
                <w:highlight w:val="none"/>
                <w:lang w:bidi="ar"/>
              </w:rPr>
              <w:t>响应机制合理，处理问题及时、复杂问题有明确的处理及反馈机制、对项目实施过程中会出现的问题有前瞻性。得10分；</w:t>
            </w:r>
          </w:p>
          <w:p w14:paraId="6793DC25">
            <w:pPr>
              <w:widowControl/>
              <w:rPr>
                <w:rFonts w:hint="eastAsia" w:ascii="宋体" w:hAnsi="宋体" w:cs="宋体"/>
                <w:color w:val="auto"/>
                <w:sz w:val="22"/>
                <w:highlight w:val="none"/>
              </w:rPr>
            </w:pPr>
            <w:r>
              <w:rPr>
                <w:rFonts w:hint="eastAsia" w:ascii="宋体" w:hAnsi="宋体" w:cs="宋体"/>
                <w:color w:val="auto"/>
                <w:kern w:val="2"/>
                <w:sz w:val="22"/>
                <w:highlight w:val="none"/>
                <w:lang w:bidi="ar"/>
              </w:rPr>
              <w:t>响应机制较为合理、处理问题较为及时、对问题的处理有相应的处理机制、对部分问题有前瞻性。得8分；</w:t>
            </w:r>
          </w:p>
          <w:p w14:paraId="7487F2AA">
            <w:pPr>
              <w:widowControl/>
              <w:rPr>
                <w:rFonts w:hint="eastAsia" w:ascii="宋体" w:hAnsi="宋体" w:cs="宋体"/>
                <w:color w:val="auto"/>
                <w:sz w:val="22"/>
                <w:highlight w:val="none"/>
              </w:rPr>
            </w:pPr>
            <w:r>
              <w:rPr>
                <w:rFonts w:hint="eastAsia" w:ascii="宋体" w:hAnsi="宋体" w:cs="宋体"/>
                <w:color w:val="auto"/>
                <w:kern w:val="2"/>
                <w:sz w:val="22"/>
                <w:highlight w:val="none"/>
                <w:lang w:bidi="ar"/>
              </w:rPr>
              <w:t>响应机制及处理问题基本合理、能够处理出现的问题，但前瞻性不足。得6分；</w:t>
            </w:r>
          </w:p>
          <w:p w14:paraId="3FA38B15">
            <w:pPr>
              <w:rPr>
                <w:color w:val="auto"/>
                <w:sz w:val="22"/>
                <w:highlight w:val="none"/>
              </w:rPr>
            </w:pPr>
            <w:r>
              <w:rPr>
                <w:rFonts w:hint="eastAsia" w:ascii="Times New Roman" w:hAnsi="Times New Roman" w:cs="宋体"/>
                <w:color w:val="auto"/>
                <w:kern w:val="2"/>
                <w:sz w:val="22"/>
                <w:highlight w:val="none"/>
                <w:lang w:bidi="ar"/>
              </w:rPr>
              <w:t>响应机制及处理问题有缺陷、问题处理方式有欠缺，无前瞻性。得</w:t>
            </w:r>
            <w:r>
              <w:rPr>
                <w:rFonts w:ascii="Times New Roman" w:hAnsi="Times New Roman"/>
                <w:color w:val="auto"/>
                <w:kern w:val="2"/>
                <w:sz w:val="22"/>
                <w:highlight w:val="none"/>
                <w:lang w:bidi="ar"/>
              </w:rPr>
              <w:t>4</w:t>
            </w:r>
            <w:r>
              <w:rPr>
                <w:rFonts w:hint="eastAsia" w:ascii="Times New Roman" w:hAnsi="Times New Roman" w:cs="宋体"/>
                <w:color w:val="auto"/>
                <w:kern w:val="2"/>
                <w:sz w:val="22"/>
                <w:highlight w:val="none"/>
                <w:lang w:bidi="ar"/>
              </w:rPr>
              <w:t>分；</w:t>
            </w:r>
          </w:p>
          <w:p w14:paraId="035035E9">
            <w:pPr>
              <w:rPr>
                <w:color w:val="auto"/>
                <w:sz w:val="22"/>
                <w:highlight w:val="none"/>
              </w:rPr>
            </w:pPr>
            <w:r>
              <w:rPr>
                <w:rFonts w:hint="eastAsia" w:ascii="Times New Roman" w:hAnsi="Times New Roman" w:cs="宋体"/>
                <w:color w:val="auto"/>
                <w:kern w:val="2"/>
                <w:sz w:val="22"/>
                <w:highlight w:val="none"/>
                <w:lang w:bidi="ar"/>
              </w:rPr>
              <w:t>售后方案不明确或不合理，无相应的处理问题方式。得</w:t>
            </w:r>
            <w:r>
              <w:rPr>
                <w:rFonts w:ascii="Times New Roman" w:hAnsi="Times New Roman"/>
                <w:color w:val="auto"/>
                <w:kern w:val="2"/>
                <w:sz w:val="22"/>
                <w:highlight w:val="none"/>
                <w:lang w:bidi="ar"/>
              </w:rPr>
              <w:t>2</w:t>
            </w:r>
            <w:r>
              <w:rPr>
                <w:rFonts w:hint="eastAsia" w:ascii="Times New Roman" w:hAnsi="Times New Roman" w:cs="宋体"/>
                <w:color w:val="auto"/>
                <w:kern w:val="2"/>
                <w:sz w:val="22"/>
                <w:highlight w:val="none"/>
                <w:lang w:bidi="ar"/>
              </w:rPr>
              <w:t>分。</w:t>
            </w:r>
          </w:p>
          <w:p w14:paraId="114869BE">
            <w:pPr>
              <w:widowControl/>
              <w:textAlignment w:val="center"/>
              <w:rPr>
                <w:rFonts w:hint="eastAsia" w:ascii="宋体" w:hAnsi="宋体" w:cs="宋体"/>
                <w:b/>
                <w:color w:val="auto"/>
                <w:szCs w:val="21"/>
                <w:highlight w:val="none"/>
              </w:rPr>
            </w:pPr>
            <w:r>
              <w:rPr>
                <w:rFonts w:hint="eastAsia" w:ascii="Times New Roman" w:hAnsi="Times New Roman" w:cs="宋体"/>
                <w:color w:val="auto"/>
                <w:kern w:val="2"/>
                <w:sz w:val="22"/>
                <w:highlight w:val="none"/>
                <w:lang w:bidi="ar"/>
              </w:rPr>
              <w:t>未提供不得分。</w:t>
            </w:r>
          </w:p>
        </w:tc>
        <w:tc>
          <w:tcPr>
            <w:tcW w:w="869" w:type="pct"/>
          </w:tcPr>
          <w:p w14:paraId="11E12100">
            <w:pPr>
              <w:rPr>
                <w:rFonts w:hint="eastAsia" w:ascii="宋体" w:hAnsi="宋体" w:cs="宋体"/>
                <w:b/>
                <w:color w:val="auto"/>
                <w:szCs w:val="21"/>
                <w:highlight w:val="none"/>
              </w:rPr>
            </w:pPr>
          </w:p>
        </w:tc>
      </w:tr>
      <w:tr w14:paraId="110B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Align w:val="center"/>
          </w:tcPr>
          <w:p w14:paraId="20848BFF">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服务及时性</w:t>
            </w:r>
          </w:p>
          <w:p w14:paraId="2FBAB3EF">
            <w:pPr>
              <w:widowControl/>
              <w:jc w:val="center"/>
              <w:textAlignment w:val="center"/>
              <w:rPr>
                <w:rFonts w:hint="eastAsia" w:ascii="宋体" w:hAnsi="宋体" w:cs="宋体"/>
                <w:b/>
                <w:color w:val="auto"/>
                <w:szCs w:val="21"/>
                <w:highlight w:val="none"/>
              </w:rPr>
            </w:pPr>
            <w:r>
              <w:rPr>
                <w:rFonts w:hint="eastAsia" w:ascii="宋体" w:hAnsi="宋体" w:cs="宋体"/>
                <w:b/>
                <w:bCs/>
                <w:color w:val="auto"/>
                <w:kern w:val="2"/>
                <w:sz w:val="22"/>
                <w:szCs w:val="21"/>
                <w:highlight w:val="none"/>
                <w:lang w:bidi="ar"/>
              </w:rPr>
              <w:t>（10分）</w:t>
            </w:r>
          </w:p>
        </w:tc>
        <w:tc>
          <w:tcPr>
            <w:tcW w:w="3506" w:type="pct"/>
            <w:vAlign w:val="center"/>
          </w:tcPr>
          <w:p w14:paraId="68923777">
            <w:pPr>
              <w:rPr>
                <w:rFonts w:hint="eastAsia" w:ascii="宋体" w:hAnsi="宋体" w:cs="宋体"/>
                <w:b/>
                <w:color w:val="auto"/>
                <w:szCs w:val="21"/>
                <w:highlight w:val="none"/>
              </w:rPr>
            </w:pPr>
            <w:r>
              <w:rPr>
                <w:rFonts w:hint="eastAsia" w:ascii="宋体" w:hAnsi="宋体" w:cs="宋体"/>
                <w:color w:val="auto"/>
                <w:kern w:val="2"/>
                <w:szCs w:val="21"/>
                <w:highlight w:val="none"/>
                <w:lang w:eastAsia="zh-CN" w:bidi="ar"/>
              </w:rPr>
              <w:t>供应商</w:t>
            </w:r>
            <w:r>
              <w:rPr>
                <w:rFonts w:hint="eastAsia" w:ascii="宋体" w:hAnsi="宋体" w:cs="宋体"/>
                <w:color w:val="auto"/>
                <w:kern w:val="2"/>
                <w:szCs w:val="21"/>
                <w:highlight w:val="none"/>
                <w:lang w:bidi="ar"/>
              </w:rPr>
              <w:t>或设备制造商承诺在软件使用期间（无论是否过保）可在24小时内为招标人提供技术指导或解决故障服务的得10分；在48小时内为招标人提供技术指导或解决故障服务的得5分；超过48小时为招标人提供技术指导或解决故障服务的得0分；（需提供承诺及切实可行的保障措施。若评标委员会认为保障措施不具备可行性或未提供保障措施，本项不得分，加盖公章。）</w:t>
            </w:r>
          </w:p>
        </w:tc>
        <w:tc>
          <w:tcPr>
            <w:tcW w:w="869" w:type="pct"/>
          </w:tcPr>
          <w:p w14:paraId="63FE33E3">
            <w:pPr>
              <w:rPr>
                <w:rFonts w:hint="eastAsia" w:ascii="宋体" w:hAnsi="宋体" w:cs="宋体"/>
                <w:b/>
                <w:color w:val="auto"/>
                <w:szCs w:val="21"/>
                <w:highlight w:val="none"/>
              </w:rPr>
            </w:pPr>
          </w:p>
        </w:tc>
      </w:tr>
      <w:tr w14:paraId="7AEAF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Align w:val="center"/>
          </w:tcPr>
          <w:p w14:paraId="0946B691">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产品培训方案</w:t>
            </w:r>
          </w:p>
          <w:p w14:paraId="16CE065D">
            <w:pPr>
              <w:widowControl/>
              <w:jc w:val="center"/>
              <w:textAlignment w:val="center"/>
              <w:rPr>
                <w:rFonts w:hint="eastAsia" w:ascii="宋体" w:hAnsi="宋体" w:cs="宋体"/>
                <w:b/>
                <w:color w:val="auto"/>
                <w:szCs w:val="21"/>
                <w:highlight w:val="none"/>
              </w:rPr>
            </w:pPr>
            <w:r>
              <w:rPr>
                <w:rFonts w:hint="eastAsia" w:ascii="宋体" w:hAnsi="宋体" w:cs="宋体"/>
                <w:b/>
                <w:bCs/>
                <w:color w:val="auto"/>
                <w:kern w:val="2"/>
                <w:sz w:val="22"/>
                <w:szCs w:val="21"/>
                <w:highlight w:val="none"/>
                <w:lang w:bidi="ar"/>
              </w:rPr>
              <w:t>（7）</w:t>
            </w:r>
          </w:p>
        </w:tc>
        <w:tc>
          <w:tcPr>
            <w:tcW w:w="3506" w:type="pct"/>
            <w:vAlign w:val="center"/>
          </w:tcPr>
          <w:p w14:paraId="38DBED74">
            <w:pPr>
              <w:rPr>
                <w:color w:val="auto"/>
                <w:sz w:val="22"/>
                <w:highlight w:val="none"/>
              </w:rPr>
            </w:pPr>
            <w:r>
              <w:rPr>
                <w:rFonts w:hint="eastAsia" w:ascii="Times New Roman" w:hAnsi="Times New Roman" w:cs="宋体"/>
                <w:color w:val="auto"/>
                <w:kern w:val="2"/>
                <w:sz w:val="22"/>
                <w:highlight w:val="none"/>
                <w:lang w:bidi="ar"/>
              </w:rPr>
              <w:t>根据</w:t>
            </w:r>
            <w:r>
              <w:rPr>
                <w:rFonts w:hint="eastAsia" w:ascii="Times New Roman" w:hAnsi="Times New Roman" w:cs="宋体"/>
                <w:color w:val="auto"/>
                <w:kern w:val="2"/>
                <w:sz w:val="22"/>
                <w:highlight w:val="none"/>
                <w:lang w:eastAsia="zh-CN" w:bidi="ar"/>
              </w:rPr>
              <w:t>供应商</w:t>
            </w:r>
            <w:r>
              <w:rPr>
                <w:rFonts w:hint="eastAsia" w:ascii="Times New Roman" w:hAnsi="Times New Roman" w:cs="宋体"/>
                <w:color w:val="auto"/>
                <w:kern w:val="2"/>
                <w:sz w:val="22"/>
                <w:highlight w:val="none"/>
                <w:lang w:bidi="ar"/>
              </w:rPr>
              <w:t>提供的培训方案（包括但不限于培训计划、具体安排、时间规划、培训内容及培训效果评价、培训质量保证等）。</w:t>
            </w:r>
          </w:p>
          <w:p w14:paraId="5AE1D731">
            <w:pPr>
              <w:rPr>
                <w:color w:val="auto"/>
                <w:sz w:val="22"/>
                <w:highlight w:val="none"/>
              </w:rPr>
            </w:pPr>
            <w:r>
              <w:rPr>
                <w:rFonts w:hint="eastAsia" w:ascii="Times New Roman" w:hAnsi="Times New Roman" w:cs="宋体"/>
                <w:color w:val="auto"/>
                <w:kern w:val="2"/>
                <w:sz w:val="22"/>
                <w:highlight w:val="none"/>
                <w:lang w:bidi="ar"/>
              </w:rPr>
              <w:t>培训方式多样，内容丰富，针对性强得</w:t>
            </w:r>
            <w:r>
              <w:rPr>
                <w:rFonts w:ascii="Times New Roman" w:hAnsi="Times New Roman"/>
                <w:color w:val="auto"/>
                <w:kern w:val="2"/>
                <w:sz w:val="22"/>
                <w:highlight w:val="none"/>
                <w:lang w:bidi="ar"/>
              </w:rPr>
              <w:t>7</w:t>
            </w:r>
            <w:r>
              <w:rPr>
                <w:rFonts w:hint="eastAsia" w:ascii="Times New Roman" w:hAnsi="Times New Roman" w:cs="宋体"/>
                <w:color w:val="auto"/>
                <w:kern w:val="2"/>
                <w:sz w:val="22"/>
                <w:highlight w:val="none"/>
                <w:lang w:bidi="ar"/>
              </w:rPr>
              <w:t>分；</w:t>
            </w:r>
          </w:p>
          <w:p w14:paraId="06E29993">
            <w:pPr>
              <w:rPr>
                <w:color w:val="auto"/>
                <w:sz w:val="22"/>
                <w:highlight w:val="none"/>
              </w:rPr>
            </w:pPr>
            <w:r>
              <w:rPr>
                <w:rFonts w:hint="eastAsia" w:ascii="Times New Roman" w:hAnsi="Times New Roman" w:cs="宋体"/>
                <w:color w:val="auto"/>
                <w:kern w:val="2"/>
                <w:sz w:val="22"/>
                <w:highlight w:val="none"/>
                <w:lang w:bidi="ar"/>
              </w:rPr>
              <w:t>培训方式简单，内容完整，针对性较强得</w:t>
            </w:r>
            <w:r>
              <w:rPr>
                <w:rFonts w:ascii="Times New Roman" w:hAnsi="Times New Roman"/>
                <w:color w:val="auto"/>
                <w:kern w:val="2"/>
                <w:sz w:val="22"/>
                <w:highlight w:val="none"/>
                <w:lang w:bidi="ar"/>
              </w:rPr>
              <w:t>5</w:t>
            </w:r>
            <w:r>
              <w:rPr>
                <w:rFonts w:hint="eastAsia" w:ascii="Times New Roman" w:hAnsi="Times New Roman" w:cs="宋体"/>
                <w:color w:val="auto"/>
                <w:kern w:val="2"/>
                <w:sz w:val="22"/>
                <w:highlight w:val="none"/>
                <w:lang w:bidi="ar"/>
              </w:rPr>
              <w:t>分；</w:t>
            </w:r>
          </w:p>
          <w:p w14:paraId="083117C6">
            <w:pPr>
              <w:rPr>
                <w:color w:val="auto"/>
                <w:sz w:val="22"/>
                <w:highlight w:val="none"/>
              </w:rPr>
            </w:pPr>
            <w:r>
              <w:rPr>
                <w:rFonts w:hint="eastAsia" w:ascii="Times New Roman" w:hAnsi="Times New Roman" w:cs="宋体"/>
                <w:color w:val="auto"/>
                <w:kern w:val="2"/>
                <w:sz w:val="22"/>
                <w:highlight w:val="none"/>
                <w:lang w:bidi="ar"/>
              </w:rPr>
              <w:t>培训方式单一，内容少，针对性较弱得</w:t>
            </w:r>
            <w:r>
              <w:rPr>
                <w:rFonts w:ascii="Times New Roman" w:hAnsi="Times New Roman"/>
                <w:color w:val="auto"/>
                <w:kern w:val="2"/>
                <w:sz w:val="22"/>
                <w:highlight w:val="none"/>
                <w:lang w:bidi="ar"/>
              </w:rPr>
              <w:t>3</w:t>
            </w:r>
            <w:r>
              <w:rPr>
                <w:rFonts w:hint="eastAsia" w:ascii="Times New Roman" w:hAnsi="Times New Roman" w:cs="宋体"/>
                <w:color w:val="auto"/>
                <w:kern w:val="2"/>
                <w:sz w:val="22"/>
                <w:highlight w:val="none"/>
                <w:lang w:bidi="ar"/>
              </w:rPr>
              <w:t>分；</w:t>
            </w:r>
          </w:p>
          <w:p w14:paraId="484219C1">
            <w:pPr>
              <w:rPr>
                <w:rFonts w:hint="eastAsia" w:ascii="宋体" w:hAnsi="宋体" w:cs="宋体"/>
                <w:b/>
                <w:color w:val="auto"/>
                <w:szCs w:val="21"/>
                <w:highlight w:val="none"/>
              </w:rPr>
            </w:pPr>
            <w:r>
              <w:rPr>
                <w:rFonts w:hint="eastAsia" w:ascii="Times New Roman" w:hAnsi="Times New Roman" w:cs="宋体"/>
                <w:color w:val="auto"/>
                <w:kern w:val="2"/>
                <w:sz w:val="22"/>
                <w:highlight w:val="none"/>
                <w:lang w:bidi="ar"/>
              </w:rPr>
              <w:t>不能满足本项目要求或未提供的不得分。</w:t>
            </w:r>
          </w:p>
        </w:tc>
        <w:tc>
          <w:tcPr>
            <w:tcW w:w="869" w:type="pct"/>
          </w:tcPr>
          <w:p w14:paraId="2462B5DB">
            <w:pPr>
              <w:rPr>
                <w:rFonts w:hint="eastAsia" w:ascii="宋体" w:hAnsi="宋体" w:cs="宋体"/>
                <w:b/>
                <w:color w:val="auto"/>
                <w:szCs w:val="21"/>
                <w:highlight w:val="none"/>
              </w:rPr>
            </w:pPr>
          </w:p>
        </w:tc>
      </w:tr>
      <w:tr w14:paraId="276A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Align w:val="center"/>
          </w:tcPr>
          <w:p w14:paraId="05FD9FF0">
            <w:pPr>
              <w:widowControl/>
              <w:jc w:val="center"/>
              <w:textAlignment w:val="center"/>
              <w:rPr>
                <w:rFonts w:hint="eastAsia" w:ascii="宋体" w:hAnsi="宋体" w:cs="宋体"/>
                <w:b/>
                <w:bCs/>
                <w:color w:val="auto"/>
                <w:sz w:val="22"/>
                <w:szCs w:val="21"/>
                <w:highlight w:val="none"/>
              </w:rPr>
            </w:pPr>
            <w:r>
              <w:rPr>
                <w:rFonts w:hint="eastAsia" w:ascii="宋体" w:hAnsi="宋体" w:cs="宋体"/>
                <w:b/>
                <w:bCs/>
                <w:color w:val="auto"/>
                <w:kern w:val="2"/>
                <w:sz w:val="22"/>
                <w:szCs w:val="21"/>
                <w:highlight w:val="none"/>
                <w:lang w:bidi="ar"/>
              </w:rPr>
              <w:t>质保期</w:t>
            </w:r>
          </w:p>
          <w:p w14:paraId="4462089C">
            <w:pPr>
              <w:widowControl/>
              <w:jc w:val="center"/>
              <w:textAlignment w:val="center"/>
              <w:rPr>
                <w:rFonts w:hint="eastAsia" w:ascii="宋体" w:hAnsi="宋体" w:cs="宋体"/>
                <w:b/>
                <w:color w:val="auto"/>
                <w:szCs w:val="21"/>
                <w:highlight w:val="none"/>
              </w:rPr>
            </w:pPr>
            <w:r>
              <w:rPr>
                <w:rFonts w:hint="eastAsia" w:ascii="宋体" w:hAnsi="宋体" w:cs="宋体"/>
                <w:b/>
                <w:bCs/>
                <w:color w:val="auto"/>
                <w:kern w:val="2"/>
                <w:sz w:val="22"/>
                <w:szCs w:val="21"/>
                <w:highlight w:val="none"/>
                <w:lang w:bidi="ar"/>
              </w:rPr>
              <w:t>（3）</w:t>
            </w:r>
          </w:p>
        </w:tc>
        <w:tc>
          <w:tcPr>
            <w:tcW w:w="3506" w:type="pct"/>
            <w:vAlign w:val="center"/>
          </w:tcPr>
          <w:p w14:paraId="222DD8C5">
            <w:pPr>
              <w:rPr>
                <w:rFonts w:hint="eastAsia" w:ascii="宋体" w:hAnsi="宋体" w:cs="宋体"/>
                <w:b/>
                <w:color w:val="auto"/>
                <w:szCs w:val="21"/>
                <w:highlight w:val="none"/>
              </w:rPr>
            </w:pPr>
            <w:r>
              <w:rPr>
                <w:rFonts w:hint="eastAsia" w:ascii="Times New Roman" w:hAnsi="Times New Roman" w:cs="宋体"/>
                <w:color w:val="auto"/>
                <w:kern w:val="2"/>
                <w:sz w:val="22"/>
                <w:highlight w:val="none"/>
                <w:lang w:bidi="ar"/>
              </w:rPr>
              <w:t>在免费维保服务一年的基础上，每增加一年相同条件的免费维保服务得</w:t>
            </w:r>
            <w:r>
              <w:rPr>
                <w:rFonts w:ascii="Times New Roman" w:hAnsi="Times New Roman"/>
                <w:color w:val="auto"/>
                <w:kern w:val="2"/>
                <w:sz w:val="22"/>
                <w:highlight w:val="none"/>
                <w:lang w:bidi="ar"/>
              </w:rPr>
              <w:t>1</w:t>
            </w:r>
            <w:r>
              <w:rPr>
                <w:rFonts w:hint="eastAsia" w:ascii="Times New Roman" w:hAnsi="Times New Roman" w:cs="宋体"/>
                <w:color w:val="auto"/>
                <w:kern w:val="2"/>
                <w:sz w:val="22"/>
                <w:highlight w:val="none"/>
                <w:lang w:bidi="ar"/>
              </w:rPr>
              <w:t>分，本项最高得</w:t>
            </w:r>
            <w:r>
              <w:rPr>
                <w:rFonts w:ascii="Times New Roman" w:hAnsi="Times New Roman"/>
                <w:color w:val="auto"/>
                <w:kern w:val="2"/>
                <w:sz w:val="22"/>
                <w:highlight w:val="none"/>
                <w:lang w:bidi="ar"/>
              </w:rPr>
              <w:t>3</w:t>
            </w:r>
            <w:r>
              <w:rPr>
                <w:rFonts w:hint="eastAsia" w:ascii="Times New Roman" w:hAnsi="Times New Roman" w:cs="宋体"/>
                <w:color w:val="auto"/>
                <w:kern w:val="2"/>
                <w:sz w:val="22"/>
                <w:highlight w:val="none"/>
                <w:lang w:bidi="ar"/>
              </w:rPr>
              <w:t>分。</w:t>
            </w:r>
          </w:p>
        </w:tc>
        <w:tc>
          <w:tcPr>
            <w:tcW w:w="869" w:type="pct"/>
          </w:tcPr>
          <w:p w14:paraId="6ED54FF5">
            <w:pPr>
              <w:rPr>
                <w:rFonts w:hint="eastAsia" w:ascii="宋体" w:hAnsi="宋体" w:cs="宋体"/>
                <w:b/>
                <w:color w:val="auto"/>
                <w:szCs w:val="21"/>
                <w:highlight w:val="none"/>
              </w:rPr>
            </w:pPr>
          </w:p>
        </w:tc>
      </w:tr>
    </w:tbl>
    <w:p w14:paraId="6D882970">
      <w:pPr>
        <w:rPr>
          <w:rFonts w:hint="eastAsia" w:asciiTheme="minorEastAsia" w:hAnsiTheme="minorEastAsia" w:eastAsiaTheme="minorEastAsia" w:cstheme="minorEastAsia"/>
          <w:color w:val="auto"/>
          <w:highlight w:val="none"/>
        </w:rPr>
      </w:pPr>
    </w:p>
    <w:p w14:paraId="5D2B35B6">
      <w:pPr>
        <w:jc w:val="center"/>
        <w:rPr>
          <w:rFonts w:hint="eastAsia" w:asciiTheme="minorEastAsia" w:hAnsiTheme="minorEastAsia" w:eastAsiaTheme="minorEastAsia" w:cstheme="minorEastAsia"/>
          <w:b/>
          <w:bCs/>
          <w:color w:val="auto"/>
          <w:sz w:val="36"/>
          <w:highlight w:val="none"/>
        </w:rPr>
      </w:pPr>
      <w:r>
        <w:rPr>
          <w:rFonts w:hint="eastAsia" w:asciiTheme="minorEastAsia" w:hAnsiTheme="minorEastAsia" w:eastAsiaTheme="minorEastAsia" w:cstheme="minorEastAsia"/>
          <w:b/>
          <w:bCs/>
          <w:color w:val="auto"/>
          <w:sz w:val="36"/>
          <w:highlight w:val="none"/>
        </w:rPr>
        <w:br w:type="page"/>
      </w:r>
      <w:bookmarkStart w:id="12" w:name="_Toc489655320"/>
    </w:p>
    <w:p w14:paraId="32460690">
      <w:pPr>
        <w:pStyle w:val="26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响应文件主要目录</w:t>
      </w:r>
      <w:bookmarkEnd w:id="11"/>
      <w:bookmarkEnd w:id="12"/>
      <w:r>
        <w:rPr>
          <w:rFonts w:hint="eastAsia" w:asciiTheme="minorEastAsia" w:hAnsiTheme="minorEastAsia" w:eastAsiaTheme="minorEastAsia" w:cstheme="minorEastAsia"/>
          <w:color w:val="auto"/>
          <w:highlight w:val="none"/>
        </w:rPr>
        <w:t>及相关证明材料格式、附件</w:t>
      </w:r>
    </w:p>
    <w:p w14:paraId="7085B9C6">
      <w:pPr>
        <w:rPr>
          <w:rFonts w:hint="eastAsia" w:asciiTheme="minorEastAsia" w:hAnsiTheme="minorEastAsia" w:eastAsiaTheme="minorEastAsia" w:cstheme="minorEastAsia"/>
          <w:color w:val="auto"/>
          <w:sz w:val="28"/>
          <w:szCs w:val="28"/>
          <w:highlight w:val="none"/>
        </w:rPr>
      </w:pPr>
    </w:p>
    <w:p w14:paraId="2C6B38F2">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一、响应申请及声明</w:t>
      </w:r>
    </w:p>
    <w:p w14:paraId="4B60C029">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二、法定代表人授权书</w:t>
      </w:r>
    </w:p>
    <w:p w14:paraId="55E98AD9">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三、响应一览表</w:t>
      </w:r>
    </w:p>
    <w:p w14:paraId="7C8B4B0C">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四、资格证明文件</w:t>
      </w:r>
    </w:p>
    <w:p w14:paraId="523DC911">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五、分项报价表</w:t>
      </w:r>
    </w:p>
    <w:p w14:paraId="1FCFE63C">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六、技术条款偏离表</w:t>
      </w:r>
    </w:p>
    <w:p w14:paraId="4CB77DAF">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七、商务条款偏离表</w:t>
      </w:r>
    </w:p>
    <w:p w14:paraId="559FB098">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八、服务方案</w:t>
      </w:r>
    </w:p>
    <w:p w14:paraId="5739CD19">
      <w:pPr>
        <w:spacing w:line="360" w:lineRule="auto"/>
        <w:ind w:left="2280" w:hanging="72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九、响应需要的其他证明文件及材料（若有）</w:t>
      </w:r>
    </w:p>
    <w:p w14:paraId="04B2486B">
      <w:pPr>
        <w:spacing w:line="360" w:lineRule="auto"/>
        <w:rPr>
          <w:rFonts w:hint="eastAsia" w:asciiTheme="minorEastAsia" w:hAnsiTheme="minorEastAsia" w:eastAsiaTheme="minorEastAsia" w:cstheme="minorEastAsia"/>
          <w:color w:val="auto"/>
          <w:sz w:val="28"/>
          <w:szCs w:val="28"/>
          <w:highlight w:val="none"/>
        </w:rPr>
      </w:pPr>
    </w:p>
    <w:p w14:paraId="678711A1">
      <w:pPr>
        <w:spacing w:line="360" w:lineRule="auto"/>
        <w:ind w:firstLine="560" w:firstLineChars="20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附件一、无重大违法记录声明格式；</w:t>
      </w:r>
    </w:p>
    <w:p w14:paraId="3EE845E2">
      <w:pPr>
        <w:spacing w:line="360" w:lineRule="auto"/>
        <w:ind w:left="1679" w:leftChars="266" w:hanging="1120" w:hangingChars="400"/>
        <w:jc w:val="left"/>
        <w:rPr>
          <w:rFonts w:hint="eastAsia"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3BC5FF9F">
      <w:pPr>
        <w:spacing w:line="360" w:lineRule="auto"/>
        <w:ind w:left="2941" w:leftChars="267" w:hanging="2380" w:hangingChars="85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附件三、承诺书</w:t>
      </w:r>
    </w:p>
    <w:p w14:paraId="1147B9FB">
      <w:pP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6F84B60E">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目录一、响应申请及声明格式</w:t>
      </w:r>
    </w:p>
    <w:p w14:paraId="21E81314">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响应申请及声明</w:t>
      </w:r>
    </w:p>
    <w:p w14:paraId="1AB8E7C0">
      <w:pPr>
        <w:pStyle w:val="17"/>
        <w:ind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5D705665">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）响应邀请，正式授权下述签字人（姓名和职务）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代表供应商（供应商名称）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，提交响应文件。</w:t>
      </w:r>
    </w:p>
    <w:p w14:paraId="52A90AF6">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据此函，签字人兹宣布声明和承诺如下：</w:t>
      </w:r>
    </w:p>
    <w:p w14:paraId="62452287">
      <w:pPr>
        <w:pStyle w:val="17"/>
        <w:numPr>
          <w:ilvl w:val="0"/>
          <w:numId w:val="54"/>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我们的资格条件完全符合本次采购要求</w:t>
      </w:r>
      <w:r>
        <w:rPr>
          <w:rFonts w:hint="eastAsia" w:asciiTheme="minorEastAsia" w:hAnsiTheme="minorEastAsia" w:eastAsiaTheme="minorEastAsia" w:cstheme="minorEastAsia"/>
          <w:color w:val="auto"/>
          <w:highlight w:val="none"/>
        </w:rPr>
        <w:t>，我们同意并向贵方提供了与响应有关的所有证据和资料。</w:t>
      </w:r>
    </w:p>
    <w:p w14:paraId="106CABFE">
      <w:pPr>
        <w:pStyle w:val="17"/>
        <w:numPr>
          <w:ilvl w:val="0"/>
          <w:numId w:val="54"/>
        </w:numPr>
        <w:ind w:firstLineChars="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按采购要求，我们的响应报价为：</w:t>
      </w:r>
      <w:r>
        <w:rPr>
          <w:rFonts w:hint="eastAsia" w:asciiTheme="minorEastAsia" w:hAnsiTheme="minorEastAsia" w:eastAsiaTheme="minorEastAsia" w:cstheme="minorEastAsia"/>
          <w:b/>
          <w:color w:val="auto"/>
          <w:highlight w:val="none"/>
          <w:u w:val="single"/>
        </w:rPr>
        <w:t>（大写）人民币          （小写：       元人民币）</w:t>
      </w:r>
      <w:r>
        <w:rPr>
          <w:rFonts w:hint="eastAsia" w:asciiTheme="minorEastAsia" w:hAnsiTheme="minorEastAsia" w:eastAsiaTheme="minorEastAsia" w:cstheme="minorEastAsia"/>
          <w:b/>
          <w:color w:val="auto"/>
          <w:highlight w:val="none"/>
        </w:rPr>
        <w:t>。</w:t>
      </w:r>
    </w:p>
    <w:p w14:paraId="7521F0CF">
      <w:pPr>
        <w:pStyle w:val="17"/>
        <w:numPr>
          <w:ilvl w:val="0"/>
          <w:numId w:val="54"/>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color w:val="auto"/>
          <w:highlight w:val="none"/>
        </w:rPr>
        <w:t>不对采购文件本身提出质疑</w:t>
      </w:r>
      <w:r>
        <w:rPr>
          <w:rFonts w:hint="eastAsia" w:asciiTheme="minorEastAsia" w:hAnsiTheme="minorEastAsia" w:eastAsiaTheme="minorEastAsia" w:cstheme="minorEastAsia"/>
          <w:color w:val="auto"/>
          <w:highlight w:val="none"/>
        </w:rPr>
        <w:t>。</w:t>
      </w:r>
    </w:p>
    <w:p w14:paraId="15AD2174">
      <w:pPr>
        <w:pStyle w:val="17"/>
        <w:numPr>
          <w:ilvl w:val="0"/>
          <w:numId w:val="54"/>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我们同意从规定的响应文件开启日期起遵循本响应文件，并在规定的响应有效期期满之前均具有约束力。</w:t>
      </w:r>
    </w:p>
    <w:p w14:paraId="4DD397AA">
      <w:pPr>
        <w:pStyle w:val="17"/>
        <w:numPr>
          <w:ilvl w:val="0"/>
          <w:numId w:val="54"/>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一旦我方成交，我方将根据采购文件的规定严格履行合同，并保证于承诺的时间完成项目的启动等服务，交付采购人验收。</w:t>
      </w:r>
    </w:p>
    <w:p w14:paraId="6CBC946F">
      <w:pPr>
        <w:pStyle w:val="17"/>
        <w:numPr>
          <w:ilvl w:val="0"/>
          <w:numId w:val="54"/>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212F34A">
      <w:pPr>
        <w:pStyle w:val="17"/>
        <w:numPr>
          <w:ilvl w:val="0"/>
          <w:numId w:val="54"/>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与本次响应有关的正式联系方式为：</w:t>
      </w:r>
    </w:p>
    <w:p w14:paraId="657756E4">
      <w:pPr>
        <w:pStyle w:val="17"/>
        <w:ind w:firstLine="48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p>
    <w:p w14:paraId="2B516720">
      <w:pPr>
        <w:pStyle w:val="17"/>
        <w:ind w:firstLine="48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电话：</w:t>
      </w:r>
    </w:p>
    <w:p w14:paraId="44AA84CD">
      <w:pPr>
        <w:pStyle w:val="17"/>
        <w:ind w:firstLine="48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传真：</w:t>
      </w:r>
    </w:p>
    <w:p w14:paraId="6164FC04">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w:t>
      </w:r>
    </w:p>
    <w:p w14:paraId="4EB7E723">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银行账号：</w:t>
      </w:r>
    </w:p>
    <w:p w14:paraId="657679C1">
      <w:pPr>
        <w:autoSpaceDE w:val="0"/>
        <w:autoSpaceDN w:val="0"/>
        <w:adjustRightInd w:val="0"/>
        <w:spacing w:line="360" w:lineRule="auto"/>
        <w:ind w:firstLine="420"/>
        <w:rPr>
          <w:rFonts w:hint="eastAsia" w:asciiTheme="minorEastAsia" w:hAnsiTheme="minorEastAsia" w:eastAsiaTheme="minorEastAsia" w:cstheme="minorEastAsia"/>
          <w:color w:val="auto"/>
          <w:sz w:val="24"/>
          <w:szCs w:val="21"/>
          <w:highlight w:val="none"/>
          <w:u w:val="single"/>
          <w:lang w:val="zh-CN"/>
        </w:rPr>
      </w:pPr>
      <w:r>
        <w:rPr>
          <w:rFonts w:hint="eastAsia" w:asciiTheme="minorEastAsia" w:hAnsiTheme="minorEastAsia" w:eastAsiaTheme="minorEastAsia" w:cstheme="minorEastAsia"/>
          <w:color w:val="auto"/>
          <w:sz w:val="24"/>
          <w:szCs w:val="21"/>
          <w:highlight w:val="none"/>
          <w:lang w:val="zh-CN"/>
        </w:rPr>
        <w:t>供应商授权代表姓名（签字）：</w:t>
      </w:r>
    </w:p>
    <w:p w14:paraId="4BBCE2B2">
      <w:pPr>
        <w:autoSpaceDE w:val="0"/>
        <w:autoSpaceDN w:val="0"/>
        <w:adjustRightInd w:val="0"/>
        <w:spacing w:line="360" w:lineRule="auto"/>
        <w:ind w:firstLine="420"/>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12D3FE57">
      <w:pPr>
        <w:autoSpaceDE w:val="0"/>
        <w:autoSpaceDN w:val="0"/>
        <w:adjustRightInd w:val="0"/>
        <w:spacing w:line="360" w:lineRule="auto"/>
        <w:ind w:firstLine="420"/>
        <w:rPr>
          <w:rFonts w:hint="eastAsia" w:asciiTheme="minorEastAsia" w:hAnsiTheme="minorEastAsia" w:eastAsiaTheme="minorEastAsia" w:cstheme="minorEastAsia"/>
          <w:b/>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年</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月</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日</w:t>
      </w:r>
    </w:p>
    <w:p w14:paraId="4C9871BF">
      <w:pPr>
        <w:jc w:val="left"/>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CF34637">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目录二、法定代表人授权书格式</w:t>
      </w:r>
    </w:p>
    <w:p w14:paraId="043CA907">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法定代表人授权委托书</w:t>
      </w:r>
    </w:p>
    <w:p w14:paraId="14635986">
      <w:pPr>
        <w:pStyle w:val="17"/>
        <w:ind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67A39FC0">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本授权书声明：注册于（供应商住址）</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的（供应商名称）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法定代表人（法定代表人姓名、职务）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代表本公司授权在下面签字的（供应商代表姓名、职务）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为本公司的合法代理人，就贵方组织的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（项目编号）进行响应，以本公司名义处理一切与之有关的事务。</w:t>
      </w:r>
    </w:p>
    <w:p w14:paraId="20E9D717">
      <w:pPr>
        <w:pStyle w:val="17"/>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w:t>
      </w:r>
      <w:r>
        <w:rPr>
          <w:rFonts w:hint="eastAsia" w:asciiTheme="minorEastAsia" w:hAnsiTheme="minorEastAsia" w:eastAsiaTheme="minorEastAsia" w:cstheme="minorEastAsia"/>
          <w:color w:val="auto"/>
          <w:highlight w:val="none"/>
          <w:u w:val="single"/>
        </w:rPr>
        <w:t xml:space="preserve">      年    月    日</w:t>
      </w:r>
      <w:r>
        <w:rPr>
          <w:rFonts w:hint="eastAsia" w:asciiTheme="minorEastAsia" w:hAnsiTheme="minorEastAsia" w:eastAsiaTheme="minorEastAsia" w:cstheme="minorEastAsia"/>
          <w:color w:val="auto"/>
          <w:highlight w:val="none"/>
        </w:rPr>
        <w:t>签字生效，特此声明。</w:t>
      </w:r>
    </w:p>
    <w:p w14:paraId="087849B6">
      <w:pPr>
        <w:adjustRightInd w:val="0"/>
        <w:spacing w:line="360" w:lineRule="auto"/>
        <w:ind w:firstLine="408"/>
        <w:jc w:val="left"/>
        <w:rPr>
          <w:rFonts w:hint="eastAsia" w:asciiTheme="minorEastAsia" w:hAnsiTheme="minorEastAsia" w:eastAsiaTheme="minorEastAsia" w:cstheme="minorEastAsia"/>
          <w:color w:val="auto"/>
          <w:szCs w:val="21"/>
          <w:highlight w:val="none"/>
          <w:lang w:val="zh-CN"/>
        </w:rPr>
      </w:pPr>
    </w:p>
    <w:p w14:paraId="54E4A8F4">
      <w:pPr>
        <w:adjustRightInd w:val="0"/>
        <w:spacing w:line="360" w:lineRule="auto"/>
        <w:ind w:firstLine="480" w:firstLineChars="200"/>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法定代表人（签字）：</w:t>
      </w:r>
    </w:p>
    <w:p w14:paraId="2CE52B6F">
      <w:pPr>
        <w:adjustRightInd w:val="0"/>
        <w:spacing w:line="360" w:lineRule="auto"/>
        <w:ind w:firstLine="480" w:firstLineChars="200"/>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授权委托人（签字）：</w:t>
      </w:r>
    </w:p>
    <w:p w14:paraId="64AB539B">
      <w:pPr>
        <w:tabs>
          <w:tab w:val="left" w:pos="1440"/>
        </w:tabs>
        <w:adjustRightInd w:val="0"/>
        <w:spacing w:line="360" w:lineRule="auto"/>
        <w:ind w:firstLine="420"/>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日期：年 月 日</w:t>
      </w:r>
    </w:p>
    <w:p w14:paraId="04336C6C">
      <w:pPr>
        <w:tabs>
          <w:tab w:val="left" w:pos="1440"/>
        </w:tabs>
        <w:adjustRightInd w:val="0"/>
        <w:spacing w:line="360" w:lineRule="auto"/>
        <w:ind w:firstLine="420"/>
        <w:jc w:val="left"/>
        <w:rPr>
          <w:rFonts w:hint="eastAsia" w:asciiTheme="minorEastAsia" w:hAnsiTheme="minorEastAsia" w:eastAsiaTheme="minorEastAsia" w:cstheme="minorEastAsia"/>
          <w:color w:val="auto"/>
          <w:szCs w:val="21"/>
          <w:highlight w:val="none"/>
          <w:lang w:val="zh-CN"/>
        </w:rPr>
      </w:pPr>
    </w:p>
    <w:p w14:paraId="0988A756">
      <w:pPr>
        <w:spacing w:line="480" w:lineRule="auto"/>
        <w:rPr>
          <w:rFonts w:cs="Microsoft New Tai Lue"/>
          <w:color w:val="auto"/>
          <w:highlight w:val="none"/>
        </w:rPr>
      </w:pPr>
      <w:r>
        <w:rPr>
          <w:rFonts w:hint="eastAsia"/>
          <w:color w:val="auto"/>
          <w:szCs w:val="21"/>
          <w:highlight w:val="none"/>
        </w:rPr>
        <w:t>附：法定代表人（单位负责人）有效期内的</w:t>
      </w:r>
      <w:r>
        <w:rPr>
          <w:rFonts w:cs="Microsoft New Tai Lue"/>
          <w:color w:val="auto"/>
          <w:highlight w:val="none"/>
        </w:rPr>
        <w:t>身份证复印件（正反面）</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DE5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75031035">
            <w:pPr>
              <w:pStyle w:val="17"/>
              <w:spacing w:line="300" w:lineRule="exact"/>
              <w:ind w:firstLine="0" w:firstLineChars="0"/>
              <w:jc w:val="center"/>
              <w:rPr>
                <w:i/>
                <w:color w:val="auto"/>
                <w:sz w:val="20"/>
                <w:highlight w:val="none"/>
              </w:rPr>
            </w:pPr>
            <w:r>
              <w:rPr>
                <w:i/>
                <w:color w:val="auto"/>
                <w:highlight w:val="none"/>
              </w:rPr>
              <w:t>身份证正面</w:t>
            </w:r>
          </w:p>
        </w:tc>
        <w:tc>
          <w:tcPr>
            <w:tcW w:w="284" w:type="dxa"/>
            <w:tcBorders>
              <w:top w:val="nil"/>
              <w:bottom w:val="nil"/>
            </w:tcBorders>
          </w:tcPr>
          <w:p w14:paraId="0F6476F9">
            <w:pPr>
              <w:widowControl/>
              <w:spacing w:line="300" w:lineRule="exact"/>
              <w:jc w:val="left"/>
              <w:rPr>
                <w:color w:val="auto"/>
                <w:sz w:val="20"/>
                <w:highlight w:val="none"/>
              </w:rPr>
            </w:pPr>
          </w:p>
        </w:tc>
        <w:tc>
          <w:tcPr>
            <w:tcW w:w="3868" w:type="dxa"/>
            <w:vAlign w:val="center"/>
          </w:tcPr>
          <w:p w14:paraId="32002319">
            <w:pPr>
              <w:widowControl/>
              <w:spacing w:line="300" w:lineRule="exact"/>
              <w:jc w:val="center"/>
              <w:rPr>
                <w:color w:val="auto"/>
                <w:sz w:val="20"/>
                <w:highlight w:val="none"/>
              </w:rPr>
            </w:pPr>
            <w:r>
              <w:rPr>
                <w:i/>
                <w:color w:val="auto"/>
                <w:sz w:val="24"/>
                <w:highlight w:val="none"/>
              </w:rPr>
              <w:t>身份证反面</w:t>
            </w:r>
          </w:p>
        </w:tc>
      </w:tr>
    </w:tbl>
    <w:p w14:paraId="25938AB1">
      <w:pPr>
        <w:spacing w:line="480" w:lineRule="auto"/>
        <w:rPr>
          <w:rFonts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cs="Microsoft New Tai Lue"/>
          <w:color w:val="auto"/>
          <w:highlight w:val="none"/>
        </w:rPr>
        <w:t>（正反面）</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3F57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53E6D010">
            <w:pPr>
              <w:pStyle w:val="17"/>
              <w:spacing w:line="300" w:lineRule="exact"/>
              <w:ind w:firstLine="0" w:firstLineChars="0"/>
              <w:jc w:val="center"/>
              <w:rPr>
                <w:i/>
                <w:color w:val="auto"/>
                <w:sz w:val="20"/>
                <w:highlight w:val="none"/>
              </w:rPr>
            </w:pPr>
            <w:r>
              <w:rPr>
                <w:i/>
                <w:color w:val="auto"/>
                <w:highlight w:val="none"/>
              </w:rPr>
              <w:t>身份证正面</w:t>
            </w:r>
          </w:p>
        </w:tc>
        <w:tc>
          <w:tcPr>
            <w:tcW w:w="278" w:type="dxa"/>
            <w:tcBorders>
              <w:top w:val="nil"/>
              <w:bottom w:val="nil"/>
            </w:tcBorders>
          </w:tcPr>
          <w:p w14:paraId="7E4B7CD8">
            <w:pPr>
              <w:widowControl/>
              <w:spacing w:line="300" w:lineRule="exact"/>
              <w:jc w:val="left"/>
              <w:rPr>
                <w:color w:val="auto"/>
                <w:sz w:val="20"/>
                <w:highlight w:val="none"/>
              </w:rPr>
            </w:pPr>
          </w:p>
        </w:tc>
        <w:tc>
          <w:tcPr>
            <w:tcW w:w="3881" w:type="dxa"/>
            <w:vAlign w:val="center"/>
          </w:tcPr>
          <w:p w14:paraId="176DA122">
            <w:pPr>
              <w:widowControl/>
              <w:spacing w:line="300" w:lineRule="exact"/>
              <w:jc w:val="center"/>
              <w:rPr>
                <w:color w:val="auto"/>
                <w:sz w:val="20"/>
                <w:highlight w:val="none"/>
              </w:rPr>
            </w:pPr>
            <w:r>
              <w:rPr>
                <w:i/>
                <w:color w:val="auto"/>
                <w:sz w:val="24"/>
                <w:highlight w:val="none"/>
              </w:rPr>
              <w:t>身份证反面</w:t>
            </w:r>
          </w:p>
        </w:tc>
      </w:tr>
    </w:tbl>
    <w:p w14:paraId="3BADD44F">
      <w:pPr>
        <w:tabs>
          <w:tab w:val="left" w:pos="1440"/>
        </w:tabs>
        <w:adjustRightInd w:val="0"/>
        <w:spacing w:line="360" w:lineRule="auto"/>
        <w:ind w:firstLine="420"/>
        <w:jc w:val="left"/>
        <w:rPr>
          <w:rFonts w:hint="eastAsia" w:asciiTheme="minorEastAsia" w:hAnsiTheme="minorEastAsia" w:eastAsiaTheme="minorEastAsia" w:cstheme="minorEastAsia"/>
          <w:color w:val="auto"/>
          <w:szCs w:val="21"/>
          <w:highlight w:val="none"/>
        </w:rPr>
      </w:pPr>
    </w:p>
    <w:p w14:paraId="6A488F25">
      <w:pPr>
        <w:tabs>
          <w:tab w:val="left" w:pos="1440"/>
        </w:tabs>
        <w:adjustRightInd w:val="0"/>
        <w:spacing w:line="360" w:lineRule="auto"/>
        <w:jc w:val="left"/>
        <w:rPr>
          <w:rFonts w:hint="eastAsia"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t>供应商或分支机构近半年内任意一个月为</w:t>
      </w:r>
      <w:r>
        <w:rPr>
          <w:rFonts w:hint="eastAsia" w:asciiTheme="minorEastAsia" w:hAnsiTheme="minorEastAsia" w:eastAsiaTheme="minorEastAsia" w:cstheme="minorEastAsia"/>
          <w:b/>
          <w:bCs/>
          <w:color w:val="auto"/>
          <w:sz w:val="24"/>
          <w:szCs w:val="21"/>
          <w:highlight w:val="none"/>
          <w:lang w:val="zh-CN"/>
        </w:rPr>
        <w:t>授权委托人</w:t>
      </w:r>
      <w:r>
        <w:rPr>
          <w:rFonts w:hint="eastAsia" w:asciiTheme="minorEastAsia" w:hAnsiTheme="minorEastAsia" w:eastAsiaTheme="minorEastAsia" w:cstheme="minorEastAsia"/>
          <w:b/>
          <w:bCs/>
          <w:color w:val="auto"/>
          <w:sz w:val="24"/>
          <w:szCs w:val="21"/>
          <w:highlight w:val="none"/>
        </w:rPr>
        <w:t>缴纳社保的证明：</w:t>
      </w:r>
    </w:p>
    <w:p w14:paraId="29A3D547">
      <w:pPr>
        <w:tabs>
          <w:tab w:val="left" w:pos="1440"/>
        </w:tabs>
        <w:adjustRightInd w:val="0"/>
        <w:spacing w:line="360" w:lineRule="auto"/>
        <w:ind w:firstLine="420"/>
        <w:jc w:val="left"/>
        <w:rPr>
          <w:rFonts w:hint="eastAsia" w:asciiTheme="minorEastAsia" w:hAnsiTheme="minorEastAsia" w:eastAsiaTheme="minorEastAsia" w:cstheme="minorEastAsia"/>
          <w:color w:val="auto"/>
          <w:szCs w:val="21"/>
          <w:highlight w:val="none"/>
          <w:lang w:val="zh-CN"/>
        </w:rPr>
      </w:pPr>
    </w:p>
    <w:p w14:paraId="4338E593">
      <w:pPr>
        <w:tabs>
          <w:tab w:val="left" w:pos="1440"/>
        </w:tabs>
        <w:adjustRightInd w:val="0"/>
        <w:spacing w:line="360" w:lineRule="auto"/>
        <w:ind w:firstLine="420"/>
        <w:jc w:val="left"/>
        <w:rPr>
          <w:rFonts w:hint="eastAsia" w:asciiTheme="minorEastAsia" w:hAnsiTheme="minorEastAsia" w:eastAsiaTheme="minorEastAsia" w:cstheme="minorEastAsia"/>
          <w:color w:val="auto"/>
          <w:szCs w:val="21"/>
          <w:highlight w:val="none"/>
          <w:lang w:val="zh-CN"/>
        </w:rPr>
      </w:pPr>
    </w:p>
    <w:p w14:paraId="31F4EE6E">
      <w:pP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A74AEFC">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目录三、响应一览表格式</w:t>
      </w:r>
    </w:p>
    <w:p w14:paraId="1D336CF3">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响应一览表</w:t>
      </w:r>
    </w:p>
    <w:p w14:paraId="0E05B07F">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1145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2E9DDFAA">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项目名称</w:t>
            </w:r>
          </w:p>
        </w:tc>
        <w:tc>
          <w:tcPr>
            <w:tcW w:w="5670" w:type="dxa"/>
            <w:vAlign w:val="center"/>
          </w:tcPr>
          <w:p w14:paraId="5370EBAC">
            <w:pPr>
              <w:rPr>
                <w:rFonts w:hint="eastAsia" w:ascii="宋体" w:hAnsi="宋体" w:cs="宋体"/>
                <w:color w:val="auto"/>
                <w:sz w:val="24"/>
                <w:szCs w:val="20"/>
                <w:highlight w:val="none"/>
              </w:rPr>
            </w:pPr>
          </w:p>
        </w:tc>
      </w:tr>
      <w:tr w14:paraId="24A7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47222CAF">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项目编号</w:t>
            </w:r>
          </w:p>
        </w:tc>
        <w:tc>
          <w:tcPr>
            <w:tcW w:w="5670" w:type="dxa"/>
            <w:vAlign w:val="center"/>
          </w:tcPr>
          <w:p w14:paraId="5EFEFE9B">
            <w:pPr>
              <w:rPr>
                <w:rFonts w:hint="eastAsia" w:ascii="宋体" w:hAnsi="宋体" w:cs="宋体"/>
                <w:color w:val="auto"/>
                <w:sz w:val="24"/>
                <w:szCs w:val="20"/>
                <w:highlight w:val="none"/>
              </w:rPr>
            </w:pPr>
          </w:p>
        </w:tc>
      </w:tr>
      <w:tr w14:paraId="468D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1699BEFB">
            <w:pPr>
              <w:pStyle w:val="13"/>
              <w:spacing w:line="440" w:lineRule="exact"/>
              <w:ind w:firstLine="0"/>
              <w:jc w:val="center"/>
              <w:rPr>
                <w:bCs/>
                <w:color w:val="auto"/>
                <w:highlight w:val="none"/>
              </w:rPr>
            </w:pPr>
            <w:r>
              <w:rPr>
                <w:rFonts w:hint="eastAsia" w:ascii="宋体" w:hAnsi="宋体" w:cs="宋体"/>
                <w:color w:val="auto"/>
                <w:highlight w:val="none"/>
              </w:rPr>
              <w:t>响应总价：</w:t>
            </w:r>
          </w:p>
        </w:tc>
        <w:tc>
          <w:tcPr>
            <w:tcW w:w="5670" w:type="dxa"/>
            <w:vAlign w:val="center"/>
          </w:tcPr>
          <w:p w14:paraId="7D274AD4">
            <w:pPr>
              <w:rPr>
                <w:color w:val="auto"/>
                <w:sz w:val="24"/>
                <w:szCs w:val="20"/>
                <w:highlight w:val="none"/>
              </w:rPr>
            </w:pPr>
            <w:r>
              <w:rPr>
                <w:rFonts w:hint="eastAsia" w:ascii="宋体" w:hAnsi="宋体" w:cs="宋体"/>
                <w:color w:val="auto"/>
                <w:sz w:val="24"/>
                <w:szCs w:val="20"/>
                <w:highlight w:val="none"/>
              </w:rPr>
              <w:t xml:space="preserve">小写：                   </w:t>
            </w:r>
          </w:p>
          <w:p w14:paraId="282EB516">
            <w:pPr>
              <w:rPr>
                <w:color w:val="auto"/>
                <w:sz w:val="24"/>
                <w:szCs w:val="20"/>
                <w:highlight w:val="none"/>
              </w:rPr>
            </w:pPr>
            <w:r>
              <w:rPr>
                <w:rFonts w:hint="eastAsia" w:ascii="宋体" w:hAnsi="宋体" w:cs="宋体"/>
                <w:color w:val="auto"/>
                <w:sz w:val="24"/>
                <w:szCs w:val="20"/>
                <w:highlight w:val="none"/>
              </w:rPr>
              <w:t xml:space="preserve">大写：           人民币 </w:t>
            </w:r>
          </w:p>
        </w:tc>
      </w:tr>
      <w:tr w14:paraId="34CD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2658" w:type="dxa"/>
            <w:vAlign w:val="center"/>
          </w:tcPr>
          <w:p w14:paraId="6420AF02">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所投产品品牌、制造商：</w:t>
            </w:r>
          </w:p>
        </w:tc>
        <w:tc>
          <w:tcPr>
            <w:tcW w:w="5670" w:type="dxa"/>
            <w:vAlign w:val="center"/>
          </w:tcPr>
          <w:p w14:paraId="33BFD516">
            <w:pPr>
              <w:rPr>
                <w:rFonts w:hint="eastAsia" w:ascii="宋体" w:hAnsi="宋体" w:cs="宋体"/>
                <w:color w:val="auto"/>
                <w:sz w:val="24"/>
                <w:szCs w:val="20"/>
                <w:highlight w:val="none"/>
              </w:rPr>
            </w:pPr>
          </w:p>
        </w:tc>
      </w:tr>
      <w:tr w14:paraId="02BCD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2658" w:type="dxa"/>
            <w:vAlign w:val="center"/>
          </w:tcPr>
          <w:p w14:paraId="6D4CF21A">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规格型号：</w:t>
            </w:r>
          </w:p>
        </w:tc>
        <w:tc>
          <w:tcPr>
            <w:tcW w:w="5670" w:type="dxa"/>
            <w:vAlign w:val="center"/>
          </w:tcPr>
          <w:p w14:paraId="44EB1976">
            <w:pPr>
              <w:rPr>
                <w:rFonts w:hint="eastAsia" w:ascii="宋体" w:hAnsi="宋体" w:cs="宋体"/>
                <w:color w:val="auto"/>
                <w:sz w:val="24"/>
                <w:szCs w:val="20"/>
                <w:highlight w:val="none"/>
              </w:rPr>
            </w:pPr>
          </w:p>
        </w:tc>
      </w:tr>
      <w:tr w14:paraId="0323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6461DB08">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交货期：</w:t>
            </w:r>
          </w:p>
        </w:tc>
        <w:tc>
          <w:tcPr>
            <w:tcW w:w="5670" w:type="dxa"/>
            <w:vAlign w:val="center"/>
          </w:tcPr>
          <w:p w14:paraId="7934630D">
            <w:pPr>
              <w:rPr>
                <w:rFonts w:hint="eastAsia" w:ascii="宋体" w:hAnsi="宋体" w:cs="宋体"/>
                <w:color w:val="auto"/>
                <w:sz w:val="24"/>
                <w:szCs w:val="20"/>
                <w:highlight w:val="none"/>
              </w:rPr>
            </w:pPr>
          </w:p>
        </w:tc>
      </w:tr>
      <w:tr w14:paraId="4CCA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42C63B65">
            <w:pPr>
              <w:pStyle w:val="13"/>
              <w:spacing w:line="440" w:lineRule="exact"/>
              <w:ind w:firstLine="0"/>
              <w:jc w:val="center"/>
              <w:rPr>
                <w:b/>
                <w:color w:val="auto"/>
                <w:highlight w:val="none"/>
              </w:rPr>
            </w:pPr>
            <w:r>
              <w:rPr>
                <w:rFonts w:hint="eastAsia" w:ascii="宋体" w:hAnsi="宋体" w:cs="宋体"/>
                <w:color w:val="auto"/>
                <w:highlight w:val="none"/>
              </w:rPr>
              <w:t>质保期：</w:t>
            </w:r>
          </w:p>
        </w:tc>
        <w:tc>
          <w:tcPr>
            <w:tcW w:w="5670" w:type="dxa"/>
            <w:vAlign w:val="center"/>
          </w:tcPr>
          <w:p w14:paraId="4A8EE40D">
            <w:pPr>
              <w:rPr>
                <w:color w:val="auto"/>
                <w:sz w:val="24"/>
                <w:szCs w:val="20"/>
                <w:highlight w:val="none"/>
              </w:rPr>
            </w:pPr>
          </w:p>
        </w:tc>
      </w:tr>
    </w:tbl>
    <w:p w14:paraId="4E9AD354">
      <w:pPr>
        <w:pStyle w:val="16"/>
        <w:rPr>
          <w:b/>
          <w:bCs/>
          <w:color w:val="auto"/>
          <w:highlight w:val="none"/>
        </w:rPr>
      </w:pPr>
    </w:p>
    <w:p w14:paraId="19D64DAF">
      <w:pPr>
        <w:pStyle w:val="16"/>
        <w:rPr>
          <w:b/>
          <w:bCs/>
          <w:color w:val="auto"/>
          <w:highlight w:val="none"/>
        </w:rPr>
      </w:pPr>
    </w:p>
    <w:p w14:paraId="198E040C">
      <w:pPr>
        <w:pStyle w:val="16"/>
        <w:rPr>
          <w:b/>
          <w:bCs/>
          <w:color w:val="auto"/>
          <w:highlight w:val="none"/>
        </w:rPr>
      </w:pPr>
    </w:p>
    <w:p w14:paraId="5100FAA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供应商授权代表姓名（签字）：</w:t>
      </w:r>
    </w:p>
    <w:p w14:paraId="390BA8B8">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供应商名称（盖章）：</w:t>
      </w:r>
    </w:p>
    <w:p w14:paraId="5170BFBF">
      <w:pPr>
        <w:widowControl/>
        <w:spacing w:line="360" w:lineRule="auto"/>
        <w:rPr>
          <w:color w:val="auto"/>
          <w:sz w:val="24"/>
          <w:highlight w:val="none"/>
        </w:rPr>
      </w:pPr>
      <w:r>
        <w:rPr>
          <w:rFonts w:hint="eastAsia" w:ascii="宋体" w:hAnsi="宋体" w:cs="宋体"/>
          <w:color w:val="auto"/>
          <w:sz w:val="24"/>
          <w:highlight w:val="none"/>
        </w:rPr>
        <w:t>日期：年月日</w:t>
      </w:r>
    </w:p>
    <w:p w14:paraId="3C8EAE50">
      <w:pPr>
        <w:widowControl/>
        <w:spacing w:line="360" w:lineRule="auto"/>
        <w:rPr>
          <w:rFonts w:hint="eastAsia" w:ascii="宋体" w:hAnsi="宋体" w:cs="宋体"/>
          <w:b/>
          <w:bCs/>
          <w:color w:val="auto"/>
          <w:sz w:val="24"/>
          <w:highlight w:val="none"/>
        </w:rPr>
      </w:pPr>
    </w:p>
    <w:p w14:paraId="4150B517">
      <w:pPr>
        <w:widowControl/>
        <w:spacing w:line="360" w:lineRule="auto"/>
        <w:rPr>
          <w:b/>
          <w:bCs/>
          <w:color w:val="auto"/>
          <w:sz w:val="24"/>
          <w:highlight w:val="none"/>
        </w:rPr>
      </w:pPr>
      <w:r>
        <w:rPr>
          <w:rFonts w:hint="eastAsia" w:ascii="宋体" w:hAnsi="宋体" w:cs="宋体"/>
          <w:b/>
          <w:bCs/>
          <w:color w:val="auto"/>
          <w:sz w:val="24"/>
          <w:highlight w:val="none"/>
        </w:rPr>
        <w:t>说明：</w:t>
      </w:r>
    </w:p>
    <w:p w14:paraId="1801882A">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（1）响应报价应包含为完成本项目所发生的全部费用。</w:t>
      </w:r>
    </w:p>
    <w:p w14:paraId="6C4280DF">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（2）供应商不得实质性改动报价一览表格式及内容。</w:t>
      </w:r>
    </w:p>
    <w:p w14:paraId="32DFCDE3">
      <w:pPr>
        <w:spacing w:line="360" w:lineRule="auto"/>
        <w:ind w:right="420"/>
        <w:jc w:val="center"/>
        <w:rPr>
          <w:rFonts w:ascii="Times New Roman" w:hAnsi="Times New Roman" w:eastAsia="黑体"/>
          <w:b/>
          <w:color w:val="auto"/>
          <w:kern w:val="2"/>
          <w:sz w:val="32"/>
          <w:szCs w:val="32"/>
          <w:highlight w:val="none"/>
        </w:rPr>
      </w:pPr>
    </w:p>
    <w:p w14:paraId="02250368">
      <w:pPr>
        <w:widowControl/>
        <w:spacing w:line="360" w:lineRule="auto"/>
        <w:jc w:val="left"/>
        <w:rPr>
          <w:rFonts w:hint="eastAsia" w:asciiTheme="minorEastAsia" w:hAnsiTheme="minorEastAsia" w:eastAsiaTheme="minorEastAsia" w:cstheme="minorEastAsia"/>
          <w:color w:val="auto"/>
          <w:sz w:val="24"/>
          <w:highlight w:val="none"/>
          <w:lang w:val="zh-CN"/>
        </w:rPr>
      </w:pPr>
    </w:p>
    <w:p w14:paraId="4FD5F358">
      <w:pPr>
        <w:jc w:val="left"/>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022CE448">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目录四、资格证明文件</w:t>
      </w:r>
    </w:p>
    <w:p w14:paraId="1D529276">
      <w:pPr>
        <w:pStyle w:val="265"/>
        <w:outlineLvl w:val="9"/>
        <w:rPr>
          <w:rFonts w:hint="eastAsia" w:asciiTheme="minorEastAsia" w:hAnsiTheme="minorEastAsia" w:eastAsiaTheme="minorEastAsia" w:cstheme="minorEastAsia"/>
          <w:color w:val="auto"/>
          <w:highlight w:val="none"/>
        </w:rPr>
      </w:pPr>
      <w:bookmarkStart w:id="13" w:name="_Toc489655335"/>
      <w:r>
        <w:rPr>
          <w:rFonts w:hint="eastAsia" w:asciiTheme="minorEastAsia" w:hAnsiTheme="minorEastAsia" w:eastAsiaTheme="minorEastAsia" w:cstheme="minorEastAsia"/>
          <w:color w:val="auto"/>
          <w:highlight w:val="none"/>
        </w:rPr>
        <w:t>资格证明文件</w:t>
      </w:r>
      <w:bookmarkEnd w:id="13"/>
    </w:p>
    <w:p w14:paraId="53C538C4">
      <w:pPr>
        <w:spacing w:before="240" w:after="60" w:line="240" w:lineRule="atLeast"/>
        <w:jc w:val="center"/>
        <w:rPr>
          <w:rFonts w:ascii="Times New Roman" w:hAnsi="Times New Roman" w:cs="Microsoft New Tai Lue"/>
          <w:b/>
          <w:color w:val="auto"/>
          <w:kern w:val="2"/>
          <w:sz w:val="24"/>
          <w:szCs w:val="24"/>
          <w:highlight w:val="none"/>
        </w:rPr>
      </w:pPr>
      <w:bookmarkStart w:id="14" w:name="_Toc103848588"/>
      <w:bookmarkStart w:id="15" w:name="_Toc104560903"/>
      <w:bookmarkStart w:id="16" w:name="_Toc107246283"/>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w:t>
      </w:r>
      <w:r>
        <w:rPr>
          <w:rFonts w:ascii="Times New Roman" w:hAnsi="Times New Roman" w:cs="Microsoft New Tai Lue"/>
          <w:b/>
          <w:color w:val="auto"/>
          <w:kern w:val="2"/>
          <w:sz w:val="24"/>
          <w:szCs w:val="24"/>
          <w:highlight w:val="none"/>
        </w:rPr>
        <w:t>）营业执照复印件或自然人的身份证明复印件</w:t>
      </w:r>
      <w:bookmarkEnd w:id="14"/>
      <w:bookmarkEnd w:id="15"/>
      <w:bookmarkEnd w:id="16"/>
    </w:p>
    <w:p w14:paraId="12B0A244">
      <w:pPr>
        <w:spacing w:line="360" w:lineRule="auto"/>
        <w:rPr>
          <w:rFonts w:ascii="Times New Roman" w:hAnsi="Times New Roman" w:cs="Microsoft New Tai Lue"/>
          <w:b/>
          <w:bCs/>
          <w:color w:val="auto"/>
          <w:kern w:val="2"/>
          <w:szCs w:val="24"/>
          <w:highlight w:val="none"/>
        </w:rPr>
      </w:pPr>
      <w:bookmarkStart w:id="17" w:name="_Hlk33717720"/>
    </w:p>
    <w:p w14:paraId="1A65F24E">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提供营业执照副本（或具有同等法律效力的证照）复印件。复印件应能清晰显示</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名称。</w:t>
      </w:r>
      <w:bookmarkEnd w:id="17"/>
    </w:p>
    <w:p w14:paraId="511C0D57">
      <w:pPr>
        <w:rPr>
          <w:rFonts w:ascii="Times New Roman" w:hAnsi="Times New Roman" w:cs="Microsoft New Tai Lue"/>
          <w:color w:val="auto"/>
          <w:kern w:val="2"/>
          <w:szCs w:val="24"/>
          <w:highlight w:val="none"/>
        </w:rPr>
      </w:pPr>
    </w:p>
    <w:p w14:paraId="20068F0D">
      <w:pPr>
        <w:ind w:firstLine="360"/>
        <w:jc w:val="center"/>
        <w:rPr>
          <w:rFonts w:ascii="Times New Roman" w:hAnsi="Times New Roman" w:eastAsia="幼圆"/>
          <w:b/>
          <w:bCs/>
          <w:color w:val="auto"/>
          <w:kern w:val="2"/>
          <w:sz w:val="44"/>
          <w:szCs w:val="24"/>
          <w:highlight w:val="none"/>
        </w:rPr>
      </w:pPr>
    </w:p>
    <w:p w14:paraId="0562C45E">
      <w:pPr>
        <w:spacing w:before="240" w:after="60" w:line="240" w:lineRule="atLeast"/>
        <w:jc w:val="left"/>
        <w:rPr>
          <w:rFonts w:ascii="Times New Roman" w:hAnsi="Times New Roman" w:cs="Microsoft New Tai Lue"/>
          <w:b/>
          <w:color w:val="auto"/>
          <w:kern w:val="2"/>
          <w:sz w:val="24"/>
          <w:szCs w:val="24"/>
          <w:highlight w:val="none"/>
          <w:u w:val="dotDash"/>
        </w:rPr>
      </w:pPr>
      <w:bookmarkStart w:id="18" w:name="_Toc104560904"/>
      <w:bookmarkStart w:id="19" w:name="_Toc102117320"/>
      <w:bookmarkStart w:id="20" w:name="_Toc103848589"/>
      <w:bookmarkStart w:id="21" w:name="_Toc107246284"/>
      <w:r>
        <w:rPr>
          <w:rFonts w:hint="eastAsia" w:ascii="Times New Roman" w:hAnsi="Times New Roman" w:cs="Microsoft New Tai Lue"/>
          <w:b/>
          <w:color w:val="auto"/>
          <w:kern w:val="2"/>
          <w:sz w:val="24"/>
          <w:szCs w:val="24"/>
          <w:highlight w:val="none"/>
          <w:u w:val="dotDash"/>
        </w:rPr>
        <w:t xml:space="preserve">                                                                         </w:t>
      </w:r>
    </w:p>
    <w:p w14:paraId="13B3BB8B">
      <w:pPr>
        <w:spacing w:before="240" w:after="60" w:line="240" w:lineRule="atLeast"/>
        <w:jc w:val="center"/>
        <w:rPr>
          <w:rFonts w:ascii="Times New Roman" w:hAnsi="Times New Roman" w:eastAsia="黑体" w:cs="Microsoft New Tai Lue"/>
          <w:bCs/>
          <w:color w:val="auto"/>
          <w:kern w:val="2"/>
          <w:sz w:val="32"/>
          <w:szCs w:val="32"/>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1-1</w:t>
      </w:r>
      <w:r>
        <w:rPr>
          <w:rFonts w:ascii="Times New Roman" w:hAnsi="Times New Roman" w:cs="Microsoft New Tai Lue"/>
          <w:b/>
          <w:color w:val="auto"/>
          <w:kern w:val="2"/>
          <w:sz w:val="24"/>
          <w:szCs w:val="24"/>
          <w:highlight w:val="none"/>
        </w:rPr>
        <w:t>）工商变更登记文件（如需）</w:t>
      </w:r>
      <w:bookmarkEnd w:id="18"/>
      <w:bookmarkEnd w:id="19"/>
      <w:bookmarkEnd w:id="20"/>
      <w:bookmarkEnd w:id="21"/>
    </w:p>
    <w:p w14:paraId="6087E191">
      <w:pPr>
        <w:spacing w:line="360" w:lineRule="auto"/>
        <w:rPr>
          <w:rFonts w:ascii="Times New Roman" w:hAnsi="Times New Roman" w:cs="Microsoft New Tai Lue"/>
          <w:b/>
          <w:bCs/>
          <w:color w:val="auto"/>
          <w:kern w:val="2"/>
          <w:szCs w:val="24"/>
          <w:highlight w:val="none"/>
        </w:rPr>
      </w:pPr>
    </w:p>
    <w:p w14:paraId="7DBBD9C7">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注：如</w:t>
      </w:r>
      <w:r>
        <w:rPr>
          <w:rFonts w:hint="eastAsia" w:ascii="Times New Roman" w:hAnsi="Times New Roman" w:cs="Microsoft New Tai Lue"/>
          <w:b/>
          <w:bCs/>
          <w:color w:val="auto"/>
          <w:kern w:val="2"/>
          <w:sz w:val="22"/>
          <w:highlight w:val="none"/>
        </w:rPr>
        <w:t>供应商比选</w:t>
      </w:r>
      <w:r>
        <w:rPr>
          <w:rFonts w:ascii="Times New Roman" w:hAnsi="Times New Roman" w:cs="Microsoft New Tai Lue"/>
          <w:b/>
          <w:bCs/>
          <w:color w:val="auto"/>
          <w:kern w:val="2"/>
          <w:szCs w:val="24"/>
          <w:highlight w:val="none"/>
        </w:rPr>
        <w:t>文件资质、业绩等要求的时间期限内发生了单位名称等变更的，提供相关工商变更登记文件的复印件。如无，则可不提供。</w:t>
      </w:r>
    </w:p>
    <w:p w14:paraId="64856154">
      <w:pPr>
        <w:ind w:firstLine="360"/>
        <w:jc w:val="center"/>
        <w:rPr>
          <w:rFonts w:ascii="Times New Roman" w:hAnsi="Times New Roman" w:eastAsia="幼圆"/>
          <w:b/>
          <w:bCs/>
          <w:color w:val="auto"/>
          <w:kern w:val="2"/>
          <w:sz w:val="44"/>
          <w:szCs w:val="24"/>
          <w:highlight w:val="none"/>
        </w:rPr>
      </w:pPr>
    </w:p>
    <w:p w14:paraId="5296CDAF">
      <w:pPr>
        <w:ind w:firstLine="360"/>
        <w:jc w:val="center"/>
        <w:rPr>
          <w:rFonts w:ascii="Times New Roman" w:hAnsi="Times New Roman" w:eastAsia="幼圆"/>
          <w:b/>
          <w:bCs/>
          <w:color w:val="auto"/>
          <w:kern w:val="2"/>
          <w:sz w:val="44"/>
          <w:szCs w:val="24"/>
          <w:highlight w:val="none"/>
        </w:rPr>
      </w:pPr>
    </w:p>
    <w:p w14:paraId="4D097CAE">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24FB79F2">
      <w:pPr>
        <w:spacing w:before="240" w:after="60" w:line="240" w:lineRule="atLeast"/>
        <w:jc w:val="center"/>
        <w:rPr>
          <w:rFonts w:ascii="Times New Roman" w:hAnsi="Times New Roman" w:cs="Microsoft New Tai Lue"/>
          <w:b/>
          <w:color w:val="auto"/>
          <w:kern w:val="2"/>
          <w:sz w:val="24"/>
          <w:szCs w:val="24"/>
          <w:highlight w:val="none"/>
        </w:rPr>
      </w:pPr>
      <w:bookmarkStart w:id="22" w:name="_Toc103848590"/>
      <w:bookmarkStart w:id="23" w:name="_Toc104560905"/>
      <w:bookmarkStart w:id="24" w:name="_Toc102117321"/>
      <w:bookmarkStart w:id="25" w:name="_Toc107246285"/>
      <w:r>
        <w:rPr>
          <w:rFonts w:ascii="Times New Roman" w:hAnsi="Times New Roman" w:cs="Microsoft New Tai Lue"/>
          <w:b/>
          <w:color w:val="auto"/>
          <w:kern w:val="2"/>
          <w:sz w:val="24"/>
          <w:szCs w:val="24"/>
          <w:highlight w:val="none"/>
        </w:rPr>
        <w:t>（2）</w:t>
      </w:r>
      <w:bookmarkEnd w:id="22"/>
      <w:bookmarkEnd w:id="23"/>
      <w:bookmarkEnd w:id="24"/>
      <w:bookmarkEnd w:id="25"/>
      <w:r>
        <w:rPr>
          <w:rFonts w:hint="eastAsia" w:ascii="Times New Roman" w:hAnsi="Times New Roman" w:cs="Microsoft New Tai Lue"/>
          <w:b/>
          <w:color w:val="auto"/>
          <w:kern w:val="2"/>
          <w:sz w:val="24"/>
          <w:szCs w:val="24"/>
          <w:highlight w:val="none"/>
        </w:rPr>
        <w:t>财务状况报告（或资信证明、担保函）</w:t>
      </w:r>
    </w:p>
    <w:p w14:paraId="0A587758">
      <w:pPr>
        <w:rPr>
          <w:rFonts w:ascii="Times New Roman" w:hAnsi="Times New Roman" w:cs="Microsoft New Tai Lue"/>
          <w:color w:val="auto"/>
          <w:kern w:val="2"/>
          <w:szCs w:val="24"/>
          <w:highlight w:val="none"/>
        </w:rPr>
      </w:pPr>
    </w:p>
    <w:p w14:paraId="0077983D">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56CA4951">
      <w:pPr>
        <w:spacing w:line="360" w:lineRule="auto"/>
        <w:rPr>
          <w:rFonts w:ascii="Times New Roman" w:hAnsi="Times New Roman" w:cs="Microsoft New Tai Lue"/>
          <w:b/>
          <w:bCs/>
          <w:color w:val="auto"/>
          <w:kern w:val="2"/>
          <w:szCs w:val="24"/>
          <w:highlight w:val="none"/>
        </w:rPr>
      </w:pPr>
    </w:p>
    <w:p w14:paraId="700B1F62">
      <w:pPr>
        <w:ind w:firstLine="360"/>
        <w:jc w:val="center"/>
        <w:rPr>
          <w:rFonts w:ascii="Times New Roman" w:hAnsi="Times New Roman" w:eastAsia="幼圆"/>
          <w:b/>
          <w:bCs/>
          <w:color w:val="auto"/>
          <w:kern w:val="2"/>
          <w:sz w:val="44"/>
          <w:szCs w:val="24"/>
          <w:highlight w:val="none"/>
        </w:rPr>
      </w:pPr>
    </w:p>
    <w:p w14:paraId="75725E2B">
      <w:pPr>
        <w:spacing w:before="240" w:after="60" w:line="240" w:lineRule="atLeast"/>
        <w:jc w:val="left"/>
        <w:rPr>
          <w:rFonts w:ascii="Times New Roman" w:hAnsi="Times New Roman" w:cs="Microsoft New Tai Lue"/>
          <w:b/>
          <w:color w:val="auto"/>
          <w:kern w:val="2"/>
          <w:sz w:val="24"/>
          <w:szCs w:val="24"/>
          <w:highlight w:val="none"/>
          <w:u w:val="dotDash"/>
        </w:rPr>
      </w:pPr>
      <w:bookmarkStart w:id="26" w:name="_Toc103848593"/>
      <w:bookmarkStart w:id="27" w:name="_Toc102117322"/>
      <w:bookmarkStart w:id="28" w:name="_Toc104560908"/>
      <w:r>
        <w:rPr>
          <w:rFonts w:hint="eastAsia" w:ascii="Times New Roman" w:hAnsi="Times New Roman" w:cs="Microsoft New Tai Lue"/>
          <w:b/>
          <w:color w:val="auto"/>
          <w:kern w:val="2"/>
          <w:sz w:val="24"/>
          <w:szCs w:val="24"/>
          <w:highlight w:val="none"/>
          <w:u w:val="dotDash"/>
        </w:rPr>
        <w:t xml:space="preserve">                                                                         </w:t>
      </w:r>
    </w:p>
    <w:p w14:paraId="0463E08B">
      <w:pPr>
        <w:spacing w:before="240" w:after="60" w:line="240" w:lineRule="atLeast"/>
        <w:jc w:val="left"/>
        <w:rPr>
          <w:rFonts w:ascii="Times New Roman" w:hAnsi="Times New Roman" w:cs="Microsoft New Tai Lue"/>
          <w:b/>
          <w:color w:val="auto"/>
          <w:kern w:val="2"/>
          <w:sz w:val="24"/>
          <w:szCs w:val="24"/>
          <w:highlight w:val="none"/>
        </w:rPr>
      </w:pPr>
      <w:bookmarkStart w:id="29" w:name="_Toc107246286"/>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（3）具有履行合同所必需的设备和专业技术能力的相关证明材料或承诺函（提供承诺函原件）</w:t>
      </w:r>
      <w:bookmarkEnd w:id="26"/>
      <w:bookmarkEnd w:id="27"/>
      <w:bookmarkEnd w:id="28"/>
      <w:bookmarkEnd w:id="29"/>
    </w:p>
    <w:p w14:paraId="010FCEFC">
      <w:pPr>
        <w:adjustRightInd w:val="0"/>
        <w:spacing w:before="120" w:after="120" w:line="360" w:lineRule="auto"/>
        <w:ind w:firstLine="480"/>
        <w:jc w:val="center"/>
        <w:textAlignment w:val="baseline"/>
        <w:rPr>
          <w:rFonts w:ascii="Times New Roman" w:hAnsi="Times New Roman" w:cs="Microsoft New Tai Lue"/>
          <w:b/>
          <w:color w:val="auto"/>
          <w:kern w:val="2"/>
          <w:sz w:val="44"/>
          <w:szCs w:val="44"/>
          <w:highlight w:val="none"/>
        </w:rPr>
      </w:pPr>
    </w:p>
    <w:p w14:paraId="184CD7A3">
      <w:pPr>
        <w:adjustRightInd w:val="0"/>
        <w:spacing w:before="120" w:after="120" w:line="360" w:lineRule="auto"/>
        <w:ind w:firstLine="480"/>
        <w:jc w:val="center"/>
        <w:textAlignment w:val="baseline"/>
        <w:rPr>
          <w:rFonts w:ascii="Times New Roman" w:hAnsi="Times New Roman" w:cs="Microsoft New Tai Lue"/>
          <w:color w:val="auto"/>
          <w:kern w:val="2"/>
          <w:szCs w:val="24"/>
          <w:highlight w:val="none"/>
        </w:rPr>
      </w:pPr>
      <w:r>
        <w:rPr>
          <w:rFonts w:ascii="Times New Roman" w:hAnsi="Times New Roman" w:cs="Microsoft New Tai Lue"/>
          <w:color w:val="auto"/>
          <w:kern w:val="2"/>
          <w:sz w:val="44"/>
          <w:szCs w:val="44"/>
          <w:highlight w:val="none"/>
        </w:rPr>
        <w:t>承 诺 函</w:t>
      </w:r>
    </w:p>
    <w:p w14:paraId="47EC6D79">
      <w:pPr>
        <w:pStyle w:val="17"/>
        <w:spacing w:line="360" w:lineRule="auto"/>
        <w:ind w:firstLine="480"/>
        <w:rPr>
          <w:rFonts w:hint="eastAsia" w:asciiTheme="minorEastAsia" w:hAnsiTheme="minorEastAsia" w:eastAsiaTheme="minorEastAsia" w:cstheme="minorEastAsia"/>
          <w:color w:val="auto"/>
          <w:highlight w:val="none"/>
        </w:rPr>
      </w:pPr>
      <w:r>
        <w:rPr>
          <w:rFonts w:cs="Microsoft New Tai Lue"/>
          <w:color w:val="auto"/>
          <w:kern w:val="2"/>
          <w:szCs w:val="24"/>
          <w:highlight w:val="none"/>
        </w:rPr>
        <w:t>我单位郑重承诺：</w:t>
      </w:r>
      <w:r>
        <w:rPr>
          <w:rFonts w:hint="eastAsia" w:asciiTheme="minorEastAsia" w:hAnsiTheme="minorEastAsia" w:eastAsiaTheme="minorEastAsia" w:cstheme="minorEastAsia"/>
          <w:color w:val="auto"/>
          <w:highlight w:val="none"/>
        </w:rPr>
        <w:t>我单位具备履行本项采购合同所必需的设备和专业技术能力，为履行本项采购合同我单位具备如下主要设备和主要专业技术能力：</w:t>
      </w:r>
    </w:p>
    <w:p w14:paraId="46C9D4E5">
      <w:pPr>
        <w:pStyle w:val="17"/>
        <w:spacing w:line="360"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。（若有）</w:t>
      </w:r>
    </w:p>
    <w:p w14:paraId="7C0A5F89">
      <w:pPr>
        <w:adjustRightInd w:val="0"/>
        <w:spacing w:before="120" w:after="120" w:line="360" w:lineRule="auto"/>
        <w:ind w:firstLine="480"/>
        <w:jc w:val="left"/>
        <w:textAlignment w:val="baseline"/>
        <w:rPr>
          <w:rFonts w:ascii="Times New Roman" w:hAnsi="Times New Roman" w:cs="Microsoft New Tai Lue"/>
          <w:color w:val="auto"/>
          <w:kern w:val="2"/>
          <w:sz w:val="24"/>
          <w:szCs w:val="24"/>
          <w:highlight w:val="none"/>
        </w:rPr>
      </w:pPr>
      <w:r>
        <w:rPr>
          <w:rFonts w:hint="eastAsia" w:ascii="Times New Roman" w:hAnsi="Times New Roman" w:cs="Microsoft New Tai Lue"/>
          <w:color w:val="auto"/>
          <w:kern w:val="2"/>
          <w:sz w:val="24"/>
          <w:szCs w:val="24"/>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imes New Roman" w:hAnsi="Times New Roman" w:cs="Microsoft New Tai Lue"/>
          <w:color w:val="auto"/>
          <w:kern w:val="2"/>
          <w:sz w:val="24"/>
          <w:szCs w:val="24"/>
          <w:highlight w:val="none"/>
          <w:u w:val="single"/>
        </w:rPr>
        <w:t xml:space="preserve">         </w:t>
      </w:r>
      <w:r>
        <w:rPr>
          <w:rFonts w:hint="eastAsia" w:ascii="Times New Roman" w:hAnsi="Times New Roman" w:cs="Microsoft New Tai Lue"/>
          <w:color w:val="auto"/>
          <w:kern w:val="2"/>
          <w:sz w:val="24"/>
          <w:szCs w:val="24"/>
          <w:highlight w:val="none"/>
        </w:rPr>
        <w:t>。（若有）</w:t>
      </w:r>
    </w:p>
    <w:p w14:paraId="59158629">
      <w:pPr>
        <w:adjustRightInd w:val="0"/>
        <w:spacing w:before="120" w:after="120" w:line="360" w:lineRule="auto"/>
        <w:ind w:firstLine="480"/>
        <w:jc w:val="left"/>
        <w:textAlignment w:val="baseline"/>
        <w:rPr>
          <w:rFonts w:ascii="Times New Roman" w:hAnsi="Times New Roman" w:cs="Microsoft New Tai Lue"/>
          <w:color w:val="auto"/>
          <w:kern w:val="2"/>
          <w:szCs w:val="24"/>
          <w:highlight w:val="none"/>
        </w:rPr>
      </w:pPr>
    </w:p>
    <w:p w14:paraId="3A37598D">
      <w:pPr>
        <w:ind w:left="1260" w:leftChars="600"/>
        <w:rPr>
          <w:rFonts w:ascii="Times New Roman" w:hAnsi="Times New Roman"/>
          <w:b/>
          <w:color w:val="auto"/>
          <w:position w:val="-10"/>
          <w:sz w:val="24"/>
          <w:szCs w:val="20"/>
          <w:highlight w:val="none"/>
        </w:rPr>
      </w:pPr>
    </w:p>
    <w:p w14:paraId="0370B519">
      <w:pPr>
        <w:rPr>
          <w:rFonts w:ascii="Times New Roman" w:hAnsi="Times New Roman"/>
          <w:color w:val="auto"/>
          <w:kern w:val="2"/>
          <w:szCs w:val="24"/>
          <w:highlight w:val="none"/>
        </w:rPr>
      </w:pPr>
    </w:p>
    <w:p w14:paraId="1BF2479C">
      <w:pPr>
        <w:spacing w:line="276"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名称（公章）：______________________</w:t>
      </w:r>
    </w:p>
    <w:p w14:paraId="7CC18E01">
      <w:pPr>
        <w:spacing w:line="276" w:lineRule="auto"/>
        <w:rPr>
          <w:rFonts w:ascii="Times New Roman" w:hAnsi="Times New Roman" w:cs="Microsoft New Tai Lue"/>
          <w:bCs/>
          <w:color w:val="auto"/>
          <w:kern w:val="2"/>
          <w:szCs w:val="24"/>
          <w:highlight w:val="none"/>
        </w:rPr>
      </w:pPr>
    </w:p>
    <w:p w14:paraId="44839CFD">
      <w:pPr>
        <w:spacing w:line="276" w:lineRule="auto"/>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1A5F68D7">
      <w:pPr>
        <w:spacing w:line="276" w:lineRule="auto"/>
        <w:ind w:firstLine="3780" w:firstLineChars="1800"/>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23773214">
      <w:pPr>
        <w:spacing w:line="276" w:lineRule="auto"/>
        <w:ind w:firstLine="3780" w:firstLineChars="1800"/>
        <w:rPr>
          <w:rFonts w:ascii="Times New Roman" w:hAnsi="Times New Roman" w:cs="Microsoft New Tai Lue"/>
          <w:color w:val="auto"/>
          <w:kern w:val="2"/>
          <w:szCs w:val="21"/>
          <w:highlight w:val="none"/>
          <w:u w:val="single"/>
        </w:rPr>
      </w:pPr>
    </w:p>
    <w:p w14:paraId="5332DB06">
      <w:pPr>
        <w:spacing w:line="276"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711A02ED">
      <w:pPr>
        <w:ind w:firstLine="360"/>
        <w:jc w:val="center"/>
        <w:rPr>
          <w:rFonts w:ascii="Times New Roman" w:hAnsi="Times New Roman" w:eastAsia="幼圆"/>
          <w:b/>
          <w:bCs/>
          <w:color w:val="auto"/>
          <w:kern w:val="2"/>
          <w:sz w:val="44"/>
          <w:szCs w:val="24"/>
          <w:highlight w:val="none"/>
        </w:rPr>
      </w:pPr>
    </w:p>
    <w:p w14:paraId="13712CB6">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47562056">
      <w:pPr>
        <w:spacing w:before="240" w:after="60" w:line="240" w:lineRule="atLeast"/>
        <w:jc w:val="center"/>
        <w:rPr>
          <w:rFonts w:ascii="Times New Roman" w:hAnsi="Times New Roman" w:eastAsia="黑体" w:cs="Microsoft New Tai Lue"/>
          <w:bCs/>
          <w:color w:val="auto"/>
          <w:kern w:val="2"/>
          <w:sz w:val="32"/>
          <w:szCs w:val="32"/>
          <w:highlight w:val="none"/>
        </w:rPr>
      </w:pPr>
      <w:bookmarkStart w:id="30" w:name="_Toc102117323"/>
      <w:bookmarkStart w:id="31" w:name="_Toc103848591"/>
      <w:bookmarkStart w:id="32" w:name="_Toc107246287"/>
      <w:bookmarkStart w:id="33" w:name="_Toc104560906"/>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4-1</w:t>
      </w:r>
      <w:r>
        <w:rPr>
          <w:rFonts w:ascii="Times New Roman" w:hAnsi="Times New Roman" w:cs="Microsoft New Tai Lue"/>
          <w:b/>
          <w:color w:val="auto"/>
          <w:kern w:val="2"/>
          <w:sz w:val="24"/>
          <w:szCs w:val="24"/>
          <w:highlight w:val="none"/>
        </w:rPr>
        <w:t>）依法缴纳税收的相关材料</w:t>
      </w:r>
      <w:bookmarkEnd w:id="30"/>
      <w:bookmarkEnd w:id="31"/>
      <w:bookmarkEnd w:id="32"/>
      <w:bookmarkEnd w:id="33"/>
    </w:p>
    <w:p w14:paraId="0C372D71">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52643B96">
      <w:pPr>
        <w:ind w:firstLine="360"/>
        <w:jc w:val="center"/>
        <w:rPr>
          <w:rFonts w:ascii="Times New Roman" w:hAnsi="Times New Roman" w:eastAsia="幼圆"/>
          <w:b/>
          <w:bCs/>
          <w:color w:val="auto"/>
          <w:kern w:val="2"/>
          <w:sz w:val="44"/>
          <w:szCs w:val="24"/>
          <w:highlight w:val="none"/>
        </w:rPr>
      </w:pPr>
    </w:p>
    <w:p w14:paraId="554B5155">
      <w:pPr>
        <w:spacing w:before="240" w:after="60" w:line="240" w:lineRule="atLeast"/>
        <w:jc w:val="left"/>
        <w:rPr>
          <w:rFonts w:ascii="Times New Roman" w:hAnsi="Times New Roman" w:cs="Microsoft New Tai Lue"/>
          <w:b/>
          <w:color w:val="auto"/>
          <w:kern w:val="2"/>
          <w:sz w:val="24"/>
          <w:szCs w:val="24"/>
          <w:highlight w:val="none"/>
          <w:u w:val="dotDash"/>
        </w:rPr>
      </w:pPr>
      <w:bookmarkStart w:id="34" w:name="_Toc107246288"/>
      <w:bookmarkStart w:id="35" w:name="_Toc103848592"/>
      <w:bookmarkStart w:id="36" w:name="_Toc104560907"/>
      <w:bookmarkStart w:id="37" w:name="_Toc102117324"/>
      <w:r>
        <w:rPr>
          <w:rFonts w:hint="eastAsia" w:ascii="Times New Roman" w:hAnsi="Times New Roman" w:cs="Microsoft New Tai Lue"/>
          <w:b/>
          <w:color w:val="auto"/>
          <w:kern w:val="2"/>
          <w:sz w:val="24"/>
          <w:szCs w:val="24"/>
          <w:highlight w:val="none"/>
          <w:u w:val="dotDash"/>
        </w:rPr>
        <w:t xml:space="preserve">                                                                         </w:t>
      </w:r>
    </w:p>
    <w:p w14:paraId="63F281A5">
      <w:pPr>
        <w:spacing w:before="240" w:after="60" w:line="240" w:lineRule="atLeast"/>
        <w:jc w:val="center"/>
        <w:rPr>
          <w:rFonts w:ascii="Times New Roman" w:hAnsi="Times New Roman" w:cs="Microsoft New Tai Lue"/>
          <w:b/>
          <w:color w:val="auto"/>
          <w:kern w:val="2"/>
          <w:sz w:val="24"/>
          <w:szCs w:val="24"/>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4-2</w:t>
      </w:r>
      <w:r>
        <w:rPr>
          <w:rFonts w:ascii="Times New Roman" w:hAnsi="Times New Roman" w:cs="Microsoft New Tai Lue"/>
          <w:b/>
          <w:color w:val="auto"/>
          <w:kern w:val="2"/>
          <w:sz w:val="24"/>
          <w:szCs w:val="24"/>
          <w:highlight w:val="none"/>
        </w:rPr>
        <w:t>）依法缴纳社会保障资金的相关材料</w:t>
      </w:r>
      <w:bookmarkEnd w:id="34"/>
      <w:bookmarkEnd w:id="35"/>
      <w:bookmarkEnd w:id="36"/>
      <w:bookmarkEnd w:id="37"/>
    </w:p>
    <w:p w14:paraId="64FB400D">
      <w:pPr>
        <w:spacing w:line="360" w:lineRule="auto"/>
        <w:jc w:val="center"/>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1C949181">
      <w:pPr>
        <w:spacing w:line="360" w:lineRule="auto"/>
        <w:rPr>
          <w:rFonts w:ascii="Times New Roman" w:hAnsi="Times New Roman" w:cs="Microsoft New Tai Lue"/>
          <w:b/>
          <w:bCs/>
          <w:color w:val="auto"/>
          <w:kern w:val="2"/>
          <w:szCs w:val="24"/>
          <w:highlight w:val="none"/>
        </w:rPr>
      </w:pPr>
    </w:p>
    <w:p w14:paraId="323065EA">
      <w:pPr>
        <w:spacing w:before="240" w:after="60" w:line="240" w:lineRule="atLeast"/>
        <w:jc w:val="left"/>
        <w:rPr>
          <w:rFonts w:ascii="Times New Roman" w:hAnsi="Times New Roman" w:cs="Microsoft New Tai Lue"/>
          <w:b/>
          <w:color w:val="auto"/>
          <w:kern w:val="2"/>
          <w:sz w:val="24"/>
          <w:szCs w:val="24"/>
          <w:highlight w:val="none"/>
          <w:u w:val="dotDash"/>
        </w:rPr>
      </w:pPr>
      <w:bookmarkStart w:id="38" w:name="_Toc104560909"/>
      <w:bookmarkStart w:id="39" w:name="_Toc107246289"/>
      <w:bookmarkStart w:id="40" w:name="_Toc102117325"/>
      <w:bookmarkStart w:id="41" w:name="_Toc103848594"/>
      <w:r>
        <w:rPr>
          <w:rFonts w:hint="eastAsia" w:ascii="Times New Roman" w:hAnsi="Times New Roman" w:cs="Microsoft New Tai Lue"/>
          <w:b/>
          <w:color w:val="auto"/>
          <w:kern w:val="2"/>
          <w:sz w:val="24"/>
          <w:szCs w:val="24"/>
          <w:highlight w:val="none"/>
          <w:u w:val="dotDash"/>
        </w:rPr>
        <w:t xml:space="preserve">                                                                         </w:t>
      </w:r>
    </w:p>
    <w:p w14:paraId="0BA29388">
      <w:pPr>
        <w:spacing w:before="240" w:after="60" w:line="240" w:lineRule="atLeast"/>
        <w:jc w:val="center"/>
        <w:rPr>
          <w:rFonts w:ascii="Times New Roman" w:hAnsi="Times New Roman" w:cs="Microsoft New Tai Lue"/>
          <w:bCs/>
          <w:color w:val="auto"/>
          <w:kern w:val="2"/>
          <w:sz w:val="24"/>
          <w:szCs w:val="32"/>
          <w:highlight w:val="none"/>
        </w:rPr>
      </w:pPr>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5</w:t>
      </w:r>
      <w:r>
        <w:rPr>
          <w:rFonts w:ascii="Times New Roman" w:hAnsi="Times New Roman" w:cs="Microsoft New Tai Lue"/>
          <w:b/>
          <w:color w:val="auto"/>
          <w:kern w:val="2"/>
          <w:sz w:val="24"/>
          <w:szCs w:val="24"/>
          <w:highlight w:val="none"/>
        </w:rPr>
        <w:t>）没有重大违法记录的书面声明</w:t>
      </w:r>
      <w:bookmarkEnd w:id="38"/>
      <w:bookmarkEnd w:id="39"/>
      <w:bookmarkEnd w:id="40"/>
      <w:bookmarkEnd w:id="41"/>
    </w:p>
    <w:p w14:paraId="7A8C5982">
      <w:pPr>
        <w:spacing w:line="360" w:lineRule="auto"/>
        <w:rPr>
          <w:rFonts w:ascii="Times New Roman" w:hAnsi="Times New Roman" w:cs="Microsoft New Tai Lue"/>
          <w:b/>
          <w:bCs/>
          <w:color w:val="auto"/>
          <w:kern w:val="2"/>
          <w:szCs w:val="24"/>
          <w:highlight w:val="none"/>
        </w:rPr>
      </w:pPr>
    </w:p>
    <w:p w14:paraId="1B0E41C9">
      <w:pPr>
        <w:spacing w:line="360" w:lineRule="auto"/>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注：参加政府采购活动前3年内在经营活动中没有重大违法记录的书面声明（提供声明函原件）。</w:t>
      </w:r>
    </w:p>
    <w:p w14:paraId="4E6C5E8C">
      <w:pPr>
        <w:adjustRightInd w:val="0"/>
        <w:snapToGrid w:val="0"/>
        <w:spacing w:line="360" w:lineRule="auto"/>
        <w:jc w:val="center"/>
        <w:rPr>
          <w:rFonts w:ascii="Times New Roman" w:hAnsi="Times New Roman" w:eastAsia="黑体" w:cs="Microsoft New Tai Lue"/>
          <w:b/>
          <w:color w:val="auto"/>
          <w:kern w:val="2"/>
          <w:sz w:val="32"/>
          <w:szCs w:val="32"/>
          <w:highlight w:val="none"/>
        </w:rPr>
      </w:pPr>
    </w:p>
    <w:p w14:paraId="0B309ED7">
      <w:pPr>
        <w:spacing w:line="360" w:lineRule="auto"/>
        <w:jc w:val="center"/>
        <w:rPr>
          <w:rFonts w:ascii="Times New Roman" w:hAnsi="Times New Roman" w:cs="Microsoft New Tai Lue"/>
          <w:bCs/>
          <w:color w:val="auto"/>
          <w:kern w:val="2"/>
          <w:sz w:val="44"/>
          <w:szCs w:val="44"/>
          <w:highlight w:val="none"/>
        </w:rPr>
      </w:pPr>
      <w:r>
        <w:rPr>
          <w:rFonts w:ascii="Times New Roman" w:hAnsi="Times New Roman" w:cs="Microsoft New Tai Lue"/>
          <w:bCs/>
          <w:color w:val="auto"/>
          <w:kern w:val="2"/>
          <w:sz w:val="44"/>
          <w:szCs w:val="44"/>
          <w:highlight w:val="none"/>
        </w:rPr>
        <w:t>声  明</w:t>
      </w:r>
    </w:p>
    <w:p w14:paraId="43ABED5A">
      <w:pPr>
        <w:rPr>
          <w:rFonts w:ascii="Times New Roman" w:hAnsi="Times New Roman" w:eastAsia="楷体_GB2312" w:cs="Microsoft New Tai Lue"/>
          <w:color w:val="auto"/>
          <w:kern w:val="2"/>
          <w:sz w:val="28"/>
          <w:szCs w:val="28"/>
          <w:highlight w:val="none"/>
        </w:rPr>
      </w:pPr>
    </w:p>
    <w:p w14:paraId="59F37797">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我单位郑重声明：参加本次政府采购活动前 3 年内，我单位在经营活动中没有因违法经营受到刑事处罚或者责令停产停业、吊销许可证或者执照、较大数额罚款等行政处罚。</w:t>
      </w:r>
    </w:p>
    <w:p w14:paraId="010774AE">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53B60370">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04E9D655">
      <w:pPr>
        <w:spacing w:line="360" w:lineRule="auto"/>
        <w:ind w:firstLine="3990" w:firstLineChars="1900"/>
        <w:rPr>
          <w:rFonts w:ascii="Times New Roman" w:hAnsi="Times New Roman" w:cs="Microsoft New Tai Lue"/>
          <w:bCs/>
          <w:color w:val="auto"/>
          <w:kern w:val="2"/>
          <w:szCs w:val="24"/>
          <w:highlight w:val="none"/>
        </w:rPr>
      </w:pP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1D42E46C">
      <w:pPr>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4FB819AB">
      <w:pPr>
        <w:ind w:firstLine="3990" w:firstLineChars="1900"/>
        <w:rPr>
          <w:rFonts w:ascii="Times New Roman" w:hAnsi="Times New Roman" w:cs="Microsoft New Tai Lue"/>
          <w:color w:val="auto"/>
          <w:kern w:val="2"/>
          <w:szCs w:val="21"/>
          <w:highlight w:val="none"/>
        </w:rPr>
      </w:pPr>
    </w:p>
    <w:p w14:paraId="69A7FDA4">
      <w:pPr>
        <w:ind w:firstLine="3990" w:firstLineChars="1900"/>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0BE1611E">
      <w:pPr>
        <w:ind w:firstLine="3990" w:firstLineChars="1900"/>
        <w:rPr>
          <w:rFonts w:ascii="Times New Roman" w:hAnsi="Times New Roman" w:cs="Microsoft New Tai Lue"/>
          <w:color w:val="auto"/>
          <w:kern w:val="2"/>
          <w:szCs w:val="21"/>
          <w:highlight w:val="none"/>
          <w:u w:val="single"/>
        </w:rPr>
      </w:pPr>
    </w:p>
    <w:p w14:paraId="2743C2C8">
      <w:pPr>
        <w:spacing w:line="360" w:lineRule="auto"/>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4EFE5B3A">
      <w:pPr>
        <w:spacing w:before="240" w:after="60" w:line="240" w:lineRule="atLeast"/>
        <w:jc w:val="left"/>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5153748A">
      <w:pPr>
        <w:rPr>
          <w:rFonts w:ascii="Times New Roman" w:hAnsi="Times New Roman"/>
          <w:color w:val="auto"/>
          <w:kern w:val="2"/>
          <w:szCs w:val="24"/>
          <w:highlight w:val="none"/>
        </w:rPr>
      </w:pPr>
      <w:bookmarkStart w:id="42" w:name="_Toc107246290"/>
      <w:bookmarkStart w:id="43" w:name="_Toc104560910"/>
    </w:p>
    <w:p w14:paraId="3438F0E6">
      <w:pPr>
        <w:spacing w:line="360" w:lineRule="auto"/>
        <w:rPr>
          <w:rFonts w:ascii="Times New Roman" w:hAnsi="Times New Roman" w:cs="Microsoft New Tai Lue"/>
          <w:bCs/>
          <w:color w:val="auto"/>
          <w:kern w:val="2"/>
          <w:szCs w:val="24"/>
          <w:highlight w:val="none"/>
        </w:rPr>
      </w:pPr>
      <w:r>
        <w:rPr>
          <w:rFonts w:hint="eastAsia" w:ascii="Times New Roman" w:hAnsi="Times New Roman" w:cs="Microsoft New Tai Lue"/>
          <w:b/>
          <w:color w:val="auto"/>
          <w:kern w:val="2"/>
          <w:sz w:val="24"/>
          <w:szCs w:val="24"/>
          <w:highlight w:val="none"/>
        </w:rPr>
        <w:br w:type="page"/>
      </w:r>
      <w:bookmarkEnd w:id="42"/>
      <w:bookmarkEnd w:id="43"/>
    </w:p>
    <w:p w14:paraId="182C0338">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目录五、分项报价表格式（如需）</w:t>
      </w:r>
    </w:p>
    <w:p w14:paraId="7C603B91">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分项报价表</w:t>
      </w:r>
    </w:p>
    <w:p w14:paraId="542E5167">
      <w:pPr>
        <w:pStyle w:val="244"/>
        <w:jc w:val="center"/>
        <w:rPr>
          <w:b/>
          <w:color w:val="auto"/>
          <w:sz w:val="24"/>
          <w:highlight w:val="none"/>
        </w:rPr>
      </w:pPr>
      <w:r>
        <w:rPr>
          <w:rFonts w:hint="eastAsia"/>
          <w:b/>
          <w:color w:val="auto"/>
          <w:sz w:val="24"/>
          <w:highlight w:val="none"/>
        </w:rPr>
        <w:t>（5-1）货物分项报价表</w:t>
      </w:r>
    </w:p>
    <w:p w14:paraId="59A370CE">
      <w:pPr>
        <w:pStyle w:val="273"/>
        <w:ind w:firstLine="420"/>
        <w:rPr>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5"/>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5F8C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E6445D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850" w:type="dxa"/>
            <w:vAlign w:val="center"/>
          </w:tcPr>
          <w:p w14:paraId="6C93CBB2">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名称</w:t>
            </w:r>
          </w:p>
        </w:tc>
        <w:tc>
          <w:tcPr>
            <w:tcW w:w="1500" w:type="dxa"/>
            <w:vAlign w:val="center"/>
          </w:tcPr>
          <w:p w14:paraId="26A8AE6D">
            <w:pPr>
              <w:widowControl/>
              <w:jc w:val="center"/>
              <w:rPr>
                <w:rFonts w:hint="eastAsia" w:ascii="宋体" w:hAnsi="宋体"/>
                <w:color w:val="auto"/>
                <w:szCs w:val="21"/>
                <w:highlight w:val="none"/>
              </w:rPr>
            </w:pPr>
            <w:r>
              <w:rPr>
                <w:rFonts w:hint="eastAsia" w:ascii="宋体" w:hAnsi="宋体" w:cs="宋体"/>
                <w:color w:val="auto"/>
                <w:sz w:val="20"/>
                <w:szCs w:val="20"/>
                <w:highlight w:val="none"/>
                <w:lang w:bidi="ar"/>
              </w:rPr>
              <w:t>品牌、制造商</w:t>
            </w:r>
          </w:p>
        </w:tc>
        <w:tc>
          <w:tcPr>
            <w:tcW w:w="1557" w:type="dxa"/>
            <w:vAlign w:val="center"/>
          </w:tcPr>
          <w:p w14:paraId="54205281">
            <w:pPr>
              <w:widowControl/>
              <w:jc w:val="center"/>
              <w:rPr>
                <w:rFonts w:hint="eastAsia" w:ascii="宋体" w:hAnsi="宋体"/>
                <w:color w:val="auto"/>
                <w:szCs w:val="21"/>
                <w:highlight w:val="none"/>
              </w:rPr>
            </w:pPr>
            <w:r>
              <w:rPr>
                <w:rFonts w:hint="eastAsia" w:ascii="宋体" w:hAnsi="宋体" w:cs="宋体"/>
                <w:color w:val="auto"/>
                <w:sz w:val="20"/>
                <w:szCs w:val="20"/>
                <w:highlight w:val="none"/>
                <w:lang w:bidi="ar"/>
              </w:rPr>
              <w:t>规格或型号或分项目</w:t>
            </w:r>
          </w:p>
        </w:tc>
        <w:tc>
          <w:tcPr>
            <w:tcW w:w="714" w:type="dxa"/>
            <w:vAlign w:val="center"/>
          </w:tcPr>
          <w:p w14:paraId="1C36E067">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数量</w:t>
            </w:r>
          </w:p>
        </w:tc>
        <w:tc>
          <w:tcPr>
            <w:tcW w:w="1272" w:type="dxa"/>
            <w:vAlign w:val="center"/>
          </w:tcPr>
          <w:p w14:paraId="0D7F75A7">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单价（元）</w:t>
            </w:r>
          </w:p>
        </w:tc>
        <w:tc>
          <w:tcPr>
            <w:tcW w:w="1385" w:type="dxa"/>
            <w:vAlign w:val="center"/>
          </w:tcPr>
          <w:p w14:paraId="4A5F36CA">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总价（元）</w:t>
            </w:r>
          </w:p>
        </w:tc>
      </w:tr>
      <w:tr w14:paraId="4A87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623CF592">
            <w:pPr>
              <w:adjustRightInd w:val="0"/>
              <w:snapToGrid w:val="0"/>
              <w:jc w:val="center"/>
              <w:rPr>
                <w:rFonts w:hint="eastAsia" w:ascii="宋体" w:hAnsi="宋体"/>
                <w:color w:val="auto"/>
                <w:szCs w:val="21"/>
                <w:highlight w:val="none"/>
              </w:rPr>
            </w:pPr>
            <w:r>
              <w:rPr>
                <w:rFonts w:ascii="宋体" w:hAnsi="宋体"/>
                <w:color w:val="auto"/>
                <w:szCs w:val="21"/>
                <w:highlight w:val="none"/>
              </w:rPr>
              <w:t>1</w:t>
            </w:r>
          </w:p>
        </w:tc>
        <w:tc>
          <w:tcPr>
            <w:tcW w:w="1850" w:type="dxa"/>
            <w:vAlign w:val="center"/>
          </w:tcPr>
          <w:p w14:paraId="2BDC40BA">
            <w:pPr>
              <w:adjustRightInd w:val="0"/>
              <w:snapToGrid w:val="0"/>
              <w:jc w:val="center"/>
              <w:rPr>
                <w:rFonts w:hint="eastAsia" w:ascii="宋体" w:hAnsi="宋体"/>
                <w:color w:val="auto"/>
                <w:szCs w:val="21"/>
                <w:highlight w:val="none"/>
              </w:rPr>
            </w:pPr>
          </w:p>
        </w:tc>
        <w:tc>
          <w:tcPr>
            <w:tcW w:w="1500" w:type="dxa"/>
            <w:vAlign w:val="center"/>
          </w:tcPr>
          <w:p w14:paraId="50CFD100">
            <w:pPr>
              <w:adjustRightInd w:val="0"/>
              <w:snapToGrid w:val="0"/>
              <w:jc w:val="center"/>
              <w:rPr>
                <w:rFonts w:hint="eastAsia" w:ascii="宋体" w:hAnsi="宋体"/>
                <w:color w:val="auto"/>
                <w:szCs w:val="21"/>
                <w:highlight w:val="none"/>
              </w:rPr>
            </w:pPr>
          </w:p>
        </w:tc>
        <w:tc>
          <w:tcPr>
            <w:tcW w:w="1557" w:type="dxa"/>
            <w:vAlign w:val="center"/>
          </w:tcPr>
          <w:p w14:paraId="6B61A855">
            <w:pPr>
              <w:adjustRightInd w:val="0"/>
              <w:snapToGrid w:val="0"/>
              <w:jc w:val="center"/>
              <w:rPr>
                <w:rFonts w:hint="eastAsia" w:ascii="宋体" w:hAnsi="宋体"/>
                <w:color w:val="auto"/>
                <w:szCs w:val="21"/>
                <w:highlight w:val="none"/>
              </w:rPr>
            </w:pPr>
          </w:p>
        </w:tc>
        <w:tc>
          <w:tcPr>
            <w:tcW w:w="714" w:type="dxa"/>
            <w:vAlign w:val="center"/>
          </w:tcPr>
          <w:p w14:paraId="531A6A4A">
            <w:pPr>
              <w:adjustRightInd w:val="0"/>
              <w:snapToGrid w:val="0"/>
              <w:jc w:val="center"/>
              <w:rPr>
                <w:rFonts w:hint="eastAsia" w:ascii="宋体" w:hAnsi="宋体"/>
                <w:color w:val="auto"/>
                <w:szCs w:val="21"/>
                <w:highlight w:val="none"/>
              </w:rPr>
            </w:pPr>
          </w:p>
        </w:tc>
        <w:tc>
          <w:tcPr>
            <w:tcW w:w="1272" w:type="dxa"/>
            <w:vAlign w:val="center"/>
          </w:tcPr>
          <w:p w14:paraId="0BAF5813">
            <w:pPr>
              <w:adjustRightInd w:val="0"/>
              <w:snapToGrid w:val="0"/>
              <w:jc w:val="center"/>
              <w:rPr>
                <w:rFonts w:hint="eastAsia" w:ascii="宋体" w:hAnsi="宋体"/>
                <w:color w:val="auto"/>
                <w:szCs w:val="21"/>
                <w:highlight w:val="none"/>
              </w:rPr>
            </w:pPr>
          </w:p>
        </w:tc>
        <w:tc>
          <w:tcPr>
            <w:tcW w:w="1385" w:type="dxa"/>
            <w:vAlign w:val="center"/>
          </w:tcPr>
          <w:p w14:paraId="12FEE77D">
            <w:pPr>
              <w:adjustRightInd w:val="0"/>
              <w:snapToGrid w:val="0"/>
              <w:jc w:val="center"/>
              <w:rPr>
                <w:rFonts w:hint="eastAsia" w:ascii="宋体" w:hAnsi="宋体"/>
                <w:color w:val="auto"/>
                <w:szCs w:val="21"/>
                <w:highlight w:val="none"/>
              </w:rPr>
            </w:pPr>
          </w:p>
        </w:tc>
      </w:tr>
      <w:tr w14:paraId="3FE5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1F9F39A">
            <w:pPr>
              <w:adjustRightInd w:val="0"/>
              <w:snapToGrid w:val="0"/>
              <w:jc w:val="center"/>
              <w:rPr>
                <w:rFonts w:hint="eastAsia" w:ascii="宋体" w:hAnsi="宋体"/>
                <w:color w:val="auto"/>
                <w:szCs w:val="21"/>
                <w:highlight w:val="none"/>
              </w:rPr>
            </w:pPr>
            <w:r>
              <w:rPr>
                <w:rFonts w:ascii="宋体" w:hAnsi="宋体"/>
                <w:color w:val="auto"/>
                <w:szCs w:val="21"/>
                <w:highlight w:val="none"/>
              </w:rPr>
              <w:t>2</w:t>
            </w:r>
          </w:p>
        </w:tc>
        <w:tc>
          <w:tcPr>
            <w:tcW w:w="1850" w:type="dxa"/>
            <w:vAlign w:val="center"/>
          </w:tcPr>
          <w:p w14:paraId="30242A26">
            <w:pPr>
              <w:adjustRightInd w:val="0"/>
              <w:snapToGrid w:val="0"/>
              <w:jc w:val="center"/>
              <w:rPr>
                <w:rFonts w:hint="eastAsia" w:ascii="宋体" w:hAnsi="宋体"/>
                <w:color w:val="auto"/>
                <w:szCs w:val="21"/>
                <w:highlight w:val="none"/>
              </w:rPr>
            </w:pPr>
          </w:p>
        </w:tc>
        <w:tc>
          <w:tcPr>
            <w:tcW w:w="1500" w:type="dxa"/>
            <w:vAlign w:val="center"/>
          </w:tcPr>
          <w:p w14:paraId="4972CB2B">
            <w:pPr>
              <w:adjustRightInd w:val="0"/>
              <w:snapToGrid w:val="0"/>
              <w:jc w:val="center"/>
              <w:rPr>
                <w:rFonts w:hint="eastAsia" w:ascii="宋体" w:hAnsi="宋体"/>
                <w:color w:val="auto"/>
                <w:szCs w:val="21"/>
                <w:highlight w:val="none"/>
              </w:rPr>
            </w:pPr>
          </w:p>
        </w:tc>
        <w:tc>
          <w:tcPr>
            <w:tcW w:w="1557" w:type="dxa"/>
            <w:vAlign w:val="center"/>
          </w:tcPr>
          <w:p w14:paraId="789503E7">
            <w:pPr>
              <w:adjustRightInd w:val="0"/>
              <w:snapToGrid w:val="0"/>
              <w:jc w:val="center"/>
              <w:rPr>
                <w:rFonts w:hint="eastAsia" w:ascii="宋体" w:hAnsi="宋体"/>
                <w:color w:val="auto"/>
                <w:szCs w:val="21"/>
                <w:highlight w:val="none"/>
              </w:rPr>
            </w:pPr>
          </w:p>
        </w:tc>
        <w:tc>
          <w:tcPr>
            <w:tcW w:w="714" w:type="dxa"/>
            <w:vAlign w:val="center"/>
          </w:tcPr>
          <w:p w14:paraId="414580DB">
            <w:pPr>
              <w:adjustRightInd w:val="0"/>
              <w:snapToGrid w:val="0"/>
              <w:jc w:val="center"/>
              <w:rPr>
                <w:rFonts w:hint="eastAsia" w:ascii="宋体" w:hAnsi="宋体"/>
                <w:color w:val="auto"/>
                <w:szCs w:val="21"/>
                <w:highlight w:val="none"/>
              </w:rPr>
            </w:pPr>
          </w:p>
        </w:tc>
        <w:tc>
          <w:tcPr>
            <w:tcW w:w="1272" w:type="dxa"/>
            <w:vAlign w:val="center"/>
          </w:tcPr>
          <w:p w14:paraId="0887C953">
            <w:pPr>
              <w:adjustRightInd w:val="0"/>
              <w:snapToGrid w:val="0"/>
              <w:jc w:val="center"/>
              <w:rPr>
                <w:rFonts w:hint="eastAsia" w:ascii="宋体" w:hAnsi="宋体"/>
                <w:color w:val="auto"/>
                <w:szCs w:val="21"/>
                <w:highlight w:val="none"/>
              </w:rPr>
            </w:pPr>
          </w:p>
        </w:tc>
        <w:tc>
          <w:tcPr>
            <w:tcW w:w="1385" w:type="dxa"/>
            <w:vAlign w:val="center"/>
          </w:tcPr>
          <w:p w14:paraId="7694DFD4">
            <w:pPr>
              <w:adjustRightInd w:val="0"/>
              <w:snapToGrid w:val="0"/>
              <w:jc w:val="center"/>
              <w:rPr>
                <w:rFonts w:hint="eastAsia" w:ascii="宋体" w:hAnsi="宋体"/>
                <w:color w:val="auto"/>
                <w:szCs w:val="21"/>
                <w:highlight w:val="none"/>
              </w:rPr>
            </w:pPr>
          </w:p>
        </w:tc>
      </w:tr>
      <w:tr w14:paraId="21B3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10A5AAFC">
            <w:pPr>
              <w:adjustRightInd w:val="0"/>
              <w:snapToGrid w:val="0"/>
              <w:jc w:val="center"/>
              <w:rPr>
                <w:rFonts w:hint="eastAsia" w:ascii="宋体" w:hAnsi="宋体"/>
                <w:color w:val="auto"/>
                <w:szCs w:val="21"/>
                <w:highlight w:val="none"/>
              </w:rPr>
            </w:pPr>
            <w:r>
              <w:rPr>
                <w:rFonts w:ascii="宋体" w:hAnsi="宋体"/>
                <w:color w:val="auto"/>
                <w:szCs w:val="21"/>
                <w:highlight w:val="none"/>
              </w:rPr>
              <w:t>3</w:t>
            </w:r>
          </w:p>
        </w:tc>
        <w:tc>
          <w:tcPr>
            <w:tcW w:w="1850" w:type="dxa"/>
            <w:vAlign w:val="center"/>
          </w:tcPr>
          <w:p w14:paraId="0F472066">
            <w:pPr>
              <w:adjustRightInd w:val="0"/>
              <w:snapToGrid w:val="0"/>
              <w:jc w:val="center"/>
              <w:rPr>
                <w:rFonts w:hint="eastAsia" w:ascii="宋体" w:hAnsi="宋体"/>
                <w:color w:val="auto"/>
                <w:szCs w:val="21"/>
                <w:highlight w:val="none"/>
              </w:rPr>
            </w:pPr>
          </w:p>
        </w:tc>
        <w:tc>
          <w:tcPr>
            <w:tcW w:w="1500" w:type="dxa"/>
            <w:vAlign w:val="center"/>
          </w:tcPr>
          <w:p w14:paraId="3D429C60">
            <w:pPr>
              <w:adjustRightInd w:val="0"/>
              <w:snapToGrid w:val="0"/>
              <w:jc w:val="center"/>
              <w:rPr>
                <w:rFonts w:hint="eastAsia" w:ascii="宋体" w:hAnsi="宋体"/>
                <w:color w:val="auto"/>
                <w:szCs w:val="21"/>
                <w:highlight w:val="none"/>
              </w:rPr>
            </w:pPr>
          </w:p>
        </w:tc>
        <w:tc>
          <w:tcPr>
            <w:tcW w:w="1557" w:type="dxa"/>
            <w:vAlign w:val="center"/>
          </w:tcPr>
          <w:p w14:paraId="7C284276">
            <w:pPr>
              <w:adjustRightInd w:val="0"/>
              <w:snapToGrid w:val="0"/>
              <w:jc w:val="center"/>
              <w:rPr>
                <w:rFonts w:hint="eastAsia" w:ascii="宋体" w:hAnsi="宋体"/>
                <w:color w:val="auto"/>
                <w:szCs w:val="21"/>
                <w:highlight w:val="none"/>
              </w:rPr>
            </w:pPr>
          </w:p>
        </w:tc>
        <w:tc>
          <w:tcPr>
            <w:tcW w:w="714" w:type="dxa"/>
            <w:vAlign w:val="center"/>
          </w:tcPr>
          <w:p w14:paraId="6D12D52C">
            <w:pPr>
              <w:adjustRightInd w:val="0"/>
              <w:snapToGrid w:val="0"/>
              <w:jc w:val="center"/>
              <w:rPr>
                <w:rFonts w:hint="eastAsia" w:ascii="宋体" w:hAnsi="宋体"/>
                <w:color w:val="auto"/>
                <w:szCs w:val="21"/>
                <w:highlight w:val="none"/>
              </w:rPr>
            </w:pPr>
          </w:p>
        </w:tc>
        <w:tc>
          <w:tcPr>
            <w:tcW w:w="1272" w:type="dxa"/>
            <w:vAlign w:val="center"/>
          </w:tcPr>
          <w:p w14:paraId="6D3A62A0">
            <w:pPr>
              <w:adjustRightInd w:val="0"/>
              <w:snapToGrid w:val="0"/>
              <w:jc w:val="center"/>
              <w:rPr>
                <w:rFonts w:hint="eastAsia" w:ascii="宋体" w:hAnsi="宋体"/>
                <w:color w:val="auto"/>
                <w:szCs w:val="21"/>
                <w:highlight w:val="none"/>
              </w:rPr>
            </w:pPr>
          </w:p>
        </w:tc>
        <w:tc>
          <w:tcPr>
            <w:tcW w:w="1385" w:type="dxa"/>
            <w:vAlign w:val="center"/>
          </w:tcPr>
          <w:p w14:paraId="0CFC204B">
            <w:pPr>
              <w:adjustRightInd w:val="0"/>
              <w:snapToGrid w:val="0"/>
              <w:jc w:val="center"/>
              <w:rPr>
                <w:rFonts w:hint="eastAsia" w:ascii="宋体" w:hAnsi="宋体"/>
                <w:color w:val="auto"/>
                <w:szCs w:val="21"/>
                <w:highlight w:val="none"/>
              </w:rPr>
            </w:pPr>
          </w:p>
        </w:tc>
      </w:tr>
      <w:tr w14:paraId="42F8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8B2A4AE">
            <w:pPr>
              <w:adjustRightInd w:val="0"/>
              <w:snapToGrid w:val="0"/>
              <w:jc w:val="center"/>
              <w:rPr>
                <w:rFonts w:hint="eastAsia" w:ascii="宋体" w:hAnsi="宋体"/>
                <w:color w:val="auto"/>
                <w:szCs w:val="21"/>
                <w:highlight w:val="none"/>
              </w:rPr>
            </w:pPr>
            <w:r>
              <w:rPr>
                <w:rFonts w:ascii="宋体" w:hAnsi="宋体"/>
                <w:color w:val="auto"/>
                <w:szCs w:val="21"/>
                <w:highlight w:val="none"/>
              </w:rPr>
              <w:t>4</w:t>
            </w:r>
          </w:p>
        </w:tc>
        <w:tc>
          <w:tcPr>
            <w:tcW w:w="1850" w:type="dxa"/>
            <w:vAlign w:val="center"/>
          </w:tcPr>
          <w:p w14:paraId="47C29981">
            <w:pPr>
              <w:adjustRightInd w:val="0"/>
              <w:snapToGrid w:val="0"/>
              <w:jc w:val="center"/>
              <w:rPr>
                <w:rFonts w:hint="eastAsia" w:ascii="宋体" w:hAnsi="宋体"/>
                <w:color w:val="auto"/>
                <w:szCs w:val="21"/>
                <w:highlight w:val="none"/>
              </w:rPr>
            </w:pPr>
          </w:p>
        </w:tc>
        <w:tc>
          <w:tcPr>
            <w:tcW w:w="1500" w:type="dxa"/>
            <w:vAlign w:val="center"/>
          </w:tcPr>
          <w:p w14:paraId="25CF6B32">
            <w:pPr>
              <w:adjustRightInd w:val="0"/>
              <w:snapToGrid w:val="0"/>
              <w:jc w:val="center"/>
              <w:rPr>
                <w:rFonts w:hint="eastAsia" w:ascii="宋体" w:hAnsi="宋体"/>
                <w:color w:val="auto"/>
                <w:szCs w:val="21"/>
                <w:highlight w:val="none"/>
              </w:rPr>
            </w:pPr>
          </w:p>
        </w:tc>
        <w:tc>
          <w:tcPr>
            <w:tcW w:w="1557" w:type="dxa"/>
            <w:vAlign w:val="center"/>
          </w:tcPr>
          <w:p w14:paraId="22D9D5B7">
            <w:pPr>
              <w:adjustRightInd w:val="0"/>
              <w:snapToGrid w:val="0"/>
              <w:jc w:val="center"/>
              <w:rPr>
                <w:rFonts w:hint="eastAsia" w:ascii="宋体" w:hAnsi="宋体"/>
                <w:color w:val="auto"/>
                <w:szCs w:val="21"/>
                <w:highlight w:val="none"/>
              </w:rPr>
            </w:pPr>
          </w:p>
        </w:tc>
        <w:tc>
          <w:tcPr>
            <w:tcW w:w="714" w:type="dxa"/>
            <w:vAlign w:val="center"/>
          </w:tcPr>
          <w:p w14:paraId="48C8549C">
            <w:pPr>
              <w:adjustRightInd w:val="0"/>
              <w:snapToGrid w:val="0"/>
              <w:jc w:val="center"/>
              <w:rPr>
                <w:rFonts w:hint="eastAsia" w:ascii="宋体" w:hAnsi="宋体"/>
                <w:color w:val="auto"/>
                <w:szCs w:val="21"/>
                <w:highlight w:val="none"/>
              </w:rPr>
            </w:pPr>
          </w:p>
        </w:tc>
        <w:tc>
          <w:tcPr>
            <w:tcW w:w="1272" w:type="dxa"/>
            <w:vAlign w:val="center"/>
          </w:tcPr>
          <w:p w14:paraId="029B0FA7">
            <w:pPr>
              <w:adjustRightInd w:val="0"/>
              <w:snapToGrid w:val="0"/>
              <w:jc w:val="center"/>
              <w:rPr>
                <w:rFonts w:hint="eastAsia" w:ascii="宋体" w:hAnsi="宋体"/>
                <w:color w:val="auto"/>
                <w:szCs w:val="21"/>
                <w:highlight w:val="none"/>
              </w:rPr>
            </w:pPr>
          </w:p>
        </w:tc>
        <w:tc>
          <w:tcPr>
            <w:tcW w:w="1385" w:type="dxa"/>
            <w:vAlign w:val="center"/>
          </w:tcPr>
          <w:p w14:paraId="7C39773A">
            <w:pPr>
              <w:adjustRightInd w:val="0"/>
              <w:snapToGrid w:val="0"/>
              <w:jc w:val="center"/>
              <w:rPr>
                <w:rFonts w:hint="eastAsia" w:ascii="宋体" w:hAnsi="宋体"/>
                <w:color w:val="auto"/>
                <w:szCs w:val="21"/>
                <w:highlight w:val="none"/>
              </w:rPr>
            </w:pPr>
          </w:p>
        </w:tc>
      </w:tr>
      <w:tr w14:paraId="7D75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8506CAA">
            <w:pPr>
              <w:adjustRightInd w:val="0"/>
              <w:snapToGrid w:val="0"/>
              <w:jc w:val="center"/>
              <w:rPr>
                <w:rFonts w:hint="eastAsia" w:ascii="宋体" w:hAnsi="宋体"/>
                <w:color w:val="auto"/>
                <w:szCs w:val="21"/>
                <w:highlight w:val="none"/>
              </w:rPr>
            </w:pPr>
            <w:r>
              <w:rPr>
                <w:rFonts w:ascii="宋体" w:hAnsi="宋体"/>
                <w:color w:val="auto"/>
                <w:szCs w:val="21"/>
                <w:highlight w:val="none"/>
              </w:rPr>
              <w:t>5</w:t>
            </w:r>
          </w:p>
        </w:tc>
        <w:tc>
          <w:tcPr>
            <w:tcW w:w="1850" w:type="dxa"/>
            <w:vAlign w:val="center"/>
          </w:tcPr>
          <w:p w14:paraId="49A978ED">
            <w:pPr>
              <w:adjustRightInd w:val="0"/>
              <w:snapToGrid w:val="0"/>
              <w:jc w:val="center"/>
              <w:rPr>
                <w:rFonts w:hint="eastAsia" w:ascii="宋体" w:hAnsi="宋体"/>
                <w:color w:val="auto"/>
                <w:szCs w:val="21"/>
                <w:highlight w:val="none"/>
              </w:rPr>
            </w:pPr>
          </w:p>
        </w:tc>
        <w:tc>
          <w:tcPr>
            <w:tcW w:w="1500" w:type="dxa"/>
            <w:vAlign w:val="center"/>
          </w:tcPr>
          <w:p w14:paraId="2F4CC082">
            <w:pPr>
              <w:adjustRightInd w:val="0"/>
              <w:snapToGrid w:val="0"/>
              <w:jc w:val="center"/>
              <w:rPr>
                <w:rFonts w:hint="eastAsia" w:ascii="宋体" w:hAnsi="宋体"/>
                <w:color w:val="auto"/>
                <w:szCs w:val="21"/>
                <w:highlight w:val="none"/>
              </w:rPr>
            </w:pPr>
          </w:p>
        </w:tc>
        <w:tc>
          <w:tcPr>
            <w:tcW w:w="1557" w:type="dxa"/>
            <w:vAlign w:val="center"/>
          </w:tcPr>
          <w:p w14:paraId="78A7EA35">
            <w:pPr>
              <w:adjustRightInd w:val="0"/>
              <w:snapToGrid w:val="0"/>
              <w:jc w:val="center"/>
              <w:rPr>
                <w:rFonts w:hint="eastAsia" w:ascii="宋体" w:hAnsi="宋体"/>
                <w:color w:val="auto"/>
                <w:szCs w:val="21"/>
                <w:highlight w:val="none"/>
              </w:rPr>
            </w:pPr>
          </w:p>
        </w:tc>
        <w:tc>
          <w:tcPr>
            <w:tcW w:w="714" w:type="dxa"/>
            <w:vAlign w:val="center"/>
          </w:tcPr>
          <w:p w14:paraId="4D780CDF">
            <w:pPr>
              <w:adjustRightInd w:val="0"/>
              <w:snapToGrid w:val="0"/>
              <w:jc w:val="center"/>
              <w:rPr>
                <w:rFonts w:hint="eastAsia" w:ascii="宋体" w:hAnsi="宋体"/>
                <w:color w:val="auto"/>
                <w:szCs w:val="21"/>
                <w:highlight w:val="none"/>
              </w:rPr>
            </w:pPr>
          </w:p>
        </w:tc>
        <w:tc>
          <w:tcPr>
            <w:tcW w:w="1272" w:type="dxa"/>
            <w:vAlign w:val="center"/>
          </w:tcPr>
          <w:p w14:paraId="6940695D">
            <w:pPr>
              <w:adjustRightInd w:val="0"/>
              <w:snapToGrid w:val="0"/>
              <w:jc w:val="center"/>
              <w:rPr>
                <w:rFonts w:hint="eastAsia" w:ascii="宋体" w:hAnsi="宋体"/>
                <w:color w:val="auto"/>
                <w:szCs w:val="21"/>
                <w:highlight w:val="none"/>
              </w:rPr>
            </w:pPr>
          </w:p>
        </w:tc>
        <w:tc>
          <w:tcPr>
            <w:tcW w:w="1385" w:type="dxa"/>
            <w:vAlign w:val="center"/>
          </w:tcPr>
          <w:p w14:paraId="170F0A02">
            <w:pPr>
              <w:adjustRightInd w:val="0"/>
              <w:snapToGrid w:val="0"/>
              <w:jc w:val="center"/>
              <w:rPr>
                <w:rFonts w:hint="eastAsia" w:ascii="宋体" w:hAnsi="宋体"/>
                <w:color w:val="auto"/>
                <w:szCs w:val="21"/>
                <w:highlight w:val="none"/>
              </w:rPr>
            </w:pPr>
          </w:p>
        </w:tc>
      </w:tr>
      <w:tr w14:paraId="3319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6E97367">
            <w:pPr>
              <w:adjustRightInd w:val="0"/>
              <w:snapToGrid w:val="0"/>
              <w:jc w:val="center"/>
              <w:rPr>
                <w:rFonts w:hint="eastAsia" w:ascii="宋体" w:hAnsi="宋体"/>
                <w:color w:val="auto"/>
                <w:szCs w:val="21"/>
                <w:highlight w:val="none"/>
              </w:rPr>
            </w:pPr>
            <w:r>
              <w:rPr>
                <w:rFonts w:ascii="宋体" w:hAnsi="宋体"/>
                <w:color w:val="auto"/>
                <w:szCs w:val="21"/>
                <w:highlight w:val="none"/>
              </w:rPr>
              <w:t>6</w:t>
            </w:r>
          </w:p>
        </w:tc>
        <w:tc>
          <w:tcPr>
            <w:tcW w:w="1850" w:type="dxa"/>
            <w:vAlign w:val="center"/>
          </w:tcPr>
          <w:p w14:paraId="3280D8B6">
            <w:pPr>
              <w:adjustRightInd w:val="0"/>
              <w:snapToGrid w:val="0"/>
              <w:jc w:val="center"/>
              <w:rPr>
                <w:rFonts w:hint="eastAsia" w:ascii="宋体" w:hAnsi="宋体"/>
                <w:color w:val="auto"/>
                <w:szCs w:val="21"/>
                <w:highlight w:val="none"/>
              </w:rPr>
            </w:pPr>
          </w:p>
        </w:tc>
        <w:tc>
          <w:tcPr>
            <w:tcW w:w="1500" w:type="dxa"/>
            <w:vAlign w:val="center"/>
          </w:tcPr>
          <w:p w14:paraId="709A77E5">
            <w:pPr>
              <w:adjustRightInd w:val="0"/>
              <w:snapToGrid w:val="0"/>
              <w:jc w:val="center"/>
              <w:rPr>
                <w:rFonts w:hint="eastAsia" w:ascii="宋体" w:hAnsi="宋体"/>
                <w:color w:val="auto"/>
                <w:szCs w:val="21"/>
                <w:highlight w:val="none"/>
              </w:rPr>
            </w:pPr>
          </w:p>
        </w:tc>
        <w:tc>
          <w:tcPr>
            <w:tcW w:w="1557" w:type="dxa"/>
            <w:vAlign w:val="center"/>
          </w:tcPr>
          <w:p w14:paraId="3D51D829">
            <w:pPr>
              <w:adjustRightInd w:val="0"/>
              <w:snapToGrid w:val="0"/>
              <w:jc w:val="center"/>
              <w:rPr>
                <w:rFonts w:hint="eastAsia" w:ascii="宋体" w:hAnsi="宋体"/>
                <w:color w:val="auto"/>
                <w:szCs w:val="21"/>
                <w:highlight w:val="none"/>
              </w:rPr>
            </w:pPr>
          </w:p>
        </w:tc>
        <w:tc>
          <w:tcPr>
            <w:tcW w:w="714" w:type="dxa"/>
            <w:vAlign w:val="center"/>
          </w:tcPr>
          <w:p w14:paraId="32433BBE">
            <w:pPr>
              <w:adjustRightInd w:val="0"/>
              <w:snapToGrid w:val="0"/>
              <w:jc w:val="center"/>
              <w:rPr>
                <w:rFonts w:hint="eastAsia" w:ascii="宋体" w:hAnsi="宋体"/>
                <w:color w:val="auto"/>
                <w:szCs w:val="21"/>
                <w:highlight w:val="none"/>
              </w:rPr>
            </w:pPr>
          </w:p>
        </w:tc>
        <w:tc>
          <w:tcPr>
            <w:tcW w:w="1272" w:type="dxa"/>
            <w:vAlign w:val="center"/>
          </w:tcPr>
          <w:p w14:paraId="05791C64">
            <w:pPr>
              <w:adjustRightInd w:val="0"/>
              <w:snapToGrid w:val="0"/>
              <w:jc w:val="center"/>
              <w:rPr>
                <w:rFonts w:hint="eastAsia" w:ascii="宋体" w:hAnsi="宋体"/>
                <w:color w:val="auto"/>
                <w:szCs w:val="21"/>
                <w:highlight w:val="none"/>
              </w:rPr>
            </w:pPr>
          </w:p>
        </w:tc>
        <w:tc>
          <w:tcPr>
            <w:tcW w:w="1385" w:type="dxa"/>
            <w:vAlign w:val="center"/>
          </w:tcPr>
          <w:p w14:paraId="031855D1">
            <w:pPr>
              <w:adjustRightInd w:val="0"/>
              <w:snapToGrid w:val="0"/>
              <w:jc w:val="center"/>
              <w:rPr>
                <w:rFonts w:hint="eastAsia" w:ascii="宋体" w:hAnsi="宋体"/>
                <w:color w:val="auto"/>
                <w:szCs w:val="21"/>
                <w:highlight w:val="none"/>
              </w:rPr>
            </w:pPr>
          </w:p>
        </w:tc>
      </w:tr>
      <w:tr w14:paraId="4DD9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3D2297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1850" w:type="dxa"/>
            <w:vAlign w:val="center"/>
          </w:tcPr>
          <w:p w14:paraId="738F6286">
            <w:pPr>
              <w:adjustRightInd w:val="0"/>
              <w:snapToGrid w:val="0"/>
              <w:jc w:val="center"/>
              <w:rPr>
                <w:rFonts w:hint="eastAsia" w:ascii="宋体" w:hAnsi="宋体"/>
                <w:color w:val="auto"/>
                <w:szCs w:val="21"/>
                <w:highlight w:val="none"/>
              </w:rPr>
            </w:pPr>
          </w:p>
        </w:tc>
        <w:tc>
          <w:tcPr>
            <w:tcW w:w="1500" w:type="dxa"/>
            <w:vAlign w:val="center"/>
          </w:tcPr>
          <w:p w14:paraId="2733FBA0">
            <w:pPr>
              <w:adjustRightInd w:val="0"/>
              <w:snapToGrid w:val="0"/>
              <w:jc w:val="center"/>
              <w:rPr>
                <w:rFonts w:hint="eastAsia" w:ascii="宋体" w:hAnsi="宋体"/>
                <w:color w:val="auto"/>
                <w:szCs w:val="21"/>
                <w:highlight w:val="none"/>
              </w:rPr>
            </w:pPr>
          </w:p>
        </w:tc>
        <w:tc>
          <w:tcPr>
            <w:tcW w:w="1557" w:type="dxa"/>
            <w:vAlign w:val="center"/>
          </w:tcPr>
          <w:p w14:paraId="39FFF536">
            <w:pPr>
              <w:adjustRightInd w:val="0"/>
              <w:snapToGrid w:val="0"/>
              <w:jc w:val="center"/>
              <w:rPr>
                <w:rFonts w:hint="eastAsia" w:ascii="宋体" w:hAnsi="宋体"/>
                <w:color w:val="auto"/>
                <w:szCs w:val="21"/>
                <w:highlight w:val="none"/>
              </w:rPr>
            </w:pPr>
          </w:p>
        </w:tc>
        <w:tc>
          <w:tcPr>
            <w:tcW w:w="714" w:type="dxa"/>
            <w:vAlign w:val="center"/>
          </w:tcPr>
          <w:p w14:paraId="08CD6E02">
            <w:pPr>
              <w:adjustRightInd w:val="0"/>
              <w:snapToGrid w:val="0"/>
              <w:jc w:val="center"/>
              <w:rPr>
                <w:rFonts w:hint="eastAsia" w:ascii="宋体" w:hAnsi="宋体"/>
                <w:color w:val="auto"/>
                <w:szCs w:val="21"/>
                <w:highlight w:val="none"/>
              </w:rPr>
            </w:pPr>
          </w:p>
        </w:tc>
        <w:tc>
          <w:tcPr>
            <w:tcW w:w="1272" w:type="dxa"/>
            <w:vAlign w:val="center"/>
          </w:tcPr>
          <w:p w14:paraId="765FBF4C">
            <w:pPr>
              <w:adjustRightInd w:val="0"/>
              <w:snapToGrid w:val="0"/>
              <w:jc w:val="center"/>
              <w:rPr>
                <w:rFonts w:hint="eastAsia" w:ascii="宋体" w:hAnsi="宋体"/>
                <w:color w:val="auto"/>
                <w:szCs w:val="21"/>
                <w:highlight w:val="none"/>
              </w:rPr>
            </w:pPr>
          </w:p>
        </w:tc>
        <w:tc>
          <w:tcPr>
            <w:tcW w:w="1385" w:type="dxa"/>
            <w:vAlign w:val="center"/>
          </w:tcPr>
          <w:p w14:paraId="661131BA">
            <w:pPr>
              <w:adjustRightInd w:val="0"/>
              <w:snapToGrid w:val="0"/>
              <w:jc w:val="center"/>
              <w:rPr>
                <w:rFonts w:hint="eastAsia" w:ascii="宋体" w:hAnsi="宋体"/>
                <w:color w:val="auto"/>
                <w:szCs w:val="21"/>
                <w:highlight w:val="none"/>
              </w:rPr>
            </w:pPr>
          </w:p>
        </w:tc>
      </w:tr>
      <w:tr w14:paraId="6C80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vAlign w:val="center"/>
          </w:tcPr>
          <w:p w14:paraId="6A703282">
            <w:pPr>
              <w:adjustRightInd w:val="0"/>
              <w:snapToGrid w:val="0"/>
              <w:jc w:val="center"/>
              <w:rPr>
                <w:rFonts w:hint="eastAsia" w:ascii="宋体" w:hAnsi="宋体"/>
                <w:b/>
                <w:color w:val="auto"/>
                <w:szCs w:val="21"/>
                <w:highlight w:val="none"/>
              </w:rPr>
            </w:pPr>
          </w:p>
        </w:tc>
        <w:tc>
          <w:tcPr>
            <w:tcW w:w="6899" w:type="dxa"/>
            <w:gridSpan w:val="6"/>
            <w:vAlign w:val="center"/>
          </w:tcPr>
          <w:p w14:paraId="1D85BD84">
            <w:pPr>
              <w:adjustRightInd w:val="0"/>
              <w:snapToGrid w:val="0"/>
              <w:jc w:val="center"/>
              <w:rPr>
                <w:rFonts w:hint="eastAsia" w:ascii="宋体" w:hAnsi="宋体"/>
                <w:b/>
                <w:color w:val="auto"/>
                <w:szCs w:val="21"/>
                <w:highlight w:val="none"/>
              </w:rPr>
            </w:pPr>
            <w:r>
              <w:rPr>
                <w:rFonts w:hint="eastAsia" w:ascii="宋体" w:hAnsi="宋体"/>
                <w:b/>
                <w:color w:val="auto"/>
                <w:szCs w:val="21"/>
                <w:highlight w:val="none"/>
              </w:rPr>
              <w:t>响应报价</w:t>
            </w:r>
          </w:p>
        </w:tc>
        <w:tc>
          <w:tcPr>
            <w:tcW w:w="1385" w:type="dxa"/>
            <w:vAlign w:val="center"/>
          </w:tcPr>
          <w:p w14:paraId="4EF43228">
            <w:pPr>
              <w:adjustRightInd w:val="0"/>
              <w:snapToGrid w:val="0"/>
              <w:jc w:val="center"/>
              <w:rPr>
                <w:rFonts w:hint="eastAsia" w:ascii="宋体" w:hAnsi="宋体"/>
                <w:color w:val="auto"/>
                <w:szCs w:val="21"/>
                <w:highlight w:val="none"/>
              </w:rPr>
            </w:pPr>
          </w:p>
        </w:tc>
      </w:tr>
    </w:tbl>
    <w:p w14:paraId="4753FB63">
      <w:pPr>
        <w:widowControl/>
        <w:adjustRightInd w:val="0"/>
        <w:spacing w:line="360" w:lineRule="auto"/>
        <w:jc w:val="left"/>
        <w:rPr>
          <w:rFonts w:ascii="宋体" w:cs="宋体"/>
          <w:bCs/>
          <w:color w:val="auto"/>
          <w:highlight w:val="none"/>
        </w:rPr>
      </w:pPr>
      <w:r>
        <w:rPr>
          <w:rFonts w:hint="eastAsia" w:ascii="宋体" w:cs="宋体"/>
          <w:bCs/>
          <w:color w:val="auto"/>
          <w:highlight w:val="none"/>
        </w:rPr>
        <w:t>注：1.本表“响应报价”须与《响应一览表》中“响应总价”保持一致。</w:t>
      </w:r>
    </w:p>
    <w:p w14:paraId="4391D3DD">
      <w:pPr>
        <w:pStyle w:val="42"/>
        <w:spacing w:line="240" w:lineRule="atLeast"/>
        <w:jc w:val="left"/>
        <w:rPr>
          <w:rFonts w:eastAsia="宋体" w:cs="Microsoft New Tai Lue"/>
          <w:color w:val="auto"/>
          <w:sz w:val="24"/>
          <w:szCs w:val="24"/>
          <w:highlight w:val="none"/>
          <w:u w:val="dotDash"/>
        </w:rPr>
      </w:pPr>
      <w:r>
        <w:rPr>
          <w:rFonts w:hint="eastAsia" w:cs="Microsoft New Tai Lue"/>
          <w:color w:val="auto"/>
          <w:sz w:val="24"/>
          <w:szCs w:val="24"/>
          <w:highlight w:val="none"/>
          <w:u w:val="dotDash"/>
        </w:rPr>
        <w:t xml:space="preserve">                                                                            </w:t>
      </w:r>
    </w:p>
    <w:p w14:paraId="1DAC00D0">
      <w:pPr>
        <w:pStyle w:val="244"/>
        <w:spacing w:line="400" w:lineRule="exact"/>
        <w:jc w:val="center"/>
        <w:rPr>
          <w:rFonts w:hint="eastAsia" w:ascii="宋体" w:hAnsi="宋体"/>
          <w:b/>
          <w:color w:val="auto"/>
          <w:sz w:val="36"/>
          <w:szCs w:val="36"/>
          <w:highlight w:val="none"/>
        </w:rPr>
      </w:pPr>
    </w:p>
    <w:p w14:paraId="124C2803">
      <w:pPr>
        <w:pStyle w:val="244"/>
        <w:spacing w:line="400" w:lineRule="exact"/>
        <w:jc w:val="center"/>
        <w:rPr>
          <w:b/>
          <w:color w:val="auto"/>
          <w:sz w:val="24"/>
          <w:highlight w:val="none"/>
        </w:rPr>
      </w:pPr>
      <w:r>
        <w:rPr>
          <w:rFonts w:hint="eastAsia"/>
          <w:b/>
          <w:color w:val="auto"/>
          <w:sz w:val="24"/>
          <w:highlight w:val="none"/>
        </w:rPr>
        <w:t>（5-2）易损件、备品备件分项报价表</w:t>
      </w:r>
    </w:p>
    <w:p w14:paraId="06AEDE88">
      <w:pPr>
        <w:pStyle w:val="273"/>
        <w:ind w:firstLine="420"/>
        <w:rPr>
          <w:rFonts w:hint="eastAsia" w:hAnsi="宋体"/>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1C89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CA0CD14">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907" w:type="dxa"/>
            <w:vAlign w:val="center"/>
          </w:tcPr>
          <w:p w14:paraId="37895870">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名称</w:t>
            </w:r>
          </w:p>
        </w:tc>
        <w:tc>
          <w:tcPr>
            <w:tcW w:w="1400" w:type="dxa"/>
            <w:vAlign w:val="center"/>
          </w:tcPr>
          <w:p w14:paraId="20B09B0D">
            <w:pPr>
              <w:widowControl/>
              <w:jc w:val="center"/>
              <w:rPr>
                <w:rFonts w:hint="eastAsia" w:ascii="宋体" w:hAnsi="宋体"/>
                <w:color w:val="auto"/>
                <w:kern w:val="2"/>
                <w:szCs w:val="21"/>
                <w:highlight w:val="none"/>
              </w:rPr>
            </w:pPr>
            <w:r>
              <w:rPr>
                <w:rFonts w:hint="eastAsia" w:ascii="宋体" w:hAnsi="宋体" w:cs="宋体"/>
                <w:color w:val="auto"/>
                <w:sz w:val="20"/>
                <w:szCs w:val="20"/>
                <w:highlight w:val="none"/>
                <w:lang w:bidi="ar"/>
              </w:rPr>
              <w:t>品牌、制造商</w:t>
            </w:r>
          </w:p>
        </w:tc>
        <w:tc>
          <w:tcPr>
            <w:tcW w:w="1514" w:type="dxa"/>
            <w:vAlign w:val="center"/>
          </w:tcPr>
          <w:p w14:paraId="553D327A">
            <w:pPr>
              <w:widowControl/>
              <w:jc w:val="center"/>
              <w:rPr>
                <w:rFonts w:hint="eastAsia" w:ascii="宋体" w:hAnsi="宋体"/>
                <w:color w:val="auto"/>
                <w:kern w:val="2"/>
                <w:szCs w:val="21"/>
                <w:highlight w:val="none"/>
              </w:rPr>
            </w:pPr>
            <w:r>
              <w:rPr>
                <w:rFonts w:hint="eastAsia" w:ascii="宋体" w:hAnsi="宋体" w:cs="宋体"/>
                <w:color w:val="auto"/>
                <w:sz w:val="20"/>
                <w:szCs w:val="20"/>
                <w:highlight w:val="none"/>
                <w:lang w:bidi="ar"/>
              </w:rPr>
              <w:t>规格或型号或分项目</w:t>
            </w:r>
          </w:p>
        </w:tc>
        <w:tc>
          <w:tcPr>
            <w:tcW w:w="771" w:type="dxa"/>
            <w:vAlign w:val="center"/>
          </w:tcPr>
          <w:p w14:paraId="2F37C0F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数量</w:t>
            </w:r>
          </w:p>
        </w:tc>
        <w:tc>
          <w:tcPr>
            <w:tcW w:w="1315" w:type="dxa"/>
            <w:vAlign w:val="center"/>
          </w:tcPr>
          <w:p w14:paraId="165B68B9">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单价（元）</w:t>
            </w:r>
          </w:p>
        </w:tc>
        <w:tc>
          <w:tcPr>
            <w:tcW w:w="1400" w:type="dxa"/>
            <w:vAlign w:val="center"/>
          </w:tcPr>
          <w:p w14:paraId="3A9FF75E">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折扣率</w:t>
            </w:r>
          </w:p>
        </w:tc>
      </w:tr>
      <w:tr w14:paraId="5021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358D086">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1</w:t>
            </w:r>
          </w:p>
        </w:tc>
        <w:tc>
          <w:tcPr>
            <w:tcW w:w="1907" w:type="dxa"/>
            <w:vAlign w:val="center"/>
          </w:tcPr>
          <w:p w14:paraId="76380004">
            <w:pPr>
              <w:adjustRightInd w:val="0"/>
              <w:snapToGrid w:val="0"/>
              <w:jc w:val="center"/>
              <w:rPr>
                <w:rFonts w:hint="eastAsia" w:ascii="宋体" w:hAnsi="宋体"/>
                <w:color w:val="auto"/>
                <w:szCs w:val="21"/>
                <w:highlight w:val="none"/>
              </w:rPr>
            </w:pPr>
          </w:p>
        </w:tc>
        <w:tc>
          <w:tcPr>
            <w:tcW w:w="1400" w:type="dxa"/>
            <w:vAlign w:val="center"/>
          </w:tcPr>
          <w:p w14:paraId="7AD41CA5">
            <w:pPr>
              <w:adjustRightInd w:val="0"/>
              <w:snapToGrid w:val="0"/>
              <w:jc w:val="center"/>
              <w:rPr>
                <w:rFonts w:hint="eastAsia" w:ascii="宋体" w:hAnsi="宋体"/>
                <w:color w:val="auto"/>
                <w:szCs w:val="21"/>
                <w:highlight w:val="none"/>
              </w:rPr>
            </w:pPr>
          </w:p>
        </w:tc>
        <w:tc>
          <w:tcPr>
            <w:tcW w:w="1514" w:type="dxa"/>
            <w:vAlign w:val="center"/>
          </w:tcPr>
          <w:p w14:paraId="01135BCF">
            <w:pPr>
              <w:adjustRightInd w:val="0"/>
              <w:snapToGrid w:val="0"/>
              <w:jc w:val="center"/>
              <w:rPr>
                <w:rFonts w:hint="eastAsia" w:ascii="宋体" w:hAnsi="宋体"/>
                <w:color w:val="auto"/>
                <w:szCs w:val="21"/>
                <w:highlight w:val="none"/>
              </w:rPr>
            </w:pPr>
          </w:p>
        </w:tc>
        <w:tc>
          <w:tcPr>
            <w:tcW w:w="771" w:type="dxa"/>
            <w:vAlign w:val="center"/>
          </w:tcPr>
          <w:p w14:paraId="6EC578B0">
            <w:pPr>
              <w:adjustRightInd w:val="0"/>
              <w:snapToGrid w:val="0"/>
              <w:jc w:val="center"/>
              <w:rPr>
                <w:rFonts w:hint="eastAsia" w:ascii="宋体" w:hAnsi="宋体"/>
                <w:color w:val="auto"/>
                <w:szCs w:val="21"/>
                <w:highlight w:val="none"/>
              </w:rPr>
            </w:pPr>
          </w:p>
        </w:tc>
        <w:tc>
          <w:tcPr>
            <w:tcW w:w="1315" w:type="dxa"/>
            <w:vAlign w:val="center"/>
          </w:tcPr>
          <w:p w14:paraId="6E63ADAA">
            <w:pPr>
              <w:adjustRightInd w:val="0"/>
              <w:snapToGrid w:val="0"/>
              <w:jc w:val="center"/>
              <w:rPr>
                <w:rFonts w:hint="eastAsia" w:ascii="宋体" w:hAnsi="宋体"/>
                <w:color w:val="auto"/>
                <w:szCs w:val="21"/>
                <w:highlight w:val="none"/>
              </w:rPr>
            </w:pPr>
          </w:p>
        </w:tc>
        <w:tc>
          <w:tcPr>
            <w:tcW w:w="1400" w:type="dxa"/>
            <w:vAlign w:val="center"/>
          </w:tcPr>
          <w:p w14:paraId="1C16A022">
            <w:pPr>
              <w:adjustRightInd w:val="0"/>
              <w:snapToGrid w:val="0"/>
              <w:jc w:val="center"/>
              <w:rPr>
                <w:rFonts w:hint="eastAsia" w:ascii="宋体" w:hAnsi="宋体"/>
                <w:color w:val="auto"/>
                <w:szCs w:val="21"/>
                <w:highlight w:val="none"/>
              </w:rPr>
            </w:pPr>
          </w:p>
        </w:tc>
      </w:tr>
      <w:tr w14:paraId="1D80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6F46C31">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2</w:t>
            </w:r>
          </w:p>
        </w:tc>
        <w:tc>
          <w:tcPr>
            <w:tcW w:w="1907" w:type="dxa"/>
            <w:vAlign w:val="center"/>
          </w:tcPr>
          <w:p w14:paraId="7B9CB4EB">
            <w:pPr>
              <w:adjustRightInd w:val="0"/>
              <w:snapToGrid w:val="0"/>
              <w:jc w:val="center"/>
              <w:rPr>
                <w:rFonts w:hint="eastAsia" w:ascii="宋体" w:hAnsi="宋体"/>
                <w:color w:val="auto"/>
                <w:szCs w:val="21"/>
                <w:highlight w:val="none"/>
              </w:rPr>
            </w:pPr>
          </w:p>
        </w:tc>
        <w:tc>
          <w:tcPr>
            <w:tcW w:w="1400" w:type="dxa"/>
            <w:vAlign w:val="center"/>
          </w:tcPr>
          <w:p w14:paraId="5760E948">
            <w:pPr>
              <w:adjustRightInd w:val="0"/>
              <w:snapToGrid w:val="0"/>
              <w:jc w:val="center"/>
              <w:rPr>
                <w:rFonts w:hint="eastAsia" w:ascii="宋体" w:hAnsi="宋体"/>
                <w:color w:val="auto"/>
                <w:szCs w:val="21"/>
                <w:highlight w:val="none"/>
              </w:rPr>
            </w:pPr>
          </w:p>
        </w:tc>
        <w:tc>
          <w:tcPr>
            <w:tcW w:w="1514" w:type="dxa"/>
            <w:vAlign w:val="center"/>
          </w:tcPr>
          <w:p w14:paraId="5D177B1F">
            <w:pPr>
              <w:adjustRightInd w:val="0"/>
              <w:snapToGrid w:val="0"/>
              <w:jc w:val="center"/>
              <w:rPr>
                <w:rFonts w:hint="eastAsia" w:ascii="宋体" w:hAnsi="宋体"/>
                <w:color w:val="auto"/>
                <w:szCs w:val="21"/>
                <w:highlight w:val="none"/>
              </w:rPr>
            </w:pPr>
          </w:p>
        </w:tc>
        <w:tc>
          <w:tcPr>
            <w:tcW w:w="771" w:type="dxa"/>
            <w:vAlign w:val="center"/>
          </w:tcPr>
          <w:p w14:paraId="22230FFF">
            <w:pPr>
              <w:adjustRightInd w:val="0"/>
              <w:snapToGrid w:val="0"/>
              <w:jc w:val="center"/>
              <w:rPr>
                <w:rFonts w:hint="eastAsia" w:ascii="宋体" w:hAnsi="宋体"/>
                <w:color w:val="auto"/>
                <w:szCs w:val="21"/>
                <w:highlight w:val="none"/>
              </w:rPr>
            </w:pPr>
          </w:p>
        </w:tc>
        <w:tc>
          <w:tcPr>
            <w:tcW w:w="1315" w:type="dxa"/>
            <w:vAlign w:val="center"/>
          </w:tcPr>
          <w:p w14:paraId="67D4D805">
            <w:pPr>
              <w:adjustRightInd w:val="0"/>
              <w:snapToGrid w:val="0"/>
              <w:jc w:val="center"/>
              <w:rPr>
                <w:rFonts w:hint="eastAsia" w:ascii="宋体" w:hAnsi="宋体"/>
                <w:color w:val="auto"/>
                <w:szCs w:val="21"/>
                <w:highlight w:val="none"/>
              </w:rPr>
            </w:pPr>
          </w:p>
        </w:tc>
        <w:tc>
          <w:tcPr>
            <w:tcW w:w="1400" w:type="dxa"/>
            <w:vAlign w:val="center"/>
          </w:tcPr>
          <w:p w14:paraId="399EC936">
            <w:pPr>
              <w:adjustRightInd w:val="0"/>
              <w:snapToGrid w:val="0"/>
              <w:jc w:val="center"/>
              <w:rPr>
                <w:rFonts w:hint="eastAsia" w:ascii="宋体" w:hAnsi="宋体"/>
                <w:color w:val="auto"/>
                <w:szCs w:val="21"/>
                <w:highlight w:val="none"/>
              </w:rPr>
            </w:pPr>
          </w:p>
        </w:tc>
      </w:tr>
      <w:tr w14:paraId="63B5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9C383F0">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3</w:t>
            </w:r>
          </w:p>
        </w:tc>
        <w:tc>
          <w:tcPr>
            <w:tcW w:w="1907" w:type="dxa"/>
            <w:vAlign w:val="center"/>
          </w:tcPr>
          <w:p w14:paraId="7D555A99">
            <w:pPr>
              <w:adjustRightInd w:val="0"/>
              <w:snapToGrid w:val="0"/>
              <w:jc w:val="center"/>
              <w:rPr>
                <w:rFonts w:hint="eastAsia" w:ascii="宋体" w:hAnsi="宋体"/>
                <w:color w:val="auto"/>
                <w:szCs w:val="21"/>
                <w:highlight w:val="none"/>
              </w:rPr>
            </w:pPr>
          </w:p>
        </w:tc>
        <w:tc>
          <w:tcPr>
            <w:tcW w:w="1400" w:type="dxa"/>
            <w:vAlign w:val="center"/>
          </w:tcPr>
          <w:p w14:paraId="27C25DA9">
            <w:pPr>
              <w:adjustRightInd w:val="0"/>
              <w:snapToGrid w:val="0"/>
              <w:jc w:val="center"/>
              <w:rPr>
                <w:rFonts w:hint="eastAsia" w:ascii="宋体" w:hAnsi="宋体"/>
                <w:color w:val="auto"/>
                <w:szCs w:val="21"/>
                <w:highlight w:val="none"/>
              </w:rPr>
            </w:pPr>
          </w:p>
        </w:tc>
        <w:tc>
          <w:tcPr>
            <w:tcW w:w="1514" w:type="dxa"/>
            <w:vAlign w:val="center"/>
          </w:tcPr>
          <w:p w14:paraId="555B229A">
            <w:pPr>
              <w:adjustRightInd w:val="0"/>
              <w:snapToGrid w:val="0"/>
              <w:jc w:val="center"/>
              <w:rPr>
                <w:rFonts w:hint="eastAsia" w:ascii="宋体" w:hAnsi="宋体"/>
                <w:color w:val="auto"/>
                <w:szCs w:val="21"/>
                <w:highlight w:val="none"/>
              </w:rPr>
            </w:pPr>
          </w:p>
        </w:tc>
        <w:tc>
          <w:tcPr>
            <w:tcW w:w="771" w:type="dxa"/>
            <w:vAlign w:val="center"/>
          </w:tcPr>
          <w:p w14:paraId="0C995EBF">
            <w:pPr>
              <w:adjustRightInd w:val="0"/>
              <w:snapToGrid w:val="0"/>
              <w:jc w:val="center"/>
              <w:rPr>
                <w:rFonts w:hint="eastAsia" w:ascii="宋体" w:hAnsi="宋体"/>
                <w:color w:val="auto"/>
                <w:szCs w:val="21"/>
                <w:highlight w:val="none"/>
              </w:rPr>
            </w:pPr>
          </w:p>
        </w:tc>
        <w:tc>
          <w:tcPr>
            <w:tcW w:w="1315" w:type="dxa"/>
            <w:vAlign w:val="center"/>
          </w:tcPr>
          <w:p w14:paraId="0AC2C4F7">
            <w:pPr>
              <w:adjustRightInd w:val="0"/>
              <w:snapToGrid w:val="0"/>
              <w:jc w:val="center"/>
              <w:rPr>
                <w:rFonts w:hint="eastAsia" w:ascii="宋体" w:hAnsi="宋体"/>
                <w:color w:val="auto"/>
                <w:szCs w:val="21"/>
                <w:highlight w:val="none"/>
              </w:rPr>
            </w:pPr>
          </w:p>
        </w:tc>
        <w:tc>
          <w:tcPr>
            <w:tcW w:w="1400" w:type="dxa"/>
            <w:vAlign w:val="center"/>
          </w:tcPr>
          <w:p w14:paraId="55C43114">
            <w:pPr>
              <w:adjustRightInd w:val="0"/>
              <w:snapToGrid w:val="0"/>
              <w:jc w:val="center"/>
              <w:rPr>
                <w:rFonts w:hint="eastAsia" w:ascii="宋体" w:hAnsi="宋体"/>
                <w:color w:val="auto"/>
                <w:szCs w:val="21"/>
                <w:highlight w:val="none"/>
              </w:rPr>
            </w:pPr>
          </w:p>
        </w:tc>
      </w:tr>
      <w:tr w14:paraId="6DA9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077DF8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4</w:t>
            </w:r>
          </w:p>
        </w:tc>
        <w:tc>
          <w:tcPr>
            <w:tcW w:w="1907" w:type="dxa"/>
            <w:vAlign w:val="center"/>
          </w:tcPr>
          <w:p w14:paraId="569A20A7">
            <w:pPr>
              <w:adjustRightInd w:val="0"/>
              <w:snapToGrid w:val="0"/>
              <w:jc w:val="center"/>
              <w:rPr>
                <w:rFonts w:hint="eastAsia" w:ascii="宋体" w:hAnsi="宋体"/>
                <w:color w:val="auto"/>
                <w:szCs w:val="21"/>
                <w:highlight w:val="none"/>
              </w:rPr>
            </w:pPr>
          </w:p>
        </w:tc>
        <w:tc>
          <w:tcPr>
            <w:tcW w:w="1400" w:type="dxa"/>
            <w:vAlign w:val="center"/>
          </w:tcPr>
          <w:p w14:paraId="4B75E71A">
            <w:pPr>
              <w:adjustRightInd w:val="0"/>
              <w:snapToGrid w:val="0"/>
              <w:jc w:val="center"/>
              <w:rPr>
                <w:rFonts w:hint="eastAsia" w:ascii="宋体" w:hAnsi="宋体"/>
                <w:color w:val="auto"/>
                <w:szCs w:val="21"/>
                <w:highlight w:val="none"/>
              </w:rPr>
            </w:pPr>
          </w:p>
        </w:tc>
        <w:tc>
          <w:tcPr>
            <w:tcW w:w="1514" w:type="dxa"/>
            <w:vAlign w:val="center"/>
          </w:tcPr>
          <w:p w14:paraId="61E66410">
            <w:pPr>
              <w:adjustRightInd w:val="0"/>
              <w:snapToGrid w:val="0"/>
              <w:jc w:val="center"/>
              <w:rPr>
                <w:rFonts w:hint="eastAsia" w:ascii="宋体" w:hAnsi="宋体"/>
                <w:color w:val="auto"/>
                <w:szCs w:val="21"/>
                <w:highlight w:val="none"/>
              </w:rPr>
            </w:pPr>
          </w:p>
        </w:tc>
        <w:tc>
          <w:tcPr>
            <w:tcW w:w="771" w:type="dxa"/>
            <w:vAlign w:val="center"/>
          </w:tcPr>
          <w:p w14:paraId="5ACDF1E6">
            <w:pPr>
              <w:adjustRightInd w:val="0"/>
              <w:snapToGrid w:val="0"/>
              <w:jc w:val="center"/>
              <w:rPr>
                <w:rFonts w:hint="eastAsia" w:ascii="宋体" w:hAnsi="宋体"/>
                <w:color w:val="auto"/>
                <w:szCs w:val="21"/>
                <w:highlight w:val="none"/>
              </w:rPr>
            </w:pPr>
          </w:p>
        </w:tc>
        <w:tc>
          <w:tcPr>
            <w:tcW w:w="1315" w:type="dxa"/>
            <w:vAlign w:val="center"/>
          </w:tcPr>
          <w:p w14:paraId="0E9EC1CF">
            <w:pPr>
              <w:adjustRightInd w:val="0"/>
              <w:snapToGrid w:val="0"/>
              <w:jc w:val="center"/>
              <w:rPr>
                <w:rFonts w:hint="eastAsia" w:ascii="宋体" w:hAnsi="宋体"/>
                <w:color w:val="auto"/>
                <w:szCs w:val="21"/>
                <w:highlight w:val="none"/>
              </w:rPr>
            </w:pPr>
          </w:p>
        </w:tc>
        <w:tc>
          <w:tcPr>
            <w:tcW w:w="1400" w:type="dxa"/>
            <w:vAlign w:val="center"/>
          </w:tcPr>
          <w:p w14:paraId="477A3A88">
            <w:pPr>
              <w:adjustRightInd w:val="0"/>
              <w:snapToGrid w:val="0"/>
              <w:jc w:val="center"/>
              <w:rPr>
                <w:rFonts w:hint="eastAsia" w:ascii="宋体" w:hAnsi="宋体"/>
                <w:color w:val="auto"/>
                <w:szCs w:val="21"/>
                <w:highlight w:val="none"/>
              </w:rPr>
            </w:pPr>
          </w:p>
        </w:tc>
      </w:tr>
      <w:tr w14:paraId="1DA4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CAC52C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5</w:t>
            </w:r>
          </w:p>
        </w:tc>
        <w:tc>
          <w:tcPr>
            <w:tcW w:w="1907" w:type="dxa"/>
            <w:vAlign w:val="center"/>
          </w:tcPr>
          <w:p w14:paraId="125E9882">
            <w:pPr>
              <w:adjustRightInd w:val="0"/>
              <w:snapToGrid w:val="0"/>
              <w:jc w:val="center"/>
              <w:rPr>
                <w:rFonts w:hint="eastAsia" w:ascii="宋体" w:hAnsi="宋体"/>
                <w:color w:val="auto"/>
                <w:szCs w:val="21"/>
                <w:highlight w:val="none"/>
              </w:rPr>
            </w:pPr>
          </w:p>
        </w:tc>
        <w:tc>
          <w:tcPr>
            <w:tcW w:w="1400" w:type="dxa"/>
            <w:vAlign w:val="center"/>
          </w:tcPr>
          <w:p w14:paraId="7191ECBE">
            <w:pPr>
              <w:adjustRightInd w:val="0"/>
              <w:snapToGrid w:val="0"/>
              <w:jc w:val="center"/>
              <w:rPr>
                <w:rFonts w:hint="eastAsia" w:ascii="宋体" w:hAnsi="宋体"/>
                <w:color w:val="auto"/>
                <w:szCs w:val="21"/>
                <w:highlight w:val="none"/>
              </w:rPr>
            </w:pPr>
          </w:p>
        </w:tc>
        <w:tc>
          <w:tcPr>
            <w:tcW w:w="1514" w:type="dxa"/>
            <w:vAlign w:val="center"/>
          </w:tcPr>
          <w:p w14:paraId="639F7EBA">
            <w:pPr>
              <w:adjustRightInd w:val="0"/>
              <w:snapToGrid w:val="0"/>
              <w:jc w:val="center"/>
              <w:rPr>
                <w:rFonts w:hint="eastAsia" w:ascii="宋体" w:hAnsi="宋体"/>
                <w:color w:val="auto"/>
                <w:szCs w:val="21"/>
                <w:highlight w:val="none"/>
              </w:rPr>
            </w:pPr>
          </w:p>
        </w:tc>
        <w:tc>
          <w:tcPr>
            <w:tcW w:w="771" w:type="dxa"/>
            <w:vAlign w:val="center"/>
          </w:tcPr>
          <w:p w14:paraId="39B06D69">
            <w:pPr>
              <w:adjustRightInd w:val="0"/>
              <w:snapToGrid w:val="0"/>
              <w:jc w:val="center"/>
              <w:rPr>
                <w:rFonts w:hint="eastAsia" w:ascii="宋体" w:hAnsi="宋体"/>
                <w:color w:val="auto"/>
                <w:szCs w:val="21"/>
                <w:highlight w:val="none"/>
              </w:rPr>
            </w:pPr>
          </w:p>
        </w:tc>
        <w:tc>
          <w:tcPr>
            <w:tcW w:w="1315" w:type="dxa"/>
            <w:vAlign w:val="center"/>
          </w:tcPr>
          <w:p w14:paraId="39004A4A">
            <w:pPr>
              <w:adjustRightInd w:val="0"/>
              <w:snapToGrid w:val="0"/>
              <w:jc w:val="center"/>
              <w:rPr>
                <w:rFonts w:hint="eastAsia" w:ascii="宋体" w:hAnsi="宋体"/>
                <w:color w:val="auto"/>
                <w:szCs w:val="21"/>
                <w:highlight w:val="none"/>
              </w:rPr>
            </w:pPr>
          </w:p>
        </w:tc>
        <w:tc>
          <w:tcPr>
            <w:tcW w:w="1400" w:type="dxa"/>
            <w:vAlign w:val="center"/>
          </w:tcPr>
          <w:p w14:paraId="401A3315">
            <w:pPr>
              <w:adjustRightInd w:val="0"/>
              <w:snapToGrid w:val="0"/>
              <w:jc w:val="center"/>
              <w:rPr>
                <w:rFonts w:hint="eastAsia" w:ascii="宋体" w:hAnsi="宋体"/>
                <w:color w:val="auto"/>
                <w:szCs w:val="21"/>
                <w:highlight w:val="none"/>
              </w:rPr>
            </w:pPr>
          </w:p>
        </w:tc>
      </w:tr>
      <w:tr w14:paraId="54E5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679FFC4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6</w:t>
            </w:r>
          </w:p>
        </w:tc>
        <w:tc>
          <w:tcPr>
            <w:tcW w:w="1907" w:type="dxa"/>
            <w:vAlign w:val="center"/>
          </w:tcPr>
          <w:p w14:paraId="580EFC1E">
            <w:pPr>
              <w:adjustRightInd w:val="0"/>
              <w:snapToGrid w:val="0"/>
              <w:jc w:val="center"/>
              <w:rPr>
                <w:rFonts w:hint="eastAsia" w:ascii="宋体" w:hAnsi="宋体"/>
                <w:color w:val="auto"/>
                <w:szCs w:val="21"/>
                <w:highlight w:val="none"/>
              </w:rPr>
            </w:pPr>
          </w:p>
        </w:tc>
        <w:tc>
          <w:tcPr>
            <w:tcW w:w="1400" w:type="dxa"/>
            <w:vAlign w:val="center"/>
          </w:tcPr>
          <w:p w14:paraId="7EB9A0D9">
            <w:pPr>
              <w:adjustRightInd w:val="0"/>
              <w:snapToGrid w:val="0"/>
              <w:jc w:val="center"/>
              <w:rPr>
                <w:rFonts w:hint="eastAsia" w:ascii="宋体" w:hAnsi="宋体"/>
                <w:color w:val="auto"/>
                <w:szCs w:val="21"/>
                <w:highlight w:val="none"/>
              </w:rPr>
            </w:pPr>
          </w:p>
        </w:tc>
        <w:tc>
          <w:tcPr>
            <w:tcW w:w="1514" w:type="dxa"/>
            <w:vAlign w:val="center"/>
          </w:tcPr>
          <w:p w14:paraId="74C6B194">
            <w:pPr>
              <w:adjustRightInd w:val="0"/>
              <w:snapToGrid w:val="0"/>
              <w:jc w:val="center"/>
              <w:rPr>
                <w:rFonts w:hint="eastAsia" w:ascii="宋体" w:hAnsi="宋体"/>
                <w:color w:val="auto"/>
                <w:szCs w:val="21"/>
                <w:highlight w:val="none"/>
              </w:rPr>
            </w:pPr>
          </w:p>
        </w:tc>
        <w:tc>
          <w:tcPr>
            <w:tcW w:w="771" w:type="dxa"/>
            <w:vAlign w:val="center"/>
          </w:tcPr>
          <w:p w14:paraId="4C1F6F2C">
            <w:pPr>
              <w:adjustRightInd w:val="0"/>
              <w:snapToGrid w:val="0"/>
              <w:jc w:val="center"/>
              <w:rPr>
                <w:rFonts w:hint="eastAsia" w:ascii="宋体" w:hAnsi="宋体"/>
                <w:color w:val="auto"/>
                <w:szCs w:val="21"/>
                <w:highlight w:val="none"/>
              </w:rPr>
            </w:pPr>
          </w:p>
        </w:tc>
        <w:tc>
          <w:tcPr>
            <w:tcW w:w="1315" w:type="dxa"/>
            <w:vAlign w:val="center"/>
          </w:tcPr>
          <w:p w14:paraId="3A554E74">
            <w:pPr>
              <w:adjustRightInd w:val="0"/>
              <w:snapToGrid w:val="0"/>
              <w:jc w:val="center"/>
              <w:rPr>
                <w:rFonts w:hint="eastAsia" w:ascii="宋体" w:hAnsi="宋体"/>
                <w:color w:val="auto"/>
                <w:szCs w:val="21"/>
                <w:highlight w:val="none"/>
              </w:rPr>
            </w:pPr>
          </w:p>
        </w:tc>
        <w:tc>
          <w:tcPr>
            <w:tcW w:w="1400" w:type="dxa"/>
            <w:vAlign w:val="center"/>
          </w:tcPr>
          <w:p w14:paraId="28AEAAC7">
            <w:pPr>
              <w:adjustRightInd w:val="0"/>
              <w:snapToGrid w:val="0"/>
              <w:jc w:val="center"/>
              <w:rPr>
                <w:rFonts w:hint="eastAsia" w:ascii="宋体" w:hAnsi="宋体"/>
                <w:color w:val="auto"/>
                <w:szCs w:val="21"/>
                <w:highlight w:val="none"/>
              </w:rPr>
            </w:pPr>
          </w:p>
        </w:tc>
      </w:tr>
      <w:tr w14:paraId="7F9E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3D2D192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1907" w:type="dxa"/>
            <w:vAlign w:val="center"/>
          </w:tcPr>
          <w:p w14:paraId="53E1FF08">
            <w:pPr>
              <w:adjustRightInd w:val="0"/>
              <w:snapToGrid w:val="0"/>
              <w:jc w:val="center"/>
              <w:rPr>
                <w:rFonts w:hint="eastAsia" w:ascii="宋体" w:hAnsi="宋体"/>
                <w:color w:val="auto"/>
                <w:szCs w:val="21"/>
                <w:highlight w:val="none"/>
              </w:rPr>
            </w:pPr>
          </w:p>
        </w:tc>
        <w:tc>
          <w:tcPr>
            <w:tcW w:w="1400" w:type="dxa"/>
            <w:vAlign w:val="center"/>
          </w:tcPr>
          <w:p w14:paraId="18286B46">
            <w:pPr>
              <w:adjustRightInd w:val="0"/>
              <w:snapToGrid w:val="0"/>
              <w:jc w:val="center"/>
              <w:rPr>
                <w:rFonts w:hint="eastAsia" w:ascii="宋体" w:hAnsi="宋体"/>
                <w:color w:val="auto"/>
                <w:szCs w:val="21"/>
                <w:highlight w:val="none"/>
              </w:rPr>
            </w:pPr>
          </w:p>
        </w:tc>
        <w:tc>
          <w:tcPr>
            <w:tcW w:w="1514" w:type="dxa"/>
            <w:vAlign w:val="center"/>
          </w:tcPr>
          <w:p w14:paraId="213CE65D">
            <w:pPr>
              <w:adjustRightInd w:val="0"/>
              <w:snapToGrid w:val="0"/>
              <w:jc w:val="center"/>
              <w:rPr>
                <w:rFonts w:hint="eastAsia" w:ascii="宋体" w:hAnsi="宋体"/>
                <w:color w:val="auto"/>
                <w:szCs w:val="21"/>
                <w:highlight w:val="none"/>
              </w:rPr>
            </w:pPr>
          </w:p>
        </w:tc>
        <w:tc>
          <w:tcPr>
            <w:tcW w:w="771" w:type="dxa"/>
            <w:vAlign w:val="center"/>
          </w:tcPr>
          <w:p w14:paraId="22C2D8BA">
            <w:pPr>
              <w:adjustRightInd w:val="0"/>
              <w:snapToGrid w:val="0"/>
              <w:jc w:val="center"/>
              <w:rPr>
                <w:rFonts w:hint="eastAsia" w:ascii="宋体" w:hAnsi="宋体"/>
                <w:color w:val="auto"/>
                <w:szCs w:val="21"/>
                <w:highlight w:val="none"/>
              </w:rPr>
            </w:pPr>
          </w:p>
        </w:tc>
        <w:tc>
          <w:tcPr>
            <w:tcW w:w="1315" w:type="dxa"/>
            <w:vAlign w:val="center"/>
          </w:tcPr>
          <w:p w14:paraId="351DAD64">
            <w:pPr>
              <w:adjustRightInd w:val="0"/>
              <w:snapToGrid w:val="0"/>
              <w:jc w:val="center"/>
              <w:rPr>
                <w:rFonts w:hint="eastAsia" w:ascii="宋体" w:hAnsi="宋体"/>
                <w:color w:val="auto"/>
                <w:szCs w:val="21"/>
                <w:highlight w:val="none"/>
              </w:rPr>
            </w:pPr>
          </w:p>
        </w:tc>
        <w:tc>
          <w:tcPr>
            <w:tcW w:w="1400" w:type="dxa"/>
            <w:vAlign w:val="center"/>
          </w:tcPr>
          <w:p w14:paraId="63966FCB">
            <w:pPr>
              <w:adjustRightInd w:val="0"/>
              <w:snapToGrid w:val="0"/>
              <w:jc w:val="center"/>
              <w:rPr>
                <w:rFonts w:hint="eastAsia" w:ascii="宋体" w:hAnsi="宋体"/>
                <w:color w:val="auto"/>
                <w:szCs w:val="21"/>
                <w:highlight w:val="none"/>
              </w:rPr>
            </w:pPr>
          </w:p>
        </w:tc>
      </w:tr>
    </w:tbl>
    <w:p w14:paraId="7DC5AB3A">
      <w:pPr>
        <w:adjustRightInd w:val="0"/>
        <w:spacing w:line="360" w:lineRule="auto"/>
        <w:jc w:val="left"/>
        <w:rPr>
          <w:rFonts w:ascii="Times New Roman" w:hAnsi="Times New Roman"/>
          <w:color w:val="auto"/>
          <w:sz w:val="24"/>
          <w:szCs w:val="21"/>
          <w:highlight w:val="none"/>
          <w:lang w:val="zh-CN"/>
        </w:rPr>
      </w:pPr>
    </w:p>
    <w:p w14:paraId="757CEFDD">
      <w:pPr>
        <w:rPr>
          <w:rFonts w:hint="eastAsia" w:asciiTheme="minorEastAsia" w:hAnsiTheme="minorEastAsia" w:eastAsiaTheme="minorEastAsia" w:cstheme="minorEastAsia"/>
          <w:b/>
          <w:color w:val="auto"/>
          <w:szCs w:val="21"/>
          <w:highlight w:val="none"/>
          <w:lang w:val="zh-CN"/>
        </w:rPr>
      </w:pPr>
    </w:p>
    <w:p w14:paraId="2B5BFEFE">
      <w:pPr>
        <w:rPr>
          <w:rFonts w:hint="eastAsia" w:asciiTheme="minorEastAsia" w:hAnsiTheme="minorEastAsia" w:eastAsiaTheme="minorEastAsia" w:cstheme="minorEastAsia"/>
          <w:b/>
          <w:color w:val="auto"/>
          <w:szCs w:val="21"/>
          <w:highlight w:val="none"/>
          <w:lang w:val="zh-CN"/>
        </w:rPr>
      </w:pPr>
    </w:p>
    <w:p w14:paraId="07245227">
      <w:pPr>
        <w:rPr>
          <w:rFonts w:hint="eastAsia" w:asciiTheme="minorEastAsia" w:hAnsiTheme="minorEastAsia" w:eastAsiaTheme="minorEastAsia" w:cstheme="minorEastAsia"/>
          <w:b/>
          <w:color w:val="auto"/>
          <w:szCs w:val="21"/>
          <w:highlight w:val="none"/>
          <w:lang w:val="zh-CN"/>
        </w:rPr>
      </w:pPr>
    </w:p>
    <w:p w14:paraId="6993DA87">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705D8E80">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目录六、技术条款偏离表格式</w:t>
      </w:r>
    </w:p>
    <w:p w14:paraId="210B4A4D">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6BF0DABA">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5E30BB39">
            <w:pPr>
              <w:adjustRightInd w:val="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1F8F9186">
            <w:pPr>
              <w:adjustRightInd w:val="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4B3AEED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BCBC596">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3DB2F3D5">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3D5728F0">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文件要求的技术</w:t>
            </w:r>
            <w:r>
              <w:rPr>
                <w:rFonts w:hint="eastAsia" w:asciiTheme="minorEastAsia" w:hAnsiTheme="minorEastAsia" w:eastAsiaTheme="minorEastAsia" w:cstheme="minorEastAsia"/>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E475066">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w:t>
            </w:r>
            <w:r>
              <w:rPr>
                <w:rFonts w:hint="eastAsia" w:asciiTheme="minorEastAsia" w:hAnsiTheme="minorEastAsia" w:eastAsiaTheme="minorEastAsia" w:cstheme="minorEastAsia"/>
                <w:b/>
                <w:color w:val="auto"/>
                <w:szCs w:val="21"/>
                <w:highlight w:val="none"/>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633F799D">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4E6051E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E51948A">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3CFE756">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D20559D">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E1A65AF">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959957">
            <w:pPr>
              <w:adjustRightInd w:val="0"/>
              <w:jc w:val="center"/>
              <w:rPr>
                <w:rFonts w:hint="eastAsia" w:asciiTheme="minorEastAsia" w:hAnsiTheme="minorEastAsia" w:eastAsiaTheme="minorEastAsia" w:cstheme="minorEastAsia"/>
                <w:color w:val="auto"/>
                <w:szCs w:val="21"/>
                <w:highlight w:val="none"/>
                <w:lang w:val="zh-CN"/>
              </w:rPr>
            </w:pPr>
          </w:p>
        </w:tc>
      </w:tr>
      <w:tr w14:paraId="0749579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808A8C9">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9BFB214">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5EDC573">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F483345">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398FF5D">
            <w:pPr>
              <w:adjustRightInd w:val="0"/>
              <w:jc w:val="center"/>
              <w:rPr>
                <w:rFonts w:hint="eastAsia" w:asciiTheme="minorEastAsia" w:hAnsiTheme="minorEastAsia" w:eastAsiaTheme="minorEastAsia" w:cstheme="minorEastAsia"/>
                <w:color w:val="auto"/>
                <w:szCs w:val="21"/>
                <w:highlight w:val="none"/>
                <w:lang w:val="zh-CN"/>
              </w:rPr>
            </w:pPr>
          </w:p>
        </w:tc>
      </w:tr>
      <w:tr w14:paraId="127F853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54801ED">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A1956F6">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1D29748">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51AAB4">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8BCD0D">
            <w:pPr>
              <w:adjustRightInd w:val="0"/>
              <w:jc w:val="center"/>
              <w:rPr>
                <w:rFonts w:hint="eastAsia" w:asciiTheme="minorEastAsia" w:hAnsiTheme="minorEastAsia" w:eastAsiaTheme="minorEastAsia" w:cstheme="minorEastAsia"/>
                <w:color w:val="auto"/>
                <w:szCs w:val="21"/>
                <w:highlight w:val="none"/>
                <w:lang w:val="zh-CN"/>
              </w:rPr>
            </w:pPr>
          </w:p>
        </w:tc>
      </w:tr>
      <w:tr w14:paraId="6186E46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6F26E52">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A31A0D4">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2B860C2">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7433011">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7212BC6">
            <w:pPr>
              <w:adjustRightInd w:val="0"/>
              <w:jc w:val="center"/>
              <w:rPr>
                <w:rFonts w:hint="eastAsia" w:asciiTheme="minorEastAsia" w:hAnsiTheme="minorEastAsia" w:eastAsiaTheme="minorEastAsia" w:cstheme="minorEastAsia"/>
                <w:color w:val="auto"/>
                <w:szCs w:val="21"/>
                <w:highlight w:val="none"/>
                <w:lang w:val="zh-CN"/>
              </w:rPr>
            </w:pPr>
          </w:p>
        </w:tc>
      </w:tr>
      <w:tr w14:paraId="65AF807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57F36EA">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558566D">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E89F056">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DAF3CF8">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6E80833">
            <w:pPr>
              <w:adjustRightInd w:val="0"/>
              <w:jc w:val="center"/>
              <w:rPr>
                <w:rFonts w:hint="eastAsia" w:asciiTheme="minorEastAsia" w:hAnsiTheme="minorEastAsia" w:eastAsiaTheme="minorEastAsia" w:cstheme="minorEastAsia"/>
                <w:color w:val="auto"/>
                <w:szCs w:val="21"/>
                <w:highlight w:val="none"/>
                <w:lang w:val="zh-CN"/>
              </w:rPr>
            </w:pPr>
          </w:p>
        </w:tc>
      </w:tr>
      <w:tr w14:paraId="7074261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B8BF8AC">
            <w:pPr>
              <w:adjustRightInd w:val="0"/>
              <w:jc w:val="center"/>
              <w:rPr>
                <w:rFonts w:hint="eastAsia"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831B8DF">
            <w:pPr>
              <w:adjustRightInd w:val="0"/>
              <w:jc w:val="center"/>
              <w:rPr>
                <w:rFonts w:hint="eastAsia"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1398AD3">
            <w:pPr>
              <w:adjustRightInd w:val="0"/>
              <w:jc w:val="center"/>
              <w:rPr>
                <w:rFonts w:hint="eastAsia"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211A400">
            <w:pPr>
              <w:adjustRightInd w:val="0"/>
              <w:jc w:val="center"/>
              <w:rPr>
                <w:rFonts w:hint="eastAsia"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FE2EA3A">
            <w:pPr>
              <w:adjustRightInd w:val="0"/>
              <w:jc w:val="center"/>
              <w:rPr>
                <w:rFonts w:hint="eastAsia" w:asciiTheme="minorEastAsia" w:hAnsiTheme="minorEastAsia" w:eastAsiaTheme="minorEastAsia" w:cstheme="minorEastAsia"/>
                <w:color w:val="auto"/>
                <w:szCs w:val="21"/>
                <w:highlight w:val="none"/>
                <w:lang w:val="zh-CN"/>
              </w:rPr>
            </w:pPr>
          </w:p>
        </w:tc>
      </w:tr>
    </w:tbl>
    <w:p w14:paraId="57BB8781">
      <w:pPr>
        <w:adjustRightInd w:val="0"/>
        <w:spacing w:line="360" w:lineRule="auto"/>
        <w:jc w:val="left"/>
        <w:rPr>
          <w:rFonts w:hint="eastAsia" w:asciiTheme="minorEastAsia" w:hAnsiTheme="minorEastAsia" w:eastAsiaTheme="minorEastAsia" w:cstheme="minorEastAsia"/>
          <w:color w:val="auto"/>
          <w:szCs w:val="21"/>
          <w:highlight w:val="none"/>
          <w:lang w:val="zh-CN"/>
        </w:rPr>
      </w:pPr>
    </w:p>
    <w:p w14:paraId="58D5AE8F">
      <w:pPr>
        <w:adjustRightInd w:val="0"/>
        <w:spacing w:line="360" w:lineRule="auto"/>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1BCBCCE9">
      <w:pPr>
        <w:widowControl/>
        <w:spacing w:line="360" w:lineRule="auto"/>
        <w:jc w:val="left"/>
        <w:rPr>
          <w:rFonts w:hint="eastAsia" w:asciiTheme="minorEastAsia" w:hAnsiTheme="minorEastAsia" w:eastAsiaTheme="minorEastAsia" w:cstheme="minorEastAsia"/>
          <w:color w:val="auto"/>
          <w:szCs w:val="21"/>
          <w:highlight w:val="none"/>
          <w:lang w:val="zh-CN"/>
        </w:rPr>
      </w:pPr>
    </w:p>
    <w:p w14:paraId="2E5DD2F6">
      <w:pPr>
        <w:pStyle w:val="17"/>
        <w:widowControl/>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159D220E">
      <w:pPr>
        <w:pStyle w:val="17"/>
        <w:widowControl/>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2756329B">
      <w:pPr>
        <w:pStyle w:val="17"/>
        <w:widowControl/>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4A76EF8F">
      <w:pPr>
        <w:pStyle w:val="17"/>
        <w:widowControl/>
        <w:numPr>
          <w:ilvl w:val="0"/>
          <w:numId w:val="55"/>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响应内容作为响应文件重要的组成部分，不应通过简单拷贝或简单标注“符合”“满足”。</w:t>
      </w:r>
    </w:p>
    <w:p w14:paraId="3AB45AF4">
      <w:pP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4BC15BE5">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目录七、商务条款偏离表格式</w:t>
      </w:r>
    </w:p>
    <w:p w14:paraId="684747AE">
      <w:pPr>
        <w:pStyle w:val="263"/>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2BE3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57E2E85C">
            <w:pPr>
              <w:adjustRightInd w:val="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462" w:type="pct"/>
            <w:gridSpan w:val="2"/>
            <w:tcBorders>
              <w:top w:val="nil"/>
              <w:left w:val="nil"/>
              <w:right w:val="nil"/>
            </w:tcBorders>
            <w:vAlign w:val="center"/>
          </w:tcPr>
          <w:p w14:paraId="5475041F">
            <w:pPr>
              <w:adjustRightInd w:val="0"/>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1126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D81B0C">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74" w:type="pct"/>
            <w:vAlign w:val="center"/>
          </w:tcPr>
          <w:p w14:paraId="602D8230">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515" w:type="pct"/>
            <w:vAlign w:val="center"/>
          </w:tcPr>
          <w:p w14:paraId="3D847503">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文件要求的商务条款</w:t>
            </w:r>
          </w:p>
        </w:tc>
        <w:tc>
          <w:tcPr>
            <w:tcW w:w="1364" w:type="pct"/>
            <w:gridSpan w:val="2"/>
            <w:vAlign w:val="center"/>
          </w:tcPr>
          <w:p w14:paraId="1347DEE2">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w:t>
            </w:r>
          </w:p>
        </w:tc>
        <w:tc>
          <w:tcPr>
            <w:tcW w:w="709" w:type="pct"/>
            <w:vAlign w:val="center"/>
          </w:tcPr>
          <w:p w14:paraId="135EE128">
            <w:pPr>
              <w:adjustRightInd w:val="0"/>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08B3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1F7946A">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1E9DA30B">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0452D1E5">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5A55CADB">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5765B04D">
            <w:pPr>
              <w:adjustRightInd w:val="0"/>
              <w:jc w:val="center"/>
              <w:rPr>
                <w:rFonts w:hint="eastAsia" w:asciiTheme="minorEastAsia" w:hAnsiTheme="minorEastAsia" w:eastAsiaTheme="minorEastAsia" w:cstheme="minorEastAsia"/>
                <w:color w:val="auto"/>
                <w:szCs w:val="21"/>
                <w:highlight w:val="none"/>
                <w:lang w:val="zh-CN"/>
              </w:rPr>
            </w:pPr>
          </w:p>
        </w:tc>
      </w:tr>
      <w:tr w14:paraId="47E02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100A355">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39DD76C0">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1F1A2AC4">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6C7F28EA">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2BDF91F6">
            <w:pPr>
              <w:adjustRightInd w:val="0"/>
              <w:jc w:val="center"/>
              <w:rPr>
                <w:rFonts w:hint="eastAsia" w:asciiTheme="minorEastAsia" w:hAnsiTheme="minorEastAsia" w:eastAsiaTheme="minorEastAsia" w:cstheme="minorEastAsia"/>
                <w:color w:val="auto"/>
                <w:szCs w:val="21"/>
                <w:highlight w:val="none"/>
                <w:lang w:val="zh-CN"/>
              </w:rPr>
            </w:pPr>
          </w:p>
        </w:tc>
      </w:tr>
      <w:tr w14:paraId="7DA6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F36F015">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0AD90524">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19BB3D6B">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0AB380B2">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2DF6722E">
            <w:pPr>
              <w:adjustRightInd w:val="0"/>
              <w:jc w:val="center"/>
              <w:rPr>
                <w:rFonts w:hint="eastAsia" w:asciiTheme="minorEastAsia" w:hAnsiTheme="minorEastAsia" w:eastAsiaTheme="minorEastAsia" w:cstheme="minorEastAsia"/>
                <w:color w:val="auto"/>
                <w:szCs w:val="21"/>
                <w:highlight w:val="none"/>
                <w:lang w:val="zh-CN"/>
              </w:rPr>
            </w:pPr>
          </w:p>
        </w:tc>
      </w:tr>
      <w:tr w14:paraId="7738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B6A831">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6EC221C8">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12A61C00">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260B8064">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26B0C83D">
            <w:pPr>
              <w:adjustRightInd w:val="0"/>
              <w:jc w:val="center"/>
              <w:rPr>
                <w:rFonts w:hint="eastAsia" w:asciiTheme="minorEastAsia" w:hAnsiTheme="minorEastAsia" w:eastAsiaTheme="minorEastAsia" w:cstheme="minorEastAsia"/>
                <w:color w:val="auto"/>
                <w:szCs w:val="21"/>
                <w:highlight w:val="none"/>
                <w:lang w:val="zh-CN"/>
              </w:rPr>
            </w:pPr>
          </w:p>
        </w:tc>
      </w:tr>
      <w:tr w14:paraId="52BE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D830FB6">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1AF28F8B">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577AE6B2">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54611002">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1FE10A79">
            <w:pPr>
              <w:adjustRightInd w:val="0"/>
              <w:jc w:val="center"/>
              <w:rPr>
                <w:rFonts w:hint="eastAsia" w:asciiTheme="minorEastAsia" w:hAnsiTheme="minorEastAsia" w:eastAsiaTheme="minorEastAsia" w:cstheme="minorEastAsia"/>
                <w:color w:val="auto"/>
                <w:szCs w:val="21"/>
                <w:highlight w:val="none"/>
                <w:lang w:val="zh-CN"/>
              </w:rPr>
            </w:pPr>
          </w:p>
        </w:tc>
      </w:tr>
      <w:tr w14:paraId="62378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58BA11E">
            <w:pPr>
              <w:adjustRightInd w:val="0"/>
              <w:jc w:val="center"/>
              <w:rPr>
                <w:rFonts w:hint="eastAsia" w:asciiTheme="minorEastAsia" w:hAnsiTheme="minorEastAsia" w:eastAsiaTheme="minorEastAsia" w:cstheme="minorEastAsia"/>
                <w:color w:val="auto"/>
                <w:szCs w:val="21"/>
                <w:highlight w:val="none"/>
                <w:lang w:val="zh-CN"/>
              </w:rPr>
            </w:pPr>
          </w:p>
        </w:tc>
        <w:tc>
          <w:tcPr>
            <w:tcW w:w="974" w:type="pct"/>
            <w:vAlign w:val="center"/>
          </w:tcPr>
          <w:p w14:paraId="61AF2623">
            <w:pPr>
              <w:adjustRightInd w:val="0"/>
              <w:jc w:val="center"/>
              <w:rPr>
                <w:rFonts w:hint="eastAsia" w:asciiTheme="minorEastAsia" w:hAnsiTheme="minorEastAsia" w:eastAsiaTheme="minorEastAsia" w:cstheme="minorEastAsia"/>
                <w:color w:val="auto"/>
                <w:szCs w:val="21"/>
                <w:highlight w:val="none"/>
                <w:lang w:val="zh-CN"/>
              </w:rPr>
            </w:pPr>
          </w:p>
        </w:tc>
        <w:tc>
          <w:tcPr>
            <w:tcW w:w="1515" w:type="pct"/>
            <w:vAlign w:val="center"/>
          </w:tcPr>
          <w:p w14:paraId="2624F227">
            <w:pPr>
              <w:adjustRightInd w:val="0"/>
              <w:jc w:val="center"/>
              <w:rPr>
                <w:rFonts w:hint="eastAsia" w:asciiTheme="minorEastAsia" w:hAnsiTheme="minorEastAsia" w:eastAsiaTheme="minorEastAsia" w:cstheme="minorEastAsia"/>
                <w:color w:val="auto"/>
                <w:szCs w:val="21"/>
                <w:highlight w:val="none"/>
                <w:lang w:val="zh-CN"/>
              </w:rPr>
            </w:pPr>
          </w:p>
        </w:tc>
        <w:tc>
          <w:tcPr>
            <w:tcW w:w="1364" w:type="pct"/>
            <w:gridSpan w:val="2"/>
            <w:vAlign w:val="center"/>
          </w:tcPr>
          <w:p w14:paraId="322CC7B2">
            <w:pPr>
              <w:adjustRightInd w:val="0"/>
              <w:jc w:val="center"/>
              <w:rPr>
                <w:rFonts w:hint="eastAsia" w:asciiTheme="minorEastAsia" w:hAnsiTheme="minorEastAsia" w:eastAsiaTheme="minorEastAsia" w:cstheme="minorEastAsia"/>
                <w:color w:val="auto"/>
                <w:szCs w:val="21"/>
                <w:highlight w:val="none"/>
                <w:lang w:val="zh-CN"/>
              </w:rPr>
            </w:pPr>
          </w:p>
        </w:tc>
        <w:tc>
          <w:tcPr>
            <w:tcW w:w="709" w:type="pct"/>
            <w:vAlign w:val="center"/>
          </w:tcPr>
          <w:p w14:paraId="62474430">
            <w:pPr>
              <w:adjustRightInd w:val="0"/>
              <w:jc w:val="center"/>
              <w:rPr>
                <w:rFonts w:hint="eastAsia" w:asciiTheme="minorEastAsia" w:hAnsiTheme="minorEastAsia" w:eastAsiaTheme="minorEastAsia" w:cstheme="minorEastAsia"/>
                <w:color w:val="auto"/>
                <w:szCs w:val="21"/>
                <w:highlight w:val="none"/>
                <w:lang w:val="zh-CN"/>
              </w:rPr>
            </w:pPr>
          </w:p>
        </w:tc>
      </w:tr>
      <w:tr w14:paraId="67EC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4287DDD">
            <w:pPr>
              <w:jc w:val="center"/>
              <w:rPr>
                <w:rFonts w:hint="eastAsia" w:asciiTheme="minorEastAsia" w:hAnsiTheme="minorEastAsia" w:eastAsiaTheme="minorEastAsia" w:cstheme="minorEastAsia"/>
                <w:color w:val="auto"/>
                <w:szCs w:val="21"/>
                <w:highlight w:val="none"/>
              </w:rPr>
            </w:pPr>
          </w:p>
        </w:tc>
        <w:tc>
          <w:tcPr>
            <w:tcW w:w="974" w:type="pct"/>
            <w:vAlign w:val="center"/>
          </w:tcPr>
          <w:p w14:paraId="4A922AC8">
            <w:pPr>
              <w:jc w:val="center"/>
              <w:rPr>
                <w:rFonts w:hint="eastAsia" w:asciiTheme="minorEastAsia" w:hAnsiTheme="minorEastAsia" w:eastAsiaTheme="minorEastAsia" w:cstheme="minorEastAsia"/>
                <w:color w:val="auto"/>
                <w:szCs w:val="21"/>
                <w:highlight w:val="none"/>
              </w:rPr>
            </w:pPr>
          </w:p>
        </w:tc>
        <w:tc>
          <w:tcPr>
            <w:tcW w:w="1515" w:type="pct"/>
            <w:vAlign w:val="center"/>
          </w:tcPr>
          <w:p w14:paraId="0F69734D">
            <w:pPr>
              <w:jc w:val="center"/>
              <w:rPr>
                <w:rFonts w:hint="eastAsia" w:asciiTheme="minorEastAsia" w:hAnsiTheme="minorEastAsia" w:eastAsiaTheme="minorEastAsia" w:cstheme="minorEastAsia"/>
                <w:color w:val="auto"/>
                <w:szCs w:val="21"/>
                <w:highlight w:val="none"/>
              </w:rPr>
            </w:pPr>
          </w:p>
        </w:tc>
        <w:tc>
          <w:tcPr>
            <w:tcW w:w="1364" w:type="pct"/>
            <w:gridSpan w:val="2"/>
            <w:vAlign w:val="center"/>
          </w:tcPr>
          <w:p w14:paraId="333626F9">
            <w:pPr>
              <w:jc w:val="center"/>
              <w:rPr>
                <w:rFonts w:hint="eastAsia" w:asciiTheme="minorEastAsia" w:hAnsiTheme="minorEastAsia" w:eastAsiaTheme="minorEastAsia" w:cstheme="minorEastAsia"/>
                <w:color w:val="auto"/>
                <w:szCs w:val="21"/>
                <w:highlight w:val="none"/>
              </w:rPr>
            </w:pPr>
          </w:p>
        </w:tc>
        <w:tc>
          <w:tcPr>
            <w:tcW w:w="709" w:type="pct"/>
            <w:vAlign w:val="center"/>
          </w:tcPr>
          <w:p w14:paraId="3D81EDCC">
            <w:pPr>
              <w:jc w:val="center"/>
              <w:rPr>
                <w:rFonts w:hint="eastAsia" w:asciiTheme="minorEastAsia" w:hAnsiTheme="minorEastAsia" w:eastAsiaTheme="minorEastAsia" w:cstheme="minorEastAsia"/>
                <w:color w:val="auto"/>
                <w:szCs w:val="21"/>
                <w:highlight w:val="none"/>
              </w:rPr>
            </w:pPr>
          </w:p>
        </w:tc>
      </w:tr>
    </w:tbl>
    <w:p w14:paraId="0F82B352">
      <w:pPr>
        <w:adjustRightInd w:val="0"/>
        <w:spacing w:line="360" w:lineRule="auto"/>
        <w:jc w:val="left"/>
        <w:rPr>
          <w:rFonts w:hint="eastAsia" w:asciiTheme="minorEastAsia" w:hAnsiTheme="minorEastAsia" w:eastAsiaTheme="minorEastAsia" w:cstheme="minorEastAsia"/>
          <w:color w:val="auto"/>
          <w:szCs w:val="21"/>
          <w:highlight w:val="none"/>
          <w:lang w:val="zh-CN"/>
        </w:rPr>
      </w:pPr>
    </w:p>
    <w:p w14:paraId="1939BD90">
      <w:pPr>
        <w:adjustRightInd w:val="0"/>
        <w:spacing w:line="360" w:lineRule="auto"/>
        <w:jc w:val="left"/>
        <w:rPr>
          <w:rFonts w:hint="eastAsia"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45642331">
      <w:pPr>
        <w:widowControl/>
        <w:spacing w:line="360" w:lineRule="auto"/>
        <w:jc w:val="left"/>
        <w:rPr>
          <w:rFonts w:hint="eastAsia" w:asciiTheme="minorEastAsia" w:hAnsiTheme="minorEastAsia" w:eastAsiaTheme="minorEastAsia" w:cstheme="minorEastAsia"/>
          <w:color w:val="auto"/>
          <w:szCs w:val="21"/>
          <w:highlight w:val="none"/>
          <w:lang w:val="zh-CN"/>
        </w:rPr>
      </w:pPr>
    </w:p>
    <w:p w14:paraId="16D58CFA">
      <w:pPr>
        <w:pStyle w:val="17"/>
        <w:widowControl/>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2C259785">
      <w:pPr>
        <w:pStyle w:val="17"/>
        <w:widowControl/>
        <w:numPr>
          <w:ilvl w:val="0"/>
          <w:numId w:val="56"/>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63499F03">
      <w:pPr>
        <w:pStyle w:val="17"/>
        <w:widowControl/>
        <w:numPr>
          <w:ilvl w:val="0"/>
          <w:numId w:val="56"/>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0AEF5219">
      <w:pPr>
        <w:pStyle w:val="17"/>
        <w:widowControl/>
        <w:numPr>
          <w:ilvl w:val="0"/>
          <w:numId w:val="56"/>
        </w:numPr>
        <w:ind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响应作为响应文件重要的组成部分，不应通过简单拷贝或简单标注“符合”“满足”。</w:t>
      </w:r>
    </w:p>
    <w:p w14:paraId="5E0C68D4">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DF5F8F5">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目录八、服务方案或承诺</w:t>
      </w:r>
    </w:p>
    <w:p w14:paraId="2D78D410">
      <w:pPr>
        <w:spacing w:line="240" w:lineRule="atLeast"/>
        <w:rPr>
          <w:rFonts w:hint="eastAsia" w:asciiTheme="minorEastAsia" w:hAnsiTheme="minorEastAsia" w:eastAsiaTheme="minorEastAsia" w:cstheme="minorEastAsia"/>
          <w:b/>
          <w:color w:val="auto"/>
          <w:highlight w:val="none"/>
        </w:rPr>
      </w:pPr>
    </w:p>
    <w:p w14:paraId="79A3B3D6">
      <w:pPr>
        <w:pStyle w:val="4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服务方案或承诺</w:t>
      </w:r>
    </w:p>
    <w:p w14:paraId="71E90A1A">
      <w:pPr>
        <w:spacing w:line="240" w:lineRule="atLeast"/>
        <w:rPr>
          <w:rFonts w:hint="eastAsia" w:asciiTheme="minorEastAsia" w:hAnsiTheme="minorEastAsia" w:eastAsiaTheme="minorEastAsia" w:cstheme="minorEastAsia"/>
          <w:color w:val="auto"/>
          <w:sz w:val="36"/>
          <w:szCs w:val="36"/>
          <w:highlight w:val="none"/>
          <w:lang w:val="zh-CN"/>
        </w:rPr>
      </w:pPr>
    </w:p>
    <w:p w14:paraId="6C9BFE3D">
      <w:pPr>
        <w:spacing w:line="240" w:lineRule="atLeast"/>
        <w:rPr>
          <w:rFonts w:hint="eastAsia" w:asciiTheme="minorEastAsia" w:hAnsiTheme="minorEastAsia" w:eastAsiaTheme="minorEastAsia" w:cstheme="minorEastAsia"/>
          <w:color w:val="auto"/>
          <w:sz w:val="36"/>
          <w:szCs w:val="36"/>
          <w:highlight w:val="none"/>
        </w:rPr>
      </w:pPr>
    </w:p>
    <w:p w14:paraId="7EB83630">
      <w:pPr>
        <w:spacing w:line="240" w:lineRule="atLeast"/>
        <w:rPr>
          <w:rFonts w:hint="eastAsia" w:asciiTheme="minorEastAsia" w:hAnsiTheme="minorEastAsia" w:eastAsiaTheme="minorEastAsia" w:cstheme="minorEastAsia"/>
          <w:color w:val="auto"/>
          <w:sz w:val="36"/>
          <w:szCs w:val="36"/>
          <w:highlight w:val="none"/>
        </w:rPr>
      </w:pPr>
    </w:p>
    <w:p w14:paraId="47D494C3">
      <w:pPr>
        <w:pStyle w:val="44"/>
        <w:ind w:firstLine="720"/>
        <w:rPr>
          <w:rFonts w:hint="eastAsia" w:asciiTheme="minorEastAsia" w:hAnsiTheme="minorEastAsia" w:eastAsiaTheme="minorEastAsia" w:cstheme="minorEastAsia"/>
          <w:color w:val="auto"/>
          <w:sz w:val="36"/>
          <w:szCs w:val="36"/>
          <w:highlight w:val="none"/>
        </w:rPr>
      </w:pPr>
    </w:p>
    <w:p w14:paraId="290F5EDC">
      <w:pPr>
        <w:rPr>
          <w:rFonts w:hint="eastAsia" w:asciiTheme="minorEastAsia" w:hAnsiTheme="minorEastAsia" w:eastAsiaTheme="minorEastAsia" w:cstheme="minorEastAsia"/>
          <w:color w:val="auto"/>
          <w:highlight w:val="none"/>
        </w:rPr>
      </w:pPr>
    </w:p>
    <w:p w14:paraId="4E371260">
      <w:pPr>
        <w:spacing w:line="240" w:lineRule="atLeast"/>
        <w:rPr>
          <w:rFonts w:hint="eastAsia" w:asciiTheme="minorEastAsia" w:hAnsiTheme="minorEastAsia" w:eastAsiaTheme="minorEastAsia" w:cstheme="minorEastAsia"/>
          <w:color w:val="auto"/>
          <w:sz w:val="36"/>
          <w:szCs w:val="36"/>
          <w:highlight w:val="none"/>
        </w:rPr>
      </w:pPr>
    </w:p>
    <w:p w14:paraId="3C742517">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05C9A141">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目录九、拟投入本项目人员一览表（如需）</w:t>
      </w:r>
    </w:p>
    <w:p w14:paraId="5F4319B2">
      <w:pPr>
        <w:widowControl/>
        <w:adjustRightInd w:val="0"/>
        <w:spacing w:line="440" w:lineRule="exact"/>
        <w:rPr>
          <w:rFonts w:hint="eastAsia" w:asciiTheme="minorEastAsia" w:hAnsiTheme="minorEastAsia" w:eastAsiaTheme="minorEastAsia" w:cstheme="minorEastAsia"/>
          <w:b/>
          <w:bCs/>
          <w:color w:val="auto"/>
          <w:sz w:val="24"/>
          <w:highlight w:val="none"/>
        </w:rPr>
      </w:pPr>
    </w:p>
    <w:p w14:paraId="1504857A">
      <w:pPr>
        <w:pStyle w:val="263"/>
        <w:widowControl/>
        <w:outlineLvl w:val="9"/>
        <w:rPr>
          <w:rFonts w:hint="eastAsia" w:asciiTheme="minorEastAsia" w:hAnsiTheme="minorEastAsia" w:eastAsiaTheme="minorEastAsia" w:cstheme="minorEastAsia"/>
          <w:color w:val="auto"/>
          <w:highlight w:val="none"/>
        </w:rPr>
      </w:pPr>
      <w:bookmarkStart w:id="44" w:name="_Toc32681"/>
      <w:bookmarkStart w:id="45" w:name="_Toc14092"/>
      <w:r>
        <w:rPr>
          <w:rFonts w:hint="eastAsia" w:asciiTheme="minorEastAsia" w:hAnsiTheme="minorEastAsia" w:eastAsiaTheme="minorEastAsia" w:cstheme="minorEastAsia"/>
          <w:color w:val="auto"/>
          <w:highlight w:val="none"/>
        </w:rPr>
        <w:t>拟投入本项目人员一览表</w:t>
      </w:r>
      <w:bookmarkEnd w:id="44"/>
      <w:bookmarkEnd w:id="45"/>
    </w:p>
    <w:p w14:paraId="4DA13799">
      <w:pPr>
        <w:widowControl/>
        <w:adjustRightInd w:val="0"/>
        <w:spacing w:line="440" w:lineRule="exact"/>
        <w:jc w:val="center"/>
        <w:rPr>
          <w:rFonts w:hint="eastAsia" w:asciiTheme="minorEastAsia" w:hAnsiTheme="minorEastAsia" w:eastAsiaTheme="minorEastAsia" w:cstheme="minorEastAsia"/>
          <w:b/>
          <w:bCs/>
          <w:color w:val="auto"/>
          <w:szCs w:val="21"/>
          <w:highlight w:val="none"/>
        </w:rPr>
      </w:pPr>
    </w:p>
    <w:p w14:paraId="440BC565">
      <w:pPr>
        <w:widowControl/>
        <w:adjustRightInd w:val="0"/>
        <w:spacing w:line="44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1A4606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78BDAEF">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243F58D5">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134DE3BC">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62E49AA0">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E01119D">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7578CDB8">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43781915">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17E708C4">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7FEF559F">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29A93A0C">
            <w:pPr>
              <w:widowControl/>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r>
      <w:tr w14:paraId="297AF0C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FFA7E8C">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805AFF9">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454C249">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F5ABDDE">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722DAE2">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CEA7708">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D4295EB">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989D40C">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F90791C">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96044EF">
            <w:pPr>
              <w:widowControl/>
              <w:adjustRightInd w:val="0"/>
              <w:rPr>
                <w:rFonts w:hint="eastAsia" w:asciiTheme="minorEastAsia" w:hAnsiTheme="minorEastAsia" w:eastAsiaTheme="minorEastAsia" w:cstheme="minorEastAsia"/>
                <w:color w:val="auto"/>
                <w:szCs w:val="21"/>
                <w:highlight w:val="none"/>
              </w:rPr>
            </w:pPr>
          </w:p>
        </w:tc>
      </w:tr>
      <w:tr w14:paraId="05755C6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43CFBB">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EC5FD2F">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276EAD8">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A3D58FF">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B83A29E">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AE1D35B">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CB6AE8E">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F7BCC43">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8D4BA12">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510D0D1">
            <w:pPr>
              <w:widowControl/>
              <w:adjustRightInd w:val="0"/>
              <w:rPr>
                <w:rFonts w:hint="eastAsia" w:asciiTheme="minorEastAsia" w:hAnsiTheme="minorEastAsia" w:eastAsiaTheme="minorEastAsia" w:cstheme="minorEastAsia"/>
                <w:color w:val="auto"/>
                <w:szCs w:val="21"/>
                <w:highlight w:val="none"/>
              </w:rPr>
            </w:pPr>
          </w:p>
        </w:tc>
      </w:tr>
      <w:tr w14:paraId="3C975C8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2305532">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329C7A7">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B989358">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D7B0844">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E9D2DF4">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ADF6CB9">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FD86F51">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E52EBAF">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C7CBB70">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7674E64">
            <w:pPr>
              <w:widowControl/>
              <w:adjustRightInd w:val="0"/>
              <w:rPr>
                <w:rFonts w:hint="eastAsia" w:asciiTheme="minorEastAsia" w:hAnsiTheme="minorEastAsia" w:eastAsiaTheme="minorEastAsia" w:cstheme="minorEastAsia"/>
                <w:color w:val="auto"/>
                <w:szCs w:val="21"/>
                <w:highlight w:val="none"/>
              </w:rPr>
            </w:pPr>
          </w:p>
        </w:tc>
      </w:tr>
      <w:tr w14:paraId="423A495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736848">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0479C69">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823ADD7">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14F4261">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E125D1B">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D30EB9B">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D1A1086">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B0BCDC5">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E7E213F">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8681764">
            <w:pPr>
              <w:widowControl/>
              <w:adjustRightInd w:val="0"/>
              <w:rPr>
                <w:rFonts w:hint="eastAsia" w:asciiTheme="minorEastAsia" w:hAnsiTheme="minorEastAsia" w:eastAsiaTheme="minorEastAsia" w:cstheme="minorEastAsia"/>
                <w:color w:val="auto"/>
                <w:szCs w:val="21"/>
                <w:highlight w:val="none"/>
              </w:rPr>
            </w:pPr>
          </w:p>
        </w:tc>
      </w:tr>
      <w:tr w14:paraId="2C05161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0104705">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8D52B14">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C60E750">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6C92D35">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B92A98E">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A367006">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DC4FBB8">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39CCC2D">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6BEBE48">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A9BC5CC">
            <w:pPr>
              <w:widowControl/>
              <w:adjustRightInd w:val="0"/>
              <w:rPr>
                <w:rFonts w:hint="eastAsia" w:asciiTheme="minorEastAsia" w:hAnsiTheme="minorEastAsia" w:eastAsiaTheme="minorEastAsia" w:cstheme="minorEastAsia"/>
                <w:color w:val="auto"/>
                <w:szCs w:val="21"/>
                <w:highlight w:val="none"/>
              </w:rPr>
            </w:pPr>
          </w:p>
        </w:tc>
      </w:tr>
      <w:tr w14:paraId="4899A52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AF3363">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3854076">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6E419AC">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A26CFE8">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44E025F">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6EFF6B8">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D6B27FC">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B4408C7">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7C74290">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F8E888D">
            <w:pPr>
              <w:widowControl/>
              <w:adjustRightInd w:val="0"/>
              <w:rPr>
                <w:rFonts w:hint="eastAsia" w:asciiTheme="minorEastAsia" w:hAnsiTheme="minorEastAsia" w:eastAsiaTheme="minorEastAsia" w:cstheme="minorEastAsia"/>
                <w:color w:val="auto"/>
                <w:szCs w:val="21"/>
                <w:highlight w:val="none"/>
              </w:rPr>
            </w:pPr>
          </w:p>
        </w:tc>
      </w:tr>
      <w:tr w14:paraId="235EF34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5450633">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D4B357A">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3AF34F1">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D3207C4">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7359A38">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A2C32AB">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9FDD9A6">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5725940">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D9222D5">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3F2E5DC">
            <w:pPr>
              <w:widowControl/>
              <w:adjustRightInd w:val="0"/>
              <w:rPr>
                <w:rFonts w:hint="eastAsia" w:asciiTheme="minorEastAsia" w:hAnsiTheme="minorEastAsia" w:eastAsiaTheme="minorEastAsia" w:cstheme="minorEastAsia"/>
                <w:color w:val="auto"/>
                <w:szCs w:val="21"/>
                <w:highlight w:val="none"/>
              </w:rPr>
            </w:pPr>
          </w:p>
        </w:tc>
      </w:tr>
      <w:tr w14:paraId="6141042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5677C10">
            <w:pPr>
              <w:widowControl/>
              <w:adjustRightInd w:val="0"/>
              <w:rPr>
                <w:rFonts w:hint="eastAsia"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59CF415">
            <w:pPr>
              <w:widowControl/>
              <w:adjustRightInd w:val="0"/>
              <w:rPr>
                <w:rFonts w:hint="eastAsia"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F8030D5">
            <w:pPr>
              <w:widowControl/>
              <w:adjustRightInd w:val="0"/>
              <w:rPr>
                <w:rFonts w:hint="eastAsia"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A31D360">
            <w:pPr>
              <w:widowControl/>
              <w:adjustRightInd w:val="0"/>
              <w:rPr>
                <w:rFonts w:hint="eastAsia"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78D7C11">
            <w:pPr>
              <w:widowControl/>
              <w:adjustRightInd w:val="0"/>
              <w:rPr>
                <w:rFonts w:hint="eastAsia"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39B009C">
            <w:pPr>
              <w:widowControl/>
              <w:adjustRightInd w:val="0"/>
              <w:rPr>
                <w:rFonts w:hint="eastAsia"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DE7055F">
            <w:pPr>
              <w:widowControl/>
              <w:adjustRightInd w:val="0"/>
              <w:rPr>
                <w:rFonts w:hint="eastAsia"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3198E2E">
            <w:pPr>
              <w:widowControl/>
              <w:adjustRightInd w:val="0"/>
              <w:rPr>
                <w:rFonts w:hint="eastAsia"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C73E18E">
            <w:pPr>
              <w:widowControl/>
              <w:adjustRightInd w:val="0"/>
              <w:rPr>
                <w:rFonts w:hint="eastAsia"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7CD6A1F">
            <w:pPr>
              <w:widowControl/>
              <w:adjustRightInd w:val="0"/>
              <w:rPr>
                <w:rFonts w:hint="eastAsia" w:asciiTheme="minorEastAsia" w:hAnsiTheme="minorEastAsia" w:eastAsiaTheme="minorEastAsia" w:cstheme="minorEastAsia"/>
                <w:color w:val="auto"/>
                <w:szCs w:val="21"/>
                <w:highlight w:val="none"/>
              </w:rPr>
            </w:pPr>
          </w:p>
        </w:tc>
      </w:tr>
    </w:tbl>
    <w:p w14:paraId="31708FFF">
      <w:pPr>
        <w:widowControl/>
        <w:adjustRightInd w:val="0"/>
        <w:spacing w:line="440" w:lineRule="exact"/>
        <w:rPr>
          <w:rFonts w:hint="eastAsia"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供应商名称：</w:t>
      </w:r>
      <w:r>
        <w:rPr>
          <w:rFonts w:hint="eastAsia" w:asciiTheme="minorEastAsia" w:hAnsiTheme="minorEastAsia" w:eastAsiaTheme="minorEastAsia" w:cstheme="minorEastAsia"/>
          <w:color w:val="auto"/>
          <w:sz w:val="24"/>
          <w:szCs w:val="21"/>
          <w:highlight w:val="none"/>
          <w:u w:val="single"/>
        </w:rPr>
        <w:t>                  </w:t>
      </w:r>
      <w:r>
        <w:rPr>
          <w:rFonts w:hint="eastAsia" w:asciiTheme="minorEastAsia" w:hAnsiTheme="minorEastAsia" w:eastAsiaTheme="minorEastAsia" w:cstheme="minorEastAsia"/>
          <w:color w:val="auto"/>
          <w:sz w:val="24"/>
          <w:szCs w:val="21"/>
          <w:highlight w:val="none"/>
        </w:rPr>
        <w:t>（公章）</w:t>
      </w:r>
    </w:p>
    <w:p w14:paraId="22DDEE3B">
      <w:pPr>
        <w:pStyle w:val="22"/>
        <w:rPr>
          <w:rFonts w:hint="eastAsia" w:asciiTheme="minorEastAsia" w:hAnsiTheme="minorEastAsia" w:eastAsiaTheme="minorEastAsia" w:cstheme="minorEastAsia"/>
          <w:color w:val="auto"/>
          <w:szCs w:val="21"/>
          <w:highlight w:val="none"/>
        </w:rPr>
      </w:pPr>
    </w:p>
    <w:p w14:paraId="07EABAE5">
      <w:pPr>
        <w:pStyle w:val="17"/>
        <w:widowControl/>
        <w:ind w:firstLine="482"/>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说明：如果行数不够，请自行增加。</w:t>
      </w:r>
    </w:p>
    <w:p w14:paraId="0B753C01">
      <w:pPr>
        <w:spacing w:line="240" w:lineRule="atLeast"/>
        <w:rPr>
          <w:rFonts w:hint="eastAsia" w:asciiTheme="minorEastAsia" w:hAnsiTheme="minorEastAsia" w:eastAsiaTheme="minorEastAsia" w:cstheme="minorEastAsia"/>
          <w:b/>
          <w:color w:val="auto"/>
          <w:highlight w:val="none"/>
        </w:rPr>
      </w:pPr>
    </w:p>
    <w:p w14:paraId="71B75CB5">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8902B46">
      <w:pPr>
        <w:pStyle w:val="26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目录十、响应需要的其他证明文件及材料</w:t>
      </w:r>
    </w:p>
    <w:p w14:paraId="4EFF2BC4">
      <w:pPr>
        <w:spacing w:line="240" w:lineRule="atLeast"/>
        <w:rPr>
          <w:rFonts w:hint="eastAsia" w:asciiTheme="minorEastAsia" w:hAnsiTheme="minorEastAsia" w:eastAsiaTheme="minorEastAsia" w:cstheme="minorEastAsia"/>
          <w:b/>
          <w:color w:val="auto"/>
          <w:highlight w:val="none"/>
        </w:rPr>
      </w:pPr>
    </w:p>
    <w:p w14:paraId="7E480C7D">
      <w:pPr>
        <w:spacing w:line="240" w:lineRule="atLeast"/>
        <w:rPr>
          <w:rFonts w:hint="eastAsia" w:asciiTheme="minorEastAsia" w:hAnsiTheme="minorEastAsia" w:eastAsiaTheme="minorEastAsia" w:cstheme="minorEastAsia"/>
          <w:b/>
          <w:color w:val="auto"/>
          <w:highlight w:val="none"/>
        </w:rPr>
      </w:pPr>
    </w:p>
    <w:p w14:paraId="460C22CE">
      <w:pPr>
        <w:pStyle w:val="265"/>
        <w:outlineLvl w:val="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响应需要的其他证明文件及材料（若有）</w:t>
      </w:r>
    </w:p>
    <w:p w14:paraId="3BF4369F">
      <w:pPr>
        <w:adjustRightInd w:val="0"/>
        <w:spacing w:line="360" w:lineRule="auto"/>
        <w:ind w:firstLine="6480" w:firstLineChars="2700"/>
        <w:rPr>
          <w:rFonts w:ascii="Times New Roman" w:hAnsi="Times New Roman"/>
          <w:color w:val="auto"/>
          <w:sz w:val="24"/>
          <w:highlight w:val="none"/>
        </w:rPr>
      </w:pPr>
    </w:p>
    <w:p w14:paraId="3592DE95">
      <w:pPr>
        <w:adjustRightInd w:val="0"/>
        <w:spacing w:line="360" w:lineRule="auto"/>
        <w:ind w:firstLine="6480" w:firstLineChars="2700"/>
        <w:rPr>
          <w:rFonts w:ascii="Times New Roman" w:hAnsi="Times New Roman"/>
          <w:color w:val="auto"/>
          <w:sz w:val="24"/>
          <w:highlight w:val="none"/>
        </w:rPr>
      </w:pPr>
    </w:p>
    <w:p w14:paraId="1A16F780">
      <w:pPr>
        <w:adjustRightInd w:val="0"/>
        <w:spacing w:line="360" w:lineRule="auto"/>
        <w:ind w:firstLine="6480" w:firstLineChars="2700"/>
        <w:rPr>
          <w:rFonts w:ascii="Times New Roman" w:hAnsi="Times New Roman"/>
          <w:color w:val="auto"/>
          <w:sz w:val="24"/>
          <w:highlight w:val="none"/>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B5D4E">
    <w:pPr>
      <w:pStyle w:val="28"/>
      <w:jc w:val="center"/>
    </w:pPr>
  </w:p>
  <w:p w14:paraId="4CC7495C">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C09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397EA82">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397EA82">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EBC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4">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5">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6">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7">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8">
    <w:nsid w:val="318533B0"/>
    <w:multiLevelType w:val="singleLevel"/>
    <w:tmpl w:val="318533B0"/>
    <w:lvl w:ilvl="0" w:tentative="0">
      <w:start w:val="4"/>
      <w:numFmt w:val="chineseCounting"/>
      <w:suff w:val="space"/>
      <w:lvlText w:val="第%1章"/>
      <w:lvlJc w:val="left"/>
      <w:rPr>
        <w:rFonts w:hint="eastAsia"/>
      </w:rPr>
    </w:lvl>
  </w:abstractNum>
  <w:abstractNum w:abstractNumId="39">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0">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1">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2">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3">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4">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5">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1"/>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7">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8">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9">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0">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1">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2">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3">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4">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5">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5"/>
  </w:num>
  <w:num w:numId="2">
    <w:abstractNumId w:val="12"/>
  </w:num>
  <w:num w:numId="3">
    <w:abstractNumId w:val="35"/>
  </w:num>
  <w:num w:numId="4">
    <w:abstractNumId w:val="54"/>
  </w:num>
  <w:num w:numId="5">
    <w:abstractNumId w:val="51"/>
  </w:num>
  <w:num w:numId="6">
    <w:abstractNumId w:val="31"/>
  </w:num>
  <w:num w:numId="7">
    <w:abstractNumId w:val="19"/>
  </w:num>
  <w:num w:numId="8">
    <w:abstractNumId w:val="41"/>
  </w:num>
  <w:num w:numId="9">
    <w:abstractNumId w:val="37"/>
  </w:num>
  <w:num w:numId="10">
    <w:abstractNumId w:val="8"/>
  </w:num>
  <w:num w:numId="11">
    <w:abstractNumId w:val="15"/>
  </w:num>
  <w:num w:numId="12">
    <w:abstractNumId w:val="44"/>
  </w:num>
  <w:num w:numId="13">
    <w:abstractNumId w:val="55"/>
  </w:num>
  <w:num w:numId="14">
    <w:abstractNumId w:val="11"/>
  </w:num>
  <w:num w:numId="15">
    <w:abstractNumId w:val="52"/>
  </w:num>
  <w:num w:numId="16">
    <w:abstractNumId w:val="36"/>
  </w:num>
  <w:num w:numId="17">
    <w:abstractNumId w:val="50"/>
  </w:num>
  <w:num w:numId="18">
    <w:abstractNumId w:val="39"/>
  </w:num>
  <w:num w:numId="19">
    <w:abstractNumId w:val="30"/>
  </w:num>
  <w:num w:numId="20">
    <w:abstractNumId w:val="34"/>
  </w:num>
  <w:num w:numId="21">
    <w:abstractNumId w:val="13"/>
  </w:num>
  <w:num w:numId="22">
    <w:abstractNumId w:val="23"/>
  </w:num>
  <w:num w:numId="23">
    <w:abstractNumId w:val="29"/>
  </w:num>
  <w:num w:numId="24">
    <w:abstractNumId w:val="42"/>
  </w:num>
  <w:num w:numId="25">
    <w:abstractNumId w:val="25"/>
  </w:num>
  <w:num w:numId="26">
    <w:abstractNumId w:val="6"/>
  </w:num>
  <w:num w:numId="27">
    <w:abstractNumId w:val="43"/>
  </w:num>
  <w:num w:numId="28">
    <w:abstractNumId w:val="14"/>
  </w:num>
  <w:num w:numId="29">
    <w:abstractNumId w:val="2"/>
  </w:num>
  <w:num w:numId="30">
    <w:abstractNumId w:val="46"/>
  </w:num>
  <w:num w:numId="31">
    <w:abstractNumId w:val="40"/>
  </w:num>
  <w:num w:numId="32">
    <w:abstractNumId w:val="32"/>
  </w:num>
  <w:num w:numId="33">
    <w:abstractNumId w:val="7"/>
  </w:num>
  <w:num w:numId="34">
    <w:abstractNumId w:val="33"/>
  </w:num>
  <w:num w:numId="35">
    <w:abstractNumId w:val="48"/>
  </w:num>
  <w:num w:numId="36">
    <w:abstractNumId w:val="47"/>
  </w:num>
  <w:num w:numId="37">
    <w:abstractNumId w:val="3"/>
  </w:num>
  <w:num w:numId="38">
    <w:abstractNumId w:val="26"/>
  </w:num>
  <w:num w:numId="39">
    <w:abstractNumId w:val="49"/>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3"/>
  </w:num>
  <w:num w:numId="49">
    <w:abstractNumId w:val="18"/>
  </w:num>
  <w:num w:numId="50">
    <w:abstractNumId w:val="21"/>
  </w:num>
  <w:num w:numId="51">
    <w:abstractNumId w:val="1"/>
  </w:num>
  <w:num w:numId="52">
    <w:abstractNumId w:val="5"/>
  </w:num>
  <w:num w:numId="53">
    <w:abstractNumId w:val="38"/>
  </w:num>
  <w:num w:numId="54">
    <w:abstractNumId w:val="0"/>
  </w:num>
  <w:num w:numId="55">
    <w:abstractNumId w:val="28"/>
  </w:num>
  <w:num w:numId="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0E8A"/>
    <w:rsid w:val="0000641F"/>
    <w:rsid w:val="00010550"/>
    <w:rsid w:val="000114EC"/>
    <w:rsid w:val="00032AFC"/>
    <w:rsid w:val="00036EC8"/>
    <w:rsid w:val="00040AF9"/>
    <w:rsid w:val="00055B15"/>
    <w:rsid w:val="000603A8"/>
    <w:rsid w:val="00072371"/>
    <w:rsid w:val="00077B10"/>
    <w:rsid w:val="0008213F"/>
    <w:rsid w:val="000A3089"/>
    <w:rsid w:val="000A5DE6"/>
    <w:rsid w:val="000A61ED"/>
    <w:rsid w:val="000A6973"/>
    <w:rsid w:val="000C4F86"/>
    <w:rsid w:val="000E0C2D"/>
    <w:rsid w:val="000F5611"/>
    <w:rsid w:val="00120A4B"/>
    <w:rsid w:val="001261D1"/>
    <w:rsid w:val="00141BEC"/>
    <w:rsid w:val="0015270E"/>
    <w:rsid w:val="001607E5"/>
    <w:rsid w:val="001646F3"/>
    <w:rsid w:val="00165164"/>
    <w:rsid w:val="00193608"/>
    <w:rsid w:val="00195606"/>
    <w:rsid w:val="001A6483"/>
    <w:rsid w:val="001B4835"/>
    <w:rsid w:val="001D0594"/>
    <w:rsid w:val="001D7CE8"/>
    <w:rsid w:val="001E1C4B"/>
    <w:rsid w:val="001E28D6"/>
    <w:rsid w:val="001E521A"/>
    <w:rsid w:val="001F33B6"/>
    <w:rsid w:val="001F355D"/>
    <w:rsid w:val="00203B11"/>
    <w:rsid w:val="0021068C"/>
    <w:rsid w:val="00210AEA"/>
    <w:rsid w:val="002213ED"/>
    <w:rsid w:val="00221EF9"/>
    <w:rsid w:val="00222A23"/>
    <w:rsid w:val="00223DF3"/>
    <w:rsid w:val="002302C2"/>
    <w:rsid w:val="00234822"/>
    <w:rsid w:val="002469C2"/>
    <w:rsid w:val="00252218"/>
    <w:rsid w:val="00253E4C"/>
    <w:rsid w:val="002638E1"/>
    <w:rsid w:val="0026714F"/>
    <w:rsid w:val="00270DD7"/>
    <w:rsid w:val="00271038"/>
    <w:rsid w:val="00284A70"/>
    <w:rsid w:val="002A2707"/>
    <w:rsid w:val="002A3A54"/>
    <w:rsid w:val="002C2115"/>
    <w:rsid w:val="002D20E2"/>
    <w:rsid w:val="002D223F"/>
    <w:rsid w:val="002D6BFF"/>
    <w:rsid w:val="002D7D8E"/>
    <w:rsid w:val="002E05B3"/>
    <w:rsid w:val="002F2FEE"/>
    <w:rsid w:val="00300310"/>
    <w:rsid w:val="0030132B"/>
    <w:rsid w:val="00301983"/>
    <w:rsid w:val="00302C68"/>
    <w:rsid w:val="003037B2"/>
    <w:rsid w:val="0030478B"/>
    <w:rsid w:val="00307A95"/>
    <w:rsid w:val="0031316D"/>
    <w:rsid w:val="00313589"/>
    <w:rsid w:val="00315033"/>
    <w:rsid w:val="003269B7"/>
    <w:rsid w:val="003345C0"/>
    <w:rsid w:val="00337CC0"/>
    <w:rsid w:val="00341E4E"/>
    <w:rsid w:val="00346C93"/>
    <w:rsid w:val="003567D1"/>
    <w:rsid w:val="00361D2E"/>
    <w:rsid w:val="003828B5"/>
    <w:rsid w:val="00382B0A"/>
    <w:rsid w:val="00386501"/>
    <w:rsid w:val="00386D1C"/>
    <w:rsid w:val="0039013E"/>
    <w:rsid w:val="00395A8A"/>
    <w:rsid w:val="003A766D"/>
    <w:rsid w:val="003B7A90"/>
    <w:rsid w:val="003C0333"/>
    <w:rsid w:val="003D0883"/>
    <w:rsid w:val="003D2072"/>
    <w:rsid w:val="003D59C2"/>
    <w:rsid w:val="0040250A"/>
    <w:rsid w:val="00411A2A"/>
    <w:rsid w:val="00421CCE"/>
    <w:rsid w:val="00422D79"/>
    <w:rsid w:val="00423B77"/>
    <w:rsid w:val="00447F41"/>
    <w:rsid w:val="004526E8"/>
    <w:rsid w:val="00454CEC"/>
    <w:rsid w:val="00464986"/>
    <w:rsid w:val="00465C30"/>
    <w:rsid w:val="00484E24"/>
    <w:rsid w:val="004964F6"/>
    <w:rsid w:val="004A5AF1"/>
    <w:rsid w:val="004A68BE"/>
    <w:rsid w:val="004B035C"/>
    <w:rsid w:val="004B4FB8"/>
    <w:rsid w:val="004B6B53"/>
    <w:rsid w:val="004E4EF1"/>
    <w:rsid w:val="004E7292"/>
    <w:rsid w:val="004E7ABF"/>
    <w:rsid w:val="004F11AB"/>
    <w:rsid w:val="004F692A"/>
    <w:rsid w:val="005114F3"/>
    <w:rsid w:val="00517634"/>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12C28"/>
    <w:rsid w:val="00636A37"/>
    <w:rsid w:val="0064295D"/>
    <w:rsid w:val="0066226D"/>
    <w:rsid w:val="00662F68"/>
    <w:rsid w:val="00667126"/>
    <w:rsid w:val="00680EDD"/>
    <w:rsid w:val="006A66A9"/>
    <w:rsid w:val="006C4F85"/>
    <w:rsid w:val="006D41A7"/>
    <w:rsid w:val="006D79F2"/>
    <w:rsid w:val="006D7E45"/>
    <w:rsid w:val="006E0DF4"/>
    <w:rsid w:val="006E17B7"/>
    <w:rsid w:val="006E4E08"/>
    <w:rsid w:val="006F395E"/>
    <w:rsid w:val="0070603D"/>
    <w:rsid w:val="00706369"/>
    <w:rsid w:val="00710EF7"/>
    <w:rsid w:val="0073289E"/>
    <w:rsid w:val="00733BB1"/>
    <w:rsid w:val="00736626"/>
    <w:rsid w:val="00745D46"/>
    <w:rsid w:val="007478EA"/>
    <w:rsid w:val="00751351"/>
    <w:rsid w:val="007530ED"/>
    <w:rsid w:val="00764880"/>
    <w:rsid w:val="0076676B"/>
    <w:rsid w:val="007862B4"/>
    <w:rsid w:val="00794443"/>
    <w:rsid w:val="00794A1C"/>
    <w:rsid w:val="00794F67"/>
    <w:rsid w:val="007A1BC7"/>
    <w:rsid w:val="007A3470"/>
    <w:rsid w:val="007A76D2"/>
    <w:rsid w:val="007A7E6B"/>
    <w:rsid w:val="007B3277"/>
    <w:rsid w:val="007B7E2B"/>
    <w:rsid w:val="007C104D"/>
    <w:rsid w:val="007C7C89"/>
    <w:rsid w:val="007C7E0C"/>
    <w:rsid w:val="007E0FFC"/>
    <w:rsid w:val="007E3C98"/>
    <w:rsid w:val="00800E84"/>
    <w:rsid w:val="00811AD2"/>
    <w:rsid w:val="00811F09"/>
    <w:rsid w:val="00813CC4"/>
    <w:rsid w:val="00815199"/>
    <w:rsid w:val="00817EDB"/>
    <w:rsid w:val="00830D14"/>
    <w:rsid w:val="00831BEC"/>
    <w:rsid w:val="0084180E"/>
    <w:rsid w:val="00842C4C"/>
    <w:rsid w:val="008537FF"/>
    <w:rsid w:val="00857996"/>
    <w:rsid w:val="008600B1"/>
    <w:rsid w:val="00871637"/>
    <w:rsid w:val="008750CF"/>
    <w:rsid w:val="0088428D"/>
    <w:rsid w:val="008A3D74"/>
    <w:rsid w:val="008B191D"/>
    <w:rsid w:val="008B57CF"/>
    <w:rsid w:val="008C5D36"/>
    <w:rsid w:val="008E14D6"/>
    <w:rsid w:val="008E7262"/>
    <w:rsid w:val="008F157A"/>
    <w:rsid w:val="00903A81"/>
    <w:rsid w:val="00921E54"/>
    <w:rsid w:val="009274FC"/>
    <w:rsid w:val="009318AC"/>
    <w:rsid w:val="00931F61"/>
    <w:rsid w:val="009378E7"/>
    <w:rsid w:val="009408C8"/>
    <w:rsid w:val="009465DD"/>
    <w:rsid w:val="009479A2"/>
    <w:rsid w:val="00973A28"/>
    <w:rsid w:val="009936D4"/>
    <w:rsid w:val="00995C0F"/>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46DD7"/>
    <w:rsid w:val="00A5032B"/>
    <w:rsid w:val="00A53229"/>
    <w:rsid w:val="00A628B2"/>
    <w:rsid w:val="00A62B46"/>
    <w:rsid w:val="00A67E2D"/>
    <w:rsid w:val="00A80CEF"/>
    <w:rsid w:val="00A84602"/>
    <w:rsid w:val="00A9334D"/>
    <w:rsid w:val="00AA3CA0"/>
    <w:rsid w:val="00AA5EE7"/>
    <w:rsid w:val="00AB09D4"/>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5555"/>
    <w:rsid w:val="00B57769"/>
    <w:rsid w:val="00B57FFC"/>
    <w:rsid w:val="00B61499"/>
    <w:rsid w:val="00B73193"/>
    <w:rsid w:val="00B733C1"/>
    <w:rsid w:val="00B817F0"/>
    <w:rsid w:val="00B90853"/>
    <w:rsid w:val="00B96B3B"/>
    <w:rsid w:val="00B97D58"/>
    <w:rsid w:val="00BA1051"/>
    <w:rsid w:val="00BA6126"/>
    <w:rsid w:val="00BA76DF"/>
    <w:rsid w:val="00BC2AE1"/>
    <w:rsid w:val="00BD5626"/>
    <w:rsid w:val="00BE2A0F"/>
    <w:rsid w:val="00C055FA"/>
    <w:rsid w:val="00C30720"/>
    <w:rsid w:val="00C34208"/>
    <w:rsid w:val="00C377BA"/>
    <w:rsid w:val="00C674FF"/>
    <w:rsid w:val="00C71674"/>
    <w:rsid w:val="00C71F96"/>
    <w:rsid w:val="00C752D4"/>
    <w:rsid w:val="00C9393E"/>
    <w:rsid w:val="00CB189B"/>
    <w:rsid w:val="00CC1675"/>
    <w:rsid w:val="00CC25B4"/>
    <w:rsid w:val="00CD3F49"/>
    <w:rsid w:val="00CD635D"/>
    <w:rsid w:val="00CF13FB"/>
    <w:rsid w:val="00CF1F50"/>
    <w:rsid w:val="00CF4447"/>
    <w:rsid w:val="00CF4A40"/>
    <w:rsid w:val="00D076F3"/>
    <w:rsid w:val="00D151C1"/>
    <w:rsid w:val="00D223FB"/>
    <w:rsid w:val="00D22F68"/>
    <w:rsid w:val="00D242FD"/>
    <w:rsid w:val="00D42DE8"/>
    <w:rsid w:val="00D47A7B"/>
    <w:rsid w:val="00D55695"/>
    <w:rsid w:val="00D57579"/>
    <w:rsid w:val="00D62C19"/>
    <w:rsid w:val="00D66458"/>
    <w:rsid w:val="00D7063B"/>
    <w:rsid w:val="00D73674"/>
    <w:rsid w:val="00D82857"/>
    <w:rsid w:val="00D9034A"/>
    <w:rsid w:val="00D940AE"/>
    <w:rsid w:val="00D97143"/>
    <w:rsid w:val="00DA1657"/>
    <w:rsid w:val="00DB0A08"/>
    <w:rsid w:val="00DB2D58"/>
    <w:rsid w:val="00DC6097"/>
    <w:rsid w:val="00E007CD"/>
    <w:rsid w:val="00E00FE0"/>
    <w:rsid w:val="00E067E2"/>
    <w:rsid w:val="00E14F6D"/>
    <w:rsid w:val="00E15200"/>
    <w:rsid w:val="00E16617"/>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B7409"/>
    <w:rsid w:val="00ED420B"/>
    <w:rsid w:val="00ED4B05"/>
    <w:rsid w:val="00ED5683"/>
    <w:rsid w:val="00EF2007"/>
    <w:rsid w:val="00F01B1A"/>
    <w:rsid w:val="00F05CD2"/>
    <w:rsid w:val="00F1154C"/>
    <w:rsid w:val="00F14CAE"/>
    <w:rsid w:val="00F17DC1"/>
    <w:rsid w:val="00F22C8D"/>
    <w:rsid w:val="00F31F12"/>
    <w:rsid w:val="00F33ACF"/>
    <w:rsid w:val="00F364E1"/>
    <w:rsid w:val="00F37D84"/>
    <w:rsid w:val="00F410CF"/>
    <w:rsid w:val="00F57FD6"/>
    <w:rsid w:val="00F6031B"/>
    <w:rsid w:val="00F675BD"/>
    <w:rsid w:val="00FA066C"/>
    <w:rsid w:val="00FA08FD"/>
    <w:rsid w:val="00FD12B6"/>
    <w:rsid w:val="00FD3539"/>
    <w:rsid w:val="00FD36EC"/>
    <w:rsid w:val="00FF3C15"/>
    <w:rsid w:val="00FF70FB"/>
    <w:rsid w:val="00FF7ADF"/>
    <w:rsid w:val="012B64AF"/>
    <w:rsid w:val="01933E55"/>
    <w:rsid w:val="01BF6469"/>
    <w:rsid w:val="027C6AB9"/>
    <w:rsid w:val="02DF21EF"/>
    <w:rsid w:val="045046FF"/>
    <w:rsid w:val="047F24B6"/>
    <w:rsid w:val="04CB1ABD"/>
    <w:rsid w:val="05254DE4"/>
    <w:rsid w:val="057069E3"/>
    <w:rsid w:val="05CB3586"/>
    <w:rsid w:val="060D10D2"/>
    <w:rsid w:val="066C72D7"/>
    <w:rsid w:val="07EF7321"/>
    <w:rsid w:val="08823813"/>
    <w:rsid w:val="08A40BE4"/>
    <w:rsid w:val="08B07D72"/>
    <w:rsid w:val="091D123B"/>
    <w:rsid w:val="096B4234"/>
    <w:rsid w:val="098053F7"/>
    <w:rsid w:val="09865C52"/>
    <w:rsid w:val="0A1318AA"/>
    <w:rsid w:val="0A1554BB"/>
    <w:rsid w:val="0A170B9C"/>
    <w:rsid w:val="0A1D4625"/>
    <w:rsid w:val="0B0D419A"/>
    <w:rsid w:val="0BAA1044"/>
    <w:rsid w:val="0C06116B"/>
    <w:rsid w:val="0C173AEA"/>
    <w:rsid w:val="0C9534E4"/>
    <w:rsid w:val="0D4B59D5"/>
    <w:rsid w:val="0DC64FDA"/>
    <w:rsid w:val="0E5626EA"/>
    <w:rsid w:val="0EFA6269"/>
    <w:rsid w:val="0FE50224"/>
    <w:rsid w:val="1101240C"/>
    <w:rsid w:val="119D6FA6"/>
    <w:rsid w:val="11ED31A7"/>
    <w:rsid w:val="124A36D5"/>
    <w:rsid w:val="12721277"/>
    <w:rsid w:val="12A83E03"/>
    <w:rsid w:val="12B979DD"/>
    <w:rsid w:val="130726B9"/>
    <w:rsid w:val="134358DA"/>
    <w:rsid w:val="1345230E"/>
    <w:rsid w:val="13B8520A"/>
    <w:rsid w:val="15B33C35"/>
    <w:rsid w:val="160A26DF"/>
    <w:rsid w:val="17163A31"/>
    <w:rsid w:val="1720639D"/>
    <w:rsid w:val="177B5642"/>
    <w:rsid w:val="17CF321F"/>
    <w:rsid w:val="18056F1E"/>
    <w:rsid w:val="18824714"/>
    <w:rsid w:val="18AE6841"/>
    <w:rsid w:val="18E611E1"/>
    <w:rsid w:val="19063631"/>
    <w:rsid w:val="1906480F"/>
    <w:rsid w:val="193A3387"/>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CBF6038"/>
    <w:rsid w:val="1D2422D8"/>
    <w:rsid w:val="1D7F5DED"/>
    <w:rsid w:val="1D88230D"/>
    <w:rsid w:val="1E036392"/>
    <w:rsid w:val="1EF63F47"/>
    <w:rsid w:val="1F951903"/>
    <w:rsid w:val="200636BC"/>
    <w:rsid w:val="207E43F5"/>
    <w:rsid w:val="209D7852"/>
    <w:rsid w:val="20C067BC"/>
    <w:rsid w:val="21AF7EF2"/>
    <w:rsid w:val="21C30CB0"/>
    <w:rsid w:val="21D104C4"/>
    <w:rsid w:val="21E6112F"/>
    <w:rsid w:val="22017635"/>
    <w:rsid w:val="222334A6"/>
    <w:rsid w:val="22367339"/>
    <w:rsid w:val="229D231D"/>
    <w:rsid w:val="23325476"/>
    <w:rsid w:val="235E3DED"/>
    <w:rsid w:val="241E2177"/>
    <w:rsid w:val="2445396E"/>
    <w:rsid w:val="247D6DFF"/>
    <w:rsid w:val="2557368E"/>
    <w:rsid w:val="25643BBA"/>
    <w:rsid w:val="25FE6C33"/>
    <w:rsid w:val="26203303"/>
    <w:rsid w:val="26B03760"/>
    <w:rsid w:val="27DE4458"/>
    <w:rsid w:val="27E9484A"/>
    <w:rsid w:val="283F5126"/>
    <w:rsid w:val="28920A3E"/>
    <w:rsid w:val="28B55285"/>
    <w:rsid w:val="291B6C85"/>
    <w:rsid w:val="293B10D5"/>
    <w:rsid w:val="29945580"/>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C39D8"/>
    <w:rsid w:val="2EED10C4"/>
    <w:rsid w:val="2F057E2F"/>
    <w:rsid w:val="2F3321FA"/>
    <w:rsid w:val="2F544C9F"/>
    <w:rsid w:val="2F751905"/>
    <w:rsid w:val="2FFB046F"/>
    <w:rsid w:val="303248A1"/>
    <w:rsid w:val="304B06CD"/>
    <w:rsid w:val="305A25CD"/>
    <w:rsid w:val="30AD0B0B"/>
    <w:rsid w:val="30B8216E"/>
    <w:rsid w:val="30D56E57"/>
    <w:rsid w:val="31B00187"/>
    <w:rsid w:val="31FC517A"/>
    <w:rsid w:val="32A154F2"/>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C64260"/>
    <w:rsid w:val="37FA7A6D"/>
    <w:rsid w:val="38496D6C"/>
    <w:rsid w:val="388D1222"/>
    <w:rsid w:val="3892621E"/>
    <w:rsid w:val="38B663C8"/>
    <w:rsid w:val="38C904AC"/>
    <w:rsid w:val="38CA2129"/>
    <w:rsid w:val="38E05B90"/>
    <w:rsid w:val="39AB642D"/>
    <w:rsid w:val="3A744447"/>
    <w:rsid w:val="3AA30888"/>
    <w:rsid w:val="3ADD5E57"/>
    <w:rsid w:val="3AFB3576"/>
    <w:rsid w:val="3B630DC9"/>
    <w:rsid w:val="3BC44F5A"/>
    <w:rsid w:val="3BD74CEB"/>
    <w:rsid w:val="3BED091B"/>
    <w:rsid w:val="3C60699C"/>
    <w:rsid w:val="3CC67D4C"/>
    <w:rsid w:val="3CF60458"/>
    <w:rsid w:val="3D042809"/>
    <w:rsid w:val="3E8743FE"/>
    <w:rsid w:val="3F992808"/>
    <w:rsid w:val="3FB83028"/>
    <w:rsid w:val="3FBE048B"/>
    <w:rsid w:val="3FEB6F5A"/>
    <w:rsid w:val="4067627C"/>
    <w:rsid w:val="409265EE"/>
    <w:rsid w:val="415218E2"/>
    <w:rsid w:val="41C9151C"/>
    <w:rsid w:val="41F221ED"/>
    <w:rsid w:val="426C6139"/>
    <w:rsid w:val="431C742A"/>
    <w:rsid w:val="444F53BD"/>
    <w:rsid w:val="44737C99"/>
    <w:rsid w:val="44ED5664"/>
    <w:rsid w:val="44F364BA"/>
    <w:rsid w:val="45502D72"/>
    <w:rsid w:val="456A6701"/>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4D137B"/>
    <w:rsid w:val="535029F5"/>
    <w:rsid w:val="536F0303"/>
    <w:rsid w:val="53C15FC4"/>
    <w:rsid w:val="5402266C"/>
    <w:rsid w:val="543842E0"/>
    <w:rsid w:val="54803E83"/>
    <w:rsid w:val="54A67309"/>
    <w:rsid w:val="563228AA"/>
    <w:rsid w:val="563B3C13"/>
    <w:rsid w:val="56C43C09"/>
    <w:rsid w:val="56EA18C1"/>
    <w:rsid w:val="57106FCA"/>
    <w:rsid w:val="57A23F4A"/>
    <w:rsid w:val="57A46D66"/>
    <w:rsid w:val="57B42F13"/>
    <w:rsid w:val="58070251"/>
    <w:rsid w:val="584C2108"/>
    <w:rsid w:val="58827087"/>
    <w:rsid w:val="58F5454D"/>
    <w:rsid w:val="592D018B"/>
    <w:rsid w:val="5A253D2B"/>
    <w:rsid w:val="5A7B154E"/>
    <w:rsid w:val="5B7F1DF1"/>
    <w:rsid w:val="5BCF7320"/>
    <w:rsid w:val="5BDE1EE0"/>
    <w:rsid w:val="5BF4276A"/>
    <w:rsid w:val="5C292E8C"/>
    <w:rsid w:val="5C6F779B"/>
    <w:rsid w:val="5CA761D1"/>
    <w:rsid w:val="5CD2438D"/>
    <w:rsid w:val="5CFF31EA"/>
    <w:rsid w:val="5D24191A"/>
    <w:rsid w:val="5DB91881"/>
    <w:rsid w:val="5DC559D7"/>
    <w:rsid w:val="5E007347"/>
    <w:rsid w:val="5E0D441C"/>
    <w:rsid w:val="5E394EDC"/>
    <w:rsid w:val="5E4F64AE"/>
    <w:rsid w:val="5E6466ED"/>
    <w:rsid w:val="5E954808"/>
    <w:rsid w:val="5EB84053"/>
    <w:rsid w:val="5EC92704"/>
    <w:rsid w:val="5F4C3A48"/>
    <w:rsid w:val="5F6635FC"/>
    <w:rsid w:val="605303A5"/>
    <w:rsid w:val="60687CFB"/>
    <w:rsid w:val="611055E4"/>
    <w:rsid w:val="61614E76"/>
    <w:rsid w:val="61AF6E5A"/>
    <w:rsid w:val="62451DF4"/>
    <w:rsid w:val="62A019CE"/>
    <w:rsid w:val="63F024E1"/>
    <w:rsid w:val="64276A3B"/>
    <w:rsid w:val="6497136C"/>
    <w:rsid w:val="64C45DE1"/>
    <w:rsid w:val="64D03589"/>
    <w:rsid w:val="65420B1A"/>
    <w:rsid w:val="65817895"/>
    <w:rsid w:val="66F70509"/>
    <w:rsid w:val="671F556E"/>
    <w:rsid w:val="67E27EFB"/>
    <w:rsid w:val="67E934CF"/>
    <w:rsid w:val="686F7E78"/>
    <w:rsid w:val="69154ABB"/>
    <w:rsid w:val="6A040A94"/>
    <w:rsid w:val="6A31115D"/>
    <w:rsid w:val="6A927A03"/>
    <w:rsid w:val="6AF503DD"/>
    <w:rsid w:val="6B603B25"/>
    <w:rsid w:val="6B7457A6"/>
    <w:rsid w:val="6C863145"/>
    <w:rsid w:val="6D0244F4"/>
    <w:rsid w:val="6E2D0DB9"/>
    <w:rsid w:val="6F0A08FB"/>
    <w:rsid w:val="6F7A7103"/>
    <w:rsid w:val="6FB70357"/>
    <w:rsid w:val="6FDC61FC"/>
    <w:rsid w:val="7009478C"/>
    <w:rsid w:val="70813A4D"/>
    <w:rsid w:val="70A703CB"/>
    <w:rsid w:val="70E33C39"/>
    <w:rsid w:val="71762596"/>
    <w:rsid w:val="72624905"/>
    <w:rsid w:val="728C28C5"/>
    <w:rsid w:val="7314634F"/>
    <w:rsid w:val="7371347D"/>
    <w:rsid w:val="74377FAF"/>
    <w:rsid w:val="74547A54"/>
    <w:rsid w:val="74591FEB"/>
    <w:rsid w:val="748B4BCA"/>
    <w:rsid w:val="74CF1C9F"/>
    <w:rsid w:val="74E00EDF"/>
    <w:rsid w:val="757C1E26"/>
    <w:rsid w:val="75CF430F"/>
    <w:rsid w:val="75EF25F8"/>
    <w:rsid w:val="75F2239C"/>
    <w:rsid w:val="76373B19"/>
    <w:rsid w:val="76BD44A5"/>
    <w:rsid w:val="77456248"/>
    <w:rsid w:val="77FA652A"/>
    <w:rsid w:val="78283BA0"/>
    <w:rsid w:val="788E6CCB"/>
    <w:rsid w:val="79312F28"/>
    <w:rsid w:val="79BF22E2"/>
    <w:rsid w:val="7A094544"/>
    <w:rsid w:val="7ADB6DEF"/>
    <w:rsid w:val="7AF81F4F"/>
    <w:rsid w:val="7B0004F2"/>
    <w:rsid w:val="7B1C3E77"/>
    <w:rsid w:val="7B8C08E9"/>
    <w:rsid w:val="7D1961AD"/>
    <w:rsid w:val="7D3812BF"/>
    <w:rsid w:val="7D3927A9"/>
    <w:rsid w:val="7D553A71"/>
    <w:rsid w:val="7DA67B57"/>
    <w:rsid w:val="7E0D1B42"/>
    <w:rsid w:val="7EB51837"/>
    <w:rsid w:val="7EDE320A"/>
    <w:rsid w:val="7EEC4629"/>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4"/>
    <w:next w:val="1"/>
    <w:link w:val="64"/>
    <w:qFormat/>
    <w:uiPriority w:val="9"/>
    <w:pPr>
      <w:spacing w:before="240" w:after="120" w:line="360" w:lineRule="auto"/>
      <w:outlineLvl w:val="0"/>
    </w:pPr>
    <w:rPr>
      <w:rFonts w:ascii="宋体" w:hAnsi="宋体" w:cs="宋体"/>
      <w:b/>
      <w:bCs/>
      <w:kern w:val="44"/>
      <w:sz w:val="24"/>
      <w:szCs w:val="30"/>
    </w:rPr>
  </w:style>
  <w:style w:type="paragraph" w:styleId="2">
    <w:name w:val="heading 2"/>
    <w:basedOn w:val="1"/>
    <w:next w:val="1"/>
    <w:link w:val="65"/>
    <w:qFormat/>
    <w:uiPriority w:val="0"/>
    <w:pPr>
      <w:spacing w:before="120" w:after="120" w:line="360" w:lineRule="auto"/>
      <w:outlineLvl w:val="1"/>
    </w:pPr>
    <w:rPr>
      <w:rFonts w:ascii="Times New Roman" w:hAnsi="Times New Roman"/>
      <w:b/>
      <w:sz w:val="24"/>
    </w:rPr>
  </w:style>
  <w:style w:type="paragraph" w:styleId="5">
    <w:name w:val="heading 3"/>
    <w:next w:val="1"/>
    <w:link w:val="66"/>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7"/>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9"/>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0"/>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1"/>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2"/>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3"/>
    <w:unhideWhenUsed/>
    <w:qFormat/>
    <w:uiPriority w:val="99"/>
    <w:pPr>
      <w:jc w:val="left"/>
    </w:pPr>
  </w:style>
  <w:style w:type="paragraph" w:styleId="17">
    <w:name w:val="Body Text"/>
    <w:basedOn w:val="1"/>
    <w:link w:val="74"/>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7"/>
    <w:unhideWhenUsed/>
    <w:qFormat/>
    <w:uiPriority w:val="99"/>
    <w:rPr>
      <w:sz w:val="20"/>
    </w:rPr>
  </w:style>
  <w:style w:type="paragraph" w:styleId="27">
    <w:name w:val="Balloon Text"/>
    <w:basedOn w:val="1"/>
    <w:link w:val="78"/>
    <w:unhideWhenUsed/>
    <w:qFormat/>
    <w:uiPriority w:val="99"/>
    <w:rPr>
      <w:sz w:val="18"/>
      <w:szCs w:val="18"/>
    </w:rPr>
  </w:style>
  <w:style w:type="paragraph" w:styleId="28">
    <w:name w:val="footer"/>
    <w:basedOn w:val="1"/>
    <w:link w:val="79"/>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0"/>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2"/>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sz w:val="24"/>
      <w:szCs w:val="24"/>
    </w:rPr>
  </w:style>
  <w:style w:type="paragraph" w:styleId="40">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4"/>
    <w:qFormat/>
    <w:uiPriority w:val="0"/>
    <w:pPr>
      <w:spacing w:line="360" w:lineRule="auto"/>
      <w:jc w:val="center"/>
    </w:pPr>
    <w:rPr>
      <w:rFonts w:ascii="Times New Roman" w:hAnsi="Times New Roman" w:eastAsia="黑体"/>
      <w:sz w:val="44"/>
    </w:rPr>
  </w:style>
  <w:style w:type="paragraph" w:styleId="43">
    <w:name w:val="annotation subject"/>
    <w:basedOn w:val="16"/>
    <w:next w:val="16"/>
    <w:link w:val="85"/>
    <w:unhideWhenUsed/>
    <w:qFormat/>
    <w:uiPriority w:val="99"/>
    <w:rPr>
      <w:b/>
      <w:bCs/>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段"/>
    <w:basedOn w:val="1"/>
    <w:qFormat/>
    <w:uiPriority w:val="0"/>
    <w:pPr>
      <w:widowControl/>
      <w:ind w:firstLine="200"/>
    </w:pPr>
    <w:rPr>
      <w:rFonts w:hint="eastAsia" w:ascii="宋体"/>
      <w:szCs w:val="20"/>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4">
    <w:name w:val="标题 1 字符"/>
    <w:link w:val="3"/>
    <w:qFormat/>
    <w:uiPriority w:val="99"/>
    <w:rPr>
      <w:rFonts w:ascii="宋体" w:hAnsi="宋体" w:eastAsia="宋体" w:cs="Times New Roman"/>
      <w:b/>
      <w:bCs/>
      <w:sz w:val="14"/>
      <w:szCs w:val="14"/>
    </w:rPr>
  </w:style>
  <w:style w:type="character" w:customStyle="1" w:styleId="65">
    <w:name w:val="标题 2 字符"/>
    <w:link w:val="2"/>
    <w:qFormat/>
    <w:uiPriority w:val="0"/>
    <w:rPr>
      <w:rFonts w:ascii="Arial" w:hAnsi="Arial" w:eastAsia="黑体" w:cs="Arial"/>
      <w:b/>
      <w:bCs/>
      <w:sz w:val="32"/>
      <w:szCs w:val="32"/>
    </w:rPr>
  </w:style>
  <w:style w:type="character" w:customStyle="1" w:styleId="66">
    <w:name w:val="标题 3 字符"/>
    <w:link w:val="5"/>
    <w:qFormat/>
    <w:uiPriority w:val="0"/>
    <w:rPr>
      <w:rFonts w:ascii="Times New Roman" w:hAnsi="Times New Roman" w:eastAsia="宋体" w:cs="Times New Roman"/>
      <w:b/>
      <w:bCs/>
      <w:sz w:val="32"/>
      <w:szCs w:val="32"/>
    </w:rPr>
  </w:style>
  <w:style w:type="character" w:customStyle="1" w:styleId="67">
    <w:name w:val="标题 4 字符"/>
    <w:link w:val="6"/>
    <w:qFormat/>
    <w:uiPriority w:val="9"/>
    <w:rPr>
      <w:rFonts w:ascii="Calibri Light" w:hAnsi="Calibri Light" w:eastAsia="黑体" w:cs="Times New Roman"/>
      <w:b/>
      <w:bCs/>
      <w:sz w:val="28"/>
      <w:szCs w:val="28"/>
    </w:rPr>
  </w:style>
  <w:style w:type="character" w:customStyle="1" w:styleId="68">
    <w:name w:val="标题 5 字符"/>
    <w:link w:val="7"/>
    <w:qFormat/>
    <w:uiPriority w:val="9"/>
    <w:rPr>
      <w:rFonts w:ascii="Arial" w:hAnsi="Arial" w:eastAsia="Arial" w:cs="Arial"/>
      <w:b/>
      <w:bCs/>
      <w:sz w:val="24"/>
      <w:szCs w:val="24"/>
    </w:rPr>
  </w:style>
  <w:style w:type="character" w:customStyle="1" w:styleId="69">
    <w:name w:val="标题 6 字符"/>
    <w:link w:val="8"/>
    <w:qFormat/>
    <w:uiPriority w:val="9"/>
    <w:rPr>
      <w:rFonts w:ascii="Arial" w:hAnsi="Arial" w:eastAsia="Arial" w:cs="Arial"/>
      <w:b/>
      <w:bCs/>
      <w:sz w:val="22"/>
      <w:szCs w:val="22"/>
    </w:rPr>
  </w:style>
  <w:style w:type="character" w:customStyle="1" w:styleId="70">
    <w:name w:val="标题 7 字符"/>
    <w:link w:val="9"/>
    <w:qFormat/>
    <w:uiPriority w:val="9"/>
    <w:rPr>
      <w:rFonts w:ascii="Arial" w:hAnsi="Arial" w:eastAsia="Arial" w:cs="Arial"/>
      <w:b/>
      <w:bCs/>
      <w:i/>
      <w:iCs/>
      <w:sz w:val="22"/>
      <w:szCs w:val="22"/>
    </w:rPr>
  </w:style>
  <w:style w:type="character" w:customStyle="1" w:styleId="71">
    <w:name w:val="标题 8 字符"/>
    <w:link w:val="10"/>
    <w:qFormat/>
    <w:uiPriority w:val="9"/>
    <w:rPr>
      <w:rFonts w:ascii="Arial" w:hAnsi="Arial" w:eastAsia="Arial" w:cs="Arial"/>
      <w:i/>
      <w:iCs/>
      <w:sz w:val="22"/>
      <w:szCs w:val="22"/>
    </w:rPr>
  </w:style>
  <w:style w:type="character" w:customStyle="1" w:styleId="72">
    <w:name w:val="标题 9 字符"/>
    <w:link w:val="11"/>
    <w:qFormat/>
    <w:uiPriority w:val="9"/>
    <w:rPr>
      <w:rFonts w:ascii="Arial" w:hAnsi="Arial" w:eastAsia="Arial" w:cs="Arial"/>
      <w:i/>
      <w:iCs/>
      <w:sz w:val="21"/>
      <w:szCs w:val="21"/>
    </w:rPr>
  </w:style>
  <w:style w:type="character" w:customStyle="1" w:styleId="73">
    <w:name w:val="批注文字 字符"/>
    <w:link w:val="16"/>
    <w:qFormat/>
    <w:uiPriority w:val="0"/>
    <w:rPr>
      <w:rFonts w:ascii="Calibri" w:hAnsi="Calibri" w:eastAsia="宋体" w:cs="Times New Roman"/>
      <w:sz w:val="21"/>
      <w:szCs w:val="22"/>
    </w:rPr>
  </w:style>
  <w:style w:type="character" w:customStyle="1" w:styleId="74">
    <w:name w:val="正文文本 字符"/>
    <w:link w:val="17"/>
    <w:qFormat/>
    <w:uiPriority w:val="99"/>
    <w:rPr>
      <w:rFonts w:ascii="Times New Roman" w:hAnsi="Times New Roman" w:eastAsia="宋体" w:cs="Times New Roman"/>
      <w:sz w:val="24"/>
      <w:szCs w:val="24"/>
    </w:rPr>
  </w:style>
  <w:style w:type="character" w:customStyle="1" w:styleId="75">
    <w:name w:val="纯文本 字符"/>
    <w:link w:val="22"/>
    <w:qFormat/>
    <w:uiPriority w:val="0"/>
    <w:rPr>
      <w:rFonts w:ascii="宋体" w:hAnsi="Courier New"/>
      <w:sz w:val="21"/>
      <w:szCs w:val="22"/>
    </w:rPr>
  </w:style>
  <w:style w:type="character" w:customStyle="1" w:styleId="76">
    <w:name w:val="日期 字符"/>
    <w:link w:val="24"/>
    <w:qFormat/>
    <w:uiPriority w:val="0"/>
    <w:rPr>
      <w:rFonts w:ascii="Times New Roman" w:hAnsi="Times New Roman" w:eastAsia="宋体" w:cs="Times New Roman"/>
      <w:sz w:val="21"/>
      <w:szCs w:val="24"/>
    </w:rPr>
  </w:style>
  <w:style w:type="character" w:customStyle="1" w:styleId="77">
    <w:name w:val="尾注文本 字符"/>
    <w:link w:val="26"/>
    <w:qFormat/>
    <w:uiPriority w:val="99"/>
    <w:rPr>
      <w:sz w:val="20"/>
    </w:rPr>
  </w:style>
  <w:style w:type="character" w:customStyle="1" w:styleId="78">
    <w:name w:val="批注框文本 字符"/>
    <w:link w:val="27"/>
    <w:semiHidden/>
    <w:qFormat/>
    <w:uiPriority w:val="99"/>
    <w:rPr>
      <w:sz w:val="18"/>
      <w:szCs w:val="18"/>
    </w:rPr>
  </w:style>
  <w:style w:type="character" w:customStyle="1" w:styleId="79">
    <w:name w:val="页脚 字符"/>
    <w:link w:val="28"/>
    <w:qFormat/>
    <w:uiPriority w:val="99"/>
    <w:rPr>
      <w:sz w:val="18"/>
      <w:szCs w:val="18"/>
    </w:rPr>
  </w:style>
  <w:style w:type="character" w:customStyle="1" w:styleId="80">
    <w:name w:val="页眉 字符"/>
    <w:link w:val="30"/>
    <w:qFormat/>
    <w:uiPriority w:val="99"/>
    <w:rPr>
      <w:sz w:val="18"/>
      <w:szCs w:val="18"/>
    </w:rPr>
  </w:style>
  <w:style w:type="character" w:customStyle="1" w:styleId="81">
    <w:name w:val="副标题 字符"/>
    <w:link w:val="33"/>
    <w:qFormat/>
    <w:uiPriority w:val="11"/>
    <w:rPr>
      <w:sz w:val="24"/>
      <w:szCs w:val="24"/>
    </w:rPr>
  </w:style>
  <w:style w:type="character" w:customStyle="1" w:styleId="82">
    <w:name w:val="脚注文本 字符"/>
    <w:link w:val="34"/>
    <w:qFormat/>
    <w:uiPriority w:val="99"/>
    <w:rPr>
      <w:sz w:val="18"/>
    </w:rPr>
  </w:style>
  <w:style w:type="character" w:customStyle="1" w:styleId="83">
    <w:name w:val="HTML 预设格式 字符"/>
    <w:link w:val="40"/>
    <w:qFormat/>
    <w:uiPriority w:val="99"/>
    <w:rPr>
      <w:rFonts w:ascii="Arial" w:hAnsi="Arial" w:eastAsia="宋体" w:cs="Times New Roman"/>
      <w:sz w:val="11"/>
      <w:szCs w:val="11"/>
    </w:rPr>
  </w:style>
  <w:style w:type="character" w:customStyle="1" w:styleId="84">
    <w:name w:val="标题 字符"/>
    <w:link w:val="42"/>
    <w:qFormat/>
    <w:uiPriority w:val="0"/>
    <w:rPr>
      <w:rFonts w:ascii="Cambria" w:hAnsi="Cambria" w:eastAsia="黑体" w:cs="Times New Roman"/>
      <w:b/>
      <w:bCs/>
      <w:sz w:val="52"/>
      <w:szCs w:val="32"/>
    </w:rPr>
  </w:style>
  <w:style w:type="character" w:customStyle="1" w:styleId="85">
    <w:name w:val="批注主题 字符"/>
    <w:link w:val="43"/>
    <w:semiHidden/>
    <w:qFormat/>
    <w:uiPriority w:val="99"/>
    <w:rPr>
      <w:rFonts w:ascii="Calibri" w:hAnsi="Calibri" w:eastAsia="宋体" w:cs="Times New Roman"/>
      <w:b/>
      <w:bCs/>
      <w:sz w:val="21"/>
      <w:szCs w:val="22"/>
    </w:rPr>
  </w:style>
  <w:style w:type="paragraph" w:customStyle="1" w:styleId="86">
    <w:name w:val="正文（缩进）"/>
    <w:basedOn w:val="1"/>
    <w:next w:val="87"/>
    <w:qFormat/>
    <w:uiPriority w:val="0"/>
    <w:pPr>
      <w:spacing w:beforeLines="50" w:afterLines="50" w:line="360" w:lineRule="auto"/>
      <w:ind w:firstLine="480" w:firstLineChars="200"/>
    </w:pPr>
    <w:rPr>
      <w:sz w:val="24"/>
      <w:szCs w:val="24"/>
    </w:rPr>
  </w:style>
  <w:style w:type="paragraph" w:customStyle="1" w:styleId="87">
    <w:name w:val="Char Char Char Char Char Char Char Char Char"/>
    <w:basedOn w:val="1"/>
    <w:next w:val="88"/>
    <w:qFormat/>
    <w:uiPriority w:val="99"/>
    <w:pPr>
      <w:ind w:left="360" w:firstLine="5784"/>
    </w:pPr>
  </w:style>
  <w:style w:type="paragraph" w:customStyle="1" w:styleId="88">
    <w:name w:val="正文文本 21"/>
    <w:basedOn w:val="1"/>
    <w:next w:val="89"/>
    <w:qFormat/>
    <w:uiPriority w:val="99"/>
    <w:pPr>
      <w:widowControl/>
      <w:ind w:left="720" w:firstLine="5680"/>
    </w:pPr>
  </w:style>
  <w:style w:type="paragraph" w:customStyle="1" w:styleId="89">
    <w:name w:val="默认段落字体 Para Char Char Char Char Char Char Char"/>
    <w:basedOn w:val="1"/>
    <w:next w:val="90"/>
    <w:qFormat/>
    <w:uiPriority w:val="99"/>
    <w:pPr>
      <w:ind w:firstLine="200" w:firstLineChars="200"/>
    </w:pPr>
    <w:rPr>
      <w:rFonts w:cs="Arial"/>
    </w:rPr>
  </w:style>
  <w:style w:type="paragraph" w:customStyle="1" w:styleId="90">
    <w:name w:val="样式 首行缩进:  2 字符"/>
    <w:basedOn w:val="1"/>
    <w:next w:val="91"/>
    <w:qFormat/>
    <w:uiPriority w:val="99"/>
    <w:pPr>
      <w:spacing w:line="360" w:lineRule="auto"/>
      <w:ind w:left="480" w:firstLine="5856"/>
    </w:pPr>
  </w:style>
  <w:style w:type="paragraph" w:customStyle="1" w:styleId="91">
    <w:name w:val="样式 段后: 0.25 行"/>
    <w:basedOn w:val="1"/>
    <w:next w:val="92"/>
    <w:qFormat/>
    <w:uiPriority w:val="99"/>
    <w:pPr>
      <w:widowControl/>
      <w:spacing w:line="300" w:lineRule="auto"/>
      <w:ind w:left="420" w:firstLine="5796"/>
    </w:pPr>
  </w:style>
  <w:style w:type="paragraph" w:customStyle="1" w:styleId="92">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3">
    <w:name w:val="Heading 1 Char"/>
    <w:qFormat/>
    <w:uiPriority w:val="9"/>
    <w:rPr>
      <w:rFonts w:ascii="Arial" w:hAnsi="Arial" w:eastAsia="Arial" w:cs="Arial"/>
      <w:sz w:val="40"/>
      <w:szCs w:val="40"/>
    </w:rPr>
  </w:style>
  <w:style w:type="character" w:customStyle="1" w:styleId="94">
    <w:name w:val="Heading 2 Char"/>
    <w:qFormat/>
    <w:uiPriority w:val="9"/>
    <w:rPr>
      <w:rFonts w:ascii="Arial" w:hAnsi="Arial" w:eastAsia="Arial" w:cs="Arial"/>
      <w:sz w:val="34"/>
    </w:rPr>
  </w:style>
  <w:style w:type="character" w:customStyle="1" w:styleId="95">
    <w:name w:val="Heading 3 Char"/>
    <w:qFormat/>
    <w:uiPriority w:val="9"/>
    <w:rPr>
      <w:rFonts w:ascii="Arial" w:hAnsi="Arial" w:eastAsia="Arial" w:cs="Arial"/>
      <w:sz w:val="30"/>
      <w:szCs w:val="30"/>
    </w:rPr>
  </w:style>
  <w:style w:type="character" w:customStyle="1" w:styleId="96">
    <w:name w:val="Heading 4 Char"/>
    <w:qFormat/>
    <w:uiPriority w:val="9"/>
    <w:rPr>
      <w:rFonts w:ascii="Arial" w:hAnsi="Arial" w:eastAsia="Arial" w:cs="Arial"/>
      <w:b/>
      <w:bCs/>
      <w:sz w:val="26"/>
      <w:szCs w:val="26"/>
    </w:rPr>
  </w:style>
  <w:style w:type="character" w:customStyle="1" w:styleId="97">
    <w:name w:val="Title Char"/>
    <w:qFormat/>
    <w:uiPriority w:val="10"/>
    <w:rPr>
      <w:sz w:val="48"/>
      <w:szCs w:val="48"/>
    </w:rPr>
  </w:style>
  <w:style w:type="paragraph" w:customStyle="1" w:styleId="98">
    <w:name w:val="引用1"/>
    <w:basedOn w:val="1"/>
    <w:next w:val="1"/>
    <w:link w:val="99"/>
    <w:qFormat/>
    <w:uiPriority w:val="29"/>
    <w:pPr>
      <w:ind w:left="720" w:right="720"/>
    </w:pPr>
    <w:rPr>
      <w:i/>
    </w:rPr>
  </w:style>
  <w:style w:type="character" w:customStyle="1" w:styleId="99">
    <w:name w:val="引用 Char"/>
    <w:link w:val="98"/>
    <w:qFormat/>
    <w:uiPriority w:val="29"/>
    <w:rPr>
      <w:i/>
    </w:rPr>
  </w:style>
  <w:style w:type="paragraph" w:customStyle="1" w:styleId="100">
    <w:name w:val="明显引用1"/>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6">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7">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8">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2">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3">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4">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5">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6">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7">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8">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9">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0">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1">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2">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3">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4">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5">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4">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0">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1">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2">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3">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4">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5">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6">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7">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8">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9">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0">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1">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2">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3">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4">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0">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1">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2">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3">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4">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5">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6">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7">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8">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9">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0">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1">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2">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3">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4">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5">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6">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7">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8">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9">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0">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1">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2">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3">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4">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5">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6">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7">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8">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9">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0">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1">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2">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3">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4">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5">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6">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8">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9">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0">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1">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2">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3">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0">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1">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2">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3">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4">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5">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6">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4">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5">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6">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7">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8">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9">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0">
    <w:name w:val="TOC 标题1"/>
    <w:unhideWhenUsed/>
    <w:qFormat/>
    <w:uiPriority w:val="39"/>
    <w:rPr>
      <w:rFonts w:ascii="Times New Roman" w:hAnsi="Times New Roman" w:eastAsia="宋体" w:cs="Times New Roman"/>
      <w:lang w:val="en-US" w:eastAsia="zh-CN" w:bidi="ar-SA"/>
    </w:rPr>
  </w:style>
  <w:style w:type="paragraph" w:customStyle="1" w:styleId="231">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2">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3">
    <w:name w:val="正文2"/>
    <w:basedOn w:val="1"/>
    <w:link w:val="234"/>
    <w:qFormat/>
    <w:uiPriority w:val="99"/>
    <w:pPr>
      <w:spacing w:line="360" w:lineRule="auto"/>
      <w:ind w:firstLine="420"/>
    </w:pPr>
    <w:rPr>
      <w:rFonts w:ascii="宋体" w:hAnsi="宋体" w:cs="宋体"/>
      <w:color w:val="000000"/>
      <w:szCs w:val="21"/>
    </w:rPr>
  </w:style>
  <w:style w:type="character" w:customStyle="1" w:styleId="234">
    <w:name w:val="正文2 Char Char"/>
    <w:link w:val="233"/>
    <w:qFormat/>
    <w:uiPriority w:val="99"/>
    <w:rPr>
      <w:rFonts w:ascii="宋体" w:hAnsi="宋体" w:eastAsia="宋体" w:cs="宋体"/>
      <w:color w:val="000000"/>
      <w:sz w:val="21"/>
      <w:szCs w:val="21"/>
    </w:rPr>
  </w:style>
  <w:style w:type="paragraph" w:customStyle="1" w:styleId="235">
    <w:name w:val="Table Paragraph"/>
    <w:basedOn w:val="1"/>
    <w:qFormat/>
    <w:uiPriority w:val="1"/>
    <w:pPr>
      <w:jc w:val="left"/>
    </w:pPr>
    <w:rPr>
      <w:rFonts w:ascii="宋体" w:hAnsi="宋体" w:cs="宋体"/>
      <w:sz w:val="22"/>
      <w:lang w:val="zh-CN" w:bidi="zh-CN"/>
    </w:rPr>
  </w:style>
  <w:style w:type="paragraph" w:customStyle="1" w:styleId="236">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7">
    <w:name w:val="p21"/>
    <w:qFormat/>
    <w:uiPriority w:val="0"/>
    <w:rPr>
      <w:sz w:val="9"/>
      <w:szCs w:val="9"/>
    </w:rPr>
  </w:style>
  <w:style w:type="paragraph" w:customStyle="1" w:styleId="238">
    <w:name w:val="t_black_12_b"/>
    <w:basedOn w:val="1"/>
    <w:qFormat/>
    <w:uiPriority w:val="0"/>
    <w:pPr>
      <w:widowControl/>
      <w:jc w:val="left"/>
    </w:pPr>
    <w:rPr>
      <w:rFonts w:ascii="宋体" w:hAnsi="宋体" w:cs="宋体"/>
      <w:b/>
      <w:bCs/>
      <w:color w:val="212121"/>
      <w:sz w:val="9"/>
      <w:szCs w:val="9"/>
    </w:rPr>
  </w:style>
  <w:style w:type="paragraph" w:customStyle="1" w:styleId="239">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0">
    <w:name w:val="标题3"/>
    <w:basedOn w:val="1"/>
    <w:link w:val="241"/>
    <w:qFormat/>
    <w:uiPriority w:val="0"/>
    <w:pPr>
      <w:pageBreakBefore/>
      <w:jc w:val="center"/>
      <w:outlineLvl w:val="2"/>
    </w:pPr>
    <w:rPr>
      <w:rFonts w:ascii="黑体" w:hAnsi="黑体" w:eastAsia="黑体"/>
      <w:b/>
      <w:sz w:val="32"/>
      <w:szCs w:val="32"/>
    </w:rPr>
  </w:style>
  <w:style w:type="character" w:customStyle="1" w:styleId="241">
    <w:name w:val="标题3 Char"/>
    <w:link w:val="240"/>
    <w:qFormat/>
    <w:uiPriority w:val="0"/>
    <w:rPr>
      <w:rFonts w:ascii="黑体" w:hAnsi="黑体" w:eastAsia="黑体" w:cs="Times New Roman"/>
      <w:b/>
      <w:sz w:val="32"/>
      <w:szCs w:val="32"/>
    </w:rPr>
  </w:style>
  <w:style w:type="paragraph" w:customStyle="1" w:styleId="242">
    <w:name w:val="TOC 标题11"/>
    <w:basedOn w:val="3"/>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3">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unhideWhenUsed/>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5"/>
    <w:semiHidden/>
    <w:qFormat/>
    <w:uiPriority w:val="2"/>
    <w:tblPr>
      <w:tblCellMar>
        <w:left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styleId="2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纯文本1"/>
    <w:basedOn w:val="1"/>
    <w:qFormat/>
    <w:uiPriority w:val="0"/>
    <w:pPr>
      <w:adjustRightInd w:val="0"/>
      <w:textAlignment w:val="baseline"/>
    </w:pPr>
    <w:rPr>
      <w:rFonts w:ascii="宋体" w:hAnsi="Courier New" w:eastAsia="楷体_GB2312"/>
      <w:sz w:val="26"/>
      <w:szCs w:val="20"/>
    </w:rPr>
  </w:style>
  <w:style w:type="paragraph" w:customStyle="1" w:styleId="273">
    <w:name w:val="纯文本2"/>
    <w:basedOn w:val="1"/>
    <w:qFormat/>
    <w:uiPriority w:val="0"/>
    <w:pPr>
      <w:spacing w:line="360" w:lineRule="auto"/>
      <w:ind w:firstLine="200" w:firstLineChars="200"/>
    </w:pPr>
    <w:rPr>
      <w:rFonts w:ascii="宋体" w:hAnsi="Courier New"/>
      <w:sz w:val="20"/>
      <w:szCs w:val="20"/>
    </w:rPr>
  </w:style>
  <w:style w:type="paragraph" w:customStyle="1" w:styleId="274">
    <w:name w:val="修订5"/>
    <w:hidden/>
    <w:unhideWhenUsed/>
    <w:qFormat/>
    <w:uiPriority w:val="99"/>
    <w:rPr>
      <w:rFonts w:ascii="Calibri" w:hAnsi="Calibri" w:eastAsia="宋体" w:cs="Times New Roman"/>
      <w:sz w:val="21"/>
      <w:szCs w:val="22"/>
      <w:lang w:val="en-US" w:eastAsia="zh-CN" w:bidi="ar-SA"/>
    </w:rPr>
  </w:style>
  <w:style w:type="paragraph" w:customStyle="1" w:styleId="275">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013ab848-dff1-4029-878f-4e52a48fb241</errorID>
      <errorWord>（</errorWord>
      <group>L1_Punc</group>
      <groupName>标点问题</groupName>
      <ability>L2_Punc</ability>
      <abilityName>标点符号检查</abilityName>
      <candidateList/>
      <explain>同一形式括号套用。</explain>
      <paraID>76E696F1</paraID>
      <start>58</start>
      <end>59</end>
      <status>ignored</status>
      <modifiedWord/>
      <trackRevisions>false</trackRevisions>
    </reviewItem>
    <reviewItem>
      <errorID>bdb63cac-5945-4d8a-8edf-9d2209852193</errorID>
      <errorWord>）</errorWord>
      <group>L1_Punc</group>
      <groupName>标点问题</groupName>
      <ability>L2_Punc</ability>
      <abilityName>标点符号检查</abilityName>
      <candidateList/>
      <explain>同一形式括号套用。</explain>
      <paraID>76E696F1</paraID>
      <start>75</start>
      <end>76</end>
      <status>ignored</status>
      <modifiedWord/>
      <trackRevisions>false</trackRevisions>
    </reviewItem>
    <reviewItem>
      <errorID>b23222cf-da82-40be-939b-5b3076c809f5</errorID>
      <errorWord>（</errorWord>
      <group>L1_Punc</group>
      <groupName>标点问题</groupName>
      <ability>L2_Punc</ability>
      <abilityName>标点符号检查</abilityName>
      <candidateList/>
      <explain>同一形式括号套用。</explain>
      <paraID>76E696F1</paraID>
      <start>88</start>
      <end>89</end>
      <status>ignored</status>
      <modifiedWord/>
      <trackRevisions>false</trackRevisions>
    </reviewItem>
    <reviewItem>
      <errorID>88b081ff-3a8f-4903-bd58-110b0d2284e9</errorID>
      <errorWord>）</errorWord>
      <group>L1_Punc</group>
      <groupName>标点问题</groupName>
      <ability>L2_Punc</ability>
      <abilityName>标点符号检查</abilityName>
      <candidateList/>
      <explain>同一形式括号套用。</explain>
      <paraID>76E696F1</paraID>
      <start>102</start>
      <end>103</end>
      <status>ignored</status>
      <modifiedWord/>
      <trackRevisions>false</trackRevisions>
    </reviewItem>
    <reviewItem>
      <errorID>07823c80-e42c-4c63-bb69-a68986ca1fa7</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76E696F1</paraID>
      <start>157</start>
      <end>159</end>
      <status>ignored</status>
      <modifiedWord/>
      <trackRevisions>false</trackRevisions>
    </reviewItem>
    <reviewItem>
      <errorID>0df508c6-fd38-4930-819a-012e11463d08</errorID>
      <errorWord>（</errorWord>
      <group>L1_Punc</group>
      <groupName>标点问题</groupName>
      <ability>L2_Punc</ability>
      <abilityName>标点符号检查</abilityName>
      <candidateList/>
      <explain>同一形式括号套用。</explain>
      <paraID>217BDBAF</paraID>
      <start>32</start>
      <end>33</end>
      <status>ignored</status>
      <modifiedWord/>
      <trackRevisions>false</trackRevisions>
    </reviewItem>
    <reviewItem>
      <errorID>7f147499-be64-4302-a117-a7b25e1b1562</errorID>
      <errorWord>）</errorWord>
      <group>L1_Punc</group>
      <groupName>标点问题</groupName>
      <ability>L2_Punc</ability>
      <abilityName>标点符号检查</abilityName>
      <candidateList/>
      <explain>同一形式括号套用。</explain>
      <paraID>217BDBAF</paraID>
      <start>49</start>
      <end>50</end>
      <status>ignored</status>
      <modifiedWord/>
      <trackRevisions>false</trackRevisions>
    </reviewItem>
    <reviewItem>
      <errorID>bdb6df9a-2213-4d45-935c-39e19444c463</errorID>
      <errorWord>（</errorWord>
      <group>L1_Punc</group>
      <groupName>标点问题</groupName>
      <ability>L2_Punc</ability>
      <abilityName>标点符号检查</abilityName>
      <candidateList/>
      <explain>同一形式括号套用。</explain>
      <paraID>217BDBAF</paraID>
      <start>59</start>
      <end>60</end>
      <status>ignored</status>
      <modifiedWord/>
      <trackRevisions>false</trackRevisions>
    </reviewItem>
    <reviewItem>
      <errorID>38f08713-08fd-474c-b57a-bb4052b6df6b</errorID>
      <errorWord>）</errorWord>
      <group>L1_Punc</group>
      <groupName>标点问题</groupName>
      <ability>L2_Punc</ability>
      <abilityName>标点符号检查</abilityName>
      <candidateList/>
      <explain>同一形式括号套用。</explain>
      <paraID>217BDBAF</paraID>
      <start>72</start>
      <end>73</end>
      <status>ignored</status>
      <modifiedWord/>
      <trackRevisions>false</trackRevisions>
    </reviewItem>
    <reviewItem>
      <errorID>30b364db-57b8-4dd0-9b28-f4c65504dc89</errorID>
      <errorWord>（</errorWord>
      <group>L1_Punc</group>
      <groupName>标点问题</groupName>
      <ability>L2_Punc</ability>
      <abilityName>标点符号检查</abilityName>
      <candidateList/>
      <explain>同一形式括号套用。</explain>
      <paraID>217BDBAF</paraID>
      <start>96</start>
      <end>97</end>
      <status>ignored</status>
      <modifiedWord/>
      <trackRevisions>false</trackRevisions>
    </reviewItem>
    <reviewItem>
      <errorID>64bdd875-7bf6-4574-8a1d-ad8b1c9c67a1</errorID>
      <errorWord>）</errorWord>
      <group>L1_Punc</group>
      <groupName>标点问题</groupName>
      <ability>L2_Punc</ability>
      <abilityName>标点符号检查</abilityName>
      <candidateList/>
      <explain>同一形式括号套用。</explain>
      <paraID>217BDBAF</paraID>
      <start>110</start>
      <end>111</end>
      <status>ignored</status>
      <modifiedWord/>
      <trackRevisions>false</trackRevisions>
    </reviewItem>
    <reviewItem>
      <errorID>7476f5c3-6623-4647-a1d1-6831c505a736</errorID>
      <errorWord>的采购或</errorWord>
      <group>L1_AI</group>
      <groupName>深度校对</groupName>
      <ability>L2_AI_Grammar</ability>
      <abilityName>语法纠错</abilityName>
      <candidateList>
        <item>的</item>
      </candidateList>
      <explain>置于形容词、名词后，用于修饰事物的形态。</explain>
      <paraID>6784459F</paraID>
      <start>43</start>
      <end>47</end>
      <status>ignored</status>
      <modifiedWord/>
      <trackRevisions>false</trackRevisions>
    </reviewItem>
    <reviewItem>
      <errorID>d8734313-5421-45a3-9bdc-9ad5501ec42e</errorID>
      <errorWord>的采购或</errorWord>
      <group>L1_AI</group>
      <groupName>深度校对</groupName>
      <ability>L2_AI_Grammar</ability>
      <abilityName>语法纠错</abilityName>
      <candidateList>
        <item>的</item>
      </candidateList>
      <explain>置于形容词、名词后，用于修饰事物的形态。</explain>
      <paraID>33B8B05F</paraID>
      <start>42</start>
      <end>46</end>
      <status>ignored</status>
      <modifiedWord/>
      <trackRevisions>false</trackRevisions>
    </reviewItem>
    <reviewItem>
      <errorID>f65a8f8b-b598-4d25-bce9-c6f85e4e1dd0</errorID>
      <errorWord>（</errorWord>
      <group>L1_Punc</group>
      <groupName>标点问题</groupName>
      <ability>L2_Punc</ability>
      <abilityName>标点符号检查</abilityName>
      <candidateList/>
      <explain>同一形式括号套用。</explain>
      <paraID>74F223EE</paraID>
      <start>42</start>
      <end>43</end>
      <status>ignored</status>
      <modifiedWord/>
      <trackRevisions>false</trackRevisions>
    </reviewItem>
    <reviewItem>
      <errorID>984b2919-6cf6-4c78-bdee-553e3a6dc3f3</errorID>
      <errorWord>）</errorWord>
      <group>L1_Punc</group>
      <groupName>标点问题</groupName>
      <ability>L2_Punc</ability>
      <abilityName>标点符号检查</abilityName>
      <candidateList/>
      <explain>同一形式括号套用。</explain>
      <paraID>74F223EE</paraID>
      <start>50</start>
      <end>51</end>
      <status>ignored</status>
      <modifiedWord/>
      <trackRevisions>false</trackRevisions>
    </reviewItem>
    <reviewItem>
      <errorID>d02c1113-5b66-48a9-a4ce-06f5752e15ce</errorID>
      <errorWord>/）</errorWord>
      <group>L1_Punc</group>
      <groupName>标点问题</groupName>
      <ability>L2_Punc</ability>
      <abilityName>标点符号检查</abilityName>
      <candidateList>
        <item>）</item>
      </candidateList>
      <explain/>
      <paraID>691C9F76</paraID>
      <start>48</start>
      <end>50</end>
      <status>ignored</status>
      <modifiedWord/>
      <trackRevisions>false</trackRevisions>
    </reviewItem>
    <reviewItem>
      <errorID>ced3d39e-da3c-4e60-a014-b3d0554ac44f</errorID>
      <errorWord>对</errorWord>
      <group>L1_AI</group>
      <groupName>深度校对</groupName>
      <ability>L2_AI_Grammar</ability>
      <abilityName>语法纠错</abilityName>
      <candidateList>
        <item>如对</item>
      </candidateList>
      <explain/>
      <paraID>6B5411BB</paraID>
      <start>0</start>
      <end>1</end>
      <status>ignored</status>
      <modifiedWord/>
      <trackRevisions>false</trackRevisions>
    </reviewItem>
    <reviewItem>
      <errorID>291dc930-7e40-4cf4-a7ac-cf7cf9789c85</errorID>
      <errorWord>1.适用规则</errorWord>
      <group>L1_AI</group>
      <groupName>深度校对</groupName>
      <ability>L2_AI_Title</ability>
      <abilityName>标题检查</abilityName>
      <candidateList/>
      <explain>相邻标题序号不连续。前文二级标题序号为“一、”“二、”等，此处直接出现“1.”，序号不连续</explain>
      <paraID>3D89E50B</paraID>
      <start>0</start>
      <end>6</end>
      <status>ignored</status>
      <modifiedWord/>
      <trackRevisions>false</trackRevisions>
    </reviewItem>
    <reviewItem>
      <errorID>199f8555-404f-4c66-afbf-e4e15f3af6c1</errorID>
      <errorWord>本</errorWord>
      <group>L1_Word</group>
      <groupName>字词问题</groupName>
      <ability>L2_Typo</ability>
      <abilityName>字词错误</abilityName>
      <candidateList>
        <item>本次</item>
      </candidateList>
      <explain/>
      <paraID>2DCF81ED</paraID>
      <start>3</start>
      <end>4</end>
      <status>unmodified</status>
      <modifiedWord/>
      <trackRevisions>false</trackRevisions>
    </reviewItem>
    <reviewItem>
      <errorID>2f4fbd90-bfa4-4d37-a111-c7ac5ce089f3</errorID>
      <errorWord>2.定义</errorWord>
      <group>L1_AI</group>
      <groupName>深度校对</groupName>
      <ability>L2_AI_Title</ability>
      <abilityName>标题检查</abilityName>
      <candidateList/>
      <explain>相同层级标题序号格式前后文不一致。前文二级标题序号使用中文数字加顿号，如“一、”“二、”，此处使用阿拉伯数字加点号，格式与前文不一致，后续二级标题序号也均使用阿拉伯数字加点号，与前文格式不一致</explain>
      <paraID>69E112AD</paraID>
      <start>0</start>
      <end>4</end>
      <status>unmodified</status>
      <modifiedWord/>
      <trackRevisions>false</trackRevisions>
    </reviewItem>
    <reviewItem>
      <errorID>53b22d3b-52c4-4048-8daf-10fc4534c061</errorID>
      <errorWord>本</errorWord>
      <group>L1_Word</group>
      <groupName>字词问题</groupName>
      <ability>L2_Typo</ability>
      <abilityName>字词错误</abilityName>
      <candidateList>
        <item>本次</item>
      </candidateList>
      <explain/>
      <paraID>2BBB8992</paraID>
      <start>40</start>
      <end>41</end>
      <status>unmodified</status>
      <modifiedWord/>
      <trackRevisions>false</trackRevisions>
    </reviewItem>
    <reviewItem>
      <errorID>97f703b8-0568-4678-ae42-b0deda9fc8a0</errorID>
      <errorWord>连同响应</errorWord>
      <group>L1_Word</group>
      <groupName>字词问题</groupName>
      <ability>L2_Typo</ability>
      <abilityName>字词错误</abilityName>
      <candidateList>
        <item>连同相应</item>
      </candidateList>
      <explain/>
      <paraID> 9D8E4BC</paraID>
      <start>45</start>
      <end>49</end>
      <status>unmodified</status>
      <modifiedWord/>
      <trackRevisions>false</trackRevisions>
    </reviewItem>
    <reviewItem>
      <errorID>82a5fe7f-d6e4-446b-8e0e-19e4b7b410ea</errorID>
      <errorWord>应该</errorWord>
      <group>L1_AI</group>
      <groupName>深度校对</groupName>
      <ability>L2_AI_Word</ability>
      <abilityName>字词纠错</abilityName>
      <candidateList>
        <item>应当</item>
      </candidateList>
      <explain/>
      <paraID>4D87421B</paraID>
      <start>60</start>
      <end>62</end>
      <status>unmodified</status>
      <modifiedWord/>
      <trackRevisions>false</trackRevisions>
    </reviewItem>
    <reviewItem>
      <errorID>6b7767f2-cb71-456f-8cd0-dab2e56fbe94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6F4C615D</paraID>
      <start>57</start>
      <end>58</end>
      <status>unmodified</status>
      <modifiedWord/>
      <trackRevisions>false</trackRevisions>
    </reviewItem>
    <reviewItem>
      <errorID>b0af27e4-6e38-47d1-a35e-821ba2f9c101</errorID>
      <errorWord>&lt;</errorWord>
      <group>L1_Format</group>
      <groupName>格式问题</groupName>
      <ability>L2_HalfPunc</ability>
      <abilityName>全半角检查</abilityName>
      <candidateList>
        <item>〈</item>
      </candidateList>
      <explain>文本全半角错误。</explain>
      <paraID>1910DDD9</paraID>
      <start>31</start>
      <end>32</end>
      <status>unmodified</status>
      <modifiedWord/>
      <trackRevisions>false</trackRevisions>
    </reviewItem>
    <reviewItem>
      <errorID>553c469e-259a-4b61-b3ff-80930495d967</errorID>
      <errorWord>&lt;</errorWord>
      <group>L1_Format</group>
      <groupName>格式问题</groupName>
      <ability>L2_HalfPunc</ability>
      <abilityName>全半角检查</abilityName>
      <candidateList>
        <item>〈</item>
      </candidateList>
      <explain>文本全半角错误。</explain>
      <paraID>371B8A3A</paraID>
      <start>33</start>
      <end>34</end>
      <status>unmodified</status>
      <modifiedWord/>
      <trackRevisions>false</trackRevisions>
    </reviewItem>
    <reviewItem>
      <errorID>539e1df3-51fe-4b9e-8567-d5d201f238be</errorID>
      <errorWord>百分之十</errorWord>
      <group>L1_Knowledge</group>
      <groupName>知识性问题</groupName>
      <ability>L2_Knowledge</ability>
      <abilityName>其他知识</abilityName>
      <candidateList>
        <item>10%</item>
      </candidateList>
      <explain/>
      <paraID>663AA348</paraID>
      <start>79</start>
      <end>83</end>
      <status>unmodified</status>
      <modifiedWord/>
      <trackRevisions>false</trackRevisions>
    </reviewItem>
    <reviewItem>
      <errorID>2516d79b-afa1-4fd6-9431-3e129a3a1817</errorID>
      <errorWord>委托书的</errorWord>
      <group>L1_Word</group>
      <groupName>字词问题</groupName>
      <ability>L2_Typo</ability>
      <abilityName>字词错误</abilityName>
      <candidateList>
        <item>委托书</item>
      </candidateList>
      <explain/>
      <paraID>433BFBA1</paraID>
      <start>75</start>
      <end>79</end>
      <status>unmodified</status>
      <modifiedWord/>
      <trackRevisions>false</trackRevisions>
    </reviewItem>
    <reviewItem>
      <errorID>845a5c6c-71f1-4522-b9d9-e484d3dc8e21</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18A872C2</paraID>
      <start>0</start>
      <end>3</end>
      <status>unmodified</status>
      <modifiedWord/>
      <trackRevisions>false</trackRevisions>
    </reviewItem>
    <reviewItem>
      <errorID>ca9283aa-29c3-49b5-88e6-b25b222586a5</errorID>
      <errorWord>可以</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67E44866</paraID>
      <start>37</start>
      <end>39</end>
      <status>unmodified</status>
      <modifiedWord/>
      <trackRevisions>false</trackRevisions>
    </reviewItem>
    <reviewItem>
      <errorID>3b056090-1e8a-4394-9fe5-680e10f36206</errorID>
      <errorWord>提出质疑</errorWord>
      <group>L1_Word</group>
      <groupName>字词问题</groupName>
      <ability>L2_Typo</ability>
      <abilityName>字词错误</abilityName>
      <candidateList>
        <item>质疑</item>
      </candidateList>
      <explain>〈动〉提出疑问：～问难。</explain>
      <paraID>59C68EB6</paraID>
      <start>123</start>
      <end>127</end>
      <status>unmodified</status>
      <modifiedWord/>
      <trackRevisions>false</trackRevisions>
    </reviewItem>
    <reviewItem>
      <errorID>5cf9ffbf-a96a-4ce0-b3ce-bf12caf30f65</errorID>
      <errorWord>价格分</errorWord>
      <group>L1_Word</group>
      <groupName>字词问题</groupName>
      <ability>L2_Typo</ability>
      <abilityName>字词错误</abilityName>
      <candidateList>
        <item>价格</item>
      </candidateList>
      <explain/>
      <paraID>155AC84B</paraID>
      <start>42</start>
      <end>45</end>
      <status>unmodified</status>
      <modifiedWord/>
      <trackRevisions>false</trackRevisions>
    </reviewItem>
    <reviewItem>
      <errorID>04e1dae7-8c67-4a62-870f-856c3399682a</errorID>
      <errorWord>（</errorWord>
      <group>L1_Word</group>
      <groupName>字词问题</groupName>
      <ability>L2_Typo</ability>
      <abilityName>字词错误</abilityName>
      <candidateList>
        <item>（以</item>
      </candidateList>
      <explain/>
      <paraID>38BEF3E7</paraID>
      <start>15</start>
      <end>16</end>
      <status>unmodified</status>
      <modifiedWord/>
      <trackRevisions>false</trackRevisions>
    </reviewItem>
    <reviewItem>
      <errorID>558c5b50-e00e-4839-8be0-1d99cf8812c8</errorID>
      <errorWord>性均</errorWord>
      <group>L1_Word</group>
      <groupName>字词问题</groupName>
      <ability>L2_Typo</ability>
      <abilityName>字词错误</abilityName>
      <candidateList>
        <item>性</item>
      </candidateList>
      <explain/>
      <paraID>1B470031</paraID>
      <start>15</start>
      <end>17</end>
      <status>unmodified</status>
      <modifiedWord/>
      <trackRevisions>false</trackRevisions>
    </reviewItem>
    <reviewItem>
      <errorID>2415c480-3a8f-454b-998c-3b43edb520a1</errorID>
      <errorWord>题</errorWord>
      <group>L1_Word</group>
      <groupName>字词问题</groupName>
      <ability>L2_Typo</ability>
      <abilityName>字词错误</abilityName>
      <candidateList>
        <item>题具</item>
      </candidateList>
      <explain/>
      <paraID>7B609F0C</paraID>
      <start>37</start>
      <end>38</end>
      <status>unmodified</status>
      <modifiedWord/>
      <trackRevisions>false</trackRevisions>
    </reviewItem>
    <reviewItem>
      <errorID>e4eba070-1668-47e3-8655-45f90ab45c70</errorID>
      <errorWord>（</errorWord>
      <group>L1_Format</group>
      <groupName>格式问题</groupName>
      <ability>L2_HalfPunc</ability>
      <abilityName>全半角检查</abilityName>
      <candidateList>
        <item>(</item>
      </candidateList>
      <explain>文本全半角错误。</explain>
      <paraID>24A2560B</paraID>
      <start>0</start>
      <end>1</end>
      <status>unmodified</status>
      <modifiedWord/>
      <trackRevisions>false</trackRevisions>
    </reviewItem>
    <reviewItem>
      <errorID>37058942-f49f-4a6f-9a53-b01c6bcae715</errorID>
      <errorWord>）</errorWord>
      <group>L1_Format</group>
      <groupName>格式问题</groupName>
      <ability>L2_HalfPunc</ability>
      <abilityName>全半角检查</abilityName>
      <candidateList>
        <item>)</item>
      </candidateList>
      <explain>文本全半角错误。</explain>
      <paraID>24A2560B</paraID>
      <start>2</start>
      <end>3</end>
      <status>unmodified</status>
      <modifiedWord/>
      <trackRevisions>false</trackRevisions>
    </reviewItem>
    <reviewItem>
      <errorID>6e6f019d-7813-48de-8d99-38e1e31cb012</errorID>
      <errorWord>（</errorWord>
      <group>L1_Format</group>
      <groupName>格式问题</groupName>
      <ability>L2_HalfPunc</ability>
      <abilityName>全半角检查</abilityName>
      <candidateList>
        <item>(</item>
      </candidateList>
      <explain>文本全半角错误。</explain>
      <paraID> B14C622</paraID>
      <start>0</start>
      <end>1</end>
      <status>unmodified</status>
      <modifiedWord/>
      <trackRevisions>false</trackRevisions>
    </reviewItem>
    <reviewItem>
      <errorID>6246e7bf-89ca-4cbc-a84a-5010ade4ddea</errorID>
      <errorWord>）</errorWord>
      <group>L1_Format</group>
      <groupName>格式问题</groupName>
      <ability>L2_HalfPunc</ability>
      <abilityName>全半角检查</abilityName>
      <candidateList>
        <item>)</item>
      </candidateList>
      <explain>文本全半角错误。</explain>
      <paraID> B14C622</paraID>
      <start>2</start>
      <end>3</end>
      <status>unmodified</status>
      <modifiedWord/>
      <trackRevisions>false</trackRevisions>
    </reviewItem>
    <reviewItem>
      <errorID>6cfaad57-632b-4798-a5d1-b134f18e05d8</errorID>
      <errorWord>（</errorWord>
      <group>L1_Punc</group>
      <groupName>标点问题</groupName>
      <ability>L2_Punc</ability>
      <abilityName>标点符号检查</abilityName>
      <candidateList/>
      <explain>同一形式括号套用。</explain>
      <paraID>27E1502C</paraID>
      <start>58</start>
      <end>59</end>
      <status>ignored</status>
      <modifiedWord/>
      <trackRevisions>false</trackRevisions>
    </reviewItem>
    <reviewItem>
      <errorID>c273a4cc-64bc-4003-a2aa-97b1236439ad</errorID>
      <errorWord>）</errorWord>
      <group>L1_Punc</group>
      <groupName>标点问题</groupName>
      <ability>L2_Punc</ability>
      <abilityName>标点符号检查</abilityName>
      <candidateList/>
      <explain>同一形式括号套用。</explain>
      <paraID>27E1502C</paraID>
      <start>75</start>
      <end>76</end>
      <status>ignored</status>
      <modifiedWord/>
      <trackRevisions>false</trackRevisions>
    </reviewItem>
    <reviewItem>
      <errorID>077e5006-9b57-4b9c-974e-266fd4a5f945</errorID>
      <errorWord>（</errorWord>
      <group>L1_Punc</group>
      <groupName>标点问题</groupName>
      <ability>L2_Punc</ability>
      <abilityName>标点符号检查</abilityName>
      <candidateList/>
      <explain>同一形式括号套用。</explain>
      <paraID>27E1502C</paraID>
      <start>88</start>
      <end>89</end>
      <status>ignored</status>
      <modifiedWord/>
      <trackRevisions>false</trackRevisions>
    </reviewItem>
    <reviewItem>
      <errorID>7f88e1e6-81d4-4a73-82ac-eabef9ad90ab</errorID>
      <errorWord>）</errorWord>
      <group>L1_Punc</group>
      <groupName>标点问题</groupName>
      <ability>L2_Punc</ability>
      <abilityName>标点符号检查</abilityName>
      <candidateList/>
      <explain>同一形式括号套用。</explain>
      <paraID>27E1502C</paraID>
      <start>102</start>
      <end>103</end>
      <status>ignored</status>
      <modifiedWord/>
      <trackRevisions>false</trackRevisions>
    </reviewItem>
    <reviewItem>
      <errorID>6e6aa6b0-52b0-4c51-97f1-0aac0b4aa013</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27E1502C</paraID>
      <start>157</start>
      <end>159</end>
      <status>ignored</status>
      <modifiedWord/>
      <trackRevisions>false</trackRevisions>
    </reviewItem>
    <reviewItem>
      <errorID>65b7f4eb-cd91-441f-90b1-a28cd1096b19</errorID>
      <errorWord>（</errorWord>
      <group>L1_Punc</group>
      <groupName>标点问题</groupName>
      <ability>L2_Punc</ability>
      <abilityName>标点符号检查</abilityName>
      <candidateList/>
      <explain>同一形式括号套用。</explain>
      <paraID>416D2756</paraID>
      <start>32</start>
      <end>33</end>
      <status>ignored</status>
      <modifiedWord/>
      <trackRevisions>false</trackRevisions>
    </reviewItem>
    <reviewItem>
      <errorID>8c45e17e-c22b-4da6-9321-93c9c3a9d3ff</errorID>
      <errorWord>）</errorWord>
      <group>L1_Punc</group>
      <groupName>标点问题</groupName>
      <ability>L2_Punc</ability>
      <abilityName>标点符号检查</abilityName>
      <candidateList/>
      <explain>同一形式括号套用。</explain>
      <paraID>416D2756</paraID>
      <start>49</start>
      <end>50</end>
      <status>ignored</status>
      <modifiedWord/>
      <trackRevisions>false</trackRevisions>
    </reviewItem>
    <reviewItem>
      <errorID>acda8fab-9b2c-4868-a6c2-19767d377aed</errorID>
      <errorWord>（</errorWord>
      <group>L1_Punc</group>
      <groupName>标点问题</groupName>
      <ability>L2_Punc</ability>
      <abilityName>标点符号检查</abilityName>
      <candidateList/>
      <explain>同一形式括号套用。</explain>
      <paraID>416D2756</paraID>
      <start>59</start>
      <end>60</end>
      <status>ignored</status>
      <modifiedWord/>
      <trackRevisions>false</trackRevisions>
    </reviewItem>
    <reviewItem>
      <errorID>fa43963c-155e-40aa-9d91-8ffb7c1060e6</errorID>
      <errorWord>）</errorWord>
      <group>L1_Punc</group>
      <groupName>标点问题</groupName>
      <ability>L2_Punc</ability>
      <abilityName>标点符号检查</abilityName>
      <candidateList/>
      <explain>同一形式括号套用。</explain>
      <paraID>416D2756</paraID>
      <start>72</start>
      <end>73</end>
      <status>ignored</status>
      <modifiedWord/>
      <trackRevisions>false</trackRevisions>
    </reviewItem>
    <reviewItem>
      <errorID>f4f25bf2-2f9d-4484-ba35-847ab4fb2b72</errorID>
      <errorWord>（</errorWord>
      <group>L1_Punc</group>
      <groupName>标点问题</groupName>
      <ability>L2_Punc</ability>
      <abilityName>标点符号检查</abilityName>
      <candidateList/>
      <explain>同一形式括号套用。</explain>
      <paraID>416D2756</paraID>
      <start>96</start>
      <end>97</end>
      <status>ignored</status>
      <modifiedWord/>
      <trackRevisions>false</trackRevisions>
    </reviewItem>
    <reviewItem>
      <errorID>35565b85-2bd1-451b-8772-104c3a699d46</errorID>
      <errorWord>）</errorWord>
      <group>L1_Punc</group>
      <groupName>标点问题</groupName>
      <ability>L2_Punc</ability>
      <abilityName>标点符号检查</abilityName>
      <candidateList/>
      <explain>同一形式括号套用。</explain>
      <paraID>416D2756</paraID>
      <start>110</start>
      <end>111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e1a8f2-d3c0-4caf-87c2-9471c2248cf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39</Pages>
  <Words>11575</Words>
  <Characters>12065</Characters>
  <Lines>918</Lines>
  <Paragraphs>784</Paragraphs>
  <TotalTime>5</TotalTime>
  <ScaleCrop>false</ScaleCrop>
  <LinksUpToDate>false</LinksUpToDate>
  <CharactersWithSpaces>12083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2025-10-30T06:56:00Z</dcterms:created>
  <dc:creator>Administrator</dc:creator>
  <cp:lastModifiedBy>江苏招标</cp:lastModifiedBy>
  <dcterms:modified xsi:type="dcterms:W3CDTF">2025-11-25T05:09:14Z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7966D4F37086483590A3E2FF54CAB4FB_13</vt:lpwstr>
  </property>
  <property fmtid="{D5CDD505-2E9C-101B-9397-08002B2CF9AE}" pid="4" name="KSOTemplateDocerSaveRecord">
    <vt:lpwstr>eyJoZGlkIjoiZGY1MWU0NGJhMzY0ZTllNDZmMWY5NWY3Y2UzOGZhZGEiLCJ1c2VySWQiOiIyNjY5MjQ0OTgifQ==</vt:lpwstr>
  </property>
</Properties>
</file>