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0A6E03">
      <w:pPr>
        <w:widowControl/>
        <w:shd w:val="clear" w:color="auto" w:fill="FFFFFF"/>
        <w:spacing w:line="360" w:lineRule="auto"/>
        <w:jc w:val="center"/>
        <w:rPr>
          <w:rFonts w:ascii="宋体" w:hAnsi="宋体" w:cs="宋体"/>
          <w:b/>
          <w:sz w:val="52"/>
          <w:szCs w:val="52"/>
        </w:rPr>
      </w:pPr>
    </w:p>
    <w:p w14:paraId="192B4840">
      <w:pPr>
        <w:widowControl/>
        <w:shd w:val="clear" w:color="auto" w:fill="FFFFFF"/>
        <w:spacing w:line="360" w:lineRule="auto"/>
        <w:jc w:val="center"/>
        <w:rPr>
          <w:rFonts w:ascii="宋体" w:hAnsi="宋体" w:cs="宋体"/>
          <w:b/>
          <w:sz w:val="44"/>
          <w:szCs w:val="44"/>
        </w:rPr>
      </w:pPr>
      <w:r>
        <w:rPr>
          <w:rFonts w:hint="eastAsia" w:ascii="宋体" w:hAnsi="宋体" w:cs="宋体"/>
          <w:b/>
          <w:sz w:val="44"/>
          <w:szCs w:val="44"/>
        </w:rPr>
        <w:t>南京邮电大学通达学院</w:t>
      </w:r>
    </w:p>
    <w:p w14:paraId="2C7F8CF4">
      <w:pPr>
        <w:widowControl/>
        <w:shd w:val="clear" w:color="auto" w:fill="FFFFFF"/>
        <w:spacing w:line="360" w:lineRule="auto"/>
        <w:jc w:val="center"/>
        <w:rPr>
          <w:rFonts w:ascii="宋体" w:hAnsi="宋体" w:cs="宋体"/>
          <w:b/>
          <w:sz w:val="44"/>
          <w:szCs w:val="44"/>
        </w:rPr>
      </w:pPr>
      <w:r>
        <w:rPr>
          <w:rFonts w:hint="eastAsia" w:ascii="宋体" w:hAnsi="宋体" w:cs="宋体"/>
          <w:b/>
          <w:sz w:val="44"/>
          <w:szCs w:val="44"/>
        </w:rPr>
        <w:t>消控主机联网整合及消防设施改造工程</w:t>
      </w:r>
    </w:p>
    <w:p w14:paraId="344F2DFB">
      <w:pPr>
        <w:pStyle w:val="19"/>
        <w:jc w:val="center"/>
        <w:rPr>
          <w:rFonts w:ascii="宋体" w:hAnsi="宋体" w:cs="宋体"/>
        </w:rPr>
      </w:pPr>
    </w:p>
    <w:p w14:paraId="5CA3B8A5">
      <w:pPr>
        <w:pStyle w:val="19"/>
        <w:jc w:val="center"/>
        <w:rPr>
          <w:rFonts w:ascii="宋体" w:hAnsi="宋体" w:cs="宋体"/>
        </w:rPr>
      </w:pPr>
    </w:p>
    <w:p w14:paraId="0FEF7034">
      <w:pPr>
        <w:pStyle w:val="19"/>
        <w:jc w:val="center"/>
        <w:rPr>
          <w:rFonts w:ascii="宋体" w:hAnsi="宋体" w:cs="宋体"/>
        </w:rPr>
      </w:pPr>
    </w:p>
    <w:p w14:paraId="6FB041B2">
      <w:pPr>
        <w:pStyle w:val="19"/>
        <w:jc w:val="center"/>
        <w:rPr>
          <w:rFonts w:ascii="宋体" w:hAnsi="宋体" w:cs="宋体"/>
        </w:rPr>
      </w:pPr>
      <w:r>
        <w:rPr>
          <w:rFonts w:hint="eastAsia" w:ascii="宋体" w:hAnsi="宋体" w:cs="宋体"/>
        </w:rPr>
        <w:drawing>
          <wp:inline distT="0" distB="0" distL="0" distR="0">
            <wp:extent cx="1717675" cy="2131695"/>
            <wp:effectExtent l="0" t="0" r="4445" b="1905"/>
            <wp:docPr id="4" name="图片 2" descr="我的插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我的插图-1"/>
                    <pic:cNvPicPr>
                      <a:picLocks noChangeAspect="1"/>
                    </pic:cNvPicPr>
                  </pic:nvPicPr>
                  <pic:blipFill>
                    <a:blip r:embed="rId6"/>
                    <a:stretch>
                      <a:fillRect/>
                    </a:stretch>
                  </pic:blipFill>
                  <pic:spPr>
                    <a:xfrm>
                      <a:off x="0" y="0"/>
                      <a:ext cx="1717675" cy="2131695"/>
                    </a:xfrm>
                    <a:prstGeom prst="rect">
                      <a:avLst/>
                    </a:prstGeom>
                    <a:noFill/>
                    <a:ln>
                      <a:noFill/>
                    </a:ln>
                  </pic:spPr>
                </pic:pic>
              </a:graphicData>
            </a:graphic>
          </wp:inline>
        </w:drawing>
      </w:r>
    </w:p>
    <w:p w14:paraId="57D53C74">
      <w:pPr>
        <w:pStyle w:val="19"/>
        <w:jc w:val="center"/>
        <w:rPr>
          <w:rFonts w:ascii="宋体" w:hAnsi="宋体" w:cs="宋体"/>
        </w:rPr>
      </w:pPr>
    </w:p>
    <w:p w14:paraId="2A7D1279">
      <w:pPr>
        <w:widowControl/>
        <w:spacing w:line="360" w:lineRule="auto"/>
        <w:jc w:val="center"/>
        <w:rPr>
          <w:rFonts w:ascii="宋体" w:hAnsi="宋体" w:cs="宋体"/>
          <w:b/>
          <w:sz w:val="72"/>
          <w:szCs w:val="72"/>
        </w:rPr>
      </w:pPr>
      <w:r>
        <w:rPr>
          <w:rFonts w:hint="eastAsia" w:ascii="宋体" w:hAnsi="宋体" w:cs="宋体"/>
          <w:b/>
          <w:sz w:val="72"/>
          <w:szCs w:val="72"/>
        </w:rPr>
        <w:t>采 购 文 件</w:t>
      </w:r>
    </w:p>
    <w:p w14:paraId="1B3A67C1">
      <w:pPr>
        <w:pStyle w:val="297"/>
        <w:spacing w:after="149"/>
        <w:ind w:firstLine="0"/>
        <w:jc w:val="center"/>
        <w:rPr>
          <w:rFonts w:ascii="宋体" w:hAnsi="宋体" w:cs="宋体"/>
          <w:b/>
          <w:sz w:val="32"/>
          <w:szCs w:val="32"/>
        </w:rPr>
      </w:pPr>
      <w:r>
        <w:rPr>
          <w:rFonts w:hint="eastAsia" w:ascii="宋体" w:hAnsi="宋体" w:cs="宋体"/>
          <w:b/>
          <w:sz w:val="32"/>
          <w:szCs w:val="32"/>
        </w:rPr>
        <w:t>项目编号：NYCG2026-G002</w:t>
      </w:r>
    </w:p>
    <w:p w14:paraId="2AAB08A4">
      <w:pPr>
        <w:pStyle w:val="297"/>
        <w:spacing w:after="149"/>
        <w:ind w:firstLine="0"/>
        <w:jc w:val="center"/>
        <w:rPr>
          <w:rFonts w:ascii="宋体" w:hAnsi="宋体" w:cs="宋体"/>
          <w:b/>
          <w:sz w:val="32"/>
          <w:szCs w:val="32"/>
        </w:rPr>
      </w:pPr>
    </w:p>
    <w:p w14:paraId="7E7757E3">
      <w:pPr>
        <w:pStyle w:val="297"/>
        <w:spacing w:after="149"/>
        <w:ind w:firstLine="0"/>
        <w:jc w:val="center"/>
        <w:rPr>
          <w:rFonts w:ascii="宋体" w:hAnsi="宋体" w:cs="宋体"/>
          <w:b/>
          <w:sz w:val="32"/>
          <w:szCs w:val="32"/>
        </w:rPr>
      </w:pPr>
    </w:p>
    <w:p w14:paraId="43739746">
      <w:pPr>
        <w:pStyle w:val="19"/>
        <w:jc w:val="center"/>
        <w:rPr>
          <w:rFonts w:ascii="宋体" w:hAnsi="宋体" w:cs="宋体"/>
          <w:b/>
          <w:sz w:val="36"/>
          <w:szCs w:val="36"/>
        </w:rPr>
      </w:pPr>
    </w:p>
    <w:p w14:paraId="447F435A">
      <w:pPr>
        <w:widowControl/>
        <w:spacing w:line="360" w:lineRule="auto"/>
        <w:ind w:firstLine="904"/>
        <w:rPr>
          <w:rFonts w:ascii="宋体" w:hAnsi="宋体" w:cs="宋体"/>
          <w:b/>
          <w:sz w:val="36"/>
          <w:szCs w:val="36"/>
        </w:rPr>
      </w:pPr>
      <w:r>
        <w:rPr>
          <w:rFonts w:hint="eastAsia" w:ascii="宋体" w:hAnsi="宋体" w:cs="宋体"/>
          <w:b/>
          <w:sz w:val="36"/>
          <w:szCs w:val="36"/>
        </w:rPr>
        <w:t>采购人：南京邮电大学通达学院</w:t>
      </w:r>
    </w:p>
    <w:p w14:paraId="6147B540">
      <w:pPr>
        <w:widowControl/>
        <w:spacing w:line="360" w:lineRule="auto"/>
        <w:ind w:firstLine="904"/>
        <w:rPr>
          <w:rFonts w:ascii="宋体" w:hAnsi="宋体" w:cs="宋体"/>
          <w:b/>
          <w:sz w:val="36"/>
          <w:szCs w:val="36"/>
        </w:rPr>
      </w:pPr>
      <w:r>
        <w:rPr>
          <w:rFonts w:hint="eastAsia" w:ascii="宋体" w:hAnsi="宋体" w:cs="宋体"/>
          <w:b/>
          <w:sz w:val="36"/>
          <w:szCs w:val="36"/>
        </w:rPr>
        <w:t>采购代理机构：南京苏宁工程咨询有限公司</w:t>
      </w:r>
    </w:p>
    <w:p w14:paraId="17014520">
      <w:pPr>
        <w:widowControl/>
        <w:shd w:val="clear" w:color="auto" w:fill="FFFFFF"/>
        <w:spacing w:line="360" w:lineRule="auto"/>
        <w:ind w:firstLine="904"/>
        <w:rPr>
          <w:rFonts w:ascii="宋体" w:hAnsi="宋体" w:cs="宋体"/>
          <w:b/>
          <w:sz w:val="36"/>
          <w:szCs w:val="36"/>
        </w:rPr>
      </w:pPr>
      <w:r>
        <w:rPr>
          <w:rFonts w:hint="eastAsia" w:ascii="宋体" w:hAnsi="宋体" w:cs="宋体"/>
          <w:b/>
          <w:sz w:val="36"/>
          <w:szCs w:val="36"/>
        </w:rPr>
        <w:t>日期：二〇二六年</w:t>
      </w:r>
      <w:r>
        <w:rPr>
          <w:rFonts w:hint="eastAsia" w:ascii="宋体" w:hAnsi="宋体" w:cs="宋体"/>
          <w:b/>
          <w:sz w:val="36"/>
          <w:szCs w:val="36"/>
          <w:lang w:val="en-US" w:eastAsia="zh-CN"/>
        </w:rPr>
        <w:t>七</w:t>
      </w:r>
      <w:r>
        <w:rPr>
          <w:rFonts w:hint="eastAsia" w:ascii="宋体" w:hAnsi="宋体" w:cs="宋体"/>
          <w:b/>
          <w:sz w:val="36"/>
          <w:szCs w:val="36"/>
        </w:rPr>
        <w:t>月</w:t>
      </w:r>
    </w:p>
    <w:p w14:paraId="26C58D2E">
      <w:pPr>
        <w:widowControl/>
        <w:jc w:val="center"/>
        <w:rPr>
          <w:rFonts w:ascii="宋体" w:hAnsi="宋体" w:cs="宋体"/>
          <w:sz w:val="44"/>
          <w:szCs w:val="44"/>
        </w:rPr>
      </w:pPr>
      <w:r>
        <w:rPr>
          <w:rFonts w:hint="eastAsia" w:ascii="宋体" w:hAnsi="宋体" w:cs="宋体"/>
          <w:sz w:val="44"/>
          <w:szCs w:val="44"/>
        </w:rPr>
        <w:br w:type="page" w:clear="all"/>
      </w:r>
    </w:p>
    <w:p w14:paraId="03C5EC2A">
      <w:pPr>
        <w:jc w:val="center"/>
        <w:outlineLvl w:val="0"/>
        <w:rPr>
          <w:rFonts w:ascii="宋体" w:hAnsi="宋体" w:cs="宋体"/>
          <w:sz w:val="36"/>
          <w:szCs w:val="36"/>
          <w:lang w:val="zh-CN"/>
        </w:rPr>
      </w:pPr>
      <w:r>
        <w:rPr>
          <w:rFonts w:hint="eastAsia" w:ascii="宋体" w:hAnsi="宋体" w:cs="宋体"/>
          <w:b/>
          <w:bCs/>
          <w:sz w:val="28"/>
          <w:szCs w:val="28"/>
          <w:lang w:val="zh-CN"/>
        </w:rPr>
        <w:t>第一章</w:t>
      </w:r>
      <w:r>
        <w:rPr>
          <w:rFonts w:hint="eastAsia" w:ascii="宋体" w:hAnsi="宋体" w:cs="宋体"/>
          <w:b/>
          <w:bCs/>
          <w:sz w:val="28"/>
          <w:szCs w:val="28"/>
        </w:rPr>
        <w:t xml:space="preserve">  招标公告</w:t>
      </w:r>
    </w:p>
    <w:p w14:paraId="5B01C18D">
      <w:pPr>
        <w:autoSpaceDE w:val="0"/>
        <w:autoSpaceDN w:val="0"/>
        <w:spacing w:line="360" w:lineRule="auto"/>
        <w:ind w:firstLine="422" w:firstLineChars="200"/>
        <w:rPr>
          <w:rFonts w:ascii="宋体" w:hAnsi="宋体" w:cs="宋体"/>
          <w:b/>
          <w:bCs/>
          <w:color w:val="000000"/>
          <w:szCs w:val="21"/>
        </w:rPr>
      </w:pPr>
    </w:p>
    <w:p w14:paraId="6D6B2433">
      <w:pPr>
        <w:autoSpaceDE w:val="0"/>
        <w:autoSpaceDN w:val="0"/>
        <w:spacing w:line="360" w:lineRule="auto"/>
        <w:ind w:firstLine="422" w:firstLineChars="200"/>
        <w:rPr>
          <w:rFonts w:ascii="宋体" w:hAnsi="宋体" w:cs="宋体"/>
          <w:b/>
          <w:bCs/>
          <w:color w:val="000000"/>
          <w:szCs w:val="21"/>
        </w:rPr>
      </w:pPr>
      <w:r>
        <w:rPr>
          <w:rFonts w:hint="eastAsia" w:ascii="宋体" w:hAnsi="宋体" w:cs="宋体"/>
          <w:b/>
          <w:bCs/>
          <w:color w:val="000000"/>
          <w:szCs w:val="21"/>
        </w:rPr>
        <w:t>一、招标条件</w:t>
      </w:r>
    </w:p>
    <w:p w14:paraId="42589A89">
      <w:pPr>
        <w:autoSpaceDE w:val="0"/>
        <w:autoSpaceDN w:val="0"/>
        <w:spacing w:line="360" w:lineRule="auto"/>
        <w:ind w:firstLine="420" w:firstLineChars="200"/>
        <w:rPr>
          <w:rFonts w:ascii="宋体" w:hAnsi="宋体" w:cs="宋体"/>
          <w:color w:val="000000"/>
          <w:szCs w:val="21"/>
        </w:rPr>
      </w:pPr>
      <w:r>
        <w:rPr>
          <w:rFonts w:hint="eastAsia" w:ascii="宋体" w:hAnsi="宋体" w:cs="宋体"/>
          <w:color w:val="000000"/>
          <w:szCs w:val="21"/>
        </w:rPr>
        <w:t>本</w:t>
      </w:r>
      <w:r>
        <w:rPr>
          <w:rFonts w:hint="eastAsia" w:ascii="宋体" w:hAnsi="宋体" w:cs="宋体"/>
          <w:szCs w:val="21"/>
        </w:rPr>
        <w:t>南京邮电大学通达学院消控主机联网整合及消防设施改造工程</w:t>
      </w:r>
      <w:r>
        <w:rPr>
          <w:rFonts w:hint="eastAsia" w:ascii="宋体" w:hAnsi="宋体" w:cs="宋体"/>
          <w:color w:val="000000"/>
          <w:szCs w:val="21"/>
        </w:rPr>
        <w:t>已由项目审批/核准/备案机关批准，项目资金来源为自筹资金：</w:t>
      </w:r>
      <w:ins w:id="0" w:author="Nie [2]" w:date="2026-07-02T12:14:13Z">
        <w:r>
          <w:rPr>
            <w:rFonts w:hint="eastAsia" w:ascii="宋体" w:hAnsi="宋体" w:cs="宋体"/>
            <w:szCs w:val="21"/>
          </w:rPr>
          <w:t>140</w:t>
        </w:r>
      </w:ins>
      <w:ins w:id="1" w:author="Nie [2]" w:date="2026-07-02T12:14:13Z">
        <w:r>
          <w:rPr>
            <w:rFonts w:hint="eastAsia" w:ascii="宋体" w:hAnsi="宋体" w:cs="宋体"/>
            <w:szCs w:val="21"/>
            <w:lang w:val="en-US" w:eastAsia="zh-CN"/>
          </w:rPr>
          <w:t>.</w:t>
        </w:r>
      </w:ins>
      <w:ins w:id="2" w:author="Nie [2]" w:date="2026-07-02T12:14:13Z">
        <w:r>
          <w:rPr>
            <w:rFonts w:hint="eastAsia" w:ascii="宋体" w:hAnsi="宋体" w:cs="宋体"/>
            <w:szCs w:val="21"/>
          </w:rPr>
          <w:t>884855</w:t>
        </w:r>
      </w:ins>
      <w:r>
        <w:rPr>
          <w:rFonts w:hint="eastAsia" w:ascii="宋体" w:hAnsi="宋体" w:cs="宋体"/>
          <w:color w:val="000000"/>
          <w:szCs w:val="21"/>
        </w:rPr>
        <w:t>万元，采购人为南京邮电大学通达学院。本项目已具备招标条件，现招标方式为公开招标。</w:t>
      </w:r>
    </w:p>
    <w:p w14:paraId="5C2D43B9">
      <w:pPr>
        <w:spacing w:line="360" w:lineRule="auto"/>
        <w:ind w:firstLine="422" w:firstLineChars="200"/>
        <w:rPr>
          <w:rFonts w:ascii="宋体" w:hAnsi="宋体" w:cs="宋体"/>
          <w:b/>
          <w:szCs w:val="21"/>
        </w:rPr>
      </w:pPr>
      <w:r>
        <w:rPr>
          <w:rFonts w:hint="eastAsia" w:ascii="宋体" w:hAnsi="宋体" w:cs="宋体"/>
          <w:b/>
          <w:szCs w:val="21"/>
        </w:rPr>
        <w:t>二、项目概况和招标范围</w:t>
      </w:r>
    </w:p>
    <w:p w14:paraId="4739AD8A">
      <w:pPr>
        <w:tabs>
          <w:tab w:val="left" w:pos="713"/>
        </w:tabs>
        <w:spacing w:line="360" w:lineRule="auto"/>
        <w:ind w:firstLine="420" w:firstLineChars="200"/>
        <w:rPr>
          <w:rFonts w:ascii="宋体" w:hAnsi="宋体" w:cs="宋体"/>
          <w:szCs w:val="21"/>
        </w:rPr>
      </w:pPr>
      <w:r>
        <w:rPr>
          <w:rFonts w:hint="eastAsia" w:ascii="宋体" w:hAnsi="宋体" w:cs="宋体"/>
          <w:szCs w:val="21"/>
        </w:rPr>
        <w:t>1、最高限价：140</w:t>
      </w:r>
      <w:r>
        <w:rPr>
          <w:rFonts w:hint="eastAsia" w:ascii="宋体" w:hAnsi="宋体" w:cs="宋体"/>
          <w:szCs w:val="21"/>
          <w:lang w:val="en-US" w:eastAsia="zh-CN"/>
        </w:rPr>
        <w:t>.</w:t>
      </w:r>
      <w:r>
        <w:rPr>
          <w:rFonts w:hint="eastAsia" w:ascii="宋体" w:hAnsi="宋体" w:cs="宋体"/>
          <w:szCs w:val="21"/>
        </w:rPr>
        <w:t>884855万元，投标报价超过最高限价的为无效投标；</w:t>
      </w:r>
    </w:p>
    <w:p w14:paraId="0AC352AA">
      <w:pPr>
        <w:tabs>
          <w:tab w:val="left" w:pos="713"/>
        </w:tabs>
        <w:spacing w:line="360" w:lineRule="auto"/>
        <w:ind w:firstLine="420" w:firstLineChars="200"/>
        <w:rPr>
          <w:rFonts w:ascii="宋体" w:hAnsi="宋体" w:cs="宋体"/>
          <w:szCs w:val="21"/>
        </w:rPr>
      </w:pPr>
      <w:ins w:id="3" w:author="Nie [2]" w:date="2026-07-02T12:13:54Z">
        <w:r>
          <w:rPr>
            <w:rFonts w:hint="eastAsia" w:ascii="宋体" w:hAnsi="宋体" w:cs="宋体"/>
            <w:szCs w:val="21"/>
            <w:lang w:val="en-US" w:eastAsia="zh-CN"/>
          </w:rPr>
          <w:t>2</w:t>
        </w:r>
      </w:ins>
      <w:r>
        <w:rPr>
          <w:rFonts w:hint="eastAsia" w:ascii="宋体" w:hAnsi="宋体" w:cs="宋体"/>
          <w:szCs w:val="21"/>
        </w:rPr>
        <w:t>、工期：90日历天；</w:t>
      </w:r>
    </w:p>
    <w:p w14:paraId="0246FAD6">
      <w:pPr>
        <w:tabs>
          <w:tab w:val="left" w:pos="713"/>
        </w:tabs>
        <w:spacing w:line="360" w:lineRule="auto"/>
        <w:ind w:firstLine="420" w:firstLineChars="200"/>
        <w:rPr>
          <w:rFonts w:ascii="宋体" w:hAnsi="宋体" w:cs="宋体"/>
          <w:color w:val="000000"/>
          <w:szCs w:val="21"/>
        </w:rPr>
      </w:pPr>
      <w:ins w:id="4" w:author="Nie [2]" w:date="2026-07-02T12:13:57Z">
        <w:r>
          <w:rPr>
            <w:rFonts w:hint="eastAsia" w:ascii="宋体" w:hAnsi="宋体" w:cs="宋体"/>
            <w:szCs w:val="21"/>
            <w:lang w:val="en-US" w:eastAsia="zh-CN"/>
          </w:rPr>
          <w:t>3</w:t>
        </w:r>
      </w:ins>
      <w:r>
        <w:rPr>
          <w:rFonts w:hint="eastAsia" w:ascii="宋体" w:hAnsi="宋体" w:cs="宋体"/>
          <w:szCs w:val="21"/>
        </w:rPr>
        <w:t>、资金来源：</w:t>
      </w:r>
      <w:r>
        <w:rPr>
          <w:rFonts w:hint="eastAsia" w:ascii="宋体" w:hAnsi="宋体" w:cs="宋体"/>
          <w:color w:val="000000"/>
          <w:szCs w:val="21"/>
        </w:rPr>
        <w:t>自筹资金（非财政性资金）；</w:t>
      </w:r>
    </w:p>
    <w:p w14:paraId="78118442">
      <w:pPr>
        <w:pStyle w:val="46"/>
      </w:pPr>
      <w:ins w:id="5" w:author="Nie [2]" w:date="2026-07-02T12:13:59Z">
        <w:r>
          <w:rPr>
            <w:rFonts w:hint="eastAsia" w:cs="宋体"/>
            <w:color w:val="000000"/>
            <w:sz w:val="21"/>
            <w:szCs w:val="21"/>
            <w:lang w:val="en-US" w:eastAsia="zh-CN"/>
          </w:rPr>
          <w:t>4</w:t>
        </w:r>
      </w:ins>
      <w:r>
        <w:rPr>
          <w:rFonts w:hint="eastAsia" w:cs="宋体"/>
          <w:color w:val="000000"/>
          <w:sz w:val="21"/>
          <w:szCs w:val="21"/>
        </w:rPr>
        <w:t>、施工范围：南京邮电大学通达学院校园内（扬州市邗江区润扬南路33号）</w:t>
      </w:r>
    </w:p>
    <w:p w14:paraId="530BD1BD">
      <w:pPr>
        <w:tabs>
          <w:tab w:val="left" w:pos="713"/>
        </w:tabs>
        <w:spacing w:line="360" w:lineRule="auto"/>
        <w:ind w:firstLine="422" w:firstLineChars="200"/>
        <w:rPr>
          <w:rFonts w:ascii="宋体" w:hAnsi="宋体" w:cs="宋体"/>
          <w:b/>
          <w:szCs w:val="21"/>
        </w:rPr>
      </w:pPr>
      <w:r>
        <w:rPr>
          <w:rFonts w:hint="eastAsia" w:ascii="宋体" w:hAnsi="宋体" w:cs="宋体"/>
          <w:b/>
          <w:szCs w:val="21"/>
        </w:rPr>
        <w:t>三、申请人的资格要求</w:t>
      </w:r>
    </w:p>
    <w:p w14:paraId="077A1083">
      <w:pPr>
        <w:tabs>
          <w:tab w:val="left" w:pos="1487"/>
        </w:tabs>
        <w:spacing w:line="360" w:lineRule="auto"/>
        <w:ind w:firstLine="420" w:firstLineChars="200"/>
        <w:rPr>
          <w:rFonts w:ascii="宋体" w:hAnsi="宋体" w:cs="宋体"/>
          <w:szCs w:val="21"/>
        </w:rPr>
      </w:pPr>
      <w:r>
        <w:rPr>
          <w:rFonts w:hint="eastAsia" w:ascii="宋体" w:hAnsi="宋体" w:cs="宋体"/>
          <w:szCs w:val="21"/>
        </w:rPr>
        <w:t>1、具有独立承担民事责任的能力（提供法人或者其他组织的营业执照等证明文件，自然人的身份证明）；</w:t>
      </w:r>
    </w:p>
    <w:p w14:paraId="70D824B0">
      <w:pPr>
        <w:tabs>
          <w:tab w:val="left" w:pos="1487"/>
        </w:tabs>
        <w:spacing w:line="360" w:lineRule="auto"/>
        <w:ind w:firstLine="420" w:firstLineChars="200"/>
        <w:rPr>
          <w:rFonts w:ascii="宋体" w:hAnsi="宋体" w:cs="宋体"/>
          <w:szCs w:val="21"/>
        </w:rPr>
      </w:pPr>
      <w:r>
        <w:rPr>
          <w:rFonts w:hint="eastAsia" w:ascii="宋体" w:hAnsi="宋体" w:cs="宋体"/>
          <w:szCs w:val="21"/>
        </w:rPr>
        <w:t>2、具有良好的商业信誉和健全的财务会计制度（提供2024或2025年度的审计报告复印件加盖公章，或投标响应截止时间前半年内（</w:t>
      </w:r>
      <w:r>
        <w:rPr>
          <w:rFonts w:hint="eastAsia" w:ascii="宋体" w:hAnsi="宋体" w:cs="宋体"/>
          <w:szCs w:val="21"/>
          <w:lang w:eastAsia="zh-CN"/>
        </w:rPr>
        <w:t>2026年1月至2026年6月</w:t>
      </w:r>
      <w:r>
        <w:rPr>
          <w:rFonts w:hint="eastAsia" w:ascii="宋体" w:hAnsi="宋体" w:cs="宋体"/>
          <w:szCs w:val="21"/>
        </w:rPr>
        <w:t>）至少一个月的财务状况报告（至少包括资产负债表和利润表）复印件加盖公章，或投标响应截止时间前半年内（</w:t>
      </w:r>
      <w:r>
        <w:rPr>
          <w:rFonts w:hint="eastAsia" w:ascii="宋体" w:hAnsi="宋体" w:cs="宋体"/>
          <w:szCs w:val="21"/>
          <w:lang w:eastAsia="zh-CN"/>
        </w:rPr>
        <w:t>2026年1月至2026年6月</w:t>
      </w:r>
      <w:r>
        <w:rPr>
          <w:rFonts w:hint="eastAsia" w:ascii="宋体" w:hAnsi="宋体" w:cs="宋体"/>
          <w:szCs w:val="21"/>
        </w:rPr>
        <w:t>）银行出具的资信证明复印件加盖公章，或财政部门认可的专业担保机构出具的投标担保函复印件加盖公章，成立不满一个月的无须提供）；</w:t>
      </w:r>
    </w:p>
    <w:p w14:paraId="2F046F7F">
      <w:pPr>
        <w:tabs>
          <w:tab w:val="left" w:pos="1487"/>
        </w:tabs>
        <w:spacing w:line="360" w:lineRule="auto"/>
        <w:ind w:firstLine="420" w:firstLineChars="200"/>
        <w:rPr>
          <w:rFonts w:ascii="宋体" w:hAnsi="宋体" w:cs="宋体"/>
          <w:szCs w:val="21"/>
        </w:rPr>
      </w:pPr>
      <w:r>
        <w:rPr>
          <w:rFonts w:hint="eastAsia" w:ascii="宋体" w:hAnsi="宋体" w:cs="宋体"/>
          <w:szCs w:val="21"/>
        </w:rPr>
        <w:t>3、具有履行合同所必需的设备和专业技术能力（根据项目需求提供履行合同所必需的设备和专业技术能力的声明加盖供应商公章）；</w:t>
      </w:r>
    </w:p>
    <w:p w14:paraId="583622D8">
      <w:pPr>
        <w:tabs>
          <w:tab w:val="left" w:pos="1487"/>
        </w:tabs>
        <w:spacing w:line="360" w:lineRule="auto"/>
        <w:ind w:firstLine="420" w:firstLineChars="200"/>
        <w:rPr>
          <w:rFonts w:ascii="宋体" w:hAnsi="宋体" w:cs="宋体"/>
          <w:szCs w:val="21"/>
        </w:rPr>
      </w:pPr>
      <w:r>
        <w:rPr>
          <w:rFonts w:hint="eastAsia" w:ascii="宋体" w:hAnsi="宋体" w:cs="宋体"/>
          <w:szCs w:val="21"/>
        </w:rPr>
        <w:t>4、有依法缴纳税收和社会保障资金的良好记录（提供参加本次采购活动前半年内（</w:t>
      </w:r>
      <w:r>
        <w:rPr>
          <w:rFonts w:hint="eastAsia" w:ascii="宋体" w:hAnsi="宋体" w:cs="宋体"/>
          <w:szCs w:val="21"/>
          <w:lang w:eastAsia="zh-CN"/>
        </w:rPr>
        <w:t>2026年1月至2026年6月</w:t>
      </w:r>
      <w:r>
        <w:rPr>
          <w:rFonts w:hint="eastAsia" w:ascii="宋体" w:hAnsi="宋体" w:cs="宋体"/>
          <w:szCs w:val="21"/>
        </w:rPr>
        <w:t>）至少一个月依法缴纳税收（企业代缴的个人所得税除外）和社会保障资金的相关材料（提供相关主管部门证明或银行代扣证明的复印件，根据国家相关政策免缴或迟缴的需提供相关证明材料）；</w:t>
      </w:r>
    </w:p>
    <w:p w14:paraId="2FE38BCA">
      <w:pPr>
        <w:tabs>
          <w:tab w:val="left" w:pos="1487"/>
        </w:tabs>
        <w:spacing w:line="360" w:lineRule="auto"/>
        <w:ind w:firstLine="420" w:firstLineChars="200"/>
        <w:rPr>
          <w:rFonts w:ascii="宋体" w:hAnsi="宋体" w:cs="宋体"/>
          <w:szCs w:val="21"/>
        </w:rPr>
      </w:pPr>
      <w:r>
        <w:rPr>
          <w:rFonts w:hint="eastAsia" w:ascii="宋体" w:hAnsi="宋体" w:cs="宋体"/>
          <w:szCs w:val="21"/>
        </w:rPr>
        <w:t>5、参加本次采购活动前三年内，在经营活动中没有重大违法记录（提供参加本次采购活动前3年内在经营活动中没有重大违法记录的书面声明加盖供应商公章）；</w:t>
      </w:r>
    </w:p>
    <w:p w14:paraId="47769D9F">
      <w:pPr>
        <w:tabs>
          <w:tab w:val="left" w:pos="1487"/>
        </w:tabs>
        <w:spacing w:line="360" w:lineRule="auto"/>
        <w:ind w:firstLine="420" w:firstLineChars="200"/>
        <w:rPr>
          <w:rFonts w:ascii="宋体" w:hAnsi="宋体" w:cs="宋体"/>
          <w:szCs w:val="21"/>
        </w:rPr>
      </w:pPr>
      <w:r>
        <w:rPr>
          <w:rFonts w:hint="eastAsia" w:ascii="宋体" w:hAnsi="宋体" w:cs="宋体"/>
          <w:szCs w:val="21"/>
        </w:rPr>
        <w:t>6、法律、行政法规规定的其他条件：</w:t>
      </w:r>
    </w:p>
    <w:p w14:paraId="2C89C36A">
      <w:pPr>
        <w:tabs>
          <w:tab w:val="left" w:pos="1487"/>
        </w:tabs>
        <w:spacing w:line="360" w:lineRule="auto"/>
        <w:ind w:firstLine="420" w:firstLineChars="200"/>
        <w:rPr>
          <w:rFonts w:ascii="宋体" w:hAnsi="宋体" w:cs="宋体"/>
          <w:szCs w:val="21"/>
        </w:rPr>
      </w:pPr>
      <w:r>
        <w:rPr>
          <w:rFonts w:hint="eastAsia" w:ascii="宋体" w:hAnsi="宋体" w:cs="宋体"/>
          <w:szCs w:val="21"/>
        </w:rPr>
        <w:t>（1）单位负责人为同一人或者存在直接控股、管理关系的不同供应商，不得参加同一合同项下的采购活动。</w:t>
      </w:r>
    </w:p>
    <w:p w14:paraId="3C1A8D81">
      <w:pPr>
        <w:tabs>
          <w:tab w:val="left" w:pos="1487"/>
        </w:tabs>
        <w:spacing w:line="360" w:lineRule="auto"/>
        <w:ind w:firstLine="420" w:firstLineChars="200"/>
        <w:rPr>
          <w:rFonts w:ascii="宋体" w:hAnsi="宋体" w:cs="宋体"/>
          <w:szCs w:val="21"/>
        </w:rPr>
      </w:pPr>
      <w:r>
        <w:rPr>
          <w:rFonts w:hint="eastAsia" w:ascii="宋体" w:hAnsi="宋体" w:cs="宋体"/>
          <w:szCs w:val="21"/>
        </w:rPr>
        <w:t>（2）为采购项目提供整体设计、规范编制或者项目管理、监理、检测等服务的供应商，不得再参加该采购项目的其他采购活动。</w:t>
      </w:r>
    </w:p>
    <w:p w14:paraId="61B35917">
      <w:pPr>
        <w:tabs>
          <w:tab w:val="left" w:pos="1487"/>
        </w:tabs>
        <w:spacing w:line="360" w:lineRule="auto"/>
        <w:ind w:firstLine="420" w:firstLineChars="200"/>
        <w:rPr>
          <w:rFonts w:ascii="宋体" w:hAnsi="宋体" w:cs="宋体"/>
          <w:szCs w:val="21"/>
        </w:rPr>
      </w:pPr>
      <w:r>
        <w:rPr>
          <w:rFonts w:hint="eastAsia" w:ascii="宋体" w:hAnsi="宋体" w:cs="宋体"/>
          <w:szCs w:val="21"/>
        </w:rPr>
        <w:t>（3）拒绝列入失信被执行人、重大税收违法失信主体、严重违法失信行为记录名单的供应商参与采购活动。采购代理机构将在响应文件提交截止时间后，通过“信用中国”网站等渠道查询供应商信用记录并保存。</w:t>
      </w:r>
    </w:p>
    <w:p w14:paraId="386DAF48">
      <w:pPr>
        <w:tabs>
          <w:tab w:val="left" w:pos="1487"/>
        </w:tabs>
        <w:spacing w:line="360" w:lineRule="auto"/>
        <w:ind w:firstLine="420" w:firstLineChars="200"/>
        <w:rPr>
          <w:rFonts w:ascii="宋体" w:hAnsi="宋体" w:cs="宋体"/>
          <w:szCs w:val="21"/>
        </w:rPr>
      </w:pPr>
      <w:r>
        <w:rPr>
          <w:rFonts w:hint="eastAsia" w:ascii="宋体" w:hAnsi="宋体" w:cs="宋体"/>
          <w:szCs w:val="21"/>
        </w:rPr>
        <w:t>7、本项目的特定资格要求：</w:t>
      </w:r>
    </w:p>
    <w:p w14:paraId="62EA3485">
      <w:pPr>
        <w:tabs>
          <w:tab w:val="left" w:pos="1487"/>
        </w:tabs>
        <w:spacing w:line="360" w:lineRule="auto"/>
        <w:ind w:firstLine="420" w:firstLineChars="200"/>
        <w:rPr>
          <w:rFonts w:ascii="宋体" w:hAnsi="宋体" w:cs="宋体"/>
          <w:szCs w:val="21"/>
        </w:rPr>
      </w:pPr>
      <w:r>
        <w:rPr>
          <w:rFonts w:hint="eastAsia" w:ascii="宋体" w:hAnsi="宋体" w:cs="宋体"/>
          <w:szCs w:val="21"/>
        </w:rPr>
        <w:t>（1）供应商需具有专业承包消防设施工程二级(含)以上资质并且具有有效的安全生产许可证（提供有效证书复印件并加盖公章）；</w:t>
      </w:r>
    </w:p>
    <w:p w14:paraId="4DEDCA93">
      <w:pPr>
        <w:tabs>
          <w:tab w:val="left" w:pos="1487"/>
        </w:tabs>
        <w:spacing w:line="360" w:lineRule="auto"/>
        <w:ind w:firstLine="420" w:firstLineChars="200"/>
        <w:rPr>
          <w:rFonts w:ascii="宋体" w:hAnsi="宋体" w:cs="宋体"/>
          <w:szCs w:val="21"/>
        </w:rPr>
      </w:pPr>
      <w:r>
        <w:rPr>
          <w:rFonts w:hint="eastAsia" w:ascii="宋体" w:hAnsi="宋体" w:cs="宋体"/>
          <w:szCs w:val="21"/>
        </w:rPr>
        <w:t>（2）拟投入本项目负责人需具有注册建造师证机电工程二级(含)以上，并且具有有效期内的安全生产考核B证（提供有效证书复印件并加盖公章）。</w:t>
      </w:r>
    </w:p>
    <w:p w14:paraId="368157B3">
      <w:pPr>
        <w:tabs>
          <w:tab w:val="left" w:pos="1487"/>
        </w:tabs>
        <w:spacing w:line="360" w:lineRule="auto"/>
        <w:ind w:firstLine="420" w:firstLineChars="200"/>
        <w:rPr>
          <w:rFonts w:ascii="宋体" w:hAnsi="宋体" w:cs="宋体"/>
          <w:szCs w:val="21"/>
        </w:rPr>
      </w:pPr>
      <w:r>
        <w:rPr>
          <w:rFonts w:hint="eastAsia" w:ascii="宋体" w:hAnsi="宋体" w:cs="宋体"/>
          <w:szCs w:val="21"/>
        </w:rPr>
        <w:t>本项目 不允许 联合体投标。</w:t>
      </w:r>
    </w:p>
    <w:p w14:paraId="1B0E2FE4">
      <w:pPr>
        <w:tabs>
          <w:tab w:val="left" w:pos="1493"/>
        </w:tabs>
        <w:spacing w:line="360" w:lineRule="auto"/>
        <w:ind w:firstLine="422" w:firstLineChars="200"/>
        <w:rPr>
          <w:rFonts w:ascii="宋体" w:hAnsi="宋体" w:cs="宋体"/>
          <w:szCs w:val="21"/>
        </w:rPr>
      </w:pPr>
      <w:r>
        <w:rPr>
          <w:rFonts w:hint="eastAsia" w:ascii="宋体" w:hAnsi="宋体" w:cs="宋体"/>
          <w:b/>
          <w:szCs w:val="21"/>
        </w:rPr>
        <w:t>四、获取采购文件</w:t>
      </w:r>
    </w:p>
    <w:p w14:paraId="0A500AB5">
      <w:pPr>
        <w:spacing w:line="360" w:lineRule="auto"/>
        <w:ind w:firstLine="420" w:firstLineChars="200"/>
        <w:rPr>
          <w:rFonts w:ascii="宋体" w:hAnsi="宋体" w:cs="宋体"/>
          <w:szCs w:val="21"/>
        </w:rPr>
      </w:pPr>
      <w:r>
        <w:rPr>
          <w:rFonts w:hint="eastAsia" w:ascii="宋体" w:hAnsi="宋体" w:cs="宋体"/>
          <w:szCs w:val="21"/>
        </w:rPr>
        <w:t>获取时间：2026年</w:t>
      </w:r>
      <w:ins w:id="6" w:author="Nie [2]" w:date="2026-07-02T12:16:13Z">
        <w:r>
          <w:rPr>
            <w:rFonts w:hint="eastAsia" w:ascii="宋体" w:hAnsi="宋体" w:cs="宋体"/>
            <w:szCs w:val="21"/>
            <w:lang w:val="en-US" w:eastAsia="zh-CN"/>
          </w:rPr>
          <w:t>7</w:t>
        </w:r>
      </w:ins>
      <w:r>
        <w:rPr>
          <w:rFonts w:hint="eastAsia" w:ascii="宋体" w:hAnsi="宋体" w:cs="宋体"/>
          <w:szCs w:val="21"/>
        </w:rPr>
        <w:t>月</w:t>
      </w:r>
      <w:ins w:id="7" w:author="Nie [2]" w:date="2026-07-02T12:16:15Z">
        <w:r>
          <w:rPr>
            <w:rFonts w:hint="eastAsia" w:ascii="宋体" w:hAnsi="宋体" w:cs="宋体"/>
            <w:szCs w:val="21"/>
            <w:lang w:val="en-US" w:eastAsia="zh-CN"/>
          </w:rPr>
          <w:t>3</w:t>
        </w:r>
      </w:ins>
      <w:r>
        <w:rPr>
          <w:rFonts w:hint="eastAsia" w:ascii="宋体" w:hAnsi="宋体" w:cs="宋体"/>
          <w:szCs w:val="21"/>
        </w:rPr>
        <w:t>日上午09:00至2026年</w:t>
      </w:r>
      <w:ins w:id="8" w:author="Nie [2]" w:date="2026-07-02T12:16:22Z">
        <w:r>
          <w:rPr>
            <w:rFonts w:hint="eastAsia" w:ascii="宋体" w:hAnsi="宋体" w:cs="宋体"/>
            <w:szCs w:val="21"/>
            <w:lang w:val="en-US" w:eastAsia="zh-CN"/>
          </w:rPr>
          <w:t>7</w:t>
        </w:r>
      </w:ins>
      <w:r>
        <w:rPr>
          <w:rFonts w:hint="eastAsia" w:ascii="宋体" w:hAnsi="宋体" w:cs="宋体"/>
          <w:szCs w:val="21"/>
        </w:rPr>
        <w:t>月</w:t>
      </w:r>
      <w:ins w:id="9" w:author="Nie [2]" w:date="2026-07-02T12:16:27Z">
        <w:r>
          <w:rPr>
            <w:rFonts w:hint="eastAsia" w:ascii="宋体" w:hAnsi="宋体" w:cs="宋体"/>
            <w:szCs w:val="21"/>
            <w:lang w:val="en-US" w:eastAsia="zh-CN"/>
          </w:rPr>
          <w:t>9</w:t>
        </w:r>
      </w:ins>
      <w:r>
        <w:rPr>
          <w:rFonts w:hint="eastAsia" w:ascii="宋体" w:hAnsi="宋体" w:cs="宋体"/>
          <w:szCs w:val="21"/>
        </w:rPr>
        <w:t>日17:00（北京时间）</w:t>
      </w:r>
    </w:p>
    <w:p w14:paraId="3BB7832B">
      <w:pPr>
        <w:spacing w:line="360" w:lineRule="auto"/>
        <w:ind w:firstLine="420" w:firstLineChars="200"/>
        <w:rPr>
          <w:rFonts w:ascii="宋体" w:hAnsi="宋体" w:cs="宋体"/>
          <w:szCs w:val="21"/>
        </w:rPr>
      </w:pPr>
      <w:r>
        <w:rPr>
          <w:rFonts w:hint="eastAsia" w:ascii="宋体" w:hAnsi="宋体" w:cs="宋体"/>
          <w:szCs w:val="21"/>
        </w:rPr>
        <w:t>地点：南京市鼓楼区中山路99号12楼1212室</w:t>
      </w:r>
    </w:p>
    <w:p w14:paraId="0A2FD20E">
      <w:pPr>
        <w:spacing w:line="360" w:lineRule="auto"/>
        <w:ind w:firstLine="420" w:firstLineChars="200"/>
        <w:rPr>
          <w:rFonts w:ascii="宋体" w:hAnsi="宋体" w:cs="宋体"/>
          <w:szCs w:val="21"/>
        </w:rPr>
      </w:pPr>
      <w:r>
        <w:rPr>
          <w:rFonts w:hint="eastAsia" w:ascii="宋体" w:hAnsi="宋体" w:cs="宋体"/>
          <w:szCs w:val="21"/>
        </w:rPr>
        <w:t>方式：网址为：https://njsnzx.cn/#/detail?id=XXXX；凡有意参加者，请于上述时间内登录网址（免费注册）根据平台提示完成招标（采购）文件获取事宜。获取者应充分考虑所需时间，获取招标（采购）文件时间截止后不再接受提交的获取信息。平台提交为一次性工作请确认信息后再提交，若有需要查询获取状态可用注册手机号登录网址：https://njsnzx.cn/查询。请与代理机构联系获取纸质招标（采购）文件：南京市鼓楼区中山路99号12楼1212室。电子版招标（采购）文件与纸质盖章版招标（采购）文件具有同等法律效力。</w:t>
      </w:r>
    </w:p>
    <w:p w14:paraId="679A16DC">
      <w:pPr>
        <w:tabs>
          <w:tab w:val="left" w:pos="1474"/>
        </w:tabs>
        <w:spacing w:line="360" w:lineRule="auto"/>
        <w:ind w:firstLine="420" w:firstLineChars="200"/>
        <w:rPr>
          <w:rFonts w:ascii="宋体" w:hAnsi="宋体" w:cs="宋体"/>
          <w:szCs w:val="21"/>
        </w:rPr>
      </w:pPr>
      <w:r>
        <w:rPr>
          <w:rFonts w:hint="eastAsia" w:ascii="宋体" w:hAnsi="宋体" w:cs="宋体"/>
          <w:szCs w:val="21"/>
        </w:rPr>
        <w:t>未按照上述要求合法获取招标（采购）文件的，招标（采购）人将不予受理其投标（响应）。</w:t>
      </w:r>
    </w:p>
    <w:p w14:paraId="1D6BE378">
      <w:pPr>
        <w:autoSpaceDE w:val="0"/>
        <w:autoSpaceDN w:val="0"/>
        <w:spacing w:line="360" w:lineRule="auto"/>
        <w:ind w:firstLine="422" w:firstLineChars="200"/>
        <w:rPr>
          <w:rFonts w:ascii="宋体" w:hAnsi="宋体" w:cs="宋体"/>
          <w:b/>
          <w:bCs/>
          <w:color w:val="000000"/>
          <w:szCs w:val="21"/>
        </w:rPr>
      </w:pPr>
      <w:r>
        <w:rPr>
          <w:rFonts w:hint="eastAsia" w:ascii="宋体" w:hAnsi="宋体" w:cs="宋体"/>
          <w:b/>
          <w:bCs/>
          <w:color w:val="000000"/>
          <w:szCs w:val="21"/>
        </w:rPr>
        <w:t>五、投标文件的递交</w:t>
      </w:r>
    </w:p>
    <w:p w14:paraId="4F023B80">
      <w:pPr>
        <w:autoSpaceDE w:val="0"/>
        <w:autoSpaceDN w:val="0"/>
        <w:spacing w:line="360" w:lineRule="auto"/>
        <w:ind w:firstLine="420" w:firstLineChars="200"/>
        <w:rPr>
          <w:rFonts w:ascii="宋体" w:hAnsi="宋体" w:cs="宋体"/>
          <w:color w:val="000000"/>
          <w:szCs w:val="21"/>
        </w:rPr>
      </w:pPr>
      <w:r>
        <w:rPr>
          <w:rFonts w:hint="eastAsia" w:ascii="宋体" w:hAnsi="宋体" w:cs="宋体"/>
          <w:color w:val="000000"/>
          <w:szCs w:val="21"/>
        </w:rPr>
        <w:t>递交截止时间：</w:t>
      </w:r>
      <w:r>
        <w:rPr>
          <w:rFonts w:hint="eastAsia" w:ascii="宋体" w:hAnsi="宋体" w:cs="宋体"/>
          <w:b/>
          <w:bCs/>
          <w:color w:val="000000"/>
          <w:szCs w:val="21"/>
        </w:rPr>
        <w:t>2026-</w:t>
      </w:r>
      <w:ins w:id="10" w:author="Nie [2]" w:date="2026-07-02T12:16:57Z">
        <w:r>
          <w:rPr>
            <w:rFonts w:hint="eastAsia" w:ascii="宋体" w:hAnsi="宋体" w:cs="宋体"/>
            <w:b/>
            <w:bCs/>
            <w:color w:val="000000"/>
            <w:szCs w:val="21"/>
            <w:lang w:val="en-US" w:eastAsia="zh-CN"/>
          </w:rPr>
          <w:t>7</w:t>
        </w:r>
      </w:ins>
      <w:r>
        <w:rPr>
          <w:rFonts w:hint="eastAsia" w:ascii="宋体" w:hAnsi="宋体" w:cs="宋体"/>
          <w:b/>
          <w:bCs/>
          <w:color w:val="000000"/>
          <w:szCs w:val="21"/>
        </w:rPr>
        <w:t>-</w:t>
      </w:r>
      <w:ins w:id="11" w:author="Nie [2]" w:date="2026-07-02T12:16:59Z">
        <w:r>
          <w:rPr>
            <w:rFonts w:hint="eastAsia" w:ascii="宋体" w:hAnsi="宋体" w:cs="宋体"/>
            <w:b/>
            <w:bCs/>
            <w:color w:val="000000"/>
            <w:szCs w:val="21"/>
            <w:lang w:val="en-US" w:eastAsia="zh-CN"/>
          </w:rPr>
          <w:t>23</w:t>
        </w:r>
      </w:ins>
      <w:r>
        <w:rPr>
          <w:rFonts w:hint="eastAsia" w:ascii="宋体" w:hAnsi="宋体" w:cs="宋体"/>
          <w:b/>
          <w:bCs/>
          <w:color w:val="000000"/>
          <w:szCs w:val="21"/>
        </w:rPr>
        <w:t xml:space="preserve">  09:30</w:t>
      </w:r>
    </w:p>
    <w:p w14:paraId="23B16D3A">
      <w:pPr>
        <w:autoSpaceDE w:val="0"/>
        <w:autoSpaceDN w:val="0"/>
        <w:spacing w:line="360" w:lineRule="auto"/>
        <w:ind w:firstLine="420" w:firstLineChars="200"/>
        <w:rPr>
          <w:rFonts w:ascii="宋体" w:hAnsi="宋体" w:cs="宋体"/>
          <w:color w:val="000000"/>
          <w:szCs w:val="21"/>
        </w:rPr>
      </w:pPr>
      <w:r>
        <w:rPr>
          <w:rFonts w:hint="eastAsia" w:ascii="宋体" w:hAnsi="宋体" w:cs="宋体"/>
          <w:color w:val="000000"/>
          <w:szCs w:val="21"/>
        </w:rPr>
        <w:t>递交方式：南京邮电大学仙林校区行政南楼146室纸质文件递交</w:t>
      </w:r>
    </w:p>
    <w:p w14:paraId="68B807BC">
      <w:pPr>
        <w:autoSpaceDE w:val="0"/>
        <w:autoSpaceDN w:val="0"/>
        <w:spacing w:line="360" w:lineRule="auto"/>
        <w:ind w:firstLine="422" w:firstLineChars="200"/>
        <w:rPr>
          <w:rFonts w:ascii="宋体" w:hAnsi="宋体" w:cs="宋体"/>
          <w:b/>
          <w:bCs/>
          <w:color w:val="000000"/>
          <w:szCs w:val="21"/>
        </w:rPr>
      </w:pPr>
      <w:r>
        <w:rPr>
          <w:rFonts w:hint="eastAsia" w:ascii="宋体" w:hAnsi="宋体" w:cs="宋体"/>
          <w:b/>
          <w:bCs/>
          <w:color w:val="000000"/>
          <w:szCs w:val="21"/>
        </w:rPr>
        <w:t>六、开标时间及地点</w:t>
      </w:r>
    </w:p>
    <w:p w14:paraId="770DA3F1">
      <w:pPr>
        <w:autoSpaceDE w:val="0"/>
        <w:autoSpaceDN w:val="0"/>
        <w:spacing w:line="360" w:lineRule="auto"/>
        <w:ind w:firstLine="420" w:firstLineChars="200"/>
        <w:rPr>
          <w:rFonts w:ascii="宋体" w:hAnsi="宋体" w:cs="宋体"/>
          <w:color w:val="000000"/>
          <w:szCs w:val="21"/>
        </w:rPr>
      </w:pPr>
      <w:r>
        <w:rPr>
          <w:rFonts w:hint="eastAsia" w:ascii="宋体" w:hAnsi="宋体" w:cs="宋体"/>
          <w:color w:val="000000"/>
          <w:szCs w:val="21"/>
        </w:rPr>
        <w:t>开标时间：</w:t>
      </w:r>
      <w:ins w:id="12" w:author="Nie [2]" w:date="2026-07-02T12:17:06Z">
        <w:r>
          <w:rPr>
            <w:rFonts w:hint="eastAsia" w:ascii="宋体" w:hAnsi="宋体" w:cs="宋体"/>
            <w:b/>
            <w:bCs/>
            <w:color w:val="000000"/>
            <w:szCs w:val="21"/>
          </w:rPr>
          <w:t>2026-</w:t>
        </w:r>
      </w:ins>
      <w:ins w:id="13" w:author="Nie [2]" w:date="2026-07-02T12:17:06Z">
        <w:r>
          <w:rPr>
            <w:rFonts w:hint="eastAsia" w:ascii="宋体" w:hAnsi="宋体" w:cs="宋体"/>
            <w:b/>
            <w:bCs/>
            <w:color w:val="000000"/>
            <w:szCs w:val="21"/>
            <w:lang w:val="en-US" w:eastAsia="zh-CN"/>
          </w:rPr>
          <w:t>7</w:t>
        </w:r>
      </w:ins>
      <w:ins w:id="14" w:author="Nie [2]" w:date="2026-07-02T12:17:06Z">
        <w:r>
          <w:rPr>
            <w:rFonts w:hint="eastAsia" w:ascii="宋体" w:hAnsi="宋体" w:cs="宋体"/>
            <w:b/>
            <w:bCs/>
            <w:color w:val="000000"/>
            <w:szCs w:val="21"/>
          </w:rPr>
          <w:t>-</w:t>
        </w:r>
      </w:ins>
      <w:ins w:id="15" w:author="Nie [2]" w:date="2026-07-02T12:17:06Z">
        <w:r>
          <w:rPr>
            <w:rFonts w:hint="eastAsia" w:ascii="宋体" w:hAnsi="宋体" w:cs="宋体"/>
            <w:b/>
            <w:bCs/>
            <w:color w:val="000000"/>
            <w:szCs w:val="21"/>
            <w:lang w:val="en-US" w:eastAsia="zh-CN"/>
          </w:rPr>
          <w:t>23</w:t>
        </w:r>
      </w:ins>
      <w:r>
        <w:rPr>
          <w:rFonts w:hint="eastAsia" w:ascii="宋体" w:hAnsi="宋体" w:cs="宋体"/>
          <w:b/>
          <w:bCs/>
          <w:color w:val="000000"/>
          <w:szCs w:val="21"/>
        </w:rPr>
        <w:t xml:space="preserve">  09:30</w:t>
      </w:r>
    </w:p>
    <w:p w14:paraId="61573CED">
      <w:pPr>
        <w:spacing w:line="360" w:lineRule="auto"/>
        <w:ind w:firstLine="420" w:firstLineChars="200"/>
        <w:rPr>
          <w:rFonts w:ascii="宋体" w:hAnsi="宋体" w:cs="宋体"/>
          <w:szCs w:val="21"/>
        </w:rPr>
      </w:pPr>
      <w:r>
        <w:rPr>
          <w:rFonts w:hint="eastAsia" w:ascii="宋体" w:hAnsi="宋体" w:cs="宋体"/>
          <w:color w:val="000000"/>
          <w:szCs w:val="21"/>
        </w:rPr>
        <w:t>开标地点：南京邮电大学仙林校区行政南楼146室</w:t>
      </w:r>
    </w:p>
    <w:p w14:paraId="6AC92AFC">
      <w:pPr>
        <w:spacing w:line="360" w:lineRule="auto"/>
        <w:ind w:firstLine="422" w:firstLineChars="200"/>
        <w:rPr>
          <w:rFonts w:ascii="宋体" w:hAnsi="宋体" w:cs="宋体"/>
          <w:b/>
          <w:szCs w:val="21"/>
        </w:rPr>
      </w:pPr>
      <w:r>
        <w:rPr>
          <w:rFonts w:hint="eastAsia" w:ascii="宋体" w:hAnsi="宋体" w:cs="宋体"/>
          <w:b/>
          <w:szCs w:val="21"/>
        </w:rPr>
        <w:t>七、其他补充事宜</w:t>
      </w:r>
    </w:p>
    <w:p w14:paraId="4282EC0D">
      <w:pPr>
        <w:spacing w:line="360" w:lineRule="auto"/>
        <w:ind w:firstLine="420" w:firstLineChars="200"/>
        <w:rPr>
          <w:rFonts w:ascii="宋体" w:hAnsi="宋体" w:cs="宋体"/>
          <w:szCs w:val="21"/>
        </w:rPr>
      </w:pPr>
      <w:r>
        <w:rPr>
          <w:rFonts w:hint="eastAsia" w:ascii="宋体" w:hAnsi="宋体" w:cs="宋体"/>
          <w:szCs w:val="21"/>
        </w:rPr>
        <w:t>1、响应文件份数：一式伍份（壹份正本、肆份副本），电子版响应文件壹份（一般应为PDF格式、U盘形式或光盘形式，随纸质正本文件一并提交）。当纸质正本文件和电子版文件不一致时，以纸质正本文件为准。电子版文件用于存档，供应商需承担前述不一致造成的不利后果。每份纸质文件须清楚标明“正本”或“副本”字样。一旦正本和副本不符，以正本为准。</w:t>
      </w:r>
    </w:p>
    <w:p w14:paraId="33A674C8">
      <w:pPr>
        <w:spacing w:line="360" w:lineRule="auto"/>
        <w:ind w:firstLine="420" w:firstLineChars="200"/>
        <w:rPr>
          <w:rFonts w:hint="eastAsia" w:ascii="宋体" w:hAnsi="宋体" w:eastAsia="宋体" w:cs="宋体"/>
          <w:szCs w:val="21"/>
          <w:lang w:eastAsia="zh-CN"/>
        </w:rPr>
      </w:pPr>
      <w:r>
        <w:rPr>
          <w:rFonts w:hint="eastAsia" w:ascii="宋体" w:hAnsi="宋体" w:cs="宋体"/>
          <w:szCs w:val="21"/>
        </w:rPr>
        <w:t>2、踏勘现场：进校预约</w:t>
      </w:r>
      <w:ins w:id="16" w:author="Nie [2]" w:date="2026-07-02T12:17:44Z">
        <w:r>
          <w:rPr>
            <w:rFonts w:hint="eastAsia" w:ascii="宋体" w:hAnsi="宋体" w:cs="宋体"/>
            <w:szCs w:val="21"/>
            <w:lang w:val="en-US" w:eastAsia="zh-CN"/>
          </w:rPr>
          <w:t>踏勘</w:t>
        </w:r>
      </w:ins>
      <w:ins w:id="17" w:author="Nie [2]" w:date="2026-07-02T12:17:45Z">
        <w:r>
          <w:rPr>
            <w:rFonts w:hint="eastAsia" w:ascii="宋体" w:hAnsi="宋体" w:cs="宋体"/>
            <w:szCs w:val="21"/>
            <w:lang w:val="en-US" w:eastAsia="zh-CN"/>
          </w:rPr>
          <w:t>现场</w:t>
        </w:r>
      </w:ins>
      <w:r>
        <w:rPr>
          <w:rFonts w:hint="eastAsia" w:ascii="宋体" w:hAnsi="宋体" w:cs="宋体"/>
          <w:szCs w:val="21"/>
        </w:rPr>
        <w:t>方法详见第四章项目需求</w:t>
      </w:r>
      <w:ins w:id="18" w:author="Nie [2]" w:date="2026-07-02T12:17:51Z">
        <w:r>
          <w:rPr>
            <w:rFonts w:hint="eastAsia" w:ascii="宋体" w:hAnsi="宋体" w:cs="宋体"/>
            <w:szCs w:val="21"/>
            <w:lang w:eastAsia="zh-CN"/>
          </w:rPr>
          <w:t>；</w:t>
        </w:r>
      </w:ins>
      <w:ins w:id="19" w:author="Nie [2]" w:date="2026-07-02T12:18:12Z">
        <w:r>
          <w:rPr>
            <w:rFonts w:hint="eastAsia" w:cs="宋体"/>
            <w:sz w:val="21"/>
            <w:szCs w:val="21"/>
            <w:lang w:val="en-US" w:eastAsia="zh-CN"/>
          </w:rPr>
          <w:t>进校</w:t>
        </w:r>
      </w:ins>
      <w:ins w:id="20" w:author="Nie [2]" w:date="2026-07-02T12:18:18Z">
        <w:r>
          <w:rPr>
            <w:rFonts w:hint="eastAsia" w:cs="宋体"/>
            <w:sz w:val="21"/>
            <w:szCs w:val="21"/>
            <w:lang w:val="en-US" w:eastAsia="zh-CN"/>
          </w:rPr>
          <w:t>投标</w:t>
        </w:r>
      </w:ins>
      <w:ins w:id="21" w:author="Nie [2]" w:date="2026-07-02T12:17:52Z">
        <w:r>
          <w:rPr>
            <w:rFonts w:hint="eastAsia" w:cs="宋体"/>
            <w:sz w:val="21"/>
            <w:szCs w:val="21"/>
            <w:lang w:val="en-US" w:eastAsia="zh-CN"/>
          </w:rPr>
          <w:t>报备方法详见采购文件“第六章 响应文件格式及附件”。</w:t>
        </w:r>
      </w:ins>
    </w:p>
    <w:p w14:paraId="13DAF021">
      <w:pPr>
        <w:pStyle w:val="46"/>
        <w:rPr>
          <w:rFonts w:hint="eastAsia" w:cs="宋体"/>
          <w:sz w:val="21"/>
          <w:szCs w:val="21"/>
        </w:rPr>
      </w:pPr>
      <w:r>
        <w:rPr>
          <w:rFonts w:hint="eastAsia" w:ascii="宋体" w:hAnsi="宋体" w:cs="宋体"/>
          <w:szCs w:val="21"/>
        </w:rPr>
        <w:t>3、本采购公告在江苏招标采购服</w:t>
      </w:r>
      <w:r>
        <w:rPr>
          <w:rFonts w:hint="eastAsia" w:cs="宋体"/>
          <w:sz w:val="21"/>
          <w:szCs w:val="21"/>
        </w:rPr>
        <w:t>务平台（https://www.jszbcg.com/#/newindex）公示发布，敬请各供应商关注。</w:t>
      </w:r>
    </w:p>
    <w:p w14:paraId="513AE2CD">
      <w:pPr>
        <w:pStyle w:val="46"/>
        <w:rPr>
          <w:rFonts w:hint="eastAsia" w:cs="宋体"/>
          <w:sz w:val="21"/>
          <w:szCs w:val="21"/>
        </w:rPr>
      </w:pPr>
      <w:r>
        <w:rPr>
          <w:rFonts w:hint="eastAsia" w:cs="宋体"/>
          <w:sz w:val="21"/>
          <w:szCs w:val="21"/>
        </w:rPr>
        <w:t>4、公告期限：自本公告发布之日起5个工作日。</w:t>
      </w:r>
    </w:p>
    <w:p w14:paraId="5B1BB0E2">
      <w:pPr>
        <w:tabs>
          <w:tab w:val="left" w:pos="1193"/>
        </w:tabs>
        <w:spacing w:line="360" w:lineRule="auto"/>
        <w:ind w:firstLine="422" w:firstLineChars="200"/>
        <w:rPr>
          <w:rFonts w:ascii="宋体" w:hAnsi="宋体" w:cs="宋体"/>
          <w:szCs w:val="21"/>
        </w:rPr>
      </w:pPr>
      <w:r>
        <w:rPr>
          <w:rFonts w:hint="eastAsia" w:ascii="宋体" w:hAnsi="宋体" w:cs="宋体"/>
          <w:b/>
          <w:szCs w:val="21"/>
        </w:rPr>
        <w:t>八、对本次采购提出询问，请按以下方式联系。</w:t>
      </w:r>
    </w:p>
    <w:p w14:paraId="505DA2D8">
      <w:pPr>
        <w:tabs>
          <w:tab w:val="left" w:pos="1193"/>
        </w:tabs>
        <w:spacing w:line="360" w:lineRule="auto"/>
        <w:ind w:firstLine="420" w:firstLineChars="200"/>
        <w:rPr>
          <w:rFonts w:ascii="宋体" w:hAnsi="宋体" w:cs="宋体"/>
          <w:szCs w:val="21"/>
        </w:rPr>
      </w:pPr>
      <w:r>
        <w:rPr>
          <w:rFonts w:hint="eastAsia" w:ascii="宋体" w:hAnsi="宋体" w:cs="宋体"/>
          <w:szCs w:val="21"/>
        </w:rPr>
        <w:t>1、采购人信息</w:t>
      </w:r>
    </w:p>
    <w:p w14:paraId="333D2305">
      <w:pPr>
        <w:tabs>
          <w:tab w:val="left" w:pos="1193"/>
        </w:tabs>
        <w:spacing w:line="360" w:lineRule="auto"/>
        <w:ind w:firstLine="420" w:firstLineChars="200"/>
        <w:rPr>
          <w:rFonts w:ascii="宋体" w:hAnsi="宋体" w:cs="宋体"/>
          <w:szCs w:val="21"/>
        </w:rPr>
      </w:pPr>
      <w:r>
        <w:rPr>
          <w:rFonts w:hint="eastAsia" w:ascii="宋体" w:hAnsi="宋体" w:cs="宋体"/>
          <w:szCs w:val="21"/>
        </w:rPr>
        <w:t>名称：南京邮电大学通达学院</w:t>
      </w:r>
    </w:p>
    <w:p w14:paraId="4B753588">
      <w:pPr>
        <w:tabs>
          <w:tab w:val="left" w:pos="1193"/>
        </w:tabs>
        <w:spacing w:line="360" w:lineRule="auto"/>
        <w:ind w:firstLine="420" w:firstLineChars="200"/>
        <w:rPr>
          <w:rFonts w:ascii="宋体" w:hAnsi="宋体" w:cs="宋体"/>
          <w:szCs w:val="21"/>
        </w:rPr>
      </w:pPr>
      <w:r>
        <w:rPr>
          <w:rFonts w:hint="eastAsia" w:ascii="宋体" w:hAnsi="宋体" w:cs="宋体"/>
          <w:szCs w:val="21"/>
        </w:rPr>
        <w:t>地址：江苏省扬州市邗江区润扬南路33号</w:t>
      </w:r>
    </w:p>
    <w:p w14:paraId="6A937D84">
      <w:pPr>
        <w:tabs>
          <w:tab w:val="left" w:pos="1193"/>
        </w:tabs>
        <w:spacing w:line="360" w:lineRule="auto"/>
        <w:ind w:firstLine="420" w:firstLineChars="200"/>
        <w:rPr>
          <w:rFonts w:ascii="宋体" w:hAnsi="宋体" w:cs="宋体"/>
          <w:szCs w:val="21"/>
        </w:rPr>
      </w:pPr>
      <w:r>
        <w:rPr>
          <w:rFonts w:hint="eastAsia" w:ascii="宋体" w:hAnsi="宋体" w:cs="宋体"/>
          <w:szCs w:val="21"/>
        </w:rPr>
        <w:t>联系人：张老师</w:t>
      </w:r>
    </w:p>
    <w:p w14:paraId="37432C5C">
      <w:pPr>
        <w:tabs>
          <w:tab w:val="left" w:pos="1193"/>
        </w:tabs>
        <w:spacing w:line="360" w:lineRule="auto"/>
        <w:ind w:firstLine="420" w:firstLineChars="200"/>
        <w:rPr>
          <w:rFonts w:ascii="宋体" w:hAnsi="宋体" w:cs="宋体"/>
          <w:szCs w:val="21"/>
        </w:rPr>
      </w:pPr>
      <w:r>
        <w:rPr>
          <w:rFonts w:hint="eastAsia" w:ascii="宋体" w:hAnsi="宋体" w:cs="宋体"/>
          <w:szCs w:val="21"/>
        </w:rPr>
        <w:t>联系方式：025-85866541</w:t>
      </w:r>
    </w:p>
    <w:p w14:paraId="2709A57B">
      <w:pPr>
        <w:tabs>
          <w:tab w:val="left" w:pos="1193"/>
        </w:tabs>
        <w:spacing w:line="360" w:lineRule="auto"/>
        <w:ind w:firstLine="420" w:firstLineChars="200"/>
        <w:rPr>
          <w:rFonts w:ascii="宋体" w:hAnsi="宋体" w:cs="宋体"/>
          <w:szCs w:val="21"/>
        </w:rPr>
      </w:pPr>
      <w:r>
        <w:rPr>
          <w:rFonts w:hint="eastAsia" w:ascii="宋体" w:hAnsi="宋体" w:cs="宋体"/>
          <w:szCs w:val="21"/>
        </w:rPr>
        <w:t>2、采购代理机构信息</w:t>
      </w:r>
    </w:p>
    <w:p w14:paraId="381E3447">
      <w:pPr>
        <w:tabs>
          <w:tab w:val="left" w:pos="1193"/>
        </w:tabs>
        <w:spacing w:line="360" w:lineRule="auto"/>
        <w:ind w:firstLine="420" w:firstLineChars="200"/>
        <w:rPr>
          <w:rFonts w:ascii="宋体" w:hAnsi="宋体" w:cs="宋体"/>
          <w:szCs w:val="21"/>
        </w:rPr>
      </w:pPr>
      <w:r>
        <w:rPr>
          <w:rFonts w:hint="eastAsia" w:ascii="宋体" w:hAnsi="宋体" w:cs="宋体"/>
          <w:szCs w:val="21"/>
        </w:rPr>
        <w:t>名称：南京苏宁工程咨询有限公司</w:t>
      </w:r>
    </w:p>
    <w:p w14:paraId="79C86467">
      <w:pPr>
        <w:tabs>
          <w:tab w:val="left" w:pos="1193"/>
        </w:tabs>
        <w:spacing w:line="360" w:lineRule="auto"/>
        <w:ind w:firstLine="420" w:firstLineChars="200"/>
        <w:rPr>
          <w:rFonts w:ascii="宋体" w:hAnsi="宋体" w:cs="宋体"/>
          <w:szCs w:val="21"/>
        </w:rPr>
      </w:pPr>
      <w:r>
        <w:rPr>
          <w:rFonts w:hint="eastAsia" w:ascii="宋体" w:hAnsi="宋体" w:cs="宋体"/>
          <w:szCs w:val="21"/>
        </w:rPr>
        <w:t>地址：南京市鼓楼区中山路99号12楼1212室</w:t>
      </w:r>
    </w:p>
    <w:p w14:paraId="17C0B0BE">
      <w:pPr>
        <w:tabs>
          <w:tab w:val="left" w:pos="1193"/>
        </w:tabs>
        <w:spacing w:line="360" w:lineRule="auto"/>
        <w:ind w:firstLine="420" w:firstLineChars="200"/>
        <w:rPr>
          <w:rFonts w:ascii="宋体" w:hAnsi="宋体" w:cs="宋体"/>
          <w:szCs w:val="21"/>
        </w:rPr>
      </w:pPr>
      <w:r>
        <w:rPr>
          <w:rFonts w:hint="eastAsia" w:ascii="宋体" w:hAnsi="宋体" w:cs="宋体"/>
          <w:szCs w:val="21"/>
        </w:rPr>
        <w:t>联系方式：025-84205129</w:t>
      </w:r>
    </w:p>
    <w:p w14:paraId="56491D19">
      <w:pPr>
        <w:tabs>
          <w:tab w:val="left" w:pos="1193"/>
        </w:tabs>
        <w:spacing w:line="360" w:lineRule="auto"/>
        <w:ind w:firstLine="420" w:firstLineChars="200"/>
        <w:rPr>
          <w:rFonts w:ascii="宋体" w:hAnsi="宋体" w:cs="宋体"/>
          <w:szCs w:val="21"/>
        </w:rPr>
      </w:pPr>
      <w:r>
        <w:rPr>
          <w:rFonts w:hint="eastAsia" w:ascii="宋体" w:hAnsi="宋体" w:cs="宋体"/>
          <w:szCs w:val="21"/>
        </w:rPr>
        <w:t>3、项目联系方式</w:t>
      </w:r>
    </w:p>
    <w:p w14:paraId="4DEE2B23">
      <w:pPr>
        <w:tabs>
          <w:tab w:val="left" w:pos="1193"/>
        </w:tabs>
        <w:spacing w:line="360" w:lineRule="auto"/>
        <w:ind w:firstLine="420" w:firstLineChars="200"/>
        <w:rPr>
          <w:rFonts w:ascii="宋体" w:hAnsi="宋体" w:cs="宋体"/>
          <w:szCs w:val="21"/>
        </w:rPr>
      </w:pPr>
      <w:r>
        <w:rPr>
          <w:rFonts w:hint="eastAsia" w:ascii="宋体" w:hAnsi="宋体" w:cs="宋体"/>
          <w:szCs w:val="21"/>
        </w:rPr>
        <w:t>项目联系人：聂工</w:t>
      </w:r>
    </w:p>
    <w:p w14:paraId="44F9BC80">
      <w:pPr>
        <w:tabs>
          <w:tab w:val="left" w:pos="1193"/>
        </w:tabs>
        <w:spacing w:line="360" w:lineRule="auto"/>
        <w:ind w:firstLine="420" w:firstLineChars="200"/>
        <w:rPr>
          <w:rFonts w:ascii="宋体" w:hAnsi="宋体" w:cs="宋体"/>
          <w:szCs w:val="21"/>
        </w:rPr>
      </w:pPr>
      <w:r>
        <w:rPr>
          <w:rFonts w:hint="eastAsia" w:ascii="宋体" w:hAnsi="宋体" w:cs="宋体"/>
          <w:szCs w:val="21"/>
        </w:rPr>
        <w:t>电话：025-84205129</w:t>
      </w:r>
    </w:p>
    <w:p w14:paraId="3BC14BB9">
      <w:pPr>
        <w:rPr>
          <w:rFonts w:ascii="宋体" w:hAnsi="宋体" w:cs="宋体"/>
          <w:sz w:val="36"/>
          <w:szCs w:val="36"/>
          <w:lang w:val="zh-CN"/>
        </w:rPr>
      </w:pPr>
      <w:r>
        <w:rPr>
          <w:rFonts w:hint="eastAsia" w:ascii="宋体" w:hAnsi="宋体" w:cs="宋体"/>
          <w:sz w:val="36"/>
          <w:szCs w:val="36"/>
          <w:lang w:val="zh-CN"/>
        </w:rPr>
        <w:br w:type="page"/>
      </w:r>
    </w:p>
    <w:p w14:paraId="0182CE27">
      <w:pPr>
        <w:jc w:val="center"/>
        <w:outlineLvl w:val="0"/>
        <w:rPr>
          <w:rFonts w:ascii="宋体" w:hAnsi="宋体" w:cs="宋体"/>
          <w:b/>
          <w:bCs/>
          <w:sz w:val="28"/>
          <w:szCs w:val="28"/>
        </w:rPr>
      </w:pPr>
      <w:r>
        <w:rPr>
          <w:rFonts w:hint="eastAsia" w:ascii="宋体" w:hAnsi="宋体" w:cs="宋体"/>
          <w:b/>
          <w:bCs/>
          <w:sz w:val="28"/>
          <w:szCs w:val="28"/>
          <w:lang w:val="zh-CN"/>
        </w:rPr>
        <w:t>第二章</w:t>
      </w:r>
      <w:r>
        <w:rPr>
          <w:rFonts w:hint="eastAsia" w:ascii="宋体" w:hAnsi="宋体" w:cs="宋体"/>
          <w:b/>
          <w:bCs/>
          <w:sz w:val="28"/>
          <w:szCs w:val="28"/>
        </w:rPr>
        <w:t xml:space="preserve">  </w:t>
      </w:r>
      <w:r>
        <w:rPr>
          <w:rFonts w:hint="eastAsia" w:ascii="宋体" w:hAnsi="宋体" w:cs="宋体"/>
          <w:b/>
          <w:bCs/>
          <w:sz w:val="28"/>
          <w:szCs w:val="28"/>
          <w:lang w:val="zh-CN"/>
        </w:rPr>
        <w:t>供应商须知</w:t>
      </w:r>
    </w:p>
    <w:p w14:paraId="122B6EC2">
      <w:pPr>
        <w:spacing w:line="360" w:lineRule="auto"/>
        <w:ind w:firstLine="422" w:firstLineChars="200"/>
        <w:jc w:val="left"/>
        <w:rPr>
          <w:rFonts w:ascii="宋体" w:hAnsi="宋体" w:cs="宋体"/>
          <w:b/>
          <w:bCs/>
          <w:szCs w:val="21"/>
          <w:lang w:val="zh-CN"/>
        </w:rPr>
      </w:pPr>
      <w:r>
        <w:rPr>
          <w:rFonts w:hint="eastAsia" w:ascii="宋体" w:hAnsi="宋体" w:cs="宋体"/>
          <w:b/>
          <w:bCs/>
          <w:szCs w:val="21"/>
          <w:lang w:val="zh-CN"/>
        </w:rPr>
        <w:t>一、总则</w:t>
      </w:r>
    </w:p>
    <w:p w14:paraId="2744D1FC">
      <w:pPr>
        <w:spacing w:line="360" w:lineRule="auto"/>
        <w:ind w:firstLine="420" w:firstLineChars="200"/>
        <w:jc w:val="left"/>
        <w:rPr>
          <w:rFonts w:ascii="宋体" w:hAnsi="宋体" w:cs="宋体"/>
          <w:szCs w:val="21"/>
        </w:rPr>
      </w:pPr>
      <w:r>
        <w:rPr>
          <w:rFonts w:hint="eastAsia" w:ascii="宋体" w:hAnsi="宋体" w:cs="宋体"/>
          <w:szCs w:val="21"/>
        </w:rPr>
        <w:t>1</w:t>
      </w:r>
      <w:r>
        <w:rPr>
          <w:rFonts w:hint="eastAsia" w:ascii="宋体" w:hAnsi="宋体" w:cs="宋体"/>
          <w:szCs w:val="21"/>
          <w:lang w:val="en-US" w:eastAsia="zh-CN"/>
        </w:rPr>
        <w:t>.</w:t>
      </w:r>
      <w:r>
        <w:rPr>
          <w:rFonts w:hint="eastAsia" w:ascii="宋体" w:hAnsi="宋体" w:cs="宋体"/>
          <w:szCs w:val="21"/>
        </w:rPr>
        <w:t>适用法律</w:t>
      </w:r>
    </w:p>
    <w:p w14:paraId="163876CC">
      <w:pPr>
        <w:spacing w:line="360" w:lineRule="auto"/>
        <w:ind w:firstLine="420" w:firstLineChars="200"/>
        <w:jc w:val="left"/>
        <w:rPr>
          <w:rFonts w:ascii="宋体" w:hAnsi="宋体" w:cs="宋体"/>
          <w:szCs w:val="21"/>
        </w:rPr>
      </w:pPr>
      <w:r>
        <w:rPr>
          <w:rFonts w:hint="eastAsia" w:ascii="宋体" w:hAnsi="宋体" w:cs="宋体"/>
          <w:szCs w:val="21"/>
        </w:rPr>
        <w:t>1.1 《南京邮电大学校内集中采购管理实施细则（试行）》（校发〔2023〕39号）《南京邮电大学采购项目质疑答复和投诉处理实施细则（试行）》（校发〔2023〕38号）等（文件详见链接</w:t>
      </w:r>
      <w:r>
        <w:fldChar w:fldCharType="begin"/>
      </w:r>
      <w:r>
        <w:instrText xml:space="preserve"> HYPERLINK "https://zbb.njupt.edu.cn/xngzzd/index.chtml)。" </w:instrText>
      </w:r>
      <w:r>
        <w:fldChar w:fldCharType="separate"/>
      </w:r>
      <w:r>
        <w:rPr>
          <w:rStyle w:val="56"/>
          <w:rFonts w:hint="eastAsia" w:ascii="宋体" w:hAnsi="宋体" w:cs="宋体"/>
          <w:szCs w:val="21"/>
        </w:rPr>
        <w:t>https://zbb.njupt.edu.cn/xngzzd/index.chtml)。</w:t>
      </w:r>
      <w:r>
        <w:rPr>
          <w:rStyle w:val="56"/>
          <w:rFonts w:hint="eastAsia" w:ascii="宋体" w:hAnsi="宋体" w:cs="宋体"/>
          <w:szCs w:val="21"/>
        </w:rPr>
        <w:fldChar w:fldCharType="end"/>
      </w:r>
    </w:p>
    <w:p w14:paraId="0F321B75">
      <w:pPr>
        <w:spacing w:line="360" w:lineRule="auto"/>
        <w:ind w:firstLine="422" w:firstLineChars="200"/>
        <w:jc w:val="left"/>
        <w:rPr>
          <w:rFonts w:ascii="宋体" w:hAnsi="宋体" w:cs="宋体"/>
          <w:b/>
          <w:bCs/>
          <w:szCs w:val="21"/>
        </w:rPr>
      </w:pPr>
      <w:r>
        <w:rPr>
          <w:rFonts w:hint="eastAsia" w:ascii="宋体" w:hAnsi="宋体" w:cs="宋体"/>
          <w:b/>
          <w:bCs/>
          <w:szCs w:val="21"/>
          <w:lang w:val="en-US" w:eastAsia="zh-CN"/>
        </w:rPr>
        <w:t>2.</w:t>
      </w:r>
      <w:r>
        <w:rPr>
          <w:rFonts w:hint="eastAsia" w:ascii="宋体" w:hAnsi="宋体" w:cs="宋体"/>
          <w:b/>
          <w:bCs/>
          <w:szCs w:val="21"/>
        </w:rPr>
        <w:t>本项目不属于政府采购范畴，相关工作仅参照政府采购相关规定执行。</w:t>
      </w:r>
    </w:p>
    <w:p w14:paraId="10542133">
      <w:pPr>
        <w:spacing w:line="360" w:lineRule="auto"/>
        <w:ind w:firstLine="422" w:firstLineChars="200"/>
        <w:jc w:val="left"/>
        <w:rPr>
          <w:rFonts w:ascii="宋体" w:hAnsi="宋体" w:cs="宋体"/>
          <w:b/>
          <w:szCs w:val="21"/>
          <w:lang w:val="zh-CN"/>
        </w:rPr>
      </w:pPr>
      <w:r>
        <w:rPr>
          <w:rFonts w:hint="eastAsia" w:ascii="宋体" w:hAnsi="宋体" w:cs="宋体"/>
          <w:b/>
          <w:szCs w:val="21"/>
          <w:lang w:val="en-US" w:eastAsia="zh-CN"/>
        </w:rPr>
        <w:t>3.</w:t>
      </w:r>
      <w:r>
        <w:rPr>
          <w:rFonts w:hint="eastAsia" w:ascii="宋体" w:hAnsi="宋体" w:cs="宋体"/>
          <w:b/>
          <w:szCs w:val="21"/>
          <w:lang w:val="zh-CN"/>
        </w:rPr>
        <w:t>定义</w:t>
      </w:r>
    </w:p>
    <w:p w14:paraId="068A5A84">
      <w:pPr>
        <w:spacing w:line="360" w:lineRule="auto"/>
        <w:ind w:firstLine="420" w:firstLineChars="200"/>
        <w:jc w:val="left"/>
        <w:rPr>
          <w:rFonts w:ascii="宋体" w:hAnsi="宋体" w:cs="宋体"/>
          <w:szCs w:val="21"/>
          <w:lang w:val="zh-CN"/>
        </w:rPr>
      </w:pPr>
      <w:r>
        <w:rPr>
          <w:rFonts w:hint="eastAsia" w:ascii="宋体" w:hAnsi="宋体" w:cs="宋体"/>
          <w:szCs w:val="21"/>
          <w:lang w:val="en-US" w:eastAsia="zh-CN"/>
        </w:rPr>
        <w:t>3</w:t>
      </w:r>
      <w:r>
        <w:rPr>
          <w:rFonts w:hint="eastAsia" w:ascii="宋体" w:hAnsi="宋体" w:cs="宋体"/>
          <w:szCs w:val="21"/>
          <w:lang w:val="zh-CN"/>
        </w:rPr>
        <w:t>.1 “供应商”</w:t>
      </w:r>
      <w:r>
        <w:rPr>
          <w:rFonts w:hint="eastAsia" w:ascii="宋体" w:hAnsi="宋体" w:cs="宋体"/>
          <w:szCs w:val="21"/>
        </w:rPr>
        <w:t>或“投标人”</w:t>
      </w:r>
      <w:r>
        <w:rPr>
          <w:rFonts w:hint="eastAsia" w:ascii="宋体" w:hAnsi="宋体" w:cs="宋体"/>
          <w:szCs w:val="21"/>
          <w:lang w:val="zh-CN"/>
        </w:rPr>
        <w:t>是指参加投标竞争，并符合采购文件规定资格条件的法人、其他组织或者自然人。</w:t>
      </w:r>
    </w:p>
    <w:p w14:paraId="04BF1F89">
      <w:pPr>
        <w:spacing w:line="360" w:lineRule="auto"/>
        <w:ind w:firstLine="420" w:firstLineChars="200"/>
        <w:jc w:val="left"/>
        <w:rPr>
          <w:rFonts w:ascii="宋体" w:hAnsi="宋体" w:cs="宋体"/>
          <w:szCs w:val="21"/>
          <w:lang w:val="zh-CN"/>
        </w:rPr>
      </w:pPr>
      <w:r>
        <w:rPr>
          <w:rFonts w:hint="eastAsia" w:ascii="宋体" w:hAnsi="宋体" w:cs="宋体"/>
          <w:szCs w:val="21"/>
          <w:lang w:val="en-US" w:eastAsia="zh-CN"/>
        </w:rPr>
        <w:t>3</w:t>
      </w:r>
      <w:r>
        <w:rPr>
          <w:rFonts w:hint="eastAsia" w:ascii="宋体" w:hAnsi="宋体" w:cs="宋体"/>
          <w:szCs w:val="21"/>
          <w:lang w:val="zh-CN"/>
        </w:rPr>
        <w:t>.2 “</w:t>
      </w:r>
      <w:r>
        <w:rPr>
          <w:rFonts w:hint="eastAsia" w:ascii="宋体" w:hAnsi="宋体" w:cs="宋体"/>
          <w:szCs w:val="21"/>
        </w:rPr>
        <w:t>工程</w:t>
      </w:r>
      <w:r>
        <w:rPr>
          <w:rFonts w:hint="eastAsia" w:ascii="宋体" w:hAnsi="宋体" w:cs="宋体"/>
          <w:szCs w:val="21"/>
          <w:lang w:val="zh-CN"/>
        </w:rPr>
        <w:t>”是指本采购文件中所述</w:t>
      </w:r>
      <w:r>
        <w:rPr>
          <w:rFonts w:hint="eastAsia" w:ascii="宋体" w:hAnsi="宋体" w:cs="宋体"/>
          <w:szCs w:val="21"/>
        </w:rPr>
        <w:t>工程</w:t>
      </w:r>
      <w:r>
        <w:rPr>
          <w:rFonts w:hint="eastAsia" w:ascii="宋体" w:hAnsi="宋体" w:cs="宋体"/>
          <w:szCs w:val="21"/>
          <w:lang w:val="zh-CN"/>
        </w:rPr>
        <w:t>。</w:t>
      </w:r>
    </w:p>
    <w:p w14:paraId="33296EA0">
      <w:pPr>
        <w:spacing w:line="360" w:lineRule="auto"/>
        <w:ind w:firstLine="420" w:firstLineChars="200"/>
        <w:jc w:val="left"/>
        <w:rPr>
          <w:rFonts w:ascii="宋体" w:hAnsi="宋体" w:cs="宋体"/>
          <w:szCs w:val="21"/>
          <w:lang w:val="zh-CN"/>
        </w:rPr>
      </w:pPr>
      <w:r>
        <w:rPr>
          <w:rFonts w:hint="eastAsia" w:ascii="宋体" w:hAnsi="宋体" w:cs="宋体"/>
          <w:szCs w:val="21"/>
          <w:lang w:val="en-US" w:eastAsia="zh-CN"/>
        </w:rPr>
        <w:t>3</w:t>
      </w:r>
      <w:r>
        <w:rPr>
          <w:rFonts w:hint="eastAsia" w:ascii="宋体" w:hAnsi="宋体" w:cs="宋体"/>
          <w:szCs w:val="21"/>
          <w:lang w:val="zh-CN"/>
        </w:rPr>
        <w:t>.3 “用户或使用单位”是指接受服务的单位。</w:t>
      </w:r>
    </w:p>
    <w:p w14:paraId="5785B386">
      <w:pPr>
        <w:spacing w:line="360" w:lineRule="auto"/>
        <w:ind w:firstLine="422" w:firstLineChars="200"/>
        <w:jc w:val="left"/>
        <w:rPr>
          <w:rFonts w:ascii="宋体" w:hAnsi="宋体" w:cs="宋体"/>
          <w:b/>
          <w:szCs w:val="21"/>
        </w:rPr>
      </w:pPr>
      <w:r>
        <w:rPr>
          <w:rFonts w:hint="eastAsia" w:ascii="宋体" w:hAnsi="宋体" w:cs="宋体"/>
          <w:b/>
          <w:szCs w:val="21"/>
        </w:rPr>
        <w:t>二、采购文件</w:t>
      </w:r>
    </w:p>
    <w:p w14:paraId="3F44F123">
      <w:pPr>
        <w:spacing w:line="360" w:lineRule="auto"/>
        <w:ind w:firstLine="422" w:firstLineChars="200"/>
        <w:rPr>
          <w:rFonts w:ascii="宋体" w:hAnsi="宋体" w:cs="宋体"/>
          <w:b/>
          <w:szCs w:val="21"/>
          <w:lang w:val="zh-CN"/>
        </w:rPr>
      </w:pPr>
      <w:r>
        <w:rPr>
          <w:rFonts w:hint="eastAsia" w:ascii="宋体" w:hAnsi="宋体" w:cs="宋体"/>
          <w:b/>
          <w:szCs w:val="21"/>
          <w:lang w:val="zh-CN"/>
        </w:rPr>
        <w:t>4、采购文件组成</w:t>
      </w:r>
    </w:p>
    <w:p w14:paraId="6D212366">
      <w:pPr>
        <w:spacing w:line="360" w:lineRule="auto"/>
        <w:ind w:firstLine="420" w:firstLineChars="200"/>
        <w:rPr>
          <w:rFonts w:hint="eastAsia" w:ascii="宋体" w:hAnsi="宋体" w:eastAsia="宋体" w:cs="宋体"/>
          <w:szCs w:val="21"/>
          <w:lang w:eastAsia="zh-CN"/>
        </w:rPr>
      </w:pPr>
      <w:r>
        <w:rPr>
          <w:rFonts w:hint="eastAsia" w:ascii="宋体" w:hAnsi="宋体" w:cs="宋体"/>
          <w:szCs w:val="21"/>
          <w:lang w:val="zh-CN"/>
        </w:rPr>
        <w:t>4.1 采购文件组成：</w:t>
      </w:r>
      <w:r>
        <w:rPr>
          <w:rFonts w:hint="eastAsia" w:ascii="宋体" w:hAnsi="宋体" w:cs="宋体"/>
          <w:szCs w:val="21"/>
        </w:rPr>
        <w:t>招标公告</w:t>
      </w:r>
      <w:r>
        <w:rPr>
          <w:rFonts w:hint="eastAsia" w:ascii="宋体" w:hAnsi="宋体" w:cs="宋体"/>
          <w:szCs w:val="21"/>
          <w:lang w:eastAsia="zh-CN"/>
        </w:rPr>
        <w:t>、</w:t>
      </w:r>
      <w:r>
        <w:rPr>
          <w:rFonts w:hint="eastAsia" w:ascii="宋体" w:hAnsi="宋体" w:cs="宋体"/>
          <w:szCs w:val="21"/>
        </w:rPr>
        <w:t>供应商须知</w:t>
      </w:r>
      <w:r>
        <w:rPr>
          <w:rFonts w:hint="eastAsia" w:ascii="宋体" w:hAnsi="宋体" w:cs="宋体"/>
          <w:szCs w:val="21"/>
          <w:lang w:eastAsia="zh-CN"/>
        </w:rPr>
        <w:t>、</w:t>
      </w:r>
      <w:r>
        <w:rPr>
          <w:rFonts w:hint="eastAsia" w:ascii="宋体" w:hAnsi="宋体" w:cs="宋体"/>
          <w:szCs w:val="21"/>
        </w:rPr>
        <w:t>评标标准</w:t>
      </w:r>
      <w:r>
        <w:rPr>
          <w:rFonts w:hint="eastAsia" w:ascii="宋体" w:hAnsi="宋体" w:cs="宋体"/>
          <w:szCs w:val="21"/>
          <w:lang w:eastAsia="zh-CN"/>
        </w:rPr>
        <w:t>、</w:t>
      </w:r>
      <w:r>
        <w:rPr>
          <w:rFonts w:hint="eastAsia" w:ascii="宋体" w:hAnsi="宋体" w:cs="宋体"/>
          <w:szCs w:val="21"/>
        </w:rPr>
        <w:t>采购项目要求</w:t>
      </w:r>
      <w:r>
        <w:rPr>
          <w:rFonts w:hint="eastAsia" w:ascii="宋体" w:hAnsi="宋体" w:cs="宋体"/>
          <w:szCs w:val="21"/>
          <w:lang w:eastAsia="zh-CN"/>
        </w:rPr>
        <w:t>、</w:t>
      </w:r>
      <w:r>
        <w:rPr>
          <w:rFonts w:hint="eastAsia" w:ascii="宋体" w:hAnsi="宋体" w:cs="宋体"/>
          <w:szCs w:val="21"/>
        </w:rPr>
        <w:t>合同主要条款及格式</w:t>
      </w:r>
      <w:r>
        <w:rPr>
          <w:rFonts w:hint="eastAsia" w:ascii="宋体" w:hAnsi="宋体" w:cs="宋体"/>
          <w:szCs w:val="21"/>
          <w:lang w:eastAsia="zh-CN"/>
        </w:rPr>
        <w:t>、</w:t>
      </w:r>
      <w:r>
        <w:rPr>
          <w:rFonts w:hint="eastAsia" w:ascii="宋体" w:hAnsi="宋体" w:cs="宋体"/>
          <w:szCs w:val="21"/>
        </w:rPr>
        <w:t>响应文件格式及附件</w:t>
      </w:r>
      <w:r>
        <w:rPr>
          <w:rFonts w:hint="eastAsia" w:ascii="宋体" w:hAnsi="宋体" w:cs="宋体"/>
          <w:szCs w:val="21"/>
          <w:lang w:eastAsia="zh-CN"/>
        </w:rPr>
        <w:t>。</w:t>
      </w:r>
    </w:p>
    <w:p w14:paraId="2B57DF4A">
      <w:pPr>
        <w:spacing w:line="360" w:lineRule="auto"/>
        <w:ind w:firstLine="420" w:firstLineChars="200"/>
        <w:rPr>
          <w:rFonts w:ascii="宋体" w:hAnsi="宋体" w:cs="宋体"/>
          <w:szCs w:val="21"/>
          <w:lang w:val="zh-CN"/>
        </w:rPr>
      </w:pPr>
      <w:r>
        <w:rPr>
          <w:rFonts w:hint="eastAsia" w:ascii="宋体" w:hAnsi="宋体" w:cs="宋体"/>
          <w:szCs w:val="21"/>
          <w:lang w:val="zh-CN"/>
        </w:rPr>
        <w:t>4.2 采购的最小单位是包。采购</w:t>
      </w:r>
      <w:r>
        <w:rPr>
          <w:rFonts w:hint="eastAsia" w:ascii="宋体" w:hAnsi="宋体" w:cs="宋体"/>
          <w:szCs w:val="21"/>
        </w:rPr>
        <w:t>服务</w:t>
      </w:r>
      <w:r>
        <w:rPr>
          <w:rFonts w:hint="eastAsia" w:ascii="宋体" w:hAnsi="宋体" w:cs="宋体"/>
          <w:szCs w:val="21"/>
          <w:lang w:val="zh-CN"/>
        </w:rPr>
        <w:t>数量及技术要求中未分包的，供应商对要求提供的</w:t>
      </w:r>
      <w:r>
        <w:rPr>
          <w:rFonts w:hint="eastAsia" w:ascii="宋体" w:hAnsi="宋体" w:cs="宋体"/>
          <w:szCs w:val="21"/>
        </w:rPr>
        <w:t>服务</w:t>
      </w:r>
      <w:r>
        <w:rPr>
          <w:rFonts w:hint="eastAsia" w:ascii="宋体" w:hAnsi="宋体" w:cs="宋体"/>
          <w:szCs w:val="21"/>
          <w:lang w:val="zh-CN"/>
        </w:rPr>
        <w:t>不得部分投标；采购</w:t>
      </w:r>
      <w:r>
        <w:rPr>
          <w:rFonts w:hint="eastAsia" w:ascii="宋体" w:hAnsi="宋体" w:cs="宋体"/>
          <w:szCs w:val="21"/>
        </w:rPr>
        <w:t>服务</w:t>
      </w:r>
      <w:r>
        <w:rPr>
          <w:rFonts w:hint="eastAsia" w:ascii="宋体" w:hAnsi="宋体" w:cs="宋体"/>
          <w:szCs w:val="21"/>
          <w:lang w:val="zh-CN"/>
        </w:rPr>
        <w:t>数量及技术要求中已经分包的，应当以包为单位投标。</w:t>
      </w:r>
    </w:p>
    <w:p w14:paraId="651DEEA0">
      <w:pPr>
        <w:widowControl/>
        <w:spacing w:line="360" w:lineRule="auto"/>
        <w:ind w:firstLine="420" w:firstLineChars="200"/>
        <w:jc w:val="left"/>
        <w:rPr>
          <w:rFonts w:ascii="宋体" w:hAnsi="宋体" w:cs="宋体"/>
          <w:szCs w:val="21"/>
          <w:lang w:val="zh-CN"/>
        </w:rPr>
      </w:pPr>
      <w:r>
        <w:rPr>
          <w:rFonts w:hint="eastAsia" w:ascii="宋体" w:hAnsi="宋体" w:cs="宋体"/>
          <w:szCs w:val="21"/>
          <w:lang w:val="zh-CN"/>
        </w:rPr>
        <w:t>4.3 采购文件如果要求供应商提交备选投标方案的，供应商可以提交备选方案，否则，不接受备选方案。</w:t>
      </w:r>
    </w:p>
    <w:p w14:paraId="48585AAC">
      <w:pPr>
        <w:spacing w:line="360" w:lineRule="auto"/>
        <w:ind w:firstLine="422" w:firstLineChars="200"/>
        <w:rPr>
          <w:rFonts w:ascii="宋体" w:hAnsi="宋体" w:cs="宋体"/>
          <w:b/>
          <w:bCs/>
          <w:szCs w:val="21"/>
          <w:lang w:val="zh-CN"/>
        </w:rPr>
      </w:pPr>
      <w:r>
        <w:rPr>
          <w:rFonts w:hint="eastAsia" w:ascii="宋体" w:hAnsi="宋体" w:cs="宋体"/>
          <w:b/>
          <w:bCs/>
          <w:szCs w:val="21"/>
          <w:lang w:val="zh-CN"/>
        </w:rPr>
        <w:t>5.采购文件的澄清修改</w:t>
      </w:r>
    </w:p>
    <w:p w14:paraId="009B5D91">
      <w:pPr>
        <w:spacing w:line="360" w:lineRule="auto"/>
        <w:ind w:firstLine="420" w:firstLineChars="200"/>
        <w:rPr>
          <w:rFonts w:ascii="宋体" w:hAnsi="宋体" w:cs="宋体"/>
          <w:szCs w:val="21"/>
          <w:lang w:val="zh-CN"/>
        </w:rPr>
      </w:pPr>
      <w:r>
        <w:rPr>
          <w:rFonts w:hint="eastAsia" w:ascii="宋体" w:hAnsi="宋体" w:cs="宋体"/>
          <w:szCs w:val="21"/>
          <w:lang w:val="zh-CN"/>
        </w:rPr>
        <w:t>5.1 提交响应文件截止之日前，代理机构可以对已发出的采购文件进行必要的澄清或者修改，澄清或者修改的内容作为采购文件的组成部分。澄清或者修改的内容可能影响响应文件编制的，代理机构应当在提交响应文件截止之日3个工作日前，以在“江苏招标采购服务平台”发布更正公告的形式通知所有已获取采购文件的供应商，不足3个工作日的，应当顺延提交响应文件截止之日。</w:t>
      </w:r>
    </w:p>
    <w:p w14:paraId="6361386C">
      <w:pPr>
        <w:spacing w:line="360" w:lineRule="auto"/>
        <w:ind w:firstLine="420" w:firstLineChars="200"/>
        <w:rPr>
          <w:rFonts w:ascii="宋体" w:hAnsi="宋体" w:cs="宋体"/>
          <w:szCs w:val="21"/>
        </w:rPr>
      </w:pPr>
      <w:r>
        <w:rPr>
          <w:rFonts w:hint="eastAsia" w:ascii="宋体" w:hAnsi="宋体" w:cs="宋体"/>
          <w:szCs w:val="21"/>
          <w:lang w:val="zh-CN"/>
        </w:rPr>
        <w:t>5.2 代理机构在采购文件要求提交响应文件截止时间前，有权决定延长投标截止时间和开标时间，并</w:t>
      </w:r>
      <w:r>
        <w:rPr>
          <w:rFonts w:hint="eastAsia" w:ascii="宋体" w:hAnsi="宋体" w:cs="宋体"/>
          <w:szCs w:val="21"/>
        </w:rPr>
        <w:t>在原采购信息发布媒体上发布更正公告。</w:t>
      </w:r>
    </w:p>
    <w:p w14:paraId="23BE82A5">
      <w:pPr>
        <w:spacing w:line="360" w:lineRule="auto"/>
        <w:ind w:firstLine="420" w:firstLineChars="200"/>
        <w:rPr>
          <w:rFonts w:ascii="宋体" w:hAnsi="宋体" w:cs="宋体"/>
          <w:szCs w:val="21"/>
          <w:lang w:val="zh-CN"/>
        </w:rPr>
      </w:pPr>
      <w:r>
        <w:rPr>
          <w:rFonts w:hint="eastAsia" w:ascii="宋体" w:hAnsi="宋体" w:cs="宋体"/>
          <w:szCs w:val="21"/>
        </w:rPr>
        <w:t>5</w:t>
      </w:r>
      <w:r>
        <w:rPr>
          <w:rFonts w:hint="eastAsia" w:ascii="宋体" w:hAnsi="宋体" w:cs="宋体"/>
          <w:szCs w:val="21"/>
          <w:lang w:val="zh-CN"/>
        </w:rPr>
        <w:t>.3 供应商应在投标截止时间前关注“江苏招标采购服务平台”</w:t>
      </w:r>
      <w:r>
        <w:rPr>
          <w:rFonts w:hint="eastAsia" w:ascii="宋体" w:hAnsi="宋体" w:cs="宋体"/>
          <w:szCs w:val="21"/>
        </w:rPr>
        <w:t>上</w:t>
      </w:r>
      <w:r>
        <w:rPr>
          <w:rFonts w:hint="eastAsia" w:ascii="宋体" w:hAnsi="宋体" w:cs="宋体"/>
          <w:szCs w:val="21"/>
          <w:lang w:val="zh-CN"/>
        </w:rPr>
        <w:t>有关本采购项目有无更正公告。</w:t>
      </w:r>
    </w:p>
    <w:p w14:paraId="5EA6B919">
      <w:pPr>
        <w:spacing w:line="360" w:lineRule="auto"/>
        <w:ind w:firstLine="422" w:firstLineChars="200"/>
        <w:rPr>
          <w:rFonts w:ascii="宋体" w:hAnsi="宋体" w:cs="宋体"/>
          <w:b/>
          <w:bCs/>
          <w:szCs w:val="21"/>
          <w:lang w:val="zh-CN"/>
        </w:rPr>
      </w:pPr>
      <w:r>
        <w:rPr>
          <w:rFonts w:hint="eastAsia" w:ascii="宋体" w:hAnsi="宋体" w:cs="宋体"/>
          <w:b/>
          <w:bCs/>
          <w:szCs w:val="21"/>
          <w:lang w:val="zh-CN"/>
        </w:rPr>
        <w:t>三、投标</w:t>
      </w:r>
    </w:p>
    <w:p w14:paraId="3D17E706">
      <w:pPr>
        <w:spacing w:line="360" w:lineRule="auto"/>
        <w:ind w:firstLine="422" w:firstLineChars="200"/>
        <w:rPr>
          <w:rFonts w:ascii="宋体" w:hAnsi="宋体" w:cs="宋体"/>
          <w:b/>
          <w:bCs/>
          <w:szCs w:val="21"/>
          <w:lang w:val="zh-CN"/>
        </w:rPr>
      </w:pPr>
      <w:r>
        <w:rPr>
          <w:rFonts w:hint="eastAsia" w:ascii="宋体" w:hAnsi="宋体" w:cs="宋体"/>
          <w:b/>
          <w:bCs/>
          <w:szCs w:val="21"/>
          <w:lang w:val="zh-CN"/>
        </w:rPr>
        <w:t>6.响应文件的语言、计量单位、货币、技术标准和编制</w:t>
      </w:r>
    </w:p>
    <w:p w14:paraId="59069D15">
      <w:pPr>
        <w:spacing w:line="360" w:lineRule="auto"/>
        <w:ind w:firstLine="420" w:firstLineChars="200"/>
        <w:rPr>
          <w:rFonts w:ascii="宋体" w:hAnsi="宋体" w:cs="宋体"/>
          <w:szCs w:val="21"/>
          <w:lang w:val="zh-CN"/>
        </w:rPr>
      </w:pPr>
      <w:r>
        <w:rPr>
          <w:rFonts w:hint="eastAsia" w:ascii="宋体" w:hAnsi="宋体" w:cs="宋体"/>
          <w:szCs w:val="21"/>
          <w:lang w:val="zh-CN"/>
        </w:rPr>
        <w:t>6.1 供应商提交的响应文件、技术文件和资料，包括图纸中的说明，以及供应商与代理机构就有关投标的所有来往函电均应使用中文。响应文件中若有英文或其他语言文字的资料，应提供相应的中文翻译资料。对不同文本响应文件的解释发生异议的，以中文文本为准。</w:t>
      </w:r>
    </w:p>
    <w:p w14:paraId="6DC5088A">
      <w:pPr>
        <w:spacing w:line="360" w:lineRule="auto"/>
        <w:ind w:firstLine="420" w:firstLineChars="200"/>
        <w:rPr>
          <w:rFonts w:ascii="宋体" w:hAnsi="宋体" w:cs="宋体"/>
          <w:szCs w:val="21"/>
          <w:lang w:val="zh-CN"/>
        </w:rPr>
      </w:pPr>
      <w:r>
        <w:rPr>
          <w:rFonts w:hint="eastAsia" w:ascii="宋体" w:hAnsi="宋体" w:cs="宋体"/>
          <w:szCs w:val="21"/>
          <w:lang w:val="zh-CN"/>
        </w:rPr>
        <w:t>6.2 供应商所使用的计量单位应为国家法定计量单位。</w:t>
      </w:r>
    </w:p>
    <w:p w14:paraId="3AE59523">
      <w:pPr>
        <w:spacing w:line="360" w:lineRule="auto"/>
        <w:ind w:firstLine="420" w:firstLineChars="200"/>
        <w:rPr>
          <w:rFonts w:ascii="宋体" w:hAnsi="宋体" w:cs="宋体"/>
          <w:szCs w:val="21"/>
          <w:lang w:val="zh-CN"/>
        </w:rPr>
      </w:pPr>
      <w:r>
        <w:rPr>
          <w:rFonts w:hint="eastAsia" w:ascii="宋体" w:hAnsi="宋体" w:cs="宋体"/>
          <w:szCs w:val="21"/>
          <w:lang w:val="zh-CN"/>
        </w:rPr>
        <w:t>6.3 供应商应用人民币报价。</w:t>
      </w:r>
    </w:p>
    <w:p w14:paraId="14973510">
      <w:pPr>
        <w:spacing w:line="360" w:lineRule="auto"/>
        <w:ind w:firstLine="420" w:firstLineChars="200"/>
        <w:rPr>
          <w:rFonts w:ascii="宋体" w:hAnsi="宋体" w:cs="宋体"/>
          <w:szCs w:val="21"/>
          <w:lang w:val="zh-CN"/>
        </w:rPr>
      </w:pPr>
      <w:r>
        <w:rPr>
          <w:rFonts w:hint="eastAsia" w:ascii="宋体" w:hAnsi="宋体" w:cs="宋体"/>
          <w:szCs w:val="21"/>
          <w:lang w:val="zh-CN"/>
        </w:rPr>
        <w:t>6.4 响应文件应字迹清楚、内容齐全、不得涂改。如有修改，修改处须有响应文件签署人签字或加盖公章。</w:t>
      </w:r>
    </w:p>
    <w:p w14:paraId="07DB5605">
      <w:pPr>
        <w:spacing w:line="360" w:lineRule="auto"/>
        <w:ind w:firstLine="420" w:firstLineChars="200"/>
        <w:rPr>
          <w:rFonts w:ascii="宋体" w:hAnsi="宋体" w:cs="宋体"/>
          <w:szCs w:val="21"/>
          <w:lang w:val="zh-CN"/>
        </w:rPr>
      </w:pPr>
      <w:r>
        <w:rPr>
          <w:rFonts w:hint="eastAsia" w:ascii="宋体" w:hAnsi="宋体" w:cs="宋体"/>
          <w:szCs w:val="21"/>
          <w:lang w:val="zh-CN"/>
        </w:rPr>
        <w:t>6.5 响应文件应按照采购文件规定的顺序，统一用A4规格幅面双面打印、装订成册并编制目录，由于编排混乱导致响应文件被误读或查找不到，责任由供应商承担。</w:t>
      </w:r>
    </w:p>
    <w:p w14:paraId="047FC1EE">
      <w:pPr>
        <w:spacing w:line="360" w:lineRule="auto"/>
        <w:ind w:firstLine="420" w:firstLineChars="200"/>
        <w:rPr>
          <w:rFonts w:ascii="宋体" w:hAnsi="宋体" w:cs="宋体"/>
          <w:szCs w:val="21"/>
          <w:lang w:val="zh-CN"/>
        </w:rPr>
      </w:pPr>
      <w:r>
        <w:rPr>
          <w:rFonts w:hint="eastAsia" w:ascii="宋体" w:hAnsi="宋体" w:cs="宋体"/>
          <w:szCs w:val="21"/>
          <w:lang w:val="zh-CN"/>
        </w:rPr>
        <w:t>6.6 响应文件应逐页编码，不得跳页（包括但不限于证明材料、声明及产品介绍、彩页等）。</w:t>
      </w:r>
    </w:p>
    <w:p w14:paraId="343F7F35">
      <w:pPr>
        <w:spacing w:line="360" w:lineRule="auto"/>
        <w:ind w:firstLine="420" w:firstLineChars="200"/>
        <w:rPr>
          <w:rFonts w:ascii="宋体" w:hAnsi="宋体" w:cs="宋体"/>
          <w:szCs w:val="21"/>
          <w:lang w:val="zh-CN"/>
        </w:rPr>
      </w:pPr>
      <w:r>
        <w:rPr>
          <w:rFonts w:hint="eastAsia" w:ascii="宋体" w:hAnsi="宋体" w:cs="宋体"/>
          <w:szCs w:val="21"/>
          <w:lang w:val="zh-CN"/>
        </w:rPr>
        <w:t>6.7 供应商应在响应文件中写清相应的项目编号、项目名称、供应商全称、地址、电话、传真等。</w:t>
      </w:r>
    </w:p>
    <w:p w14:paraId="02FFF37E">
      <w:pPr>
        <w:spacing w:line="360" w:lineRule="auto"/>
        <w:ind w:firstLine="420" w:firstLineChars="200"/>
        <w:rPr>
          <w:rFonts w:ascii="宋体" w:hAnsi="宋体" w:cs="宋体"/>
          <w:szCs w:val="21"/>
          <w:lang w:val="zh-CN"/>
        </w:rPr>
      </w:pPr>
      <w:r>
        <w:rPr>
          <w:rFonts w:hint="eastAsia" w:ascii="宋体" w:hAnsi="宋体" w:cs="宋体"/>
          <w:szCs w:val="21"/>
          <w:lang w:val="zh-CN"/>
        </w:rPr>
        <w:t>6.8 供应商所使用的技术标准应遵循国家最新标准及规范。</w:t>
      </w:r>
    </w:p>
    <w:p w14:paraId="302CD715">
      <w:pPr>
        <w:spacing w:line="360" w:lineRule="auto"/>
        <w:ind w:firstLine="422" w:firstLineChars="200"/>
        <w:rPr>
          <w:rFonts w:ascii="宋体" w:hAnsi="宋体" w:cs="宋体"/>
          <w:b/>
          <w:bCs/>
          <w:szCs w:val="21"/>
        </w:rPr>
      </w:pPr>
      <w:r>
        <w:rPr>
          <w:rFonts w:hint="eastAsia" w:ascii="宋体" w:hAnsi="宋体" w:cs="宋体"/>
          <w:b/>
          <w:szCs w:val="21"/>
          <w:lang w:val="zh-CN"/>
        </w:rPr>
        <w:t>7</w:t>
      </w:r>
      <w:r>
        <w:rPr>
          <w:rFonts w:hint="eastAsia" w:ascii="宋体" w:hAnsi="宋体" w:cs="宋体"/>
          <w:b/>
          <w:bCs/>
          <w:szCs w:val="21"/>
          <w:lang w:val="zh-CN"/>
        </w:rPr>
        <w:t>.联合</w:t>
      </w:r>
      <w:r>
        <w:rPr>
          <w:rFonts w:hint="eastAsia" w:ascii="宋体" w:hAnsi="宋体" w:cs="宋体"/>
          <w:b/>
          <w:bCs/>
          <w:szCs w:val="21"/>
        </w:rPr>
        <w:t>体及分包：本项目不接受联合体投标，不接受分包、转包。</w:t>
      </w:r>
    </w:p>
    <w:p w14:paraId="4343FDD9">
      <w:pPr>
        <w:spacing w:line="360" w:lineRule="auto"/>
        <w:ind w:firstLine="422" w:firstLineChars="200"/>
        <w:rPr>
          <w:rFonts w:ascii="宋体" w:hAnsi="宋体" w:cs="宋体"/>
          <w:b/>
          <w:bCs/>
          <w:szCs w:val="21"/>
          <w:lang w:val="zh-CN"/>
        </w:rPr>
      </w:pPr>
      <w:r>
        <w:rPr>
          <w:rFonts w:hint="eastAsia" w:ascii="宋体" w:hAnsi="宋体" w:cs="宋体"/>
          <w:b/>
          <w:bCs/>
          <w:szCs w:val="21"/>
          <w:lang w:val="zh-CN"/>
        </w:rPr>
        <w:t>8.投标费用</w:t>
      </w:r>
    </w:p>
    <w:p w14:paraId="226E47AC">
      <w:pPr>
        <w:spacing w:line="360" w:lineRule="auto"/>
        <w:ind w:firstLine="420" w:firstLineChars="200"/>
        <w:jc w:val="left"/>
        <w:rPr>
          <w:rFonts w:ascii="宋体" w:hAnsi="宋体" w:cs="宋体"/>
          <w:szCs w:val="21"/>
        </w:rPr>
      </w:pPr>
      <w:r>
        <w:rPr>
          <w:rFonts w:hint="eastAsia" w:ascii="宋体" w:hAnsi="宋体" w:cs="宋体"/>
          <w:szCs w:val="21"/>
        </w:rPr>
        <w:t>8.1 供应商应承担所有与准备和参加投标有关的费用，无论采购结果如何，代理机构和采购人在任何情况下均无义务和责任承担这些费用。</w:t>
      </w:r>
    </w:p>
    <w:p w14:paraId="7BC06327">
      <w:pPr>
        <w:spacing w:line="360" w:lineRule="auto"/>
        <w:ind w:firstLine="420" w:firstLineChars="200"/>
        <w:rPr>
          <w:rFonts w:ascii="宋体" w:hAnsi="宋体" w:cs="宋体"/>
          <w:szCs w:val="21"/>
        </w:rPr>
      </w:pPr>
      <w:r>
        <w:rPr>
          <w:rFonts w:hint="eastAsia" w:ascii="宋体" w:hAnsi="宋体" w:cs="宋体"/>
          <w:szCs w:val="21"/>
        </w:rPr>
        <w:t>8.2 本项目代理费由社会代理机构向中标（成交）供应商收取，供应商报价应当包含代理费。中标（成交）供应商须在规定时间内向社会代理机构一次性缴清代理费。</w:t>
      </w:r>
    </w:p>
    <w:p w14:paraId="1EA8CEEC">
      <w:pPr>
        <w:spacing w:line="360" w:lineRule="auto"/>
        <w:ind w:firstLine="420" w:firstLineChars="200"/>
        <w:rPr>
          <w:rFonts w:ascii="宋体" w:hAnsi="宋体" w:cs="宋体"/>
          <w:szCs w:val="21"/>
        </w:rPr>
      </w:pPr>
      <w:r>
        <w:rPr>
          <w:rFonts w:hint="eastAsia" w:ascii="宋体" w:hAnsi="宋体" w:cs="宋体"/>
          <w:szCs w:val="21"/>
        </w:rPr>
        <w:t>8.3代理费标准由采购人公开遴选确定，具体标准为按照国家发展和改革委员会下发的《关于降低部分建设项目收费标准规范收费行为等有关问题的通知》（发改价格〔2011〕534 号）所列代理费收费标准下浮48%（优惠率）收取。代理费包括所供服务相关的所有费用，工程类采购代理项目服务费包含编制工程量清单、确定控制价等所有费用。</w:t>
      </w:r>
    </w:p>
    <w:p w14:paraId="4D170209">
      <w:pPr>
        <w:spacing w:line="360" w:lineRule="auto"/>
        <w:ind w:firstLine="420" w:firstLineChars="200"/>
        <w:rPr>
          <w:rFonts w:ascii="宋体" w:hAnsi="宋体" w:cs="宋体"/>
          <w:szCs w:val="21"/>
        </w:rPr>
      </w:pPr>
      <w:r>
        <w:rPr>
          <w:rFonts w:hint="eastAsia" w:ascii="宋体" w:hAnsi="宋体" w:cs="宋体"/>
          <w:szCs w:val="21"/>
        </w:rPr>
        <w:t>8.4保底代理费：社会代理机构完成单个委托项目最低的收费。社会代理机构按照中标（成交）的服务费下浮比例计算收取代理费，若单个项目按照以上标准计算低于保底代理费（如下）时，按照保底代理费收取。货物类、服务类项目保底代理费为 4000 元，工程类项目保底代理费为 5000 元。</w:t>
      </w:r>
    </w:p>
    <w:p w14:paraId="06B5E5FF">
      <w:pPr>
        <w:spacing w:line="360" w:lineRule="auto"/>
        <w:ind w:firstLine="422" w:firstLineChars="200"/>
        <w:rPr>
          <w:rFonts w:ascii="宋体" w:hAnsi="宋体" w:cs="宋体"/>
          <w:b/>
          <w:bCs/>
          <w:szCs w:val="21"/>
          <w:lang w:val="zh-CN"/>
        </w:rPr>
      </w:pPr>
      <w:r>
        <w:rPr>
          <w:rFonts w:hint="eastAsia" w:ascii="宋体" w:hAnsi="宋体" w:cs="宋体"/>
          <w:b/>
          <w:bCs/>
          <w:szCs w:val="21"/>
          <w:lang w:val="zh-CN"/>
        </w:rPr>
        <w:t>9.响应文件组成</w:t>
      </w:r>
    </w:p>
    <w:p w14:paraId="0B450922">
      <w:pPr>
        <w:spacing w:line="360" w:lineRule="auto"/>
        <w:ind w:firstLine="420" w:firstLineChars="200"/>
        <w:rPr>
          <w:rFonts w:ascii="宋体" w:hAnsi="宋体" w:cs="宋体"/>
          <w:szCs w:val="21"/>
          <w:lang w:val="zh-CN"/>
        </w:rPr>
      </w:pPr>
      <w:r>
        <w:rPr>
          <w:rFonts w:hint="eastAsia" w:ascii="宋体" w:hAnsi="宋体" w:cs="宋体"/>
          <w:szCs w:val="21"/>
          <w:lang w:val="zh-CN"/>
        </w:rPr>
        <w:t xml:space="preserve">9.1 </w:t>
      </w:r>
      <w:r>
        <w:rPr>
          <w:rFonts w:hint="eastAsia" w:ascii="宋体" w:hAnsi="宋体" w:cs="宋体"/>
          <w:szCs w:val="21"/>
        </w:rPr>
        <w:t>供应商应当根据采购文件要求编制响应文件，响应文件应对采购文件提出的要求和条件作出实质性响应</w:t>
      </w:r>
      <w:r>
        <w:rPr>
          <w:rFonts w:hint="eastAsia" w:ascii="宋体" w:hAnsi="宋体" w:cs="宋体"/>
          <w:szCs w:val="21"/>
          <w:lang w:val="zh-CN"/>
        </w:rPr>
        <w:t>，并在《商务条款偏离表》和《技术条款偏离表》《资格性和符合性审查响应对照表》等处</w:t>
      </w:r>
      <w:r>
        <w:rPr>
          <w:rFonts w:hint="eastAsia" w:ascii="宋体" w:hAnsi="宋体" w:cs="宋体"/>
          <w:szCs w:val="21"/>
        </w:rPr>
        <w:t>逐条标明满足与否。</w:t>
      </w:r>
      <w:r>
        <w:rPr>
          <w:rFonts w:hint="eastAsia" w:ascii="宋体" w:hAnsi="宋体" w:cs="宋体"/>
          <w:szCs w:val="21"/>
          <w:lang w:val="zh-CN"/>
        </w:rPr>
        <w:t>对带 “★”的技术条款必须在响应文件中提供技术支持资料（如白皮书、彩页、手册、检测报告等），未提供技术支持资料的，评审时不予认可（采购需求中另有规定的从其规定）。</w:t>
      </w:r>
    </w:p>
    <w:p w14:paraId="727C183E">
      <w:pPr>
        <w:spacing w:line="360" w:lineRule="auto"/>
        <w:ind w:firstLine="420" w:firstLineChars="200"/>
        <w:rPr>
          <w:rFonts w:ascii="宋体" w:hAnsi="宋体" w:cs="宋体"/>
          <w:b/>
          <w:szCs w:val="21"/>
        </w:rPr>
      </w:pPr>
      <w:r>
        <w:rPr>
          <w:rFonts w:hint="eastAsia" w:ascii="宋体" w:hAnsi="宋体" w:cs="宋体"/>
          <w:szCs w:val="21"/>
          <w:lang w:val="zh-CN"/>
        </w:rPr>
        <w:t>9.2 供应商根据采购文件载明的采购项目实际情况，拟在中标后将中标项目的非主体、非关键性工作交由他人完成的，应当在响应文件中载明。</w:t>
      </w:r>
    </w:p>
    <w:p w14:paraId="1DBAF9E3">
      <w:pPr>
        <w:spacing w:line="360" w:lineRule="auto"/>
        <w:ind w:firstLine="420" w:firstLineChars="200"/>
        <w:rPr>
          <w:rFonts w:ascii="宋体" w:hAnsi="宋体" w:cs="宋体"/>
          <w:szCs w:val="21"/>
          <w:lang w:val="zh-CN"/>
        </w:rPr>
      </w:pPr>
      <w:r>
        <w:rPr>
          <w:rFonts w:hint="eastAsia" w:ascii="宋体" w:hAnsi="宋体" w:cs="宋体"/>
          <w:szCs w:val="21"/>
        </w:rPr>
        <w:t>9</w:t>
      </w:r>
      <w:r>
        <w:rPr>
          <w:rFonts w:hint="eastAsia" w:ascii="宋体" w:hAnsi="宋体" w:cs="宋体"/>
          <w:szCs w:val="21"/>
          <w:lang w:val="zh-CN"/>
        </w:rPr>
        <w:t>.3 响应文件由商务部分、技术部分、价格部分，以及其他部分组成。</w:t>
      </w:r>
    </w:p>
    <w:p w14:paraId="29113A94">
      <w:pPr>
        <w:spacing w:line="360" w:lineRule="auto"/>
        <w:ind w:firstLine="422" w:firstLineChars="200"/>
        <w:rPr>
          <w:rFonts w:ascii="宋体" w:hAnsi="宋体" w:cs="宋体"/>
          <w:b/>
          <w:szCs w:val="21"/>
        </w:rPr>
      </w:pPr>
      <w:r>
        <w:rPr>
          <w:rFonts w:hint="eastAsia" w:ascii="宋体" w:hAnsi="宋体" w:cs="宋体"/>
          <w:b/>
          <w:szCs w:val="21"/>
        </w:rPr>
        <w:t>10.响应文件的商务部分</w:t>
      </w:r>
    </w:p>
    <w:p w14:paraId="150113B0">
      <w:pPr>
        <w:spacing w:line="360" w:lineRule="auto"/>
        <w:ind w:firstLine="420" w:firstLineChars="200"/>
        <w:rPr>
          <w:rFonts w:ascii="宋体" w:hAnsi="宋体" w:cs="宋体"/>
          <w:szCs w:val="21"/>
          <w:lang w:val="zh-CN"/>
        </w:rPr>
      </w:pPr>
      <w:r>
        <w:rPr>
          <w:rFonts w:hint="eastAsia" w:ascii="宋体" w:hAnsi="宋体" w:cs="宋体"/>
          <w:szCs w:val="21"/>
          <w:lang w:val="zh-CN"/>
        </w:rPr>
        <w:t>10.1 商务部分是证明供应商有资格参加投标和中标后有能力履行合同的文件，</w:t>
      </w:r>
      <w:r>
        <w:rPr>
          <w:rFonts w:hint="eastAsia" w:ascii="宋体" w:hAnsi="宋体" w:cs="宋体"/>
          <w:szCs w:val="21"/>
        </w:rPr>
        <w:t>这些文件应能满足采购的要求</w:t>
      </w:r>
      <w:r>
        <w:rPr>
          <w:rFonts w:hint="eastAsia" w:ascii="宋体" w:hAnsi="宋体" w:cs="宋体"/>
          <w:szCs w:val="21"/>
          <w:lang w:val="zh-CN"/>
        </w:rPr>
        <w:t>，包括但不限于下列文件，其中加</w:t>
      </w:r>
      <w:r>
        <w:rPr>
          <w:rFonts w:hint="eastAsia" w:ascii="宋体" w:hAnsi="宋体" w:cs="宋体"/>
          <w:szCs w:val="21"/>
        </w:rPr>
        <w:t>“★”</w:t>
      </w:r>
      <w:r>
        <w:rPr>
          <w:rFonts w:hint="eastAsia" w:ascii="宋体" w:hAnsi="宋体" w:cs="宋体"/>
          <w:szCs w:val="21"/>
          <w:lang w:val="zh-CN"/>
        </w:rPr>
        <w:t>项目不得有缺失或无效：</w:t>
      </w:r>
    </w:p>
    <w:p w14:paraId="655D0B32">
      <w:pPr>
        <w:widowControl/>
        <w:spacing w:line="360" w:lineRule="auto"/>
        <w:ind w:firstLine="420" w:firstLineChars="200"/>
        <w:rPr>
          <w:rFonts w:ascii="宋体" w:hAnsi="宋体" w:cs="宋体"/>
          <w:szCs w:val="21"/>
          <w:lang w:val="zh-CN"/>
        </w:rPr>
      </w:pPr>
      <w:r>
        <w:rPr>
          <w:rFonts w:hint="eastAsia" w:ascii="宋体" w:hAnsi="宋体" w:cs="宋体"/>
          <w:szCs w:val="21"/>
          <w:lang w:val="zh-CN"/>
        </w:rPr>
        <w:t>（1）</w:t>
      </w:r>
      <w:r>
        <w:rPr>
          <w:rFonts w:hint="eastAsia" w:ascii="宋体" w:hAnsi="宋体" w:cs="宋体"/>
          <w:szCs w:val="21"/>
        </w:rPr>
        <w:t>★</w:t>
      </w:r>
      <w:r>
        <w:rPr>
          <w:rFonts w:hint="eastAsia" w:ascii="宋体" w:hAnsi="宋体" w:cs="宋体"/>
          <w:szCs w:val="21"/>
          <w:lang w:val="zh-CN"/>
        </w:rPr>
        <w:t>投标申请及声明；</w:t>
      </w:r>
    </w:p>
    <w:p w14:paraId="3D836936">
      <w:pPr>
        <w:widowControl/>
        <w:spacing w:line="360" w:lineRule="auto"/>
        <w:ind w:firstLine="420" w:firstLineChars="200"/>
        <w:rPr>
          <w:rFonts w:ascii="宋体" w:hAnsi="宋体" w:cs="宋体"/>
          <w:szCs w:val="21"/>
          <w:lang w:val="zh-CN"/>
        </w:rPr>
      </w:pPr>
      <w:r>
        <w:rPr>
          <w:rFonts w:hint="eastAsia" w:ascii="宋体" w:hAnsi="宋体" w:cs="宋体"/>
          <w:szCs w:val="21"/>
          <w:lang w:val="zh-CN"/>
        </w:rPr>
        <w:t>（2）</w:t>
      </w:r>
      <w:r>
        <w:rPr>
          <w:rFonts w:hint="eastAsia" w:ascii="宋体" w:hAnsi="宋体" w:cs="宋体"/>
          <w:szCs w:val="21"/>
        </w:rPr>
        <w:t>★法定代表人授权书</w:t>
      </w:r>
      <w:r>
        <w:rPr>
          <w:rFonts w:hint="eastAsia" w:ascii="宋体" w:hAnsi="宋体" w:cs="宋体"/>
          <w:szCs w:val="21"/>
          <w:lang w:val="zh-CN"/>
        </w:rPr>
        <w:t>；</w:t>
      </w:r>
    </w:p>
    <w:p w14:paraId="7568139B">
      <w:pPr>
        <w:widowControl/>
        <w:spacing w:line="360" w:lineRule="auto"/>
        <w:ind w:firstLine="420" w:firstLineChars="200"/>
        <w:rPr>
          <w:rFonts w:ascii="宋体" w:hAnsi="宋体" w:cs="宋体"/>
          <w:szCs w:val="21"/>
          <w:lang w:val="zh-CN"/>
        </w:rPr>
      </w:pPr>
      <w:r>
        <w:rPr>
          <w:rFonts w:hint="eastAsia" w:ascii="宋体" w:hAnsi="宋体" w:cs="宋体"/>
          <w:szCs w:val="21"/>
          <w:lang w:val="zh-CN"/>
        </w:rPr>
        <w:t>（3）</w:t>
      </w:r>
      <w:r>
        <w:rPr>
          <w:rFonts w:hint="eastAsia" w:ascii="宋体" w:hAnsi="宋体" w:cs="宋体"/>
          <w:szCs w:val="21"/>
        </w:rPr>
        <w:t>★第一章 招标公告中“申请人的资格要求”规定的资格条件证明文件；</w:t>
      </w:r>
    </w:p>
    <w:p w14:paraId="34C51D17">
      <w:pPr>
        <w:widowControl/>
        <w:spacing w:line="360" w:lineRule="auto"/>
        <w:ind w:firstLine="420" w:firstLineChars="200"/>
        <w:rPr>
          <w:rFonts w:ascii="宋体" w:hAnsi="宋体" w:cs="宋体"/>
          <w:szCs w:val="21"/>
          <w:lang w:val="zh-CN"/>
        </w:rPr>
      </w:pPr>
      <w:r>
        <w:rPr>
          <w:rFonts w:hint="eastAsia" w:ascii="宋体" w:hAnsi="宋体" w:cs="宋体"/>
          <w:szCs w:val="21"/>
        </w:rPr>
        <w:t>（4）</w:t>
      </w:r>
      <w:r>
        <w:rPr>
          <w:rFonts w:hint="eastAsia" w:ascii="宋体" w:hAnsi="宋体" w:cs="宋体"/>
          <w:szCs w:val="21"/>
          <w:lang w:val="zh-CN"/>
        </w:rPr>
        <w:t>《商务条款偏离表》；</w:t>
      </w:r>
    </w:p>
    <w:p w14:paraId="08F9D7E5">
      <w:pPr>
        <w:spacing w:line="360" w:lineRule="auto"/>
        <w:ind w:firstLine="420" w:firstLineChars="200"/>
        <w:rPr>
          <w:rFonts w:ascii="宋体" w:hAnsi="宋体" w:cs="宋体"/>
          <w:szCs w:val="21"/>
          <w:lang w:val="zh-CN"/>
        </w:rPr>
      </w:pPr>
      <w:r>
        <w:rPr>
          <w:rFonts w:hint="eastAsia" w:ascii="宋体" w:hAnsi="宋体" w:cs="宋体"/>
          <w:szCs w:val="21"/>
          <w:lang w:val="zh-CN"/>
        </w:rPr>
        <w:t>（</w:t>
      </w:r>
      <w:r>
        <w:rPr>
          <w:rFonts w:hint="eastAsia" w:ascii="宋体" w:hAnsi="宋体" w:cs="宋体"/>
          <w:szCs w:val="21"/>
        </w:rPr>
        <w:t>5</w:t>
      </w:r>
      <w:r>
        <w:rPr>
          <w:rFonts w:hint="eastAsia" w:ascii="宋体" w:hAnsi="宋体" w:cs="宋体"/>
          <w:szCs w:val="21"/>
          <w:lang w:val="zh-CN"/>
        </w:rPr>
        <w:t>）合同条款；</w:t>
      </w:r>
    </w:p>
    <w:p w14:paraId="73DC2C2D">
      <w:pPr>
        <w:spacing w:line="360" w:lineRule="auto"/>
        <w:ind w:firstLine="420" w:firstLineChars="200"/>
        <w:rPr>
          <w:rFonts w:ascii="宋体" w:hAnsi="宋体" w:cs="宋体"/>
          <w:szCs w:val="21"/>
        </w:rPr>
      </w:pPr>
      <w:r>
        <w:rPr>
          <w:rFonts w:hint="eastAsia" w:ascii="宋体" w:hAnsi="宋体" w:cs="宋体"/>
          <w:szCs w:val="21"/>
        </w:rPr>
        <w:t>（6）供应商认为需要</w:t>
      </w:r>
      <w:r>
        <w:rPr>
          <w:rFonts w:hint="eastAsia" w:ascii="宋体" w:hAnsi="宋体" w:cs="宋体"/>
          <w:szCs w:val="21"/>
          <w:lang w:val="zh-CN"/>
        </w:rPr>
        <w:t>提供的其他资格证明文件和商务资料。</w:t>
      </w:r>
    </w:p>
    <w:p w14:paraId="6097BF32">
      <w:pPr>
        <w:spacing w:line="360" w:lineRule="auto"/>
        <w:ind w:firstLine="422" w:firstLineChars="200"/>
        <w:rPr>
          <w:rFonts w:ascii="宋体" w:hAnsi="宋体" w:cs="宋体"/>
          <w:b/>
          <w:bCs/>
          <w:szCs w:val="21"/>
          <w:lang w:val="zh-CN"/>
        </w:rPr>
      </w:pPr>
      <w:r>
        <w:rPr>
          <w:rFonts w:hint="eastAsia" w:ascii="宋体" w:hAnsi="宋体" w:cs="宋体"/>
          <w:b/>
          <w:bCs/>
          <w:szCs w:val="21"/>
          <w:lang w:val="zh-CN"/>
        </w:rPr>
        <w:t>11.响应文件的技术部分</w:t>
      </w:r>
    </w:p>
    <w:p w14:paraId="388EBCF4">
      <w:pPr>
        <w:spacing w:line="360" w:lineRule="auto"/>
        <w:ind w:firstLine="420" w:firstLineChars="200"/>
        <w:rPr>
          <w:rFonts w:ascii="宋体" w:hAnsi="宋体" w:cs="宋体"/>
          <w:szCs w:val="21"/>
          <w:lang w:val="zh-CN"/>
        </w:rPr>
      </w:pPr>
      <w:r>
        <w:rPr>
          <w:rFonts w:hint="eastAsia" w:ascii="宋体" w:hAnsi="宋体" w:cs="宋体"/>
          <w:szCs w:val="21"/>
          <w:lang w:val="zh-CN"/>
        </w:rPr>
        <w:t>11.1 技术部分是证明</w:t>
      </w:r>
      <w:r>
        <w:rPr>
          <w:rFonts w:hint="eastAsia" w:ascii="宋体" w:hAnsi="宋体" w:cs="宋体"/>
          <w:szCs w:val="21"/>
        </w:rPr>
        <w:t>供应商提供的服务是合格的、并符合采购文件要求的证明文件，以及</w:t>
      </w:r>
      <w:r>
        <w:rPr>
          <w:rFonts w:hint="eastAsia" w:ascii="宋体" w:hAnsi="宋体" w:cs="宋体"/>
          <w:szCs w:val="21"/>
          <w:lang w:val="zh-CN"/>
        </w:rPr>
        <w:t>对投标报价表中的服务的详细说明，这些文件可以是文字资料、图纸和数据等。</w:t>
      </w:r>
    </w:p>
    <w:p w14:paraId="56F3A3AC">
      <w:pPr>
        <w:spacing w:line="360" w:lineRule="auto"/>
        <w:ind w:firstLine="420" w:firstLineChars="200"/>
        <w:rPr>
          <w:rFonts w:ascii="宋体" w:hAnsi="宋体" w:cs="宋体"/>
          <w:szCs w:val="21"/>
          <w:lang w:val="zh-CN"/>
        </w:rPr>
      </w:pPr>
      <w:r>
        <w:rPr>
          <w:rFonts w:hint="eastAsia" w:ascii="宋体" w:hAnsi="宋体" w:cs="宋体"/>
          <w:szCs w:val="21"/>
          <w:lang w:val="zh-CN"/>
        </w:rPr>
        <w:t>11.2 若提供的服务与采购文件要求有不符之处，应说明其差别之所在。</w:t>
      </w:r>
    </w:p>
    <w:p w14:paraId="5BDADED1">
      <w:pPr>
        <w:spacing w:line="360" w:lineRule="auto"/>
        <w:ind w:firstLine="420" w:firstLineChars="200"/>
        <w:rPr>
          <w:rFonts w:ascii="宋体" w:hAnsi="宋体" w:cs="宋体"/>
          <w:szCs w:val="21"/>
          <w:lang w:val="zh-CN"/>
        </w:rPr>
      </w:pPr>
      <w:r>
        <w:rPr>
          <w:rFonts w:hint="eastAsia" w:ascii="宋体" w:hAnsi="宋体" w:cs="宋体"/>
          <w:szCs w:val="21"/>
          <w:lang w:val="zh-CN"/>
        </w:rPr>
        <w:t>11.3 响应文件应按照采购文件要求提供服务说明，技术资料、文件和有关证明，包括但不限于以下材料，其中加</w:t>
      </w:r>
      <w:r>
        <w:rPr>
          <w:rFonts w:hint="eastAsia" w:ascii="宋体" w:hAnsi="宋体" w:cs="宋体"/>
          <w:szCs w:val="21"/>
        </w:rPr>
        <w:t>“★”</w:t>
      </w:r>
      <w:r>
        <w:rPr>
          <w:rFonts w:hint="eastAsia" w:ascii="宋体" w:hAnsi="宋体" w:cs="宋体"/>
          <w:szCs w:val="21"/>
          <w:lang w:val="zh-CN"/>
        </w:rPr>
        <w:t>项目不得有缺失或无效：</w:t>
      </w:r>
    </w:p>
    <w:p w14:paraId="76A2CFE3">
      <w:pPr>
        <w:spacing w:line="360" w:lineRule="auto"/>
        <w:ind w:firstLine="420" w:firstLineChars="200"/>
        <w:jc w:val="left"/>
        <w:rPr>
          <w:rFonts w:ascii="宋体" w:hAnsi="宋体" w:cs="宋体"/>
          <w:szCs w:val="21"/>
          <w:lang w:val="zh-CN"/>
        </w:rPr>
      </w:pPr>
      <w:r>
        <w:rPr>
          <w:rFonts w:hint="eastAsia" w:ascii="宋体" w:hAnsi="宋体" w:cs="宋体"/>
          <w:szCs w:val="21"/>
          <w:lang w:val="zh-CN"/>
        </w:rPr>
        <w:t>（1）技术及施工组织方案；</w:t>
      </w:r>
    </w:p>
    <w:p w14:paraId="5F0E411B">
      <w:pPr>
        <w:spacing w:line="360" w:lineRule="auto"/>
        <w:ind w:firstLine="420" w:firstLineChars="200"/>
        <w:jc w:val="left"/>
        <w:rPr>
          <w:rFonts w:ascii="宋体" w:hAnsi="宋体" w:cs="宋体"/>
          <w:szCs w:val="21"/>
          <w:lang w:val="zh-CN"/>
        </w:rPr>
      </w:pPr>
      <w:r>
        <w:rPr>
          <w:rFonts w:hint="eastAsia" w:ascii="宋体" w:hAnsi="宋体" w:cs="宋体"/>
          <w:szCs w:val="21"/>
          <w:lang w:val="zh-CN"/>
        </w:rPr>
        <w:t>（</w:t>
      </w:r>
      <w:r>
        <w:rPr>
          <w:rFonts w:hint="eastAsia" w:ascii="宋体" w:hAnsi="宋体" w:cs="宋体"/>
          <w:szCs w:val="21"/>
        </w:rPr>
        <w:t>2</w:t>
      </w:r>
      <w:r>
        <w:rPr>
          <w:rFonts w:hint="eastAsia" w:ascii="宋体" w:hAnsi="宋体" w:cs="宋体"/>
          <w:szCs w:val="21"/>
          <w:lang w:val="zh-CN"/>
        </w:rPr>
        <w:t xml:space="preserve">）★供应商须依据现行版《清单计价规范》和现行版《工程计价表》要求来编制； </w:t>
      </w:r>
    </w:p>
    <w:p w14:paraId="40E49C93">
      <w:pPr>
        <w:spacing w:line="360" w:lineRule="auto"/>
        <w:ind w:firstLine="420" w:firstLineChars="200"/>
        <w:jc w:val="left"/>
        <w:rPr>
          <w:rFonts w:ascii="宋体" w:hAnsi="宋体" w:cs="宋体"/>
          <w:szCs w:val="21"/>
          <w:lang w:val="zh-CN"/>
        </w:rPr>
      </w:pPr>
      <w:r>
        <w:rPr>
          <w:rFonts w:hint="eastAsia" w:ascii="宋体" w:hAnsi="宋体" w:cs="宋体"/>
          <w:szCs w:val="21"/>
          <w:lang w:val="zh-CN"/>
        </w:rPr>
        <w:t>（3）服务承诺；</w:t>
      </w:r>
    </w:p>
    <w:p w14:paraId="1D577F3B">
      <w:pPr>
        <w:widowControl/>
        <w:spacing w:line="360" w:lineRule="auto"/>
        <w:ind w:firstLine="420" w:firstLineChars="200"/>
        <w:rPr>
          <w:rFonts w:ascii="宋体" w:hAnsi="宋体" w:cs="宋体"/>
          <w:szCs w:val="21"/>
          <w:lang w:val="zh-CN"/>
        </w:rPr>
      </w:pPr>
      <w:r>
        <w:rPr>
          <w:rFonts w:hint="eastAsia" w:ascii="宋体" w:hAnsi="宋体" w:cs="宋体"/>
          <w:szCs w:val="21"/>
          <w:lang w:val="zh-CN"/>
        </w:rPr>
        <w:t>（4）</w:t>
      </w:r>
      <w:r>
        <w:rPr>
          <w:rFonts w:hint="eastAsia" w:ascii="宋体" w:hAnsi="宋体" w:cs="宋体"/>
          <w:bCs/>
          <w:szCs w:val="21"/>
          <w:lang w:val="zh-CN"/>
        </w:rPr>
        <w:t>供应商认为需要提供的其他技术资料。</w:t>
      </w:r>
    </w:p>
    <w:p w14:paraId="40B8CD61">
      <w:pPr>
        <w:spacing w:line="360" w:lineRule="auto"/>
        <w:ind w:firstLine="422" w:firstLineChars="200"/>
        <w:rPr>
          <w:rFonts w:ascii="宋体" w:hAnsi="宋体" w:cs="宋体"/>
          <w:b/>
          <w:szCs w:val="21"/>
          <w:lang w:val="zh-CN"/>
        </w:rPr>
      </w:pPr>
      <w:r>
        <w:rPr>
          <w:rFonts w:hint="eastAsia" w:ascii="宋体" w:hAnsi="宋体" w:cs="宋体"/>
          <w:b/>
          <w:szCs w:val="21"/>
          <w:lang w:val="zh-CN"/>
        </w:rPr>
        <w:t>12.响应文件的价格部分</w:t>
      </w:r>
    </w:p>
    <w:p w14:paraId="0CABDF01">
      <w:pPr>
        <w:spacing w:line="360" w:lineRule="auto"/>
        <w:ind w:firstLine="420" w:firstLineChars="200"/>
        <w:rPr>
          <w:rFonts w:ascii="宋体" w:hAnsi="宋体" w:cs="宋体"/>
          <w:bCs/>
          <w:szCs w:val="21"/>
          <w:lang w:val="zh-CN"/>
        </w:rPr>
      </w:pPr>
      <w:r>
        <w:rPr>
          <w:rFonts w:hint="eastAsia" w:ascii="宋体" w:hAnsi="宋体" w:cs="宋体"/>
          <w:bCs/>
          <w:szCs w:val="21"/>
          <w:lang w:val="zh-CN"/>
        </w:rPr>
        <w:t>12.1本工程采用在工程量清单范围内包工包料、综合单价计价方法计算价格。采购文件如没有特别说明的话，对每一项货物、服务和工程仅接受一个价格。供应商应以表格形式详细说明价格构成，以及价格构成各项因素的单价和总价。供应商应按照采购文件所提供的工程量清单，报价、施工，材料差价不作调整。按照《建设工程工程量清单计价规范》、工程量清单指定的定额等造价计算程序、及现行的法律法规确定分项综合预算单价。</w:t>
      </w:r>
    </w:p>
    <w:p w14:paraId="3896D7E5">
      <w:pPr>
        <w:spacing w:line="360" w:lineRule="auto"/>
        <w:ind w:firstLine="420" w:firstLineChars="200"/>
        <w:rPr>
          <w:rFonts w:ascii="宋体" w:hAnsi="宋体" w:cs="宋体"/>
          <w:szCs w:val="21"/>
        </w:rPr>
      </w:pPr>
      <w:r>
        <w:rPr>
          <w:rFonts w:hint="eastAsia" w:ascii="宋体" w:hAnsi="宋体" w:cs="宋体"/>
          <w:szCs w:val="21"/>
        </w:rPr>
        <w:t>12.2 报价应包含完成本服务项目发生的所有含税费用、支付给员工的工资和国家强制缴纳的各种社会保障资金，以及供应商认为需要的其他费用等。</w:t>
      </w:r>
    </w:p>
    <w:p w14:paraId="0DE53E51">
      <w:pPr>
        <w:spacing w:line="360" w:lineRule="auto"/>
        <w:ind w:firstLine="420" w:firstLineChars="200"/>
        <w:rPr>
          <w:rFonts w:ascii="宋体" w:hAnsi="宋体" w:cs="宋体"/>
          <w:b/>
          <w:bCs/>
          <w:szCs w:val="21"/>
        </w:rPr>
      </w:pPr>
      <w:r>
        <w:rPr>
          <w:rFonts w:hint="eastAsia" w:ascii="宋体" w:hAnsi="宋体" w:cs="宋体"/>
          <w:szCs w:val="21"/>
          <w:lang w:val="zh-CN"/>
        </w:rPr>
        <w:t xml:space="preserve">12.3 </w:t>
      </w:r>
      <w:r>
        <w:rPr>
          <w:rFonts w:hint="eastAsia" w:ascii="宋体" w:hAnsi="宋体" w:cs="宋体"/>
          <w:szCs w:val="21"/>
        </w:rPr>
        <w:t>供应商的任何错漏、优惠、竞争性报价不得作为减轻责任、减少服务、增加收费、降低质量的理由。</w:t>
      </w:r>
    </w:p>
    <w:p w14:paraId="2E945FE6">
      <w:pPr>
        <w:spacing w:line="360" w:lineRule="auto"/>
        <w:ind w:firstLine="420" w:firstLineChars="200"/>
        <w:rPr>
          <w:rFonts w:ascii="宋体" w:hAnsi="宋体" w:cs="宋体"/>
          <w:szCs w:val="21"/>
          <w:lang w:val="zh-CN"/>
        </w:rPr>
      </w:pPr>
      <w:r>
        <w:rPr>
          <w:rFonts w:hint="eastAsia" w:ascii="宋体" w:hAnsi="宋体" w:cs="宋体"/>
          <w:szCs w:val="21"/>
          <w:lang w:val="zh-CN"/>
        </w:rPr>
        <w:t>12.4 供应商应在《开标一览表》《分项报价表》等标明提供服务</w:t>
      </w:r>
      <w:r>
        <w:rPr>
          <w:rFonts w:hint="eastAsia" w:ascii="宋体" w:hAnsi="宋体" w:cs="宋体"/>
          <w:szCs w:val="21"/>
        </w:rPr>
        <w:t>或货物或工程</w:t>
      </w:r>
      <w:r>
        <w:rPr>
          <w:rFonts w:hint="eastAsia" w:ascii="宋体" w:hAnsi="宋体" w:cs="宋体"/>
          <w:szCs w:val="21"/>
          <w:lang w:val="zh-CN"/>
        </w:rPr>
        <w:t>的单价、总价以及分项报价。</w:t>
      </w:r>
    </w:p>
    <w:p w14:paraId="0D2FD66C">
      <w:pPr>
        <w:spacing w:line="360" w:lineRule="auto"/>
        <w:ind w:firstLine="420" w:firstLineChars="200"/>
        <w:rPr>
          <w:rFonts w:ascii="宋体" w:hAnsi="宋体" w:cs="宋体"/>
          <w:szCs w:val="21"/>
          <w:lang w:val="zh-CN"/>
        </w:rPr>
      </w:pPr>
      <w:r>
        <w:rPr>
          <w:rFonts w:hint="eastAsia" w:ascii="宋体" w:hAnsi="宋体" w:cs="宋体"/>
          <w:szCs w:val="21"/>
          <w:lang w:val="zh-CN"/>
        </w:rPr>
        <w:t>12.5 《开标一览表》</w:t>
      </w:r>
      <w:r>
        <w:rPr>
          <w:rFonts w:hint="eastAsia" w:ascii="宋体" w:hAnsi="宋体" w:cs="宋体"/>
          <w:szCs w:val="21"/>
        </w:rPr>
        <w:t>须</w:t>
      </w:r>
      <w:r>
        <w:rPr>
          <w:rFonts w:hint="eastAsia" w:ascii="宋体" w:hAnsi="宋体" w:cs="宋体"/>
          <w:szCs w:val="21"/>
          <w:lang w:val="zh-CN"/>
        </w:rPr>
        <w:t>加盖公章。</w:t>
      </w:r>
    </w:p>
    <w:p w14:paraId="7F4194DE">
      <w:pPr>
        <w:spacing w:line="360" w:lineRule="auto"/>
        <w:ind w:firstLine="422" w:firstLineChars="200"/>
        <w:rPr>
          <w:rFonts w:ascii="宋体" w:hAnsi="宋体" w:cs="宋体"/>
          <w:b/>
          <w:szCs w:val="21"/>
          <w:lang w:val="zh-CN"/>
        </w:rPr>
      </w:pPr>
      <w:r>
        <w:rPr>
          <w:rFonts w:hint="eastAsia" w:ascii="宋体" w:hAnsi="宋体" w:cs="宋体"/>
          <w:b/>
          <w:szCs w:val="21"/>
          <w:lang w:val="zh-CN"/>
        </w:rPr>
        <w:t>13.响应文件的其他部分</w:t>
      </w:r>
    </w:p>
    <w:p w14:paraId="11F90C3A">
      <w:pPr>
        <w:spacing w:line="360" w:lineRule="auto"/>
        <w:ind w:firstLine="420" w:firstLineChars="200"/>
        <w:rPr>
          <w:rFonts w:ascii="宋体" w:hAnsi="宋体" w:cs="宋体"/>
          <w:szCs w:val="21"/>
          <w:lang w:val="zh-CN"/>
        </w:rPr>
      </w:pPr>
      <w:r>
        <w:rPr>
          <w:rFonts w:hint="eastAsia" w:ascii="宋体" w:hAnsi="宋体" w:cs="宋体"/>
          <w:szCs w:val="21"/>
          <w:lang w:val="zh-CN"/>
        </w:rPr>
        <w:t>供应商编制响应文件需要提供的其他相关文件。</w:t>
      </w:r>
    </w:p>
    <w:p w14:paraId="1A56BF0D">
      <w:pPr>
        <w:spacing w:line="360" w:lineRule="auto"/>
        <w:ind w:firstLine="422" w:firstLineChars="200"/>
        <w:rPr>
          <w:rFonts w:ascii="宋体" w:hAnsi="宋体" w:cs="宋体"/>
          <w:b/>
          <w:bCs/>
          <w:szCs w:val="21"/>
        </w:rPr>
      </w:pPr>
      <w:r>
        <w:rPr>
          <w:rFonts w:hint="eastAsia" w:ascii="宋体" w:hAnsi="宋体" w:cs="宋体"/>
          <w:b/>
          <w:bCs/>
          <w:szCs w:val="21"/>
          <w:lang w:val="zh-CN"/>
        </w:rPr>
        <w:t>14.投标保证金：</w:t>
      </w:r>
      <w:r>
        <w:rPr>
          <w:rFonts w:hint="eastAsia" w:ascii="宋体" w:hAnsi="宋体" w:cs="宋体"/>
          <w:b/>
          <w:bCs/>
          <w:szCs w:val="21"/>
        </w:rPr>
        <w:t>无。</w:t>
      </w:r>
    </w:p>
    <w:p w14:paraId="0CEC0F1F">
      <w:pPr>
        <w:spacing w:line="360" w:lineRule="auto"/>
        <w:ind w:firstLine="422" w:firstLineChars="200"/>
        <w:rPr>
          <w:rFonts w:ascii="宋体" w:hAnsi="宋体" w:cs="宋体"/>
          <w:b/>
          <w:bCs/>
          <w:szCs w:val="21"/>
          <w:lang w:val="zh-CN"/>
        </w:rPr>
      </w:pPr>
      <w:r>
        <w:rPr>
          <w:rFonts w:hint="eastAsia" w:ascii="宋体" w:hAnsi="宋体" w:cs="宋体"/>
          <w:b/>
          <w:bCs/>
          <w:szCs w:val="21"/>
          <w:lang w:val="zh-CN"/>
        </w:rPr>
        <w:t>15.投标有效期</w:t>
      </w:r>
    </w:p>
    <w:p w14:paraId="570CD0FB">
      <w:pPr>
        <w:spacing w:line="360" w:lineRule="auto"/>
        <w:ind w:firstLine="420" w:firstLineChars="200"/>
        <w:rPr>
          <w:rFonts w:ascii="宋体" w:hAnsi="宋体" w:cs="宋体"/>
          <w:szCs w:val="21"/>
          <w:lang w:val="zh-CN"/>
        </w:rPr>
      </w:pPr>
      <w:r>
        <w:rPr>
          <w:rFonts w:hint="eastAsia" w:ascii="宋体" w:hAnsi="宋体" w:cs="宋体"/>
          <w:szCs w:val="21"/>
          <w:lang w:val="zh-CN"/>
        </w:rPr>
        <w:t>15.1 自开标之日起</w:t>
      </w:r>
      <w:r>
        <w:rPr>
          <w:rFonts w:hint="eastAsia" w:ascii="宋体" w:hAnsi="宋体" w:cs="宋体"/>
          <w:szCs w:val="21"/>
        </w:rPr>
        <w:t>九</w:t>
      </w:r>
      <w:r>
        <w:rPr>
          <w:rFonts w:hint="eastAsia" w:ascii="宋体" w:hAnsi="宋体" w:cs="宋体"/>
          <w:szCs w:val="21"/>
          <w:lang w:val="zh-CN"/>
        </w:rPr>
        <w:t>十日内投标有效。</w:t>
      </w:r>
    </w:p>
    <w:p w14:paraId="21BA1A48">
      <w:pPr>
        <w:spacing w:line="360" w:lineRule="auto"/>
        <w:ind w:firstLine="420" w:firstLineChars="200"/>
        <w:rPr>
          <w:rFonts w:ascii="宋体" w:hAnsi="宋体" w:cs="宋体"/>
          <w:szCs w:val="21"/>
          <w:lang w:val="zh-CN"/>
        </w:rPr>
      </w:pPr>
      <w:r>
        <w:rPr>
          <w:rFonts w:hint="eastAsia" w:ascii="宋体" w:hAnsi="宋体" w:cs="宋体"/>
          <w:szCs w:val="21"/>
          <w:lang w:val="zh-CN"/>
        </w:rPr>
        <w:t>15.2 特殊情况下，在原投标有效期截止之前，代理机构可要求供应商同意延长投标有效期，这种要求与答复均以书面形式提交。供应商可拒绝这种要求，</w:t>
      </w:r>
      <w:r>
        <w:rPr>
          <w:rFonts w:hint="eastAsia" w:ascii="宋体" w:hAnsi="宋体" w:cs="宋体"/>
          <w:szCs w:val="21"/>
        </w:rPr>
        <w:t>但</w:t>
      </w:r>
      <w:r>
        <w:rPr>
          <w:rFonts w:hint="eastAsia" w:ascii="宋体" w:hAnsi="宋体" w:cs="宋体"/>
          <w:szCs w:val="21"/>
          <w:lang w:val="zh-CN"/>
        </w:rPr>
        <w:t>接受延长投标有效期的供应商将不会要求和允许修正其投标。</w:t>
      </w:r>
    </w:p>
    <w:p w14:paraId="7B8F019D">
      <w:pPr>
        <w:spacing w:line="360" w:lineRule="auto"/>
        <w:ind w:firstLine="422" w:firstLineChars="200"/>
        <w:rPr>
          <w:rFonts w:ascii="宋体" w:hAnsi="宋体" w:cs="宋体"/>
          <w:b/>
          <w:bCs/>
          <w:szCs w:val="21"/>
          <w:lang w:val="zh-CN"/>
        </w:rPr>
      </w:pPr>
      <w:r>
        <w:rPr>
          <w:rFonts w:hint="eastAsia" w:ascii="宋体" w:hAnsi="宋体" w:cs="宋体"/>
          <w:b/>
          <w:bCs/>
          <w:szCs w:val="21"/>
          <w:lang w:val="zh-CN"/>
        </w:rPr>
        <w:t>16.响应文件的份数、签署</w:t>
      </w:r>
    </w:p>
    <w:p w14:paraId="383DCC7C">
      <w:pPr>
        <w:spacing w:line="360" w:lineRule="auto"/>
        <w:ind w:firstLine="420" w:firstLineChars="200"/>
        <w:rPr>
          <w:rFonts w:ascii="宋体" w:hAnsi="宋体" w:cs="宋体"/>
          <w:szCs w:val="21"/>
          <w:lang w:val="zh-CN"/>
        </w:rPr>
      </w:pPr>
      <w:r>
        <w:rPr>
          <w:rFonts w:hint="eastAsia" w:ascii="宋体" w:hAnsi="宋体" w:cs="宋体"/>
          <w:szCs w:val="21"/>
          <w:lang w:val="zh-CN"/>
        </w:rPr>
        <w:t>16.1 供应商应按照采购文件要求的份数准备响应文件，每份响应文件须清楚地标明“正本”或“副本”字样。正本和副本不符时，以正本为准。</w:t>
      </w:r>
    </w:p>
    <w:p w14:paraId="35DA92FB">
      <w:pPr>
        <w:spacing w:line="360" w:lineRule="auto"/>
        <w:ind w:firstLine="420" w:firstLineChars="200"/>
        <w:rPr>
          <w:rFonts w:ascii="宋体" w:hAnsi="宋体" w:cs="宋体"/>
          <w:bCs/>
          <w:szCs w:val="21"/>
        </w:rPr>
      </w:pPr>
      <w:r>
        <w:rPr>
          <w:rFonts w:hint="eastAsia" w:ascii="宋体" w:hAnsi="宋体" w:cs="宋体"/>
          <w:szCs w:val="21"/>
          <w:lang w:val="zh-CN"/>
        </w:rPr>
        <w:t>16.2 响应文件</w:t>
      </w:r>
      <w:r>
        <w:rPr>
          <w:rFonts w:hint="eastAsia" w:ascii="宋体" w:hAnsi="宋体" w:cs="宋体"/>
          <w:szCs w:val="21"/>
        </w:rPr>
        <w:t>正本中，除采购文件规定的可提交复印件外，其他文件均须提交原件，文字材料需打印或用不褪色墨水书写。响应文件的正本须经法定代表人或经正式授权</w:t>
      </w:r>
      <w:r>
        <w:rPr>
          <w:rFonts w:hint="eastAsia" w:ascii="宋体" w:hAnsi="宋体" w:cs="宋体"/>
          <w:szCs w:val="21"/>
          <w:lang w:val="zh-CN"/>
        </w:rPr>
        <w:t>并对供应商有约束力的委托代理人签字</w:t>
      </w:r>
      <w:r>
        <w:rPr>
          <w:rFonts w:hint="eastAsia" w:ascii="宋体" w:hAnsi="宋体" w:cs="宋体"/>
          <w:szCs w:val="21"/>
        </w:rPr>
        <w:t>和加盖供应商公章。本采购文件所表述（指定）的公章是指法定名称章，不包括合同专用章、业务专用章等印章。</w:t>
      </w:r>
    </w:p>
    <w:p w14:paraId="1D456A2C">
      <w:pPr>
        <w:spacing w:line="360" w:lineRule="auto"/>
        <w:ind w:firstLine="420" w:firstLineChars="200"/>
        <w:rPr>
          <w:rFonts w:ascii="宋体" w:hAnsi="宋体" w:cs="宋体"/>
          <w:bCs/>
          <w:szCs w:val="21"/>
        </w:rPr>
      </w:pPr>
      <w:r>
        <w:rPr>
          <w:rFonts w:hint="eastAsia" w:ascii="宋体" w:hAnsi="宋体" w:cs="宋体"/>
          <w:szCs w:val="21"/>
          <w:lang w:val="zh-CN"/>
        </w:rPr>
        <w:t xml:space="preserve">16.3 </w:t>
      </w:r>
      <w:r>
        <w:rPr>
          <w:rFonts w:hint="eastAsia" w:ascii="宋体" w:hAnsi="宋体" w:cs="宋体"/>
          <w:bCs/>
          <w:szCs w:val="21"/>
        </w:rPr>
        <w:t>除供应商对错处做必要修改外，响应文件不得行间插字、涂改或增删。如有修改错漏处，必须由响应文件签署人签字或加盖公章。</w:t>
      </w:r>
    </w:p>
    <w:p w14:paraId="0B06DC4D">
      <w:pPr>
        <w:spacing w:line="360" w:lineRule="auto"/>
        <w:ind w:firstLine="422" w:firstLineChars="200"/>
        <w:rPr>
          <w:rFonts w:ascii="宋体" w:hAnsi="宋体" w:cs="宋体"/>
          <w:b/>
          <w:bCs/>
          <w:szCs w:val="21"/>
          <w:lang w:val="zh-CN"/>
        </w:rPr>
      </w:pPr>
      <w:r>
        <w:rPr>
          <w:rFonts w:hint="eastAsia" w:ascii="宋体" w:hAnsi="宋体" w:cs="宋体"/>
          <w:b/>
          <w:bCs/>
          <w:szCs w:val="21"/>
          <w:lang w:val="zh-CN"/>
        </w:rPr>
        <w:t>17.响应文件的密封和递交</w:t>
      </w:r>
    </w:p>
    <w:p w14:paraId="213E1FEF">
      <w:pPr>
        <w:spacing w:line="360" w:lineRule="auto"/>
        <w:ind w:firstLine="420" w:firstLineChars="200"/>
        <w:rPr>
          <w:rFonts w:ascii="宋体" w:hAnsi="宋体" w:cs="宋体"/>
          <w:szCs w:val="21"/>
          <w:lang w:val="zh-CN"/>
        </w:rPr>
      </w:pPr>
      <w:r>
        <w:rPr>
          <w:rFonts w:hint="eastAsia" w:ascii="宋体" w:hAnsi="宋体" w:cs="宋体"/>
          <w:szCs w:val="21"/>
          <w:lang w:val="zh-CN"/>
        </w:rPr>
        <w:t>17.1 供应商应当将响应文件密封。</w:t>
      </w:r>
    </w:p>
    <w:p w14:paraId="675BE2DF">
      <w:pPr>
        <w:spacing w:line="360" w:lineRule="auto"/>
        <w:ind w:firstLine="420" w:firstLineChars="200"/>
        <w:rPr>
          <w:rFonts w:ascii="宋体" w:hAnsi="宋体" w:cs="宋体"/>
          <w:szCs w:val="21"/>
          <w:lang w:val="zh-CN"/>
        </w:rPr>
      </w:pPr>
      <w:r>
        <w:rPr>
          <w:rFonts w:hint="eastAsia" w:ascii="宋体" w:hAnsi="宋体" w:cs="宋体"/>
          <w:szCs w:val="21"/>
          <w:lang w:val="zh-CN"/>
        </w:rPr>
        <w:t>17.2 供应商应当在采购文件要求提交响应文件的截止时间前，将密封的响应文件送达投标地点。</w:t>
      </w:r>
    </w:p>
    <w:p w14:paraId="4B1B770D">
      <w:pPr>
        <w:spacing w:line="360" w:lineRule="auto"/>
        <w:ind w:firstLine="422" w:firstLineChars="200"/>
        <w:rPr>
          <w:rFonts w:ascii="宋体" w:hAnsi="宋体" w:cs="宋体"/>
          <w:b/>
          <w:bCs/>
          <w:szCs w:val="21"/>
          <w:lang w:val="zh-CN"/>
        </w:rPr>
      </w:pPr>
      <w:r>
        <w:rPr>
          <w:rFonts w:hint="eastAsia" w:ascii="宋体" w:hAnsi="宋体" w:cs="宋体"/>
          <w:b/>
          <w:bCs/>
          <w:szCs w:val="21"/>
          <w:lang w:val="zh-CN"/>
        </w:rPr>
        <w:t>18.有下列情形之一的响应文件将被拒收</w:t>
      </w:r>
    </w:p>
    <w:p w14:paraId="77B31918">
      <w:pPr>
        <w:spacing w:line="360" w:lineRule="auto"/>
        <w:ind w:firstLine="420" w:firstLineChars="200"/>
        <w:rPr>
          <w:rFonts w:ascii="宋体" w:hAnsi="宋体" w:cs="宋体"/>
          <w:szCs w:val="21"/>
          <w:lang w:val="zh-CN"/>
        </w:rPr>
      </w:pPr>
      <w:r>
        <w:rPr>
          <w:rFonts w:hint="eastAsia" w:ascii="宋体" w:hAnsi="宋体" w:cs="宋体"/>
          <w:szCs w:val="21"/>
          <w:lang w:val="zh-CN"/>
        </w:rPr>
        <w:t>18.1 在采购文件要求提交响应文件的截止时间之后送达的。</w:t>
      </w:r>
    </w:p>
    <w:p w14:paraId="2CD692B9">
      <w:pPr>
        <w:spacing w:line="360" w:lineRule="auto"/>
        <w:ind w:firstLine="420" w:firstLineChars="200"/>
        <w:rPr>
          <w:rFonts w:ascii="宋体" w:hAnsi="宋体" w:cs="宋体"/>
          <w:szCs w:val="21"/>
          <w:lang w:val="zh-CN"/>
        </w:rPr>
      </w:pPr>
      <w:r>
        <w:rPr>
          <w:rFonts w:hint="eastAsia" w:ascii="宋体" w:hAnsi="宋体" w:cs="宋体"/>
          <w:szCs w:val="21"/>
          <w:lang w:val="zh-CN"/>
        </w:rPr>
        <w:t>18.2 响应文件未密封的；</w:t>
      </w:r>
    </w:p>
    <w:p w14:paraId="3EC7975A">
      <w:pPr>
        <w:pStyle w:val="61"/>
        <w:ind w:left="0" w:firstLineChars="200"/>
      </w:pPr>
      <w:r>
        <w:rPr>
          <w:rFonts w:hint="eastAsia" w:ascii="宋体" w:hAnsi="宋体" w:cs="宋体"/>
          <w:szCs w:val="21"/>
        </w:rPr>
        <w:t>18.3 响应主体名称与获取采购文件时不一致的。</w:t>
      </w:r>
    </w:p>
    <w:p w14:paraId="0A0630DD">
      <w:pPr>
        <w:spacing w:line="360" w:lineRule="auto"/>
        <w:ind w:firstLine="422" w:firstLineChars="200"/>
        <w:rPr>
          <w:rFonts w:ascii="宋体" w:hAnsi="宋体" w:cs="宋体"/>
          <w:b/>
          <w:bCs/>
          <w:szCs w:val="21"/>
          <w:lang w:val="zh-CN"/>
        </w:rPr>
      </w:pPr>
      <w:r>
        <w:rPr>
          <w:rFonts w:hint="eastAsia" w:ascii="宋体" w:hAnsi="宋体" w:cs="宋体"/>
          <w:b/>
          <w:bCs/>
          <w:szCs w:val="21"/>
          <w:lang w:val="zh-CN"/>
        </w:rPr>
        <w:t>19.响应文件的修改和撤回</w:t>
      </w:r>
    </w:p>
    <w:p w14:paraId="2A8D479B">
      <w:pPr>
        <w:spacing w:line="360" w:lineRule="auto"/>
        <w:ind w:firstLine="420" w:firstLineChars="200"/>
        <w:rPr>
          <w:rFonts w:ascii="宋体" w:hAnsi="宋体" w:cs="宋体"/>
          <w:szCs w:val="21"/>
          <w:lang w:val="zh-CN"/>
        </w:rPr>
      </w:pPr>
      <w:r>
        <w:rPr>
          <w:rFonts w:hint="eastAsia" w:ascii="宋体" w:hAnsi="宋体" w:cs="宋体"/>
          <w:szCs w:val="21"/>
          <w:lang w:val="zh-CN"/>
        </w:rPr>
        <w:t>19.1 供应商在投标截止时间前，可以对所递交的响应文件进行补充、修改或撤回，并书面通知代理机构。补充、修改的内容应当按照采购文件要求签署、盖章，并作为响应文件的组成部分。</w:t>
      </w:r>
    </w:p>
    <w:p w14:paraId="0900DD6E">
      <w:pPr>
        <w:spacing w:line="360" w:lineRule="auto"/>
        <w:ind w:firstLine="420" w:firstLineChars="200"/>
        <w:rPr>
          <w:rFonts w:ascii="宋体" w:hAnsi="宋体" w:cs="宋体"/>
          <w:szCs w:val="21"/>
          <w:lang w:val="zh-CN"/>
        </w:rPr>
      </w:pPr>
      <w:r>
        <w:rPr>
          <w:rFonts w:hint="eastAsia" w:ascii="宋体" w:hAnsi="宋体" w:cs="宋体"/>
          <w:szCs w:val="21"/>
          <w:lang w:val="zh-CN"/>
        </w:rPr>
        <w:t>19.2 投标截止时间之后，响应文件不得撤回，。</w:t>
      </w:r>
    </w:p>
    <w:p w14:paraId="013B6975">
      <w:pPr>
        <w:spacing w:line="360" w:lineRule="auto"/>
        <w:ind w:firstLine="422" w:firstLineChars="200"/>
        <w:rPr>
          <w:rFonts w:ascii="宋体" w:hAnsi="宋体" w:cs="宋体"/>
          <w:b/>
          <w:bCs/>
          <w:szCs w:val="21"/>
          <w:lang w:val="zh-CN"/>
        </w:rPr>
      </w:pPr>
      <w:r>
        <w:rPr>
          <w:rFonts w:hint="eastAsia" w:ascii="宋体" w:hAnsi="宋体" w:cs="宋体"/>
          <w:b/>
          <w:bCs/>
          <w:szCs w:val="21"/>
          <w:lang w:val="zh-CN"/>
        </w:rPr>
        <w:t>四、开标、评标与确定中标供应商</w:t>
      </w:r>
    </w:p>
    <w:p w14:paraId="5F494C39">
      <w:pPr>
        <w:spacing w:line="360" w:lineRule="auto"/>
        <w:ind w:firstLine="422" w:firstLineChars="200"/>
        <w:rPr>
          <w:rFonts w:ascii="宋体" w:hAnsi="宋体" w:cs="宋体"/>
          <w:b/>
          <w:bCs/>
          <w:szCs w:val="21"/>
          <w:lang w:val="zh-CN"/>
        </w:rPr>
      </w:pPr>
      <w:r>
        <w:rPr>
          <w:rFonts w:hint="eastAsia" w:ascii="宋体" w:hAnsi="宋体" w:cs="宋体"/>
          <w:b/>
          <w:bCs/>
          <w:szCs w:val="21"/>
          <w:lang w:val="zh-CN"/>
        </w:rPr>
        <w:t>20.开标</w:t>
      </w:r>
    </w:p>
    <w:p w14:paraId="19FE12AF">
      <w:pPr>
        <w:spacing w:line="360" w:lineRule="auto"/>
        <w:ind w:firstLine="420" w:firstLineChars="200"/>
        <w:rPr>
          <w:rFonts w:ascii="宋体" w:hAnsi="宋体" w:cs="宋体"/>
          <w:szCs w:val="21"/>
          <w:lang w:val="zh-CN"/>
        </w:rPr>
      </w:pPr>
      <w:r>
        <w:rPr>
          <w:rFonts w:hint="eastAsia" w:ascii="宋体" w:hAnsi="宋体" w:cs="宋体"/>
          <w:szCs w:val="21"/>
          <w:lang w:val="zh-CN"/>
        </w:rPr>
        <w:t>20.1 代理机构将在采购文件确定的时间和地点进行公开开标。供应商应委派代表准时参加，参加开标的代表须签名报到以证明其出席。</w:t>
      </w:r>
    </w:p>
    <w:p w14:paraId="431F78B3">
      <w:pPr>
        <w:spacing w:line="360" w:lineRule="auto"/>
        <w:ind w:firstLine="420" w:firstLineChars="200"/>
        <w:rPr>
          <w:rFonts w:ascii="宋体" w:hAnsi="宋体" w:cs="宋体"/>
          <w:szCs w:val="21"/>
          <w:lang w:val="zh-CN"/>
        </w:rPr>
      </w:pPr>
      <w:r>
        <w:rPr>
          <w:rFonts w:hint="eastAsia" w:ascii="宋体" w:hAnsi="宋体" w:cs="宋体"/>
          <w:szCs w:val="21"/>
          <w:lang w:val="zh-CN"/>
        </w:rPr>
        <w:t>20.2 开标时，由供应商或者其推选的代表检查响应文件的密封情况，经确认无误后，由采购人或者代理机构工作人员当众拆封，宣布供应商名称、投标价格和采购文件规定的需要宣布的其他内容。</w:t>
      </w:r>
    </w:p>
    <w:p w14:paraId="29663C8D">
      <w:pPr>
        <w:spacing w:line="360" w:lineRule="auto"/>
        <w:ind w:firstLine="420" w:firstLineChars="200"/>
        <w:rPr>
          <w:rFonts w:ascii="宋体" w:hAnsi="宋体" w:cs="宋体"/>
          <w:szCs w:val="21"/>
          <w:lang w:val="zh-CN"/>
        </w:rPr>
      </w:pPr>
      <w:r>
        <w:rPr>
          <w:rFonts w:hint="eastAsia" w:ascii="宋体" w:hAnsi="宋体" w:cs="宋体"/>
          <w:szCs w:val="21"/>
        </w:rPr>
        <w:t>20</w:t>
      </w:r>
      <w:r>
        <w:rPr>
          <w:rFonts w:hint="eastAsia" w:ascii="宋体" w:hAnsi="宋体" w:cs="宋体"/>
          <w:szCs w:val="21"/>
          <w:lang w:val="zh-CN"/>
        </w:rPr>
        <w:t>.3 未宣读的投标价格、价格折扣和采购文件允许提供的备选投标方案等实质性内容，评标时不予承认。</w:t>
      </w:r>
    </w:p>
    <w:p w14:paraId="522DB8AD">
      <w:pPr>
        <w:spacing w:line="360" w:lineRule="auto"/>
        <w:ind w:firstLine="420" w:firstLineChars="200"/>
        <w:rPr>
          <w:rFonts w:ascii="宋体" w:hAnsi="宋体" w:cs="宋体"/>
          <w:szCs w:val="21"/>
          <w:lang w:val="zh-CN"/>
        </w:rPr>
      </w:pPr>
      <w:r>
        <w:rPr>
          <w:rFonts w:hint="eastAsia" w:ascii="宋体" w:hAnsi="宋体" w:cs="宋体"/>
          <w:szCs w:val="21"/>
          <w:lang w:val="zh-CN"/>
        </w:rPr>
        <w:t>20.4 开标时，《开标一览表》（报价表）内容与响应文件中相应内容不一致的，以《开标一览表》（报价表）为准。</w:t>
      </w:r>
    </w:p>
    <w:p w14:paraId="3F129B51">
      <w:pPr>
        <w:spacing w:line="360" w:lineRule="auto"/>
        <w:ind w:firstLine="420" w:firstLineChars="200"/>
        <w:rPr>
          <w:rFonts w:ascii="宋体" w:hAnsi="宋体" w:cs="宋体"/>
          <w:szCs w:val="21"/>
          <w:lang w:val="zh-CN"/>
        </w:rPr>
      </w:pPr>
      <w:r>
        <w:rPr>
          <w:rFonts w:hint="eastAsia" w:ascii="宋体" w:hAnsi="宋体" w:cs="宋体"/>
          <w:szCs w:val="21"/>
          <w:lang w:val="zh-CN"/>
        </w:rPr>
        <w:t>20.5 响应文件、《开标一览表》（报价表）中报价的大写金额与小写金额不一致的，以大写金额为准。</w:t>
      </w:r>
    </w:p>
    <w:p w14:paraId="47DD3D6E">
      <w:pPr>
        <w:spacing w:line="360" w:lineRule="auto"/>
        <w:ind w:firstLine="420" w:firstLineChars="200"/>
        <w:rPr>
          <w:rFonts w:ascii="宋体" w:hAnsi="宋体" w:cs="宋体"/>
          <w:szCs w:val="21"/>
          <w:lang w:val="zh-CN"/>
        </w:rPr>
      </w:pPr>
      <w:r>
        <w:rPr>
          <w:rFonts w:hint="eastAsia" w:ascii="宋体" w:hAnsi="宋体" w:cs="宋体"/>
          <w:szCs w:val="21"/>
          <w:lang w:val="zh-CN"/>
        </w:rPr>
        <w:t>20.6 单价金额小数点或者百分比有明显错位的，以《开标一览表》（报价表）的总价为准，并修改单价。</w:t>
      </w:r>
    </w:p>
    <w:p w14:paraId="0D8A77FC">
      <w:pPr>
        <w:spacing w:line="360" w:lineRule="auto"/>
        <w:ind w:firstLine="420" w:firstLineChars="200"/>
        <w:rPr>
          <w:rFonts w:ascii="宋体" w:hAnsi="宋体" w:cs="宋体"/>
          <w:szCs w:val="21"/>
          <w:lang w:val="zh-CN"/>
        </w:rPr>
      </w:pPr>
      <w:r>
        <w:rPr>
          <w:rFonts w:hint="eastAsia" w:ascii="宋体" w:hAnsi="宋体" w:cs="宋体"/>
          <w:szCs w:val="21"/>
          <w:lang w:val="zh-CN"/>
        </w:rPr>
        <w:t>20.7 总价金额与按单价汇总金额不一致的，以单价金额计算结果为准。</w:t>
      </w:r>
    </w:p>
    <w:p w14:paraId="1429BBEB">
      <w:pPr>
        <w:spacing w:line="360" w:lineRule="auto"/>
        <w:ind w:firstLine="420" w:firstLineChars="200"/>
        <w:rPr>
          <w:rFonts w:ascii="宋体" w:hAnsi="宋体" w:cs="宋体"/>
          <w:szCs w:val="21"/>
          <w:lang w:val="zh-CN"/>
        </w:rPr>
      </w:pPr>
      <w:r>
        <w:rPr>
          <w:rFonts w:hint="eastAsia" w:ascii="宋体" w:hAnsi="宋体" w:cs="宋体"/>
          <w:szCs w:val="21"/>
          <w:lang w:val="zh-CN"/>
        </w:rPr>
        <w:t>20.8 同时出现20.4-20.7中两种以上不一致的，按照20.4-20.7的顺序修正。修正后的报价由法定代表人或其授权的代表确认后产生约束力，供应商不确认的，投标无效。</w:t>
      </w:r>
    </w:p>
    <w:p w14:paraId="201AD0C8">
      <w:pPr>
        <w:spacing w:line="360" w:lineRule="auto"/>
        <w:ind w:firstLine="420" w:firstLineChars="200"/>
        <w:rPr>
          <w:rFonts w:ascii="宋体" w:hAnsi="宋体" w:cs="宋体"/>
          <w:szCs w:val="21"/>
          <w:lang w:val="zh-CN"/>
        </w:rPr>
      </w:pPr>
      <w:r>
        <w:rPr>
          <w:rFonts w:hint="eastAsia" w:ascii="宋体" w:hAnsi="宋体" w:cs="宋体"/>
          <w:szCs w:val="21"/>
          <w:lang w:val="zh-CN"/>
        </w:rPr>
        <w:t>20.9 对不同文字文本响应文件的解释发生异议的，以中文文本为准。</w:t>
      </w:r>
    </w:p>
    <w:p w14:paraId="3FC85B27">
      <w:pPr>
        <w:spacing w:line="360" w:lineRule="auto"/>
        <w:ind w:firstLine="420" w:firstLineChars="200"/>
        <w:rPr>
          <w:rFonts w:ascii="宋体" w:hAnsi="宋体" w:cs="宋体"/>
          <w:szCs w:val="21"/>
          <w:lang w:val="zh-CN"/>
        </w:rPr>
      </w:pPr>
      <w:r>
        <w:rPr>
          <w:rFonts w:hint="eastAsia" w:ascii="宋体" w:hAnsi="宋体" w:cs="宋体"/>
          <w:szCs w:val="21"/>
          <w:lang w:val="zh-CN"/>
        </w:rPr>
        <w:t>20.10 投标截止时间参加投标的供应商不足三家的，除采购任务取消情形外，可按监管部门规定转为其他采购方式。</w:t>
      </w:r>
    </w:p>
    <w:p w14:paraId="045DC07D">
      <w:pPr>
        <w:spacing w:line="360" w:lineRule="auto"/>
        <w:ind w:firstLine="422" w:firstLineChars="200"/>
        <w:rPr>
          <w:rFonts w:ascii="宋体" w:hAnsi="宋体" w:cs="宋体"/>
          <w:b/>
          <w:bCs/>
          <w:szCs w:val="21"/>
          <w:lang w:val="zh-CN"/>
        </w:rPr>
      </w:pPr>
      <w:r>
        <w:rPr>
          <w:rFonts w:hint="eastAsia" w:ascii="宋体" w:hAnsi="宋体" w:cs="宋体"/>
          <w:b/>
          <w:bCs/>
          <w:szCs w:val="21"/>
          <w:lang w:val="zh-CN"/>
        </w:rPr>
        <w:t>21.评标</w:t>
      </w:r>
    </w:p>
    <w:p w14:paraId="1BAE1C4E">
      <w:pPr>
        <w:spacing w:line="360" w:lineRule="auto"/>
        <w:ind w:firstLine="422" w:firstLineChars="200"/>
        <w:rPr>
          <w:rFonts w:ascii="宋体" w:hAnsi="宋体" w:cs="宋体"/>
          <w:b/>
          <w:bCs/>
          <w:szCs w:val="21"/>
          <w:lang w:val="zh-CN"/>
        </w:rPr>
      </w:pPr>
      <w:r>
        <w:rPr>
          <w:rFonts w:hint="eastAsia" w:ascii="宋体" w:hAnsi="宋体" w:cs="宋体"/>
          <w:b/>
          <w:szCs w:val="21"/>
          <w:lang w:val="zh-CN"/>
        </w:rPr>
        <w:t>21.1</w:t>
      </w:r>
      <w:r>
        <w:rPr>
          <w:rFonts w:hint="eastAsia" w:ascii="宋体" w:hAnsi="宋体" w:cs="宋体"/>
          <w:b/>
          <w:bCs/>
          <w:szCs w:val="21"/>
          <w:lang w:val="zh-CN"/>
        </w:rPr>
        <w:t xml:space="preserve"> 评标组织</w:t>
      </w:r>
    </w:p>
    <w:p w14:paraId="0180AC37">
      <w:pPr>
        <w:spacing w:line="360" w:lineRule="auto"/>
        <w:ind w:firstLine="420" w:firstLineChars="200"/>
        <w:rPr>
          <w:rFonts w:ascii="宋体" w:hAnsi="宋体" w:cs="宋体"/>
          <w:szCs w:val="21"/>
        </w:rPr>
      </w:pPr>
      <w:r>
        <w:rPr>
          <w:rFonts w:hint="eastAsia" w:ascii="宋体" w:hAnsi="宋体" w:cs="宋体"/>
          <w:szCs w:val="21"/>
          <w:lang w:val="zh-CN"/>
        </w:rPr>
        <w:t>21.1.1评标工作由代理机构组织，具体评标事务由依法组建的评标委员会负责，并独立履行</w:t>
      </w:r>
      <w:r>
        <w:rPr>
          <w:rFonts w:hint="eastAsia" w:ascii="宋体" w:hAnsi="宋体" w:cs="宋体"/>
          <w:szCs w:val="21"/>
        </w:rPr>
        <w:t>下列职责：</w:t>
      </w:r>
    </w:p>
    <w:p w14:paraId="405B5F38">
      <w:pPr>
        <w:spacing w:line="360" w:lineRule="auto"/>
        <w:ind w:firstLine="420" w:firstLineChars="200"/>
        <w:rPr>
          <w:rFonts w:ascii="宋体" w:hAnsi="宋体" w:cs="宋体"/>
          <w:szCs w:val="21"/>
        </w:rPr>
      </w:pPr>
      <w:r>
        <w:rPr>
          <w:rFonts w:hint="eastAsia" w:ascii="宋体" w:hAnsi="宋体" w:cs="宋体"/>
          <w:szCs w:val="21"/>
        </w:rPr>
        <w:t>（1）审查、评价响应文件是否符合采购文件的商务、技术等实质性要求；</w:t>
      </w:r>
    </w:p>
    <w:p w14:paraId="0C60CBC1">
      <w:pPr>
        <w:spacing w:line="360" w:lineRule="auto"/>
        <w:ind w:firstLine="420" w:firstLineChars="200"/>
        <w:rPr>
          <w:rFonts w:ascii="宋体" w:hAnsi="宋体" w:cs="宋体"/>
          <w:szCs w:val="21"/>
        </w:rPr>
      </w:pPr>
      <w:r>
        <w:rPr>
          <w:rFonts w:hint="eastAsia" w:ascii="宋体" w:hAnsi="宋体" w:cs="宋体"/>
          <w:szCs w:val="21"/>
        </w:rPr>
        <w:t>（2）要求供应商对响应文件有关事项作出澄清或者说明；</w:t>
      </w:r>
    </w:p>
    <w:p w14:paraId="787552F9">
      <w:pPr>
        <w:spacing w:line="360" w:lineRule="auto"/>
        <w:ind w:firstLine="420" w:firstLineChars="200"/>
        <w:rPr>
          <w:rFonts w:ascii="宋体" w:hAnsi="宋体" w:cs="宋体"/>
          <w:szCs w:val="21"/>
        </w:rPr>
      </w:pPr>
      <w:r>
        <w:rPr>
          <w:rFonts w:hint="eastAsia" w:ascii="宋体" w:hAnsi="宋体" w:cs="宋体"/>
          <w:szCs w:val="21"/>
        </w:rPr>
        <w:t>（3）对响应文件进行比较和评价；</w:t>
      </w:r>
    </w:p>
    <w:p w14:paraId="47FD0C93">
      <w:pPr>
        <w:spacing w:line="360" w:lineRule="auto"/>
        <w:ind w:firstLine="420" w:firstLineChars="200"/>
        <w:rPr>
          <w:rFonts w:ascii="宋体" w:hAnsi="宋体" w:cs="宋体"/>
          <w:szCs w:val="21"/>
        </w:rPr>
      </w:pPr>
      <w:r>
        <w:rPr>
          <w:rFonts w:hint="eastAsia" w:ascii="宋体" w:hAnsi="宋体" w:cs="宋体"/>
          <w:szCs w:val="21"/>
        </w:rPr>
        <w:t>（4）推荐中标候选人或根据采购人委托直接确定中标供应商；</w:t>
      </w:r>
    </w:p>
    <w:p w14:paraId="51D82F74">
      <w:pPr>
        <w:spacing w:line="360" w:lineRule="auto"/>
        <w:ind w:firstLine="420" w:firstLineChars="200"/>
        <w:rPr>
          <w:rFonts w:ascii="宋体" w:hAnsi="宋体" w:cs="宋体"/>
          <w:szCs w:val="21"/>
        </w:rPr>
      </w:pPr>
      <w:r>
        <w:rPr>
          <w:rFonts w:hint="eastAsia" w:ascii="宋体" w:hAnsi="宋体" w:cs="宋体"/>
          <w:szCs w:val="21"/>
        </w:rPr>
        <w:t>（5）向采购人报告评标中发现的违法行为。</w:t>
      </w:r>
    </w:p>
    <w:p w14:paraId="6DA15CFD">
      <w:pPr>
        <w:spacing w:line="360" w:lineRule="auto"/>
        <w:ind w:firstLine="420" w:firstLineChars="200"/>
        <w:rPr>
          <w:rFonts w:ascii="宋体" w:hAnsi="宋体" w:cs="宋体"/>
          <w:szCs w:val="21"/>
          <w:lang w:val="zh-CN"/>
        </w:rPr>
      </w:pPr>
      <w:r>
        <w:rPr>
          <w:rFonts w:hint="eastAsia" w:ascii="宋体" w:hAnsi="宋体" w:cs="宋体"/>
          <w:bCs/>
          <w:szCs w:val="21"/>
          <w:lang w:val="zh-CN"/>
        </w:rPr>
        <w:t xml:space="preserve">21.1.2 </w:t>
      </w:r>
      <w:r>
        <w:rPr>
          <w:rFonts w:hint="eastAsia" w:ascii="宋体" w:hAnsi="宋体" w:cs="宋体"/>
          <w:szCs w:val="21"/>
          <w:lang w:val="zh-CN"/>
        </w:rPr>
        <w:t>评标委员会由采购人代表和有关技术、经济等方面的专家组成，独立开展评审工作。</w:t>
      </w:r>
    </w:p>
    <w:p w14:paraId="62794CAB">
      <w:pPr>
        <w:spacing w:line="360" w:lineRule="auto"/>
        <w:ind w:firstLine="422" w:firstLineChars="200"/>
        <w:rPr>
          <w:rFonts w:ascii="宋体" w:hAnsi="宋体" w:cs="宋体"/>
          <w:b/>
          <w:bCs/>
          <w:szCs w:val="21"/>
          <w:lang w:val="zh-CN"/>
        </w:rPr>
      </w:pPr>
      <w:r>
        <w:rPr>
          <w:rFonts w:hint="eastAsia" w:ascii="宋体" w:hAnsi="宋体" w:cs="宋体"/>
          <w:b/>
          <w:bCs/>
          <w:szCs w:val="21"/>
          <w:lang w:val="zh-CN"/>
        </w:rPr>
        <w:t>21.2 评标程序</w:t>
      </w:r>
    </w:p>
    <w:p w14:paraId="627F3893">
      <w:pPr>
        <w:spacing w:line="360" w:lineRule="auto"/>
        <w:ind w:firstLine="422" w:firstLineChars="200"/>
        <w:rPr>
          <w:rFonts w:ascii="宋体" w:hAnsi="宋体" w:cs="宋体"/>
          <w:b/>
          <w:szCs w:val="21"/>
          <w:lang w:val="zh-CN"/>
        </w:rPr>
      </w:pPr>
      <w:r>
        <w:rPr>
          <w:rFonts w:hint="eastAsia" w:ascii="宋体" w:hAnsi="宋体" w:cs="宋体"/>
          <w:b/>
          <w:szCs w:val="21"/>
          <w:lang w:val="zh-CN"/>
        </w:rPr>
        <w:t>21.2.1 响应文件的资格审查</w:t>
      </w:r>
    </w:p>
    <w:p w14:paraId="45AA544A">
      <w:pPr>
        <w:pStyle w:val="14"/>
        <w:spacing w:line="360" w:lineRule="auto"/>
        <w:ind w:firstLineChars="200"/>
        <w:rPr>
          <w:rFonts w:ascii="宋体" w:hAnsi="宋体" w:cs="宋体"/>
          <w:szCs w:val="21"/>
          <w:lang w:val="zh-CN"/>
        </w:rPr>
      </w:pPr>
      <w:r>
        <w:rPr>
          <w:rFonts w:hint="eastAsia" w:ascii="宋体" w:hAnsi="宋体" w:cs="宋体"/>
          <w:szCs w:val="21"/>
          <w:lang w:val="zh-CN"/>
        </w:rPr>
        <w:t>21.2.1.1</w:t>
      </w:r>
      <w:r>
        <w:rPr>
          <w:rFonts w:hint="eastAsia" w:ascii="宋体" w:hAnsi="宋体" w:cs="宋体"/>
          <w:szCs w:val="21"/>
        </w:rPr>
        <w:t xml:space="preserve"> </w:t>
      </w:r>
      <w:r>
        <w:rPr>
          <w:rFonts w:hint="eastAsia" w:ascii="宋体" w:hAnsi="宋体" w:cs="宋体"/>
          <w:szCs w:val="21"/>
          <w:lang w:val="zh-CN"/>
        </w:rPr>
        <w:t>采购人代表依法对供应商的资格进行审查。</w:t>
      </w:r>
    </w:p>
    <w:p w14:paraId="32708283">
      <w:pPr>
        <w:pStyle w:val="14"/>
        <w:spacing w:line="360" w:lineRule="auto"/>
        <w:ind w:firstLineChars="200"/>
        <w:rPr>
          <w:rFonts w:ascii="宋体" w:hAnsi="宋体" w:cs="宋体"/>
          <w:szCs w:val="21"/>
          <w:lang w:val="zh-CN"/>
        </w:rPr>
      </w:pPr>
      <w:r>
        <w:rPr>
          <w:rFonts w:hint="eastAsia" w:ascii="宋体" w:hAnsi="宋体" w:cs="宋体"/>
          <w:szCs w:val="21"/>
          <w:lang w:val="zh-CN"/>
        </w:rPr>
        <w:t>21.2.1.2</w:t>
      </w:r>
      <w:r>
        <w:rPr>
          <w:rFonts w:hint="eastAsia" w:ascii="宋体" w:hAnsi="宋体" w:cs="宋体"/>
          <w:szCs w:val="21"/>
        </w:rPr>
        <w:t xml:space="preserve"> </w:t>
      </w:r>
      <w:r>
        <w:rPr>
          <w:rFonts w:hint="eastAsia" w:ascii="宋体" w:hAnsi="宋体" w:cs="宋体"/>
          <w:szCs w:val="21"/>
          <w:lang w:val="zh-CN"/>
        </w:rPr>
        <w:t>采购人代表依据法律法规和采购文件的规定，对响应文件中的资格证明文件等进行审查，以确定供应商是否具备投标资格。</w:t>
      </w:r>
    </w:p>
    <w:p w14:paraId="214B9716">
      <w:pPr>
        <w:spacing w:line="360" w:lineRule="auto"/>
        <w:ind w:firstLine="420" w:firstLineChars="200"/>
        <w:rPr>
          <w:rFonts w:ascii="宋体" w:hAnsi="宋体" w:cs="宋体"/>
          <w:szCs w:val="21"/>
          <w:lang w:val="zh-CN"/>
        </w:rPr>
      </w:pPr>
      <w:r>
        <w:rPr>
          <w:rFonts w:hint="eastAsia" w:ascii="宋体" w:hAnsi="宋体" w:cs="宋体"/>
          <w:szCs w:val="21"/>
          <w:lang w:val="zh-CN"/>
        </w:rPr>
        <w:t>21.2.1.3 在进行资格性审查的同时，将在“信用中国”网站（www.creditchina.gov.cn）、对供应商是否被“信用中国”网站（www.creditchina.gov.cn）列入失信被执行人、重大税收违法失信主体、严重违法失信行为记录名单进行查询，以确定供应商是否具备投标资格。查询结果将以网页打印的形式留存并归档。</w:t>
      </w:r>
    </w:p>
    <w:p w14:paraId="6BEFE302">
      <w:pPr>
        <w:widowControl/>
        <w:spacing w:line="360" w:lineRule="auto"/>
        <w:ind w:firstLine="422" w:firstLineChars="200"/>
        <w:rPr>
          <w:rFonts w:ascii="宋体" w:hAnsi="宋体" w:cs="宋体"/>
          <w:szCs w:val="21"/>
          <w:lang w:val="zh-CN"/>
        </w:rPr>
      </w:pPr>
      <w:r>
        <w:rPr>
          <w:rFonts w:hint="eastAsia" w:ascii="宋体" w:hAnsi="宋体" w:cs="宋体"/>
          <w:b/>
          <w:szCs w:val="21"/>
          <w:lang w:val="zh-CN"/>
        </w:rPr>
        <w:t>21.2.1.4</w:t>
      </w:r>
      <w:r>
        <w:rPr>
          <w:rFonts w:hint="eastAsia" w:ascii="宋体" w:hAnsi="宋体" w:cs="宋体"/>
          <w:szCs w:val="21"/>
          <w:lang w:val="zh-CN"/>
        </w:rPr>
        <w:t xml:space="preserve"> </w:t>
      </w:r>
      <w:r>
        <w:rPr>
          <w:rFonts w:hint="eastAsia" w:ascii="宋体" w:hAnsi="宋体" w:cs="宋体"/>
          <w:b/>
          <w:szCs w:val="21"/>
          <w:lang w:val="zh-CN"/>
        </w:rPr>
        <w:t>响应文件有下列情况之一的，在资格审查时按照无效投标处理：</w:t>
      </w:r>
    </w:p>
    <w:p w14:paraId="6CE4B085">
      <w:pPr>
        <w:widowControl/>
        <w:spacing w:line="360" w:lineRule="auto"/>
        <w:ind w:firstLine="420" w:firstLineChars="200"/>
        <w:jc w:val="left"/>
        <w:rPr>
          <w:rFonts w:ascii="宋体" w:hAnsi="宋体" w:cs="宋体"/>
          <w:szCs w:val="21"/>
          <w:lang w:val="zh-CN"/>
        </w:rPr>
      </w:pPr>
      <w:r>
        <w:rPr>
          <w:rFonts w:hint="eastAsia" w:ascii="宋体" w:hAnsi="宋体" w:cs="宋体"/>
          <w:szCs w:val="21"/>
          <w:lang w:val="zh-CN"/>
        </w:rPr>
        <w:t>（1）不具备采购文件规定资格条件的；</w:t>
      </w:r>
    </w:p>
    <w:p w14:paraId="1C54D4A1">
      <w:pPr>
        <w:widowControl/>
        <w:spacing w:line="360" w:lineRule="auto"/>
        <w:ind w:firstLine="420" w:firstLineChars="200"/>
        <w:jc w:val="left"/>
        <w:rPr>
          <w:rFonts w:ascii="宋体" w:hAnsi="宋体" w:cs="宋体"/>
          <w:szCs w:val="21"/>
          <w:lang w:val="zh-CN"/>
        </w:rPr>
      </w:pPr>
      <w:r>
        <w:rPr>
          <w:rFonts w:hint="eastAsia" w:ascii="宋体" w:hAnsi="宋体" w:cs="宋体"/>
          <w:szCs w:val="21"/>
          <w:lang w:val="zh-CN"/>
        </w:rPr>
        <w:t>（2）供应商被“信用中国”网站（www.creditchina.gov.cn）、“中国政府采购网”（www.ccgp.gov.cn）列入失信被执行人、重大税收违法失信主体、政府采购严重违法失信行为记录名单的。</w:t>
      </w:r>
    </w:p>
    <w:p w14:paraId="7D6DF721">
      <w:pPr>
        <w:spacing w:line="360" w:lineRule="auto"/>
        <w:ind w:firstLine="422" w:firstLineChars="200"/>
        <w:rPr>
          <w:rFonts w:ascii="宋体" w:hAnsi="宋体" w:cs="宋体"/>
          <w:b/>
          <w:szCs w:val="21"/>
          <w:lang w:val="zh-CN"/>
        </w:rPr>
      </w:pPr>
      <w:r>
        <w:rPr>
          <w:rFonts w:hint="eastAsia" w:ascii="宋体" w:hAnsi="宋体" w:cs="宋体"/>
          <w:b/>
          <w:szCs w:val="21"/>
          <w:lang w:val="zh-CN"/>
        </w:rPr>
        <w:t>21.2.2 响应文件的符合性审查</w:t>
      </w:r>
    </w:p>
    <w:p w14:paraId="7EAEBA99">
      <w:pPr>
        <w:spacing w:line="360" w:lineRule="auto"/>
        <w:ind w:firstLine="420" w:firstLineChars="200"/>
        <w:rPr>
          <w:rFonts w:ascii="宋体" w:hAnsi="宋体" w:cs="宋体"/>
          <w:szCs w:val="21"/>
          <w:lang w:val="zh-CN"/>
        </w:rPr>
      </w:pPr>
      <w:r>
        <w:rPr>
          <w:rFonts w:hint="eastAsia" w:ascii="宋体" w:hAnsi="宋体" w:cs="宋体"/>
          <w:szCs w:val="21"/>
          <w:lang w:val="zh-CN"/>
        </w:rPr>
        <w:t>21.2.2.1</w:t>
      </w:r>
      <w:r>
        <w:rPr>
          <w:rFonts w:hint="eastAsia" w:ascii="宋体" w:hAnsi="宋体" w:cs="宋体"/>
          <w:szCs w:val="21"/>
        </w:rPr>
        <w:t xml:space="preserve"> </w:t>
      </w:r>
      <w:r>
        <w:rPr>
          <w:rFonts w:hint="eastAsia" w:ascii="宋体" w:hAnsi="宋体" w:cs="宋体"/>
          <w:szCs w:val="21"/>
          <w:lang w:val="zh-CN"/>
        </w:rPr>
        <w:t>评标委员会将依据法律法规和采购文件的规定，对响应文件的有效性、完整性和对采购文件的响应程度进行审查，以确定是否对采购文件的实质性要求作出响应。</w:t>
      </w:r>
    </w:p>
    <w:p w14:paraId="10398B7A">
      <w:pPr>
        <w:spacing w:line="360" w:lineRule="auto"/>
        <w:ind w:firstLine="420" w:firstLineChars="200"/>
        <w:rPr>
          <w:rFonts w:ascii="宋体" w:hAnsi="宋体" w:cs="宋体"/>
          <w:szCs w:val="21"/>
          <w:lang w:val="zh-CN"/>
        </w:rPr>
      </w:pPr>
      <w:r>
        <w:rPr>
          <w:rFonts w:hint="eastAsia" w:ascii="宋体" w:hAnsi="宋体" w:cs="宋体"/>
          <w:szCs w:val="21"/>
          <w:lang w:val="zh-CN"/>
        </w:rPr>
        <w:t>21.2.2.2 实质性要求是指本采购文件中带“★”的商务和技术要求。</w:t>
      </w:r>
    </w:p>
    <w:p w14:paraId="0AA87F98">
      <w:pPr>
        <w:spacing w:line="360" w:lineRule="auto"/>
        <w:ind w:firstLine="420" w:firstLineChars="200"/>
        <w:rPr>
          <w:rFonts w:ascii="宋体" w:hAnsi="宋体" w:cs="宋体"/>
          <w:bCs/>
          <w:szCs w:val="21"/>
        </w:rPr>
      </w:pPr>
      <w:r>
        <w:rPr>
          <w:rFonts w:hint="eastAsia" w:ascii="宋体" w:hAnsi="宋体" w:cs="宋体"/>
          <w:szCs w:val="21"/>
          <w:lang w:val="zh-CN"/>
        </w:rPr>
        <w:t>21.2.2.3 如果响应文件实质上没有响应采购文件的要求，评标委员会将予以拒绝，</w:t>
      </w:r>
      <w:r>
        <w:rPr>
          <w:rFonts w:hint="eastAsia" w:ascii="宋体" w:hAnsi="宋体" w:cs="宋体"/>
          <w:bCs/>
          <w:szCs w:val="21"/>
        </w:rPr>
        <w:t>供应商不得通过修改或撤销不合要求的偏离而使其投标成为实质性响应的投标。</w:t>
      </w:r>
    </w:p>
    <w:p w14:paraId="7D33AD80">
      <w:pPr>
        <w:spacing w:line="360" w:lineRule="auto"/>
        <w:ind w:firstLine="422" w:firstLineChars="200"/>
        <w:rPr>
          <w:rFonts w:ascii="宋体" w:hAnsi="宋体" w:cs="宋体"/>
          <w:b/>
          <w:szCs w:val="21"/>
          <w:lang w:val="zh-CN"/>
        </w:rPr>
      </w:pPr>
      <w:r>
        <w:rPr>
          <w:rFonts w:hint="eastAsia" w:ascii="宋体" w:hAnsi="宋体" w:cs="宋体"/>
          <w:b/>
          <w:bCs/>
          <w:szCs w:val="21"/>
        </w:rPr>
        <w:t xml:space="preserve">21.2.2.4 </w:t>
      </w:r>
      <w:r>
        <w:rPr>
          <w:rFonts w:hint="eastAsia" w:ascii="宋体" w:hAnsi="宋体" w:cs="宋体"/>
          <w:b/>
          <w:szCs w:val="21"/>
          <w:lang w:val="zh-CN"/>
        </w:rPr>
        <w:t>响应文件有下列情况之一的，在符合性审查时按照无效投标处理</w:t>
      </w:r>
    </w:p>
    <w:p w14:paraId="42940C0C">
      <w:pPr>
        <w:widowControl/>
        <w:spacing w:line="360" w:lineRule="auto"/>
        <w:ind w:firstLine="420" w:firstLineChars="200"/>
        <w:rPr>
          <w:rFonts w:ascii="宋体" w:hAnsi="宋体" w:cs="宋体"/>
          <w:szCs w:val="21"/>
          <w:lang w:val="zh-CN"/>
        </w:rPr>
      </w:pPr>
      <w:r>
        <w:rPr>
          <w:rFonts w:hint="eastAsia" w:ascii="宋体" w:hAnsi="宋体" w:cs="宋体"/>
          <w:szCs w:val="21"/>
          <w:lang w:val="zh-CN"/>
        </w:rPr>
        <w:t>（1）未按采购文件规定签署、盖章的；</w:t>
      </w:r>
    </w:p>
    <w:p w14:paraId="449F0EA3">
      <w:pPr>
        <w:widowControl/>
        <w:spacing w:line="360" w:lineRule="auto"/>
        <w:ind w:firstLine="420" w:firstLineChars="200"/>
        <w:rPr>
          <w:rFonts w:ascii="宋体" w:hAnsi="宋体" w:cs="宋体"/>
          <w:szCs w:val="21"/>
          <w:lang w:val="zh-CN"/>
        </w:rPr>
      </w:pPr>
      <w:r>
        <w:rPr>
          <w:rFonts w:hint="eastAsia" w:ascii="宋体" w:hAnsi="宋体" w:cs="宋体"/>
          <w:szCs w:val="21"/>
          <w:lang w:val="zh-CN"/>
        </w:rPr>
        <w:t>（2）没有《开标一览表》的；</w:t>
      </w:r>
    </w:p>
    <w:p w14:paraId="25015ABC">
      <w:pPr>
        <w:widowControl/>
        <w:spacing w:line="360" w:lineRule="auto"/>
        <w:ind w:firstLine="420" w:firstLineChars="200"/>
        <w:rPr>
          <w:rFonts w:ascii="宋体" w:hAnsi="宋体" w:cs="宋体"/>
          <w:szCs w:val="21"/>
          <w:lang w:val="zh-CN"/>
        </w:rPr>
      </w:pPr>
      <w:r>
        <w:rPr>
          <w:rFonts w:hint="eastAsia" w:ascii="宋体" w:hAnsi="宋体" w:cs="宋体"/>
          <w:szCs w:val="21"/>
          <w:lang w:val="zh-CN"/>
        </w:rPr>
        <w:t>（3）投标总价超出采购预算金额或者最高限价的；</w:t>
      </w:r>
    </w:p>
    <w:p w14:paraId="400297C4">
      <w:pPr>
        <w:widowControl/>
        <w:spacing w:line="360" w:lineRule="auto"/>
        <w:ind w:firstLine="420" w:firstLineChars="200"/>
        <w:rPr>
          <w:rFonts w:ascii="宋体" w:hAnsi="宋体" w:cs="宋体"/>
          <w:szCs w:val="21"/>
          <w:lang w:val="zh-CN"/>
        </w:rPr>
      </w:pPr>
      <w:r>
        <w:rPr>
          <w:rFonts w:hint="eastAsia" w:ascii="宋体" w:hAnsi="宋体" w:cs="宋体"/>
          <w:szCs w:val="21"/>
          <w:lang w:val="zh-CN"/>
        </w:rPr>
        <w:t>（4）不同</w:t>
      </w:r>
      <w:r>
        <w:rPr>
          <w:rFonts w:hint="eastAsia" w:ascii="宋体" w:hAnsi="宋体" w:cs="宋体"/>
          <w:szCs w:val="21"/>
        </w:rPr>
        <w:t>供应商</w:t>
      </w:r>
      <w:r>
        <w:rPr>
          <w:rFonts w:hint="eastAsia" w:ascii="宋体" w:hAnsi="宋体" w:cs="宋体"/>
          <w:szCs w:val="21"/>
          <w:lang w:val="zh-CN"/>
        </w:rPr>
        <w:t>的响应文件由同一单位或者个人编制；</w:t>
      </w:r>
    </w:p>
    <w:p w14:paraId="3E852042">
      <w:pPr>
        <w:widowControl/>
        <w:spacing w:line="360" w:lineRule="auto"/>
        <w:ind w:firstLine="420" w:firstLineChars="200"/>
        <w:rPr>
          <w:rFonts w:ascii="宋体" w:hAnsi="宋体" w:cs="宋体"/>
          <w:szCs w:val="21"/>
          <w:lang w:val="zh-CN"/>
        </w:rPr>
      </w:pPr>
      <w:r>
        <w:rPr>
          <w:rFonts w:hint="eastAsia" w:ascii="宋体" w:hAnsi="宋体" w:cs="宋体"/>
          <w:szCs w:val="21"/>
          <w:lang w:val="zh-CN"/>
        </w:rPr>
        <w:t>（5）不同</w:t>
      </w:r>
      <w:r>
        <w:rPr>
          <w:rFonts w:hint="eastAsia" w:ascii="宋体" w:hAnsi="宋体" w:cs="宋体"/>
          <w:szCs w:val="21"/>
        </w:rPr>
        <w:t>供应商</w:t>
      </w:r>
      <w:r>
        <w:rPr>
          <w:rFonts w:hint="eastAsia" w:ascii="宋体" w:hAnsi="宋体" w:cs="宋体"/>
          <w:szCs w:val="21"/>
          <w:lang w:val="zh-CN"/>
        </w:rPr>
        <w:t>委托同一单位或者个人办理投标事宜；</w:t>
      </w:r>
    </w:p>
    <w:p w14:paraId="14334697">
      <w:pPr>
        <w:widowControl/>
        <w:spacing w:line="360" w:lineRule="auto"/>
        <w:ind w:firstLine="420" w:firstLineChars="200"/>
        <w:rPr>
          <w:rFonts w:ascii="宋体" w:hAnsi="宋体" w:cs="宋体"/>
          <w:szCs w:val="21"/>
          <w:lang w:val="zh-CN"/>
        </w:rPr>
      </w:pPr>
      <w:r>
        <w:rPr>
          <w:rFonts w:hint="eastAsia" w:ascii="宋体" w:hAnsi="宋体" w:cs="宋体"/>
          <w:szCs w:val="21"/>
          <w:lang w:val="zh-CN"/>
        </w:rPr>
        <w:t>（6）不同</w:t>
      </w:r>
      <w:r>
        <w:rPr>
          <w:rFonts w:hint="eastAsia" w:ascii="宋体" w:hAnsi="宋体" w:cs="宋体"/>
          <w:szCs w:val="21"/>
        </w:rPr>
        <w:t>供应商</w:t>
      </w:r>
      <w:r>
        <w:rPr>
          <w:rFonts w:hint="eastAsia" w:ascii="宋体" w:hAnsi="宋体" w:cs="宋体"/>
          <w:szCs w:val="21"/>
          <w:lang w:val="zh-CN"/>
        </w:rPr>
        <w:t>的响应文件载明的项目管理成员或者联系人员为同一人；</w:t>
      </w:r>
    </w:p>
    <w:p w14:paraId="0E27D4B1">
      <w:pPr>
        <w:widowControl/>
        <w:spacing w:line="360" w:lineRule="auto"/>
        <w:ind w:firstLine="420" w:firstLineChars="200"/>
        <w:rPr>
          <w:rFonts w:ascii="宋体" w:hAnsi="宋体" w:cs="宋体"/>
          <w:szCs w:val="21"/>
          <w:lang w:val="zh-CN"/>
        </w:rPr>
      </w:pPr>
      <w:r>
        <w:rPr>
          <w:rFonts w:hint="eastAsia" w:ascii="宋体" w:hAnsi="宋体" w:cs="宋体"/>
          <w:szCs w:val="21"/>
          <w:lang w:val="zh-CN"/>
        </w:rPr>
        <w:t>（7）不同</w:t>
      </w:r>
      <w:r>
        <w:rPr>
          <w:rFonts w:hint="eastAsia" w:ascii="宋体" w:hAnsi="宋体" w:cs="宋体"/>
          <w:szCs w:val="21"/>
        </w:rPr>
        <w:t>供应商</w:t>
      </w:r>
      <w:r>
        <w:rPr>
          <w:rFonts w:hint="eastAsia" w:ascii="宋体" w:hAnsi="宋体" w:cs="宋体"/>
          <w:szCs w:val="21"/>
          <w:lang w:val="zh-CN"/>
        </w:rPr>
        <w:t>的响应文件异常一致或者投标报价呈规律性差异；</w:t>
      </w:r>
    </w:p>
    <w:p w14:paraId="291748DE">
      <w:pPr>
        <w:widowControl/>
        <w:spacing w:line="360" w:lineRule="auto"/>
        <w:ind w:firstLine="420" w:firstLineChars="200"/>
        <w:rPr>
          <w:rFonts w:ascii="宋体" w:hAnsi="宋体" w:cs="宋体"/>
          <w:szCs w:val="21"/>
          <w:lang w:val="zh-CN"/>
        </w:rPr>
      </w:pPr>
      <w:r>
        <w:rPr>
          <w:rFonts w:hint="eastAsia" w:ascii="宋体" w:hAnsi="宋体" w:cs="宋体"/>
          <w:szCs w:val="21"/>
          <w:lang w:val="zh-CN"/>
        </w:rPr>
        <w:t>（8）不同</w:t>
      </w:r>
      <w:r>
        <w:rPr>
          <w:rFonts w:hint="eastAsia" w:ascii="宋体" w:hAnsi="宋体" w:cs="宋体"/>
          <w:szCs w:val="21"/>
        </w:rPr>
        <w:t>供应商</w:t>
      </w:r>
      <w:r>
        <w:rPr>
          <w:rFonts w:hint="eastAsia" w:ascii="宋体" w:hAnsi="宋体" w:cs="宋体"/>
          <w:szCs w:val="21"/>
          <w:lang w:val="zh-CN"/>
        </w:rPr>
        <w:t>的响应文件相互混装；</w:t>
      </w:r>
    </w:p>
    <w:p w14:paraId="7D5339D2">
      <w:pPr>
        <w:widowControl/>
        <w:spacing w:line="360" w:lineRule="auto"/>
        <w:ind w:firstLine="420" w:firstLineChars="200"/>
        <w:rPr>
          <w:rFonts w:ascii="宋体" w:hAnsi="宋体" w:cs="宋体"/>
          <w:szCs w:val="21"/>
          <w:lang w:val="zh-CN"/>
        </w:rPr>
      </w:pPr>
      <w:r>
        <w:rPr>
          <w:rFonts w:hint="eastAsia" w:ascii="宋体" w:hAnsi="宋体" w:cs="宋体"/>
          <w:szCs w:val="21"/>
          <w:lang w:val="zh-CN"/>
        </w:rPr>
        <w:t>（9）不同</w:t>
      </w:r>
      <w:r>
        <w:rPr>
          <w:rFonts w:hint="eastAsia" w:ascii="宋体" w:hAnsi="宋体" w:cs="宋体"/>
          <w:szCs w:val="21"/>
        </w:rPr>
        <w:t>供应商</w:t>
      </w:r>
      <w:r>
        <w:rPr>
          <w:rFonts w:hint="eastAsia" w:ascii="宋体" w:hAnsi="宋体" w:cs="宋体"/>
          <w:szCs w:val="21"/>
          <w:lang w:val="zh-CN"/>
        </w:rPr>
        <w:t>的负责人为同一人或者存在控股、管理关系的；</w:t>
      </w:r>
    </w:p>
    <w:p w14:paraId="7CDE30EF">
      <w:pPr>
        <w:widowControl/>
        <w:spacing w:line="360" w:lineRule="auto"/>
        <w:ind w:firstLine="420" w:firstLineChars="200"/>
        <w:rPr>
          <w:rFonts w:ascii="宋体" w:hAnsi="宋体" w:cs="宋体"/>
          <w:szCs w:val="21"/>
          <w:lang w:val="zh-CN"/>
        </w:rPr>
      </w:pPr>
      <w:r>
        <w:rPr>
          <w:rFonts w:hint="eastAsia" w:ascii="宋体" w:hAnsi="宋体" w:cs="宋体"/>
          <w:szCs w:val="21"/>
          <w:lang w:val="zh-CN"/>
        </w:rPr>
        <w:t>（10）响应文件含有采购人不能接受的附加条件的；</w:t>
      </w:r>
    </w:p>
    <w:p w14:paraId="73084692">
      <w:pPr>
        <w:widowControl/>
        <w:spacing w:line="360" w:lineRule="auto"/>
        <w:ind w:firstLine="420" w:firstLineChars="200"/>
        <w:rPr>
          <w:rFonts w:ascii="宋体" w:hAnsi="宋体" w:cs="宋体"/>
          <w:szCs w:val="21"/>
        </w:rPr>
      </w:pPr>
      <w:r>
        <w:rPr>
          <w:rFonts w:hint="eastAsia" w:ascii="宋体" w:hAnsi="宋体" w:cs="宋体"/>
          <w:szCs w:val="21"/>
          <w:lang w:val="zh-CN"/>
        </w:rPr>
        <w:t>（</w:t>
      </w:r>
      <w:r>
        <w:rPr>
          <w:rFonts w:hint="eastAsia" w:ascii="宋体" w:hAnsi="宋体" w:cs="宋体"/>
          <w:szCs w:val="21"/>
        </w:rPr>
        <w:t>11</w:t>
      </w:r>
      <w:r>
        <w:rPr>
          <w:rFonts w:hint="eastAsia" w:ascii="宋体" w:hAnsi="宋体" w:cs="宋体"/>
          <w:szCs w:val="21"/>
          <w:lang w:val="zh-CN"/>
        </w:rPr>
        <w:t>）</w:t>
      </w:r>
      <w:r>
        <w:rPr>
          <w:rFonts w:hint="eastAsia" w:ascii="宋体" w:hAnsi="宋体" w:cs="宋体"/>
          <w:szCs w:val="21"/>
        </w:rPr>
        <w:t>启动异常低价审查程序后，无法证明其报价合理性的；</w:t>
      </w:r>
    </w:p>
    <w:p w14:paraId="1F8831B9">
      <w:pPr>
        <w:widowControl/>
        <w:spacing w:line="360" w:lineRule="auto"/>
        <w:ind w:firstLine="420" w:firstLineChars="200"/>
        <w:rPr>
          <w:rFonts w:ascii="宋体" w:hAnsi="宋体" w:cs="宋体"/>
          <w:szCs w:val="21"/>
          <w:lang w:val="zh-CN"/>
        </w:rPr>
      </w:pPr>
      <w:r>
        <w:rPr>
          <w:rFonts w:hint="eastAsia" w:ascii="宋体" w:hAnsi="宋体" w:cs="宋体"/>
          <w:szCs w:val="21"/>
          <w:lang w:val="zh-CN"/>
        </w:rPr>
        <w:t>（</w:t>
      </w:r>
      <w:r>
        <w:rPr>
          <w:rFonts w:hint="eastAsia" w:ascii="宋体" w:hAnsi="宋体" w:cs="宋体"/>
          <w:szCs w:val="21"/>
        </w:rPr>
        <w:t>12</w:t>
      </w:r>
      <w:r>
        <w:rPr>
          <w:rFonts w:hint="eastAsia" w:ascii="宋体" w:hAnsi="宋体" w:cs="宋体"/>
          <w:szCs w:val="21"/>
          <w:lang w:val="zh-CN"/>
        </w:rPr>
        <w:t>）改变采购文件提供的工程量清单中的项目编码、项目名称、项目特征、计量单位、工程量的；</w:t>
      </w:r>
    </w:p>
    <w:p w14:paraId="46E84239">
      <w:pPr>
        <w:widowControl/>
        <w:spacing w:line="360" w:lineRule="auto"/>
        <w:ind w:firstLine="420" w:firstLineChars="200"/>
        <w:rPr>
          <w:rFonts w:ascii="宋体" w:hAnsi="宋体" w:cs="宋体"/>
          <w:szCs w:val="21"/>
          <w:lang w:val="zh-CN"/>
        </w:rPr>
      </w:pPr>
      <w:r>
        <w:rPr>
          <w:rFonts w:hint="eastAsia" w:ascii="宋体" w:hAnsi="宋体" w:cs="宋体"/>
          <w:szCs w:val="21"/>
          <w:lang w:val="zh-CN"/>
        </w:rPr>
        <w:t>（1</w:t>
      </w:r>
      <w:r>
        <w:rPr>
          <w:rFonts w:hint="eastAsia" w:ascii="宋体" w:hAnsi="宋体" w:cs="宋体"/>
          <w:szCs w:val="21"/>
        </w:rPr>
        <w:t>3</w:t>
      </w:r>
      <w:r>
        <w:rPr>
          <w:rFonts w:hint="eastAsia" w:ascii="宋体" w:hAnsi="宋体" w:cs="宋体"/>
          <w:szCs w:val="21"/>
          <w:lang w:val="zh-CN"/>
        </w:rPr>
        <w:t>）改变采购文件规定的暂估价、暂列金额及甲供材料价格的；（若有）</w:t>
      </w:r>
    </w:p>
    <w:p w14:paraId="57417180">
      <w:pPr>
        <w:widowControl/>
        <w:spacing w:line="360" w:lineRule="auto"/>
        <w:ind w:firstLine="420" w:firstLineChars="200"/>
        <w:rPr>
          <w:rFonts w:ascii="宋体" w:hAnsi="宋体" w:cs="宋体"/>
          <w:szCs w:val="21"/>
          <w:lang w:val="zh-CN"/>
        </w:rPr>
      </w:pPr>
      <w:r>
        <w:rPr>
          <w:rFonts w:hint="eastAsia" w:ascii="宋体" w:hAnsi="宋体" w:cs="宋体"/>
          <w:szCs w:val="21"/>
          <w:lang w:val="zh-CN"/>
        </w:rPr>
        <w:t>（1</w:t>
      </w:r>
      <w:r>
        <w:rPr>
          <w:rFonts w:hint="eastAsia" w:ascii="宋体" w:hAnsi="宋体" w:cs="宋体"/>
          <w:szCs w:val="21"/>
        </w:rPr>
        <w:t>4</w:t>
      </w:r>
      <w:r>
        <w:rPr>
          <w:rFonts w:hint="eastAsia" w:ascii="宋体" w:hAnsi="宋体" w:cs="宋体"/>
          <w:szCs w:val="21"/>
          <w:lang w:val="zh-CN"/>
        </w:rPr>
        <w:t>）改变采购文件明确列出的不可竞争费用项目或费率或计算基础的；（若有）</w:t>
      </w:r>
    </w:p>
    <w:p w14:paraId="04AC31D1">
      <w:pPr>
        <w:widowControl/>
        <w:spacing w:line="360" w:lineRule="auto"/>
        <w:ind w:firstLine="420" w:firstLineChars="200"/>
        <w:rPr>
          <w:rFonts w:ascii="宋体" w:hAnsi="宋体" w:cs="宋体"/>
          <w:szCs w:val="21"/>
          <w:lang w:val="zh-CN"/>
        </w:rPr>
      </w:pPr>
      <w:r>
        <w:rPr>
          <w:rFonts w:hint="eastAsia" w:ascii="宋体" w:hAnsi="宋体" w:cs="宋体"/>
          <w:szCs w:val="21"/>
          <w:lang w:val="zh-CN"/>
        </w:rPr>
        <w:t>（</w:t>
      </w:r>
      <w:r>
        <w:rPr>
          <w:rFonts w:hint="eastAsia" w:ascii="宋体" w:hAnsi="宋体" w:cs="宋体"/>
          <w:szCs w:val="21"/>
        </w:rPr>
        <w:t>15</w:t>
      </w:r>
      <w:r>
        <w:rPr>
          <w:rFonts w:hint="eastAsia" w:ascii="宋体" w:hAnsi="宋体" w:cs="宋体"/>
          <w:szCs w:val="21"/>
          <w:lang w:val="zh-CN"/>
        </w:rPr>
        <w:t>）不符合法律、法规和采购文件规定的其他无效情形。</w:t>
      </w:r>
    </w:p>
    <w:p w14:paraId="5CFFCB22">
      <w:pPr>
        <w:spacing w:line="360" w:lineRule="auto"/>
        <w:ind w:firstLine="422" w:firstLineChars="200"/>
        <w:rPr>
          <w:rFonts w:ascii="宋体" w:hAnsi="宋体" w:cs="宋体"/>
          <w:lang w:val="zh-CN"/>
        </w:rPr>
      </w:pPr>
      <w:r>
        <w:rPr>
          <w:rFonts w:hint="eastAsia" w:ascii="宋体" w:hAnsi="宋体" w:cs="宋体"/>
          <w:b/>
          <w:szCs w:val="21"/>
        </w:rPr>
        <w:t xml:space="preserve">21.2.2.5 </w:t>
      </w:r>
      <w:r>
        <w:rPr>
          <w:rFonts w:hint="eastAsia" w:ascii="宋体" w:hAnsi="宋体" w:cs="宋体"/>
          <w:b/>
          <w:szCs w:val="21"/>
          <w:lang w:val="zh-CN"/>
        </w:rPr>
        <w:t>提交响应文件截止时间后供应商不足3家或者通过资格审查或符合性审查的供应商不足3家的，除采购任务取消情形外，按照以下方式处理：</w:t>
      </w:r>
    </w:p>
    <w:p w14:paraId="5C20B7A2">
      <w:pPr>
        <w:widowControl/>
        <w:spacing w:line="360" w:lineRule="auto"/>
        <w:ind w:firstLine="420" w:firstLineChars="200"/>
        <w:rPr>
          <w:rFonts w:ascii="宋体" w:hAnsi="宋体" w:cs="宋体"/>
          <w:szCs w:val="21"/>
          <w:lang w:val="zh-CN"/>
        </w:rPr>
      </w:pPr>
      <w:r>
        <w:rPr>
          <w:rFonts w:hint="eastAsia" w:ascii="宋体" w:hAnsi="宋体" w:cs="宋体"/>
          <w:szCs w:val="21"/>
          <w:lang w:val="zh-CN"/>
        </w:rPr>
        <w:t>（</w:t>
      </w:r>
      <w:r>
        <w:rPr>
          <w:rFonts w:hint="eastAsia" w:ascii="宋体" w:hAnsi="宋体" w:cs="宋体"/>
          <w:szCs w:val="21"/>
        </w:rPr>
        <w:t>1</w:t>
      </w:r>
      <w:r>
        <w:rPr>
          <w:rFonts w:hint="eastAsia" w:ascii="宋体" w:hAnsi="宋体" w:cs="宋体"/>
          <w:szCs w:val="21"/>
          <w:lang w:val="zh-CN"/>
        </w:rPr>
        <w:t>）紧急需求的科研仪器采购项目，项目单位提出急需采购申请，经评审对采购文件做出实质响应的有效供应商为2家，且同时具备以下条件的，可现场采用竞争性谈判方式采购；经评审对采购文件做出实质响应的有效供应商为1家，且同时具备以下条件的，可现场采用单一来源方式采购。</w:t>
      </w:r>
    </w:p>
    <w:p w14:paraId="6E31AB59">
      <w:pPr>
        <w:widowControl/>
        <w:spacing w:line="360" w:lineRule="auto"/>
        <w:ind w:firstLine="420" w:firstLineChars="200"/>
        <w:rPr>
          <w:rFonts w:ascii="宋体" w:hAnsi="宋体" w:cs="宋体"/>
          <w:szCs w:val="21"/>
          <w:lang w:val="zh-CN"/>
        </w:rPr>
      </w:pPr>
      <w:r>
        <w:rPr>
          <w:rFonts w:hint="eastAsia" w:ascii="宋体" w:hAnsi="宋体" w:cs="宋体"/>
          <w:szCs w:val="21"/>
        </w:rPr>
        <w:t>①</w:t>
      </w:r>
      <w:r>
        <w:rPr>
          <w:rFonts w:hint="eastAsia" w:ascii="宋体" w:hAnsi="宋体" w:cs="宋体"/>
          <w:szCs w:val="21"/>
          <w:lang w:val="zh-CN"/>
        </w:rPr>
        <w:t>采购办、项目单位（或归口管理部门）共同出具对采购文件和采购过程无供应商质疑或者质疑已得到妥善处理的情况说明；</w:t>
      </w:r>
    </w:p>
    <w:p w14:paraId="02876BF3">
      <w:pPr>
        <w:widowControl/>
        <w:spacing w:line="360" w:lineRule="auto"/>
        <w:ind w:firstLine="420" w:firstLineChars="200"/>
        <w:rPr>
          <w:rFonts w:ascii="宋体" w:hAnsi="宋体" w:cs="宋体"/>
          <w:szCs w:val="21"/>
          <w:lang w:val="zh-CN"/>
        </w:rPr>
      </w:pPr>
      <w:r>
        <w:rPr>
          <w:rFonts w:hint="eastAsia" w:ascii="宋体" w:hAnsi="宋体" w:cs="宋体"/>
          <w:szCs w:val="21"/>
        </w:rPr>
        <w:t>②</w:t>
      </w:r>
      <w:r>
        <w:rPr>
          <w:rFonts w:hint="eastAsia" w:ascii="宋体" w:hAnsi="宋体" w:cs="宋体"/>
          <w:szCs w:val="21"/>
          <w:lang w:val="zh-CN"/>
        </w:rPr>
        <w:t>评审工作组出具采购文件没有不合理条款、申请转变采购方式理由恰当的论证意见。</w:t>
      </w:r>
    </w:p>
    <w:p w14:paraId="2044EB13">
      <w:pPr>
        <w:widowControl/>
        <w:spacing w:line="360" w:lineRule="auto"/>
        <w:ind w:firstLine="420" w:firstLineChars="200"/>
        <w:rPr>
          <w:rFonts w:ascii="宋体" w:hAnsi="宋体" w:cs="宋体"/>
          <w:b/>
          <w:szCs w:val="21"/>
          <w:lang w:val="zh-CN"/>
        </w:rPr>
      </w:pPr>
      <w:r>
        <w:rPr>
          <w:rFonts w:hint="eastAsia" w:ascii="宋体" w:hAnsi="宋体" w:cs="宋体"/>
          <w:szCs w:val="21"/>
          <w:lang w:val="zh-CN"/>
        </w:rPr>
        <w:t>（</w:t>
      </w:r>
      <w:r>
        <w:rPr>
          <w:rFonts w:hint="eastAsia" w:ascii="宋体" w:hAnsi="宋体" w:cs="宋体"/>
          <w:szCs w:val="21"/>
        </w:rPr>
        <w:t>2</w:t>
      </w:r>
      <w:r>
        <w:rPr>
          <w:rFonts w:hint="eastAsia" w:ascii="宋体" w:hAnsi="宋体" w:cs="宋体"/>
          <w:szCs w:val="21"/>
          <w:lang w:val="zh-CN"/>
        </w:rPr>
        <w:t>）除第（</w:t>
      </w:r>
      <w:r>
        <w:rPr>
          <w:rFonts w:hint="eastAsia" w:ascii="宋体" w:hAnsi="宋体" w:cs="宋体"/>
          <w:szCs w:val="21"/>
        </w:rPr>
        <w:t>1</w:t>
      </w:r>
      <w:r>
        <w:rPr>
          <w:rFonts w:hint="eastAsia" w:ascii="宋体" w:hAnsi="宋体" w:cs="宋体"/>
          <w:szCs w:val="21"/>
          <w:lang w:val="zh-CN"/>
        </w:rPr>
        <w:t>）种情形外，</w:t>
      </w:r>
      <w:r>
        <w:rPr>
          <w:rFonts w:hint="eastAsia" w:ascii="宋体" w:hAnsi="宋体" w:cs="宋体"/>
          <w:szCs w:val="21"/>
        </w:rPr>
        <w:t>代理机构</w:t>
      </w:r>
      <w:r>
        <w:rPr>
          <w:rFonts w:hint="eastAsia" w:ascii="宋体" w:hAnsi="宋体" w:cs="宋体"/>
          <w:szCs w:val="21"/>
          <w:lang w:val="zh-CN"/>
        </w:rPr>
        <w:t>应重新组织采购。重新采购后仍不足3家的，若符合转为采取竞争性谈判或单一来源等方式情形的，可按规定采取竞争性谈判或单一来源等方式采购。</w:t>
      </w:r>
    </w:p>
    <w:p w14:paraId="0EFAE850">
      <w:pPr>
        <w:spacing w:line="360" w:lineRule="auto"/>
        <w:ind w:firstLine="422" w:firstLineChars="200"/>
        <w:rPr>
          <w:rFonts w:ascii="宋体" w:hAnsi="宋体" w:cs="宋体"/>
          <w:b/>
          <w:szCs w:val="21"/>
        </w:rPr>
      </w:pPr>
      <w:r>
        <w:rPr>
          <w:rFonts w:hint="eastAsia" w:ascii="宋体" w:hAnsi="宋体" w:cs="宋体"/>
          <w:b/>
          <w:szCs w:val="21"/>
          <w:lang w:val="zh-CN"/>
        </w:rPr>
        <w:t>21.2.2.</w:t>
      </w:r>
      <w:r>
        <w:rPr>
          <w:rFonts w:hint="eastAsia" w:ascii="宋体" w:hAnsi="宋体" w:cs="宋体"/>
          <w:b/>
          <w:szCs w:val="21"/>
        </w:rPr>
        <w:t>6</w:t>
      </w:r>
      <w:r>
        <w:rPr>
          <w:rFonts w:hint="eastAsia" w:ascii="宋体" w:hAnsi="宋体" w:cs="宋体"/>
          <w:b/>
          <w:szCs w:val="21"/>
          <w:lang w:val="zh-CN"/>
        </w:rPr>
        <w:t xml:space="preserve"> 有下列情形之一的予以废标，同时将废标理由通知所有供应商：</w:t>
      </w:r>
    </w:p>
    <w:p w14:paraId="4AAEF637">
      <w:pPr>
        <w:spacing w:line="360" w:lineRule="auto"/>
        <w:ind w:firstLine="420" w:firstLineChars="200"/>
        <w:rPr>
          <w:rFonts w:ascii="宋体" w:hAnsi="宋体" w:cs="宋体"/>
          <w:szCs w:val="21"/>
          <w:lang w:val="zh-CN"/>
        </w:rPr>
      </w:pPr>
      <w:r>
        <w:rPr>
          <w:rFonts w:hint="eastAsia" w:ascii="宋体" w:hAnsi="宋体" w:cs="宋体"/>
          <w:szCs w:val="21"/>
          <w:lang w:val="zh-CN"/>
        </w:rPr>
        <w:t>（1）</w:t>
      </w:r>
      <w:r>
        <w:rPr>
          <w:rFonts w:hint="eastAsia" w:ascii="宋体" w:hAnsi="宋体" w:cs="宋体"/>
          <w:szCs w:val="21"/>
        </w:rPr>
        <w:t>除21.2.2.5中规定的情形外，</w:t>
      </w:r>
      <w:r>
        <w:rPr>
          <w:rFonts w:hint="eastAsia" w:ascii="宋体" w:hAnsi="宋体" w:cs="宋体"/>
          <w:szCs w:val="21"/>
          <w:lang w:val="zh-CN"/>
        </w:rPr>
        <w:t>符合资格条件的供应商或者对采购文件作实质性响应的供应商不足三家的；</w:t>
      </w:r>
    </w:p>
    <w:p w14:paraId="35287BD1">
      <w:pPr>
        <w:spacing w:line="360" w:lineRule="auto"/>
        <w:ind w:firstLine="420" w:firstLineChars="200"/>
        <w:rPr>
          <w:rFonts w:ascii="宋体" w:hAnsi="宋体" w:cs="宋体"/>
          <w:szCs w:val="21"/>
          <w:lang w:val="zh-CN"/>
        </w:rPr>
      </w:pPr>
      <w:r>
        <w:rPr>
          <w:rFonts w:hint="eastAsia" w:ascii="宋体" w:hAnsi="宋体" w:cs="宋体"/>
          <w:szCs w:val="21"/>
          <w:lang w:val="zh-CN"/>
        </w:rPr>
        <w:t>（2）出现影响采购公正的违法、违规行为的；</w:t>
      </w:r>
    </w:p>
    <w:p w14:paraId="6D22C09D">
      <w:pPr>
        <w:widowControl/>
        <w:spacing w:line="360" w:lineRule="auto"/>
        <w:ind w:firstLine="420" w:firstLineChars="200"/>
        <w:rPr>
          <w:rFonts w:ascii="宋体" w:hAnsi="宋体" w:cs="宋体"/>
          <w:szCs w:val="21"/>
          <w:lang w:val="zh-CN"/>
        </w:rPr>
      </w:pPr>
      <w:r>
        <w:rPr>
          <w:rFonts w:hint="eastAsia" w:ascii="宋体" w:hAnsi="宋体" w:cs="宋体"/>
          <w:szCs w:val="21"/>
          <w:lang w:val="zh-CN"/>
        </w:rPr>
        <w:t>（</w:t>
      </w:r>
      <w:r>
        <w:rPr>
          <w:rFonts w:hint="eastAsia" w:ascii="宋体" w:hAnsi="宋体" w:cs="宋体"/>
          <w:szCs w:val="21"/>
        </w:rPr>
        <w:t>3</w:t>
      </w:r>
      <w:r>
        <w:rPr>
          <w:rFonts w:hint="eastAsia" w:ascii="宋体" w:hAnsi="宋体" w:cs="宋体"/>
          <w:szCs w:val="21"/>
          <w:lang w:val="zh-CN"/>
        </w:rPr>
        <w:t>）因重大变故，采购任务取消的；</w:t>
      </w:r>
    </w:p>
    <w:p w14:paraId="69443002">
      <w:pPr>
        <w:widowControl/>
        <w:spacing w:line="360" w:lineRule="auto"/>
        <w:ind w:firstLine="420" w:firstLineChars="200"/>
        <w:rPr>
          <w:rFonts w:ascii="宋体" w:hAnsi="宋体" w:cs="宋体"/>
          <w:szCs w:val="21"/>
          <w:lang w:val="zh-CN"/>
        </w:rPr>
      </w:pPr>
      <w:r>
        <w:rPr>
          <w:rFonts w:hint="eastAsia" w:ascii="宋体" w:hAnsi="宋体" w:cs="宋体"/>
          <w:szCs w:val="21"/>
          <w:lang w:val="zh-CN"/>
        </w:rPr>
        <w:t>（</w:t>
      </w:r>
      <w:r>
        <w:rPr>
          <w:rFonts w:hint="eastAsia" w:ascii="宋体" w:hAnsi="宋体" w:cs="宋体"/>
          <w:szCs w:val="21"/>
        </w:rPr>
        <w:t>4</w:t>
      </w:r>
      <w:r>
        <w:rPr>
          <w:rFonts w:hint="eastAsia" w:ascii="宋体" w:hAnsi="宋体" w:cs="宋体"/>
          <w:szCs w:val="21"/>
          <w:lang w:val="zh-CN"/>
        </w:rPr>
        <w:t>）采购文件存在歧义、重大缺陷，或者采购文件内容违反国家有关强制性规定的；</w:t>
      </w:r>
    </w:p>
    <w:p w14:paraId="77F2A8FF">
      <w:pPr>
        <w:spacing w:line="360" w:lineRule="auto"/>
        <w:ind w:firstLine="422" w:firstLineChars="200"/>
        <w:rPr>
          <w:rFonts w:ascii="宋体" w:hAnsi="宋体" w:cs="宋体"/>
          <w:b/>
          <w:szCs w:val="21"/>
          <w:lang w:val="zh-CN"/>
        </w:rPr>
      </w:pPr>
      <w:r>
        <w:rPr>
          <w:rFonts w:hint="eastAsia" w:ascii="宋体" w:hAnsi="宋体" w:cs="宋体"/>
          <w:b/>
          <w:szCs w:val="21"/>
          <w:lang w:val="zh-CN"/>
        </w:rPr>
        <w:t>21.2.3 响应文件的进一步评审</w:t>
      </w:r>
    </w:p>
    <w:p w14:paraId="334A2A89">
      <w:pPr>
        <w:spacing w:line="360" w:lineRule="auto"/>
        <w:ind w:firstLine="420" w:firstLineChars="200"/>
        <w:rPr>
          <w:rFonts w:ascii="宋体" w:hAnsi="宋体" w:cs="宋体"/>
          <w:bCs/>
          <w:szCs w:val="21"/>
        </w:rPr>
      </w:pPr>
      <w:r>
        <w:rPr>
          <w:rFonts w:hint="eastAsia" w:ascii="宋体" w:hAnsi="宋体" w:cs="宋体"/>
          <w:szCs w:val="21"/>
          <w:lang w:val="zh-CN"/>
        </w:rPr>
        <w:t>21.2.3.1</w:t>
      </w:r>
      <w:r>
        <w:rPr>
          <w:rFonts w:hint="eastAsia" w:ascii="宋体" w:hAnsi="宋体" w:cs="宋体"/>
          <w:szCs w:val="21"/>
        </w:rPr>
        <w:t xml:space="preserve"> </w:t>
      </w:r>
      <w:r>
        <w:rPr>
          <w:rFonts w:hint="eastAsia" w:ascii="宋体" w:hAnsi="宋体" w:cs="宋体"/>
          <w:bCs/>
          <w:szCs w:val="21"/>
        </w:rPr>
        <w:t>评标委员会将对确定为实质性响应的响应文件进行进一步评审，看其是否有计算上或累加上的算术错误，修正错误的原则如下：</w:t>
      </w:r>
    </w:p>
    <w:p w14:paraId="3F4E92D3">
      <w:pPr>
        <w:spacing w:line="360" w:lineRule="auto"/>
        <w:ind w:firstLine="420" w:firstLineChars="200"/>
        <w:rPr>
          <w:rFonts w:ascii="宋体" w:hAnsi="宋体" w:cs="宋体"/>
          <w:bCs/>
          <w:szCs w:val="21"/>
        </w:rPr>
      </w:pPr>
      <w:r>
        <w:rPr>
          <w:rFonts w:hint="eastAsia" w:ascii="宋体" w:hAnsi="宋体" w:cs="宋体"/>
          <w:szCs w:val="21"/>
          <w:lang w:val="zh-CN"/>
        </w:rPr>
        <w:t>（1）</w:t>
      </w:r>
      <w:r>
        <w:rPr>
          <w:rFonts w:hint="eastAsia" w:ascii="宋体" w:hAnsi="宋体" w:cs="宋体"/>
          <w:bCs/>
          <w:szCs w:val="21"/>
        </w:rPr>
        <w:t>如果用数字表示的金额和用文字表示的金额不一致时，应以文字表示的金额为准进行修正；</w:t>
      </w:r>
    </w:p>
    <w:p w14:paraId="44638650">
      <w:pPr>
        <w:spacing w:line="360" w:lineRule="auto"/>
        <w:ind w:firstLine="420" w:firstLineChars="200"/>
        <w:rPr>
          <w:rFonts w:ascii="宋体" w:hAnsi="宋体" w:cs="宋体"/>
          <w:bCs/>
          <w:szCs w:val="21"/>
        </w:rPr>
      </w:pPr>
      <w:r>
        <w:rPr>
          <w:rFonts w:hint="eastAsia" w:ascii="宋体" w:hAnsi="宋体" w:cs="宋体"/>
          <w:szCs w:val="21"/>
          <w:lang w:val="zh-CN"/>
        </w:rPr>
        <w:t>（2）</w:t>
      </w:r>
      <w:r>
        <w:rPr>
          <w:rFonts w:hint="eastAsia" w:ascii="宋体" w:hAnsi="宋体" w:cs="宋体"/>
          <w:bCs/>
          <w:szCs w:val="21"/>
        </w:rPr>
        <w:t>当单价与数量的乘积和总价不一致时，以单价为准进行修正。只有在评标委员会认为单价有明显的小数点错误时，才能以标出的总价为准，并修改单价。</w:t>
      </w:r>
    </w:p>
    <w:p w14:paraId="392486DA">
      <w:pPr>
        <w:spacing w:line="360" w:lineRule="auto"/>
        <w:ind w:firstLine="420" w:firstLineChars="200"/>
        <w:rPr>
          <w:rFonts w:ascii="宋体" w:hAnsi="宋体" w:cs="宋体"/>
          <w:bCs/>
          <w:szCs w:val="21"/>
        </w:rPr>
      </w:pPr>
      <w:r>
        <w:rPr>
          <w:rFonts w:hint="eastAsia" w:ascii="宋体" w:hAnsi="宋体" w:cs="宋体"/>
          <w:szCs w:val="21"/>
        </w:rPr>
        <w:t>21.2.3.2</w:t>
      </w:r>
      <w:r>
        <w:rPr>
          <w:rFonts w:hint="eastAsia" w:ascii="宋体" w:hAnsi="宋体" w:cs="宋体"/>
          <w:bCs/>
          <w:szCs w:val="21"/>
        </w:rPr>
        <w:t xml:space="preserve"> 评标委员会将按上述修正错误的方法调整响应文件中的投标价，调整后的价格应对供应商具有约束力。如果供应商不接受修正后的价格，则其投标将被拒绝，其投标保证金不予退还。</w:t>
      </w:r>
    </w:p>
    <w:p w14:paraId="4956203A">
      <w:pPr>
        <w:spacing w:line="360" w:lineRule="auto"/>
        <w:ind w:firstLine="420" w:firstLineChars="200"/>
        <w:rPr>
          <w:rFonts w:ascii="宋体" w:hAnsi="宋体" w:cs="宋体"/>
          <w:bCs/>
          <w:szCs w:val="21"/>
        </w:rPr>
      </w:pPr>
      <w:r>
        <w:rPr>
          <w:rFonts w:hint="eastAsia" w:ascii="宋体" w:hAnsi="宋体" w:cs="宋体"/>
          <w:szCs w:val="21"/>
        </w:rPr>
        <w:t xml:space="preserve">21.2.3.3 </w:t>
      </w:r>
      <w:r>
        <w:rPr>
          <w:rFonts w:hint="eastAsia" w:ascii="宋体" w:hAnsi="宋体" w:cs="宋体"/>
          <w:bCs/>
          <w:szCs w:val="21"/>
        </w:rPr>
        <w:t>评标委员会将允许修正响应文件中不构成重大偏离的、微小的、非正规的、不一致的或不规则的地方，但这些修改不能影响任何供应商相应的名次排列。</w:t>
      </w:r>
    </w:p>
    <w:p w14:paraId="081F3268">
      <w:pPr>
        <w:widowControl/>
        <w:spacing w:line="360" w:lineRule="auto"/>
        <w:ind w:firstLine="420" w:firstLineChars="200"/>
        <w:rPr>
          <w:rFonts w:ascii="宋体" w:hAnsi="宋体" w:cs="宋体"/>
          <w:szCs w:val="21"/>
          <w:lang w:val="zh-CN"/>
        </w:rPr>
      </w:pPr>
      <w:r>
        <w:rPr>
          <w:rFonts w:hint="eastAsia" w:ascii="宋体" w:hAnsi="宋体" w:cs="宋体"/>
          <w:szCs w:val="21"/>
          <w:lang w:val="zh-CN"/>
        </w:rPr>
        <w:t>21.2.3.4 澄清有关问题。对响应文件中含义不明确、同类问题表述不一致或者明显文字错误的内容，评标委员会可以要求供应商作出必要的澄清、说明或者补正。供应商的澄清、说明、补正应当采用书面形式，由其授权代表签字，但不得超出响应文件的范围或者改变响应文件的实质性内容。</w:t>
      </w:r>
    </w:p>
    <w:p w14:paraId="2FDD7163">
      <w:pPr>
        <w:widowControl/>
        <w:spacing w:line="360" w:lineRule="auto"/>
        <w:ind w:firstLine="420" w:firstLineChars="200"/>
        <w:rPr>
          <w:rFonts w:ascii="宋体" w:hAnsi="宋体" w:cs="宋体"/>
          <w:szCs w:val="21"/>
          <w:lang w:val="zh-CN"/>
        </w:rPr>
      </w:pPr>
      <w:r>
        <w:rPr>
          <w:rFonts w:hint="eastAsia" w:ascii="宋体" w:hAnsi="宋体" w:cs="宋体"/>
          <w:szCs w:val="21"/>
          <w:lang w:val="zh-CN"/>
        </w:rPr>
        <w:t>21.2.3.5 比较与评价。按照采购文件中规定的评标方法和标准，对资格性检查和符合性检查合格的响应文件进行商务和技术评估，综合比较与评价。</w:t>
      </w:r>
    </w:p>
    <w:p w14:paraId="5D539FE1">
      <w:pPr>
        <w:widowControl/>
        <w:spacing w:line="360" w:lineRule="auto"/>
        <w:ind w:firstLine="420" w:firstLineChars="200"/>
        <w:rPr>
          <w:rFonts w:ascii="宋体" w:hAnsi="宋体" w:cs="宋体"/>
          <w:szCs w:val="21"/>
        </w:rPr>
      </w:pPr>
      <w:r>
        <w:rPr>
          <w:rFonts w:hint="eastAsia" w:ascii="宋体" w:hAnsi="宋体" w:cs="宋体"/>
          <w:szCs w:val="21"/>
        </w:rPr>
        <w:t>21.2.3.6 评审过程中出现下列情形之一的，评标委员会应当启动异常低价投标（响应）审查程序：</w:t>
      </w:r>
    </w:p>
    <w:p w14:paraId="6C296E6D">
      <w:pPr>
        <w:widowControl/>
        <w:spacing w:line="360" w:lineRule="auto"/>
        <w:ind w:firstLine="420" w:firstLineChars="200"/>
        <w:rPr>
          <w:rFonts w:ascii="宋体" w:hAnsi="宋体" w:cs="宋体"/>
          <w:szCs w:val="21"/>
        </w:rPr>
      </w:pPr>
      <w:r>
        <w:rPr>
          <w:rFonts w:hint="eastAsia" w:ascii="宋体" w:hAnsi="宋体" w:cs="宋体"/>
          <w:szCs w:val="21"/>
        </w:rPr>
        <w:t>（1）投标（响应）报价低于全部通过符合性审查供应商投标（响应）报价平均值50%的，即投标（响应）报价〈全部通过符合性审查供应商投标（响应）报价平均值×50%；</w:t>
      </w:r>
    </w:p>
    <w:p w14:paraId="0C7E36D3">
      <w:pPr>
        <w:widowControl/>
        <w:spacing w:line="360" w:lineRule="auto"/>
        <w:ind w:firstLine="420" w:firstLineChars="200"/>
        <w:rPr>
          <w:rFonts w:ascii="宋体" w:hAnsi="宋体" w:cs="宋体"/>
          <w:szCs w:val="21"/>
        </w:rPr>
      </w:pPr>
      <w:r>
        <w:rPr>
          <w:rFonts w:hint="eastAsia" w:ascii="宋体" w:hAnsi="宋体" w:cs="宋体"/>
          <w:szCs w:val="21"/>
        </w:rPr>
        <w:t>（2）投标（响应）报价低于通过符合性审查的次低报价供应商投标（响应）报价50%的，即投标（响应）报价〈通过符合性审查的次低报价供应商投标（响应）报价×50%；</w:t>
      </w:r>
    </w:p>
    <w:p w14:paraId="6109ED6E">
      <w:pPr>
        <w:widowControl/>
        <w:spacing w:line="360" w:lineRule="auto"/>
        <w:ind w:firstLine="420" w:firstLineChars="200"/>
        <w:rPr>
          <w:rFonts w:ascii="宋体" w:hAnsi="宋体" w:cs="宋体"/>
          <w:szCs w:val="21"/>
        </w:rPr>
      </w:pPr>
      <w:r>
        <w:rPr>
          <w:rFonts w:hint="eastAsia" w:ascii="宋体" w:hAnsi="宋体" w:cs="宋体"/>
          <w:szCs w:val="21"/>
        </w:rPr>
        <w:t>（3）投标（响应）报价低于采购项目最高限价45%的，即投标（响应）报价〈采购项目最高限价×45%；</w:t>
      </w:r>
    </w:p>
    <w:p w14:paraId="54E67851">
      <w:pPr>
        <w:widowControl/>
        <w:spacing w:line="360" w:lineRule="auto"/>
        <w:ind w:firstLine="420" w:firstLineChars="200"/>
        <w:rPr>
          <w:rFonts w:ascii="宋体" w:hAnsi="宋体" w:cs="宋体"/>
          <w:szCs w:val="21"/>
        </w:rPr>
      </w:pPr>
      <w:r>
        <w:rPr>
          <w:rFonts w:hint="eastAsia" w:ascii="宋体" w:hAnsi="宋体" w:cs="宋体"/>
          <w:szCs w:val="21"/>
        </w:rPr>
        <w:t>（4）评标委员会基于专业判断，认为供应商报价过低，有可能影响产品质量或者不能诚信履约的其他情形。</w:t>
      </w:r>
    </w:p>
    <w:p w14:paraId="28A28FB9">
      <w:pPr>
        <w:widowControl/>
        <w:spacing w:line="360" w:lineRule="auto"/>
        <w:ind w:firstLine="420" w:firstLineChars="200"/>
        <w:rPr>
          <w:rFonts w:ascii="宋体" w:hAnsi="宋体" w:cs="宋体"/>
          <w:szCs w:val="21"/>
        </w:rPr>
      </w:pPr>
      <w:r>
        <w:rPr>
          <w:rFonts w:hint="eastAsia" w:ascii="宋体" w:hAnsi="宋体" w:cs="宋体"/>
          <w:szCs w:val="21"/>
        </w:rPr>
        <w:t>评标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7F706CF1">
      <w:pPr>
        <w:widowControl/>
        <w:spacing w:line="360" w:lineRule="auto"/>
        <w:ind w:firstLine="420" w:firstLineChars="200"/>
        <w:rPr>
          <w:rFonts w:ascii="宋体" w:hAnsi="宋体" w:cs="宋体"/>
          <w:szCs w:val="21"/>
        </w:rPr>
      </w:pPr>
      <w:r>
        <w:rPr>
          <w:rFonts w:hint="eastAsia" w:ascii="宋体" w:hAnsi="宋体" w:cs="宋体"/>
          <w:szCs w:val="21"/>
        </w:rPr>
        <w:t>评标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标委员会应当将其作为无效投标（响应）处理。</w:t>
      </w:r>
    </w:p>
    <w:p w14:paraId="1710575C">
      <w:pPr>
        <w:widowControl/>
        <w:spacing w:line="360" w:lineRule="auto"/>
        <w:ind w:firstLine="420" w:firstLineChars="200"/>
        <w:rPr>
          <w:rFonts w:ascii="宋体" w:hAnsi="宋体" w:cs="宋体"/>
          <w:szCs w:val="21"/>
        </w:rPr>
      </w:pPr>
      <w:r>
        <w:rPr>
          <w:rFonts w:hint="eastAsia" w:ascii="宋体" w:hAnsi="宋体" w:cs="宋体"/>
          <w:szCs w:val="21"/>
        </w:rPr>
        <w:t>异常低价投标（响应）审查的启动原因、审查意见和审查结果应当在评审报告中记录，并随供应商提供的相关书面说明及证明材料，以及评标委员会有关互联网浏览、查询历史一并归档。</w:t>
      </w:r>
    </w:p>
    <w:p w14:paraId="68F416FF">
      <w:pPr>
        <w:widowControl/>
        <w:spacing w:line="360" w:lineRule="auto"/>
        <w:ind w:firstLine="422" w:firstLineChars="200"/>
        <w:rPr>
          <w:rFonts w:ascii="宋体" w:hAnsi="宋体" w:cs="宋体"/>
          <w:b/>
          <w:bCs/>
          <w:szCs w:val="21"/>
          <w:lang w:val="zh-CN"/>
        </w:rPr>
      </w:pPr>
      <w:r>
        <w:rPr>
          <w:rFonts w:hint="eastAsia" w:ascii="宋体" w:hAnsi="宋体" w:cs="宋体"/>
          <w:b/>
          <w:bCs/>
          <w:szCs w:val="21"/>
          <w:lang w:val="zh-CN"/>
        </w:rPr>
        <w:t>21.3 评标方法和标准</w:t>
      </w:r>
    </w:p>
    <w:p w14:paraId="772325C7">
      <w:pPr>
        <w:widowControl/>
        <w:spacing w:line="360" w:lineRule="auto"/>
        <w:ind w:firstLine="420" w:firstLineChars="200"/>
        <w:rPr>
          <w:rFonts w:ascii="宋体" w:hAnsi="宋体" w:cs="宋体"/>
          <w:szCs w:val="21"/>
          <w:lang w:val="zh-CN"/>
        </w:rPr>
      </w:pPr>
      <w:r>
        <w:rPr>
          <w:rFonts w:hint="eastAsia" w:ascii="宋体" w:hAnsi="宋体" w:cs="宋体"/>
          <w:szCs w:val="21"/>
          <w:lang w:val="zh-CN"/>
        </w:rPr>
        <w:t>21.3.1 采用综合评分法。即在响应文件满足采购文件全部实质性要求前提下，按照评审因素的量化指标评分。</w:t>
      </w:r>
    </w:p>
    <w:p w14:paraId="1A6D27C6">
      <w:pPr>
        <w:spacing w:line="360" w:lineRule="auto"/>
        <w:ind w:firstLine="420" w:firstLineChars="200"/>
        <w:rPr>
          <w:rFonts w:ascii="宋体" w:hAnsi="宋体" w:cs="宋体"/>
          <w:b/>
          <w:szCs w:val="21"/>
        </w:rPr>
      </w:pPr>
      <w:r>
        <w:rPr>
          <w:rFonts w:hint="eastAsia" w:ascii="宋体" w:hAnsi="宋体" w:cs="宋体"/>
          <w:szCs w:val="21"/>
          <w:lang w:val="zh-CN"/>
        </w:rPr>
        <w:t>21.3.2 综合评分的主要因素：详见文件第三章。</w:t>
      </w:r>
    </w:p>
    <w:p w14:paraId="689BA0BB">
      <w:pPr>
        <w:spacing w:line="360" w:lineRule="auto"/>
        <w:ind w:firstLine="422" w:firstLineChars="200"/>
        <w:rPr>
          <w:rFonts w:ascii="宋体" w:hAnsi="宋体" w:cs="宋体"/>
          <w:b/>
          <w:bCs/>
          <w:szCs w:val="21"/>
          <w:lang w:val="zh-CN"/>
        </w:rPr>
      </w:pPr>
      <w:r>
        <w:rPr>
          <w:rFonts w:hint="eastAsia" w:ascii="宋体" w:hAnsi="宋体" w:cs="宋体"/>
          <w:b/>
          <w:bCs/>
          <w:szCs w:val="21"/>
          <w:lang w:val="zh-CN"/>
        </w:rPr>
        <w:t>22.确定中标供应商</w:t>
      </w:r>
    </w:p>
    <w:p w14:paraId="357222EA">
      <w:pPr>
        <w:spacing w:line="360" w:lineRule="auto"/>
        <w:ind w:firstLine="420" w:firstLineChars="200"/>
        <w:rPr>
          <w:rFonts w:ascii="宋体" w:hAnsi="宋体" w:cs="宋体"/>
          <w:szCs w:val="21"/>
          <w:lang w:val="zh-CN"/>
        </w:rPr>
      </w:pPr>
      <w:r>
        <w:rPr>
          <w:rFonts w:hint="eastAsia" w:ascii="宋体" w:hAnsi="宋体" w:cs="宋体"/>
          <w:szCs w:val="21"/>
          <w:lang w:val="zh-CN"/>
        </w:rPr>
        <w:t>22.1 在综合比较与评价后按照得分由高到低顺序对供应商进行排</w:t>
      </w:r>
      <w:r>
        <w:rPr>
          <w:rFonts w:hint="eastAsia" w:ascii="宋体" w:hAnsi="宋体" w:cs="宋体"/>
          <w:szCs w:val="21"/>
        </w:rPr>
        <w:t>序</w:t>
      </w:r>
      <w:r>
        <w:rPr>
          <w:rFonts w:hint="eastAsia" w:ascii="宋体" w:hAnsi="宋体" w:cs="宋体"/>
          <w:szCs w:val="21"/>
          <w:lang w:val="zh-CN"/>
        </w:rPr>
        <w:t>。评标委员会按综合得分排名</w:t>
      </w:r>
      <w:r>
        <w:rPr>
          <w:rFonts w:hint="eastAsia" w:ascii="宋体" w:hAnsi="宋体" w:cs="宋体"/>
          <w:szCs w:val="21"/>
        </w:rPr>
        <w:t>推荐3名</w:t>
      </w:r>
      <w:r>
        <w:rPr>
          <w:rFonts w:hint="eastAsia" w:ascii="宋体" w:hAnsi="宋体" w:cs="宋体"/>
          <w:szCs w:val="21"/>
          <w:lang w:val="zh-CN"/>
        </w:rPr>
        <w:t>中标候选人</w:t>
      </w:r>
      <w:r>
        <w:rPr>
          <w:rFonts w:hint="eastAsia" w:ascii="宋体" w:hAnsi="宋体" w:cs="宋体"/>
        </w:rPr>
        <w:t>。得分相同的，按投标报价由低到高顺序排列。得分且报价相同的，按技术指标和服务标准优劣顺序排列。</w:t>
      </w:r>
    </w:p>
    <w:p w14:paraId="76B243F2">
      <w:pPr>
        <w:spacing w:line="360" w:lineRule="auto"/>
        <w:ind w:firstLine="420" w:firstLineChars="200"/>
        <w:rPr>
          <w:rFonts w:ascii="宋体" w:hAnsi="宋体" w:cs="宋体"/>
          <w:szCs w:val="21"/>
          <w:lang w:val="zh-CN"/>
        </w:rPr>
      </w:pPr>
      <w:r>
        <w:rPr>
          <w:rFonts w:hint="eastAsia" w:ascii="宋体" w:hAnsi="宋体" w:cs="宋体"/>
          <w:szCs w:val="21"/>
          <w:lang w:val="zh-CN"/>
        </w:rPr>
        <w:t>22.2 按以下第</w:t>
      </w:r>
      <w:r>
        <w:rPr>
          <w:rFonts w:hint="eastAsia" w:ascii="宋体" w:hAnsi="宋体" w:cs="宋体"/>
          <w:szCs w:val="21"/>
          <w:u w:val="single"/>
          <w:lang w:val="zh-CN"/>
        </w:rPr>
        <w:t>（</w:t>
      </w:r>
      <w:r>
        <w:rPr>
          <w:rFonts w:hint="eastAsia" w:ascii="宋体" w:hAnsi="宋体" w:cs="宋体"/>
          <w:szCs w:val="21"/>
          <w:u w:val="single"/>
        </w:rPr>
        <w:t>2</w:t>
      </w:r>
      <w:r>
        <w:rPr>
          <w:rFonts w:hint="eastAsia" w:ascii="宋体" w:hAnsi="宋体" w:cs="宋体"/>
          <w:szCs w:val="21"/>
          <w:u w:val="single"/>
          <w:lang w:val="zh-CN"/>
        </w:rPr>
        <w:t>）</w:t>
      </w:r>
      <w:r>
        <w:rPr>
          <w:rFonts w:hint="eastAsia" w:ascii="宋体" w:hAnsi="宋体" w:cs="宋体"/>
          <w:szCs w:val="21"/>
          <w:lang w:val="zh-CN"/>
        </w:rPr>
        <w:t>种方式确定中标供应商</w:t>
      </w:r>
    </w:p>
    <w:p w14:paraId="2FE58C0F">
      <w:pPr>
        <w:spacing w:line="360" w:lineRule="auto"/>
        <w:ind w:firstLine="420" w:firstLineChars="200"/>
        <w:rPr>
          <w:rFonts w:ascii="宋体" w:hAnsi="宋体" w:cs="宋体"/>
          <w:szCs w:val="21"/>
        </w:rPr>
      </w:pPr>
      <w:r>
        <w:rPr>
          <w:rFonts w:hint="eastAsia" w:ascii="宋体" w:hAnsi="宋体" w:cs="宋体"/>
          <w:szCs w:val="21"/>
          <w:lang w:val="zh-CN"/>
        </w:rPr>
        <w:t>（1）</w:t>
      </w:r>
      <w:r>
        <w:rPr>
          <w:rFonts w:hint="eastAsia" w:ascii="宋体" w:hAnsi="宋体" w:cs="宋体"/>
          <w:szCs w:val="21"/>
        </w:rPr>
        <w:t>评标委员会直接确定排名第一的中标候选人为中标供应商；</w:t>
      </w:r>
    </w:p>
    <w:p w14:paraId="143AD9B8">
      <w:pPr>
        <w:spacing w:line="360" w:lineRule="auto"/>
        <w:ind w:firstLine="420" w:firstLineChars="200"/>
        <w:rPr>
          <w:rFonts w:ascii="宋体" w:hAnsi="宋体" w:cs="宋体"/>
          <w:szCs w:val="21"/>
          <w:lang w:val="zh-CN"/>
        </w:rPr>
      </w:pPr>
      <w:r>
        <w:rPr>
          <w:rFonts w:hint="eastAsia" w:ascii="宋体" w:hAnsi="宋体" w:cs="宋体"/>
          <w:szCs w:val="21"/>
        </w:rPr>
        <w:t>（2）采购人项目单位</w:t>
      </w:r>
      <w:r>
        <w:rPr>
          <w:rFonts w:hint="eastAsia" w:ascii="宋体" w:hAnsi="宋体" w:cs="宋体"/>
          <w:szCs w:val="21"/>
          <w:lang w:val="zh-CN"/>
        </w:rPr>
        <w:t>在评标委员会</w:t>
      </w:r>
      <w:r>
        <w:rPr>
          <w:rFonts w:hint="eastAsia" w:ascii="宋体" w:hAnsi="宋体" w:cs="宋体"/>
          <w:szCs w:val="21"/>
        </w:rPr>
        <w:t>推荐的中标候选人中按顺序确定中标供应商。</w:t>
      </w:r>
    </w:p>
    <w:p w14:paraId="30BF1926">
      <w:pPr>
        <w:spacing w:line="360" w:lineRule="auto"/>
        <w:ind w:firstLine="420" w:firstLineChars="200"/>
        <w:rPr>
          <w:rFonts w:ascii="宋体" w:hAnsi="宋体" w:cs="宋体"/>
          <w:szCs w:val="21"/>
          <w:lang w:val="zh-CN"/>
        </w:rPr>
      </w:pPr>
      <w:r>
        <w:rPr>
          <w:rFonts w:hint="eastAsia" w:ascii="宋体" w:hAnsi="宋体" w:cs="宋体"/>
          <w:szCs w:val="21"/>
          <w:lang w:val="zh-CN"/>
        </w:rPr>
        <w:t>按第二种方式确定中标供应商的，代理机构自评审结束之日起两个工作日内将评审报告送交采购人，采购人</w:t>
      </w:r>
      <w:r>
        <w:rPr>
          <w:rFonts w:hint="eastAsia" w:ascii="宋体" w:hAnsi="宋体" w:cs="宋体"/>
          <w:szCs w:val="21"/>
        </w:rPr>
        <w:t>项目单位</w:t>
      </w:r>
      <w:r>
        <w:rPr>
          <w:rFonts w:hint="eastAsia" w:ascii="宋体" w:hAnsi="宋体" w:cs="宋体"/>
          <w:szCs w:val="21"/>
          <w:lang w:val="zh-CN"/>
        </w:rPr>
        <w:t>应当自收到评审报告之日起五个工作日内在评审报告推荐的中标候选人中按顺序确定中标供应商。</w:t>
      </w:r>
    </w:p>
    <w:p w14:paraId="2E348E36">
      <w:pPr>
        <w:spacing w:line="360" w:lineRule="auto"/>
        <w:ind w:firstLine="420" w:firstLineChars="200"/>
        <w:rPr>
          <w:rFonts w:ascii="宋体" w:hAnsi="宋体" w:cs="宋体"/>
          <w:szCs w:val="21"/>
          <w:lang w:val="zh-CN"/>
        </w:rPr>
      </w:pPr>
      <w:r>
        <w:rPr>
          <w:rFonts w:hint="eastAsia" w:ascii="宋体" w:hAnsi="宋体" w:cs="宋体"/>
          <w:szCs w:val="21"/>
          <w:lang w:val="zh-CN"/>
        </w:rPr>
        <w:t>22.3 中标供应商确定之日起两个工作日内，将在“江苏招标采购服务平台”发布公告，并向</w:t>
      </w:r>
      <w:r>
        <w:rPr>
          <w:rFonts w:hint="eastAsia" w:ascii="宋体" w:hAnsi="宋体" w:cs="宋体"/>
          <w:szCs w:val="21"/>
        </w:rPr>
        <w:t>中标</w:t>
      </w:r>
      <w:r>
        <w:rPr>
          <w:rFonts w:hint="eastAsia" w:ascii="宋体" w:hAnsi="宋体" w:cs="宋体"/>
          <w:szCs w:val="21"/>
          <w:lang w:val="zh-CN"/>
        </w:rPr>
        <w:t>供应商发出《</w:t>
      </w:r>
      <w:r>
        <w:rPr>
          <w:rFonts w:hint="eastAsia" w:ascii="宋体" w:hAnsi="宋体" w:cs="宋体"/>
          <w:szCs w:val="21"/>
        </w:rPr>
        <w:t>中标</w:t>
      </w:r>
      <w:r>
        <w:rPr>
          <w:rFonts w:hint="eastAsia" w:ascii="宋体" w:hAnsi="宋体" w:cs="宋体"/>
          <w:szCs w:val="21"/>
          <w:lang w:val="zh-CN"/>
        </w:rPr>
        <w:t>通知书》。</w:t>
      </w:r>
    </w:p>
    <w:p w14:paraId="31408B6E">
      <w:pPr>
        <w:spacing w:line="360" w:lineRule="auto"/>
        <w:ind w:firstLine="420" w:firstLineChars="200"/>
        <w:rPr>
          <w:rFonts w:ascii="宋体" w:hAnsi="宋体" w:cs="宋体"/>
          <w:szCs w:val="21"/>
          <w:lang w:val="zh-CN"/>
        </w:rPr>
      </w:pPr>
      <w:r>
        <w:rPr>
          <w:rFonts w:hint="eastAsia" w:ascii="宋体" w:hAnsi="宋体" w:cs="宋体"/>
          <w:szCs w:val="21"/>
          <w:lang w:val="zh-CN"/>
        </w:rPr>
        <w:t>22.4 《中标通知书》对采购人和中标供应商具有同等法律效力。</w:t>
      </w:r>
    </w:p>
    <w:p w14:paraId="1431BE53">
      <w:pPr>
        <w:spacing w:line="360" w:lineRule="auto"/>
        <w:ind w:firstLine="420" w:firstLineChars="200"/>
        <w:rPr>
          <w:rFonts w:ascii="宋体" w:hAnsi="宋体" w:cs="宋体"/>
          <w:szCs w:val="21"/>
        </w:rPr>
      </w:pPr>
      <w:r>
        <w:rPr>
          <w:rFonts w:hint="eastAsia" w:ascii="宋体" w:hAnsi="宋体" w:cs="宋体"/>
          <w:szCs w:val="21"/>
          <w:lang w:val="zh-CN"/>
        </w:rPr>
        <w:t>22.5 《</w:t>
      </w:r>
      <w:r>
        <w:rPr>
          <w:rFonts w:hint="eastAsia" w:ascii="宋体" w:hAnsi="宋体" w:cs="宋体"/>
          <w:szCs w:val="21"/>
        </w:rPr>
        <w:t>中标通知书</w:t>
      </w:r>
      <w:r>
        <w:rPr>
          <w:rFonts w:hint="eastAsia" w:ascii="宋体" w:hAnsi="宋体" w:cs="宋体"/>
          <w:szCs w:val="21"/>
          <w:lang w:val="zh-CN"/>
        </w:rPr>
        <w:t>》</w:t>
      </w:r>
      <w:r>
        <w:rPr>
          <w:rFonts w:hint="eastAsia" w:ascii="宋体" w:hAnsi="宋体" w:cs="宋体"/>
          <w:szCs w:val="21"/>
        </w:rPr>
        <w:t>发出后，中标供应商无正当理由不与采购人签订合同的，应当依法承担法律责任。</w:t>
      </w:r>
    </w:p>
    <w:p w14:paraId="535F34F1">
      <w:pPr>
        <w:tabs>
          <w:tab w:val="left" w:pos="1260"/>
        </w:tabs>
        <w:spacing w:line="360" w:lineRule="auto"/>
        <w:ind w:firstLine="420" w:firstLineChars="200"/>
        <w:rPr>
          <w:rFonts w:ascii="宋体" w:hAnsi="宋体" w:cs="宋体"/>
          <w:szCs w:val="21"/>
        </w:rPr>
      </w:pPr>
      <w:r>
        <w:rPr>
          <w:rFonts w:hint="eastAsia" w:ascii="宋体" w:hAnsi="宋体" w:cs="宋体"/>
          <w:szCs w:val="21"/>
        </w:rPr>
        <w:t>22.6</w:t>
      </w:r>
      <w:r>
        <w:rPr>
          <w:rFonts w:hint="eastAsia" w:ascii="宋体" w:hAnsi="宋体" w:cs="宋体"/>
          <w:szCs w:val="21"/>
          <w:lang w:val="zh-CN"/>
        </w:rPr>
        <w:t xml:space="preserve"> </w:t>
      </w:r>
      <w:r>
        <w:rPr>
          <w:rFonts w:hint="eastAsia" w:ascii="宋体" w:hAnsi="宋体" w:cs="宋体"/>
          <w:szCs w:val="21"/>
        </w:rPr>
        <w:t>代理机构</w:t>
      </w:r>
      <w:r>
        <w:rPr>
          <w:rFonts w:hint="eastAsia" w:ascii="宋体" w:hAnsi="宋体" w:cs="宋体"/>
          <w:szCs w:val="21"/>
          <w:lang w:val="zh-CN"/>
        </w:rPr>
        <w:t>和评标委员会</w:t>
      </w:r>
      <w:r>
        <w:rPr>
          <w:rFonts w:hint="eastAsia" w:ascii="宋体" w:hAnsi="宋体" w:cs="宋体"/>
        </w:rPr>
        <w:t>对未中标的供应商不作未中标原因的解释。</w:t>
      </w:r>
    </w:p>
    <w:p w14:paraId="067EE3A3">
      <w:pPr>
        <w:spacing w:line="360" w:lineRule="auto"/>
        <w:ind w:firstLine="420" w:firstLineChars="200"/>
        <w:rPr>
          <w:rFonts w:ascii="宋体" w:hAnsi="宋体" w:cs="宋体"/>
          <w:szCs w:val="21"/>
        </w:rPr>
      </w:pPr>
      <w:r>
        <w:rPr>
          <w:rFonts w:hint="eastAsia" w:ascii="宋体" w:hAnsi="宋体" w:cs="宋体"/>
          <w:szCs w:val="21"/>
        </w:rPr>
        <w:t>22.7 所有响应文件不论中标与否均不退回。</w:t>
      </w:r>
    </w:p>
    <w:p w14:paraId="4CEF8EC6">
      <w:pPr>
        <w:spacing w:line="360" w:lineRule="auto"/>
        <w:ind w:firstLine="422" w:firstLineChars="200"/>
        <w:rPr>
          <w:rFonts w:ascii="宋体" w:hAnsi="宋体" w:cs="宋体"/>
          <w:b/>
          <w:szCs w:val="21"/>
        </w:rPr>
      </w:pPr>
      <w:r>
        <w:rPr>
          <w:rFonts w:hint="eastAsia" w:ascii="宋体" w:hAnsi="宋体" w:cs="宋体"/>
          <w:b/>
          <w:szCs w:val="21"/>
        </w:rPr>
        <w:t>23</w:t>
      </w:r>
      <w:r>
        <w:rPr>
          <w:rFonts w:hint="eastAsia" w:ascii="宋体" w:hAnsi="宋体" w:cs="宋体"/>
          <w:b/>
          <w:bCs/>
          <w:szCs w:val="21"/>
          <w:lang w:val="zh-CN"/>
        </w:rPr>
        <w:t>.</w:t>
      </w:r>
      <w:r>
        <w:rPr>
          <w:rFonts w:hint="eastAsia" w:ascii="宋体" w:hAnsi="宋体" w:cs="宋体"/>
          <w:b/>
          <w:szCs w:val="21"/>
        </w:rPr>
        <w:t>编写评审报告</w:t>
      </w:r>
    </w:p>
    <w:p w14:paraId="1D45225D">
      <w:pPr>
        <w:spacing w:line="360" w:lineRule="auto"/>
        <w:ind w:firstLine="420" w:firstLineChars="200"/>
        <w:rPr>
          <w:rFonts w:ascii="宋体" w:hAnsi="宋体" w:cs="宋体"/>
          <w:szCs w:val="21"/>
        </w:rPr>
      </w:pPr>
      <w:r>
        <w:rPr>
          <w:rFonts w:hint="eastAsia" w:ascii="宋体" w:hAnsi="宋体" w:cs="宋体"/>
          <w:szCs w:val="21"/>
        </w:rPr>
        <w:t>评标委员会根据全体评标成员签字的原始评标记录和评标结果编写评审报告。</w:t>
      </w:r>
    </w:p>
    <w:p w14:paraId="00441ADD">
      <w:pPr>
        <w:spacing w:line="360" w:lineRule="auto"/>
        <w:ind w:firstLine="422" w:firstLineChars="200"/>
        <w:rPr>
          <w:rFonts w:ascii="宋体" w:hAnsi="宋体" w:cs="宋体"/>
          <w:b/>
          <w:szCs w:val="21"/>
          <w:lang w:val="zh-CN"/>
        </w:rPr>
      </w:pPr>
      <w:r>
        <w:rPr>
          <w:rFonts w:hint="eastAsia" w:ascii="宋体" w:hAnsi="宋体" w:cs="宋体"/>
          <w:b/>
          <w:szCs w:val="21"/>
          <w:lang w:val="zh-CN"/>
        </w:rPr>
        <w:t>24.评标过程的保密</w:t>
      </w:r>
    </w:p>
    <w:p w14:paraId="4FC731ED">
      <w:pPr>
        <w:spacing w:line="360" w:lineRule="auto"/>
        <w:ind w:firstLine="420" w:firstLineChars="200"/>
        <w:rPr>
          <w:rFonts w:ascii="宋体" w:hAnsi="宋体" w:cs="宋体"/>
          <w:szCs w:val="21"/>
          <w:lang w:val="zh-CN"/>
        </w:rPr>
      </w:pPr>
      <w:r>
        <w:rPr>
          <w:rFonts w:hint="eastAsia" w:ascii="宋体" w:hAnsi="宋体" w:cs="宋体"/>
          <w:szCs w:val="21"/>
          <w:lang w:val="zh-CN"/>
        </w:rPr>
        <w:t>24.1 代理机构将采取必要措施，保证评标在严格保密的情况下进行。</w:t>
      </w:r>
    </w:p>
    <w:p w14:paraId="27D3404B">
      <w:pPr>
        <w:spacing w:line="360" w:lineRule="auto"/>
        <w:ind w:firstLine="420" w:firstLineChars="200"/>
        <w:rPr>
          <w:rFonts w:ascii="宋体" w:hAnsi="宋体" w:cs="宋体"/>
          <w:szCs w:val="21"/>
          <w:lang w:val="zh-CN"/>
        </w:rPr>
      </w:pPr>
      <w:r>
        <w:rPr>
          <w:rFonts w:hint="eastAsia" w:ascii="宋体" w:hAnsi="宋体" w:cs="宋体"/>
          <w:szCs w:val="21"/>
          <w:lang w:val="zh-CN"/>
        </w:rPr>
        <w:t>24.2 任何单位和个人不得非法干预、影响评标办法的确定，以及评标过程和结果。</w:t>
      </w:r>
    </w:p>
    <w:p w14:paraId="6E565463">
      <w:pPr>
        <w:spacing w:line="360" w:lineRule="auto"/>
        <w:ind w:firstLine="420" w:firstLineChars="200"/>
        <w:rPr>
          <w:rFonts w:ascii="宋体" w:hAnsi="宋体" w:cs="宋体"/>
          <w:b/>
          <w:szCs w:val="21"/>
        </w:rPr>
      </w:pPr>
      <w:r>
        <w:rPr>
          <w:rFonts w:hint="eastAsia" w:ascii="宋体" w:hAnsi="宋体" w:cs="宋体"/>
          <w:szCs w:val="21"/>
          <w:lang w:val="zh-CN"/>
        </w:rPr>
        <w:t>24.3 凡是与审查、澄清、评价和比较投标的有关资料等，均不得向供应商及与评标无关的人员透露。</w:t>
      </w:r>
    </w:p>
    <w:p w14:paraId="00F03D53">
      <w:pPr>
        <w:spacing w:line="360" w:lineRule="auto"/>
        <w:ind w:firstLine="422" w:firstLineChars="200"/>
        <w:rPr>
          <w:rFonts w:ascii="宋体" w:hAnsi="宋体" w:cs="宋体"/>
          <w:b/>
          <w:bCs/>
          <w:szCs w:val="21"/>
          <w:lang w:val="zh-CN"/>
        </w:rPr>
      </w:pPr>
      <w:r>
        <w:rPr>
          <w:rFonts w:hint="eastAsia" w:ascii="宋体" w:hAnsi="宋体" w:cs="宋体"/>
          <w:b/>
          <w:bCs/>
          <w:szCs w:val="21"/>
          <w:lang w:val="zh-CN"/>
        </w:rPr>
        <w:t>五、签订合同</w:t>
      </w:r>
    </w:p>
    <w:p w14:paraId="1B6D473C">
      <w:pPr>
        <w:spacing w:line="360" w:lineRule="auto"/>
        <w:ind w:firstLine="422" w:firstLineChars="200"/>
        <w:rPr>
          <w:rFonts w:ascii="宋体" w:hAnsi="宋体" w:cs="宋体"/>
          <w:b/>
          <w:bCs/>
          <w:szCs w:val="21"/>
          <w:lang w:val="zh-CN"/>
        </w:rPr>
      </w:pPr>
      <w:r>
        <w:rPr>
          <w:rFonts w:hint="eastAsia" w:ascii="宋体" w:hAnsi="宋体" w:cs="宋体"/>
          <w:b/>
          <w:bCs/>
          <w:szCs w:val="21"/>
          <w:lang w:val="zh-CN"/>
        </w:rPr>
        <w:t>25.签订合同</w:t>
      </w:r>
    </w:p>
    <w:p w14:paraId="4A529779">
      <w:pPr>
        <w:spacing w:line="360" w:lineRule="auto"/>
        <w:ind w:firstLine="420" w:firstLineChars="200"/>
        <w:rPr>
          <w:rFonts w:ascii="宋体" w:hAnsi="宋体" w:cs="宋体"/>
          <w:szCs w:val="21"/>
          <w:lang w:val="zh-CN"/>
        </w:rPr>
      </w:pPr>
      <w:r>
        <w:rPr>
          <w:rFonts w:hint="eastAsia" w:ascii="宋体" w:hAnsi="宋体" w:cs="宋体"/>
          <w:szCs w:val="21"/>
          <w:lang w:val="zh-CN"/>
        </w:rPr>
        <w:t>25.1 采购人项目单位应当自《中标通知书》发出之日起三十日内，按照采购文件和中标供应商响应文件与中标供应商签订书面合同。所签订的合同不得对采购文件确定事项和中标供应商响应文件作实质性修改。</w:t>
      </w:r>
    </w:p>
    <w:p w14:paraId="5D89D7A8">
      <w:pPr>
        <w:spacing w:line="360" w:lineRule="auto"/>
        <w:ind w:firstLine="420" w:firstLineChars="200"/>
        <w:rPr>
          <w:rFonts w:ascii="宋体" w:hAnsi="宋体" w:cs="宋体"/>
          <w:szCs w:val="21"/>
        </w:rPr>
      </w:pPr>
      <w:r>
        <w:rPr>
          <w:rFonts w:hint="eastAsia" w:ascii="宋体" w:hAnsi="宋体" w:cs="宋体"/>
          <w:szCs w:val="21"/>
          <w:lang w:val="zh-CN"/>
        </w:rPr>
        <w:t xml:space="preserve">25.2 </w:t>
      </w:r>
      <w:r>
        <w:rPr>
          <w:rFonts w:hint="eastAsia" w:ascii="宋体" w:hAnsi="宋体" w:cs="宋体"/>
          <w:szCs w:val="21"/>
        </w:rPr>
        <w:t>采购人不得向中标供应商提出任何不合理的要求作为签订合同的条件，不得与中标供应商私下订立背离合同实质性内容的协议。</w:t>
      </w:r>
    </w:p>
    <w:p w14:paraId="0C233056">
      <w:pPr>
        <w:spacing w:line="360" w:lineRule="auto"/>
        <w:ind w:firstLine="420" w:firstLineChars="200"/>
        <w:rPr>
          <w:rFonts w:ascii="宋体" w:hAnsi="宋体" w:cs="宋体"/>
          <w:szCs w:val="21"/>
          <w:lang w:val="zh-CN"/>
        </w:rPr>
      </w:pPr>
      <w:r>
        <w:rPr>
          <w:rFonts w:hint="eastAsia" w:ascii="宋体" w:hAnsi="宋体" w:cs="宋体"/>
          <w:szCs w:val="21"/>
          <w:lang w:val="zh-CN"/>
        </w:rPr>
        <w:t>25.3 中标供应商拒绝与采购人签订合同，或因不可抗力或者自身原因不能履行采购合同的，采购人可以按照评审报告推荐的中标候选人名单排序，确定下一候选人为中标供应商，也可以重新开展采购活动。评审报告未推荐中标候选人的，应重新开展采购活动。</w:t>
      </w:r>
    </w:p>
    <w:p w14:paraId="3D0200B9">
      <w:pPr>
        <w:spacing w:line="360" w:lineRule="auto"/>
        <w:ind w:firstLine="420" w:firstLineChars="200"/>
        <w:rPr>
          <w:rFonts w:ascii="宋体" w:hAnsi="宋体" w:cs="宋体"/>
          <w:szCs w:val="21"/>
          <w:lang w:val="zh-CN"/>
        </w:rPr>
      </w:pPr>
      <w:r>
        <w:rPr>
          <w:rFonts w:hint="eastAsia" w:ascii="宋体" w:hAnsi="宋体" w:cs="宋体"/>
          <w:szCs w:val="21"/>
          <w:lang w:val="zh-CN"/>
        </w:rPr>
        <w:t>25.4 采购合同履行中，采购人需追加与合同标的相同服务的，在不改变合同其他条款的前提下，可以与供应商协商签订补充合同，但所有补充合同的采购金额不得超过原合同采购金额的百分之十。</w:t>
      </w:r>
    </w:p>
    <w:p w14:paraId="10E29CDD">
      <w:pPr>
        <w:spacing w:line="360" w:lineRule="auto"/>
        <w:ind w:firstLine="422" w:firstLineChars="200"/>
        <w:rPr>
          <w:rFonts w:ascii="宋体" w:hAnsi="宋体" w:cs="宋体"/>
          <w:b/>
          <w:bCs/>
          <w:szCs w:val="21"/>
          <w:lang w:val="zh-CN"/>
        </w:rPr>
      </w:pPr>
      <w:r>
        <w:rPr>
          <w:rFonts w:hint="eastAsia" w:ascii="宋体" w:hAnsi="宋体" w:cs="宋体"/>
          <w:b/>
          <w:bCs/>
          <w:szCs w:val="21"/>
          <w:lang w:val="zh-CN"/>
        </w:rPr>
        <w:t>六、询问、质疑、投诉和诚实信用</w:t>
      </w:r>
    </w:p>
    <w:p w14:paraId="60A89416">
      <w:pPr>
        <w:spacing w:line="360" w:lineRule="auto"/>
        <w:ind w:firstLine="422" w:firstLineChars="200"/>
        <w:rPr>
          <w:rFonts w:ascii="宋体" w:hAnsi="宋体" w:cs="宋体"/>
          <w:b/>
          <w:bCs/>
          <w:szCs w:val="21"/>
          <w:lang w:val="zh-CN"/>
        </w:rPr>
      </w:pPr>
      <w:r>
        <w:rPr>
          <w:rFonts w:hint="eastAsia" w:ascii="宋体" w:hAnsi="宋体" w:cs="宋体"/>
          <w:b/>
          <w:bCs/>
          <w:szCs w:val="21"/>
          <w:lang w:val="zh-CN"/>
        </w:rPr>
        <w:t>26.询问提出与答复</w:t>
      </w:r>
    </w:p>
    <w:p w14:paraId="3E460CF9">
      <w:pPr>
        <w:spacing w:line="360" w:lineRule="auto"/>
        <w:ind w:firstLine="420" w:firstLineChars="200"/>
        <w:rPr>
          <w:rFonts w:ascii="宋体" w:hAnsi="宋体" w:cs="宋体"/>
          <w:szCs w:val="21"/>
          <w:lang w:val="zh-CN"/>
        </w:rPr>
      </w:pPr>
      <w:r>
        <w:rPr>
          <w:rFonts w:hint="eastAsia" w:ascii="宋体" w:hAnsi="宋体" w:cs="宋体"/>
          <w:szCs w:val="21"/>
        </w:rPr>
        <w:t>26.1</w:t>
      </w:r>
      <w:r>
        <w:rPr>
          <w:rFonts w:hint="eastAsia" w:ascii="宋体" w:hAnsi="宋体" w:cs="宋体"/>
          <w:szCs w:val="21"/>
          <w:lang w:val="zh-CN"/>
        </w:rPr>
        <w:t xml:space="preserve"> 供应商对采购活动事项有疑问的，如认为采购文件表述有歧义或表述不清，或了解本公司投标被拒绝详细理由等事项，可以通过电话、信函、电子邮件、传真等方式向采购办、项目单位、代理机构（以下简称被询问人）提出询问。</w:t>
      </w:r>
    </w:p>
    <w:p w14:paraId="206C8566">
      <w:pPr>
        <w:spacing w:line="360" w:lineRule="auto"/>
        <w:ind w:firstLine="420" w:firstLineChars="200"/>
        <w:rPr>
          <w:rFonts w:ascii="宋体" w:hAnsi="宋体" w:cs="宋体"/>
          <w:szCs w:val="21"/>
          <w:lang w:val="zh-CN"/>
        </w:rPr>
      </w:pPr>
      <w:r>
        <w:rPr>
          <w:rFonts w:hint="eastAsia" w:ascii="宋体" w:hAnsi="宋体" w:cs="宋体"/>
          <w:szCs w:val="21"/>
        </w:rPr>
        <w:t>26.2</w:t>
      </w:r>
      <w:r>
        <w:rPr>
          <w:rFonts w:hint="eastAsia" w:ascii="宋体" w:hAnsi="宋体" w:cs="宋体"/>
          <w:szCs w:val="21"/>
          <w:lang w:val="zh-CN"/>
        </w:rPr>
        <w:t xml:space="preserve"> 被询问人应当认真审查询问事项，并在 3 个工作日内以适当方式答复询问供应商。询问供应商通过来电、来人等非书面方式进行询问的，被询问人应当作出询问答复并做好答复记录。询问供应商通过询问函等书面方式进行询问的，被询问人应当做好询问接收登记，作出书面答复。</w:t>
      </w:r>
    </w:p>
    <w:p w14:paraId="7E4664D4">
      <w:pPr>
        <w:spacing w:line="360" w:lineRule="auto"/>
        <w:ind w:firstLine="420" w:firstLineChars="200"/>
        <w:rPr>
          <w:rFonts w:ascii="宋体" w:hAnsi="宋体" w:cs="宋体"/>
          <w:szCs w:val="21"/>
          <w:lang w:val="zh-CN"/>
        </w:rPr>
      </w:pPr>
      <w:r>
        <w:rPr>
          <w:rFonts w:hint="eastAsia" w:ascii="宋体" w:hAnsi="宋体" w:cs="宋体"/>
          <w:szCs w:val="21"/>
          <w:lang w:val="zh-CN"/>
        </w:rPr>
        <w:t>对采购文件资格条件、采购需求、评审办法等实质性内容提出的询问，被询问人可以按照审慎原则组织专家论证，参考论证意见进行澄清、修改和答复。</w:t>
      </w:r>
    </w:p>
    <w:p w14:paraId="6D9723DB">
      <w:pPr>
        <w:spacing w:line="360" w:lineRule="auto"/>
        <w:ind w:firstLine="420" w:firstLineChars="200"/>
        <w:rPr>
          <w:rFonts w:ascii="宋体" w:hAnsi="宋体" w:cs="宋体"/>
          <w:szCs w:val="21"/>
          <w:lang w:val="zh-CN"/>
        </w:rPr>
      </w:pPr>
      <w:r>
        <w:rPr>
          <w:rFonts w:hint="eastAsia" w:ascii="宋体" w:hAnsi="宋体" w:cs="宋体"/>
          <w:szCs w:val="21"/>
        </w:rPr>
        <w:t>26.3</w:t>
      </w:r>
      <w:r>
        <w:rPr>
          <w:rFonts w:hint="eastAsia" w:ascii="宋体" w:hAnsi="宋体" w:cs="宋体"/>
          <w:szCs w:val="21"/>
          <w:lang w:val="zh-CN"/>
        </w:rPr>
        <w:t xml:space="preserve"> 如供应商询问事项涉及依法应当保密的内容，被询问人不予答复，向供应商说明理由和依据。</w:t>
      </w:r>
    </w:p>
    <w:p w14:paraId="5A4778BA">
      <w:pPr>
        <w:spacing w:line="360" w:lineRule="auto"/>
        <w:ind w:firstLine="422" w:firstLineChars="200"/>
        <w:rPr>
          <w:rFonts w:ascii="宋体" w:hAnsi="宋体" w:cs="宋体"/>
          <w:b/>
          <w:bCs/>
          <w:szCs w:val="21"/>
        </w:rPr>
      </w:pPr>
      <w:r>
        <w:rPr>
          <w:rFonts w:hint="eastAsia" w:ascii="宋体" w:hAnsi="宋体" w:cs="宋体"/>
          <w:b/>
          <w:bCs/>
          <w:szCs w:val="21"/>
        </w:rPr>
        <w:t>27.质疑提出与答复</w:t>
      </w:r>
    </w:p>
    <w:p w14:paraId="02EF4E44">
      <w:pPr>
        <w:spacing w:line="360" w:lineRule="auto"/>
        <w:ind w:firstLine="420" w:firstLineChars="200"/>
        <w:rPr>
          <w:rFonts w:ascii="宋体" w:hAnsi="宋体" w:cs="宋体"/>
          <w:szCs w:val="21"/>
        </w:rPr>
      </w:pPr>
      <w:r>
        <w:rPr>
          <w:rFonts w:hint="eastAsia" w:ascii="宋体" w:hAnsi="宋体" w:cs="宋体"/>
          <w:szCs w:val="21"/>
        </w:rPr>
        <w:t>27.1 供应商认为采购文件、采购过程、中标或者成交结果使自己的权益受到损害的，可以在知道或者应知其权益受到损害之日起规定质疑期 7 个工作日内，以书面形式向采购办、项目单位、代理机构提出质疑。</w:t>
      </w:r>
    </w:p>
    <w:p w14:paraId="319A4040">
      <w:pPr>
        <w:spacing w:line="360" w:lineRule="auto"/>
        <w:ind w:firstLine="420" w:firstLineChars="200"/>
        <w:rPr>
          <w:rFonts w:ascii="宋体" w:hAnsi="宋体" w:cs="宋体"/>
          <w:szCs w:val="21"/>
        </w:rPr>
      </w:pPr>
      <w:r>
        <w:rPr>
          <w:rFonts w:hint="eastAsia" w:ascii="宋体" w:hAnsi="宋体" w:cs="宋体"/>
          <w:szCs w:val="21"/>
        </w:rPr>
        <w:t>27.1.1供应商在规定质疑期内应一次性提出针对同一采购程序环节的质疑。</w:t>
      </w:r>
    </w:p>
    <w:p w14:paraId="059F9DEA">
      <w:pPr>
        <w:spacing w:line="360" w:lineRule="auto"/>
        <w:ind w:firstLine="420" w:firstLineChars="200"/>
        <w:rPr>
          <w:rFonts w:ascii="宋体" w:hAnsi="宋体" w:cs="宋体"/>
          <w:szCs w:val="21"/>
        </w:rPr>
      </w:pPr>
      <w:r>
        <w:rPr>
          <w:rFonts w:hint="eastAsia" w:ascii="宋体" w:hAnsi="宋体" w:cs="宋体"/>
          <w:szCs w:val="21"/>
        </w:rPr>
        <w:t>27.2 供应商知道或者应知其权益受到损害之日，是指：</w:t>
      </w:r>
    </w:p>
    <w:p w14:paraId="5779C923">
      <w:pPr>
        <w:spacing w:line="360" w:lineRule="auto"/>
        <w:ind w:firstLine="420" w:firstLineChars="200"/>
        <w:rPr>
          <w:rFonts w:ascii="宋体" w:hAnsi="宋体" w:cs="宋体"/>
          <w:szCs w:val="21"/>
        </w:rPr>
      </w:pPr>
      <w:r>
        <w:rPr>
          <w:rFonts w:hint="eastAsia" w:ascii="宋体" w:hAnsi="宋体" w:cs="宋体"/>
          <w:szCs w:val="21"/>
        </w:rPr>
        <w:t>（1）对可以质疑的采购文件提出质疑的，为收到采购文件之日或者采购文件公告期限届满之日；</w:t>
      </w:r>
    </w:p>
    <w:p w14:paraId="76262737">
      <w:pPr>
        <w:spacing w:line="360" w:lineRule="auto"/>
        <w:ind w:firstLine="420" w:firstLineChars="200"/>
        <w:rPr>
          <w:rFonts w:ascii="宋体" w:hAnsi="宋体" w:cs="宋体"/>
          <w:szCs w:val="21"/>
        </w:rPr>
      </w:pPr>
      <w:r>
        <w:rPr>
          <w:rFonts w:hint="eastAsia" w:ascii="宋体" w:hAnsi="宋体" w:cs="宋体"/>
          <w:szCs w:val="21"/>
        </w:rPr>
        <w:t>（2）对采购过程提出质疑的，为各采购程序环节结束之日；</w:t>
      </w:r>
    </w:p>
    <w:p w14:paraId="30BB7193">
      <w:pPr>
        <w:spacing w:line="360" w:lineRule="auto"/>
        <w:ind w:firstLine="420" w:firstLineChars="200"/>
        <w:rPr>
          <w:rFonts w:ascii="宋体" w:hAnsi="宋体" w:cs="宋体"/>
          <w:szCs w:val="21"/>
        </w:rPr>
      </w:pPr>
      <w:r>
        <w:rPr>
          <w:rFonts w:hint="eastAsia" w:ascii="宋体" w:hAnsi="宋体" w:cs="宋体"/>
          <w:szCs w:val="21"/>
        </w:rPr>
        <w:t>（3）对中标或者成交结果提出质疑的，为中标或者成交结果公告期限届满之日。</w:t>
      </w:r>
    </w:p>
    <w:p w14:paraId="2200F357">
      <w:pPr>
        <w:spacing w:line="360" w:lineRule="auto"/>
        <w:ind w:firstLine="420" w:firstLineChars="200"/>
        <w:rPr>
          <w:rFonts w:ascii="宋体" w:hAnsi="宋体" w:cs="宋体"/>
          <w:szCs w:val="21"/>
        </w:rPr>
      </w:pPr>
      <w:r>
        <w:rPr>
          <w:rFonts w:hint="eastAsia" w:ascii="宋体" w:hAnsi="宋体" w:cs="宋体"/>
          <w:szCs w:val="21"/>
        </w:rPr>
        <w:t>27.3 提出质疑的供应商应当是参与所质疑项目采购活动的供应商。潜在供应商已依法获取其可质疑的采购文件的，可以对该文件提出质疑。</w:t>
      </w:r>
    </w:p>
    <w:p w14:paraId="19840967">
      <w:pPr>
        <w:spacing w:line="360" w:lineRule="auto"/>
        <w:ind w:firstLine="420" w:firstLineChars="200"/>
        <w:rPr>
          <w:rFonts w:ascii="宋体" w:hAnsi="宋体" w:cs="宋体"/>
          <w:szCs w:val="21"/>
        </w:rPr>
      </w:pPr>
      <w:r>
        <w:rPr>
          <w:rFonts w:hint="eastAsia" w:ascii="宋体" w:hAnsi="宋体" w:cs="宋体"/>
          <w:szCs w:val="21"/>
        </w:rPr>
        <w:t>27.4 供应商提出质疑应当提交质疑函和必要的证明材料。质疑函应当包括下列内容：</w:t>
      </w:r>
    </w:p>
    <w:p w14:paraId="7969821E">
      <w:pPr>
        <w:spacing w:line="360" w:lineRule="auto"/>
        <w:ind w:firstLine="420" w:firstLineChars="200"/>
        <w:rPr>
          <w:rFonts w:ascii="宋体" w:hAnsi="宋体" w:cs="宋体"/>
          <w:szCs w:val="21"/>
        </w:rPr>
      </w:pPr>
      <w:r>
        <w:rPr>
          <w:rFonts w:hint="eastAsia" w:ascii="宋体" w:hAnsi="宋体" w:cs="宋体"/>
          <w:szCs w:val="21"/>
        </w:rPr>
        <w:t>（1）供应商的姓名或者名称、地址、邮编、联系人及联系电话；</w:t>
      </w:r>
    </w:p>
    <w:p w14:paraId="5FB1A099">
      <w:pPr>
        <w:spacing w:line="360" w:lineRule="auto"/>
        <w:ind w:firstLine="420" w:firstLineChars="200"/>
        <w:rPr>
          <w:rFonts w:ascii="宋体" w:hAnsi="宋体" w:cs="宋体"/>
          <w:szCs w:val="21"/>
        </w:rPr>
      </w:pPr>
      <w:r>
        <w:rPr>
          <w:rFonts w:hint="eastAsia" w:ascii="宋体" w:hAnsi="宋体" w:cs="宋体"/>
          <w:szCs w:val="21"/>
        </w:rPr>
        <w:t>（2）质疑项目的名称、编号；</w:t>
      </w:r>
    </w:p>
    <w:p w14:paraId="3C6AF668">
      <w:pPr>
        <w:spacing w:line="360" w:lineRule="auto"/>
        <w:ind w:firstLine="420" w:firstLineChars="200"/>
        <w:rPr>
          <w:rFonts w:ascii="宋体" w:hAnsi="宋体" w:cs="宋体"/>
          <w:szCs w:val="21"/>
        </w:rPr>
      </w:pPr>
      <w:r>
        <w:rPr>
          <w:rFonts w:hint="eastAsia" w:ascii="宋体" w:hAnsi="宋体" w:cs="宋体"/>
          <w:szCs w:val="21"/>
        </w:rPr>
        <w:t>（3）具体、明确的质疑事项和与质疑事项相关的请求；</w:t>
      </w:r>
    </w:p>
    <w:p w14:paraId="6E7BD20A">
      <w:pPr>
        <w:spacing w:line="360" w:lineRule="auto"/>
        <w:ind w:firstLine="420" w:firstLineChars="200"/>
        <w:rPr>
          <w:rFonts w:ascii="宋体" w:hAnsi="宋体" w:cs="宋体"/>
          <w:szCs w:val="21"/>
        </w:rPr>
      </w:pPr>
      <w:r>
        <w:rPr>
          <w:rFonts w:hint="eastAsia" w:ascii="宋体" w:hAnsi="宋体" w:cs="宋体"/>
          <w:szCs w:val="21"/>
        </w:rPr>
        <w:t>（4）事实依据；</w:t>
      </w:r>
    </w:p>
    <w:p w14:paraId="1F35B6CE">
      <w:pPr>
        <w:spacing w:line="360" w:lineRule="auto"/>
        <w:ind w:firstLine="420" w:firstLineChars="200"/>
        <w:rPr>
          <w:rFonts w:ascii="宋体" w:hAnsi="宋体" w:cs="宋体"/>
          <w:szCs w:val="21"/>
        </w:rPr>
      </w:pPr>
      <w:r>
        <w:rPr>
          <w:rFonts w:hint="eastAsia" w:ascii="宋体" w:hAnsi="宋体" w:cs="宋体"/>
          <w:szCs w:val="21"/>
        </w:rPr>
        <w:t>（5）必要的法律依据；</w:t>
      </w:r>
    </w:p>
    <w:p w14:paraId="6AB2C956">
      <w:pPr>
        <w:spacing w:line="360" w:lineRule="auto"/>
        <w:ind w:firstLine="420" w:firstLineChars="200"/>
        <w:rPr>
          <w:rFonts w:ascii="宋体" w:hAnsi="宋体" w:cs="宋体"/>
          <w:szCs w:val="21"/>
        </w:rPr>
      </w:pPr>
      <w:r>
        <w:rPr>
          <w:rFonts w:hint="eastAsia" w:ascii="宋体" w:hAnsi="宋体" w:cs="宋体"/>
          <w:szCs w:val="21"/>
        </w:rPr>
        <w:t>（6）提出质疑的日期。</w:t>
      </w:r>
    </w:p>
    <w:p w14:paraId="67E2D38A">
      <w:pPr>
        <w:spacing w:line="360" w:lineRule="auto"/>
        <w:ind w:firstLine="420" w:firstLineChars="200"/>
        <w:rPr>
          <w:rFonts w:ascii="宋体" w:hAnsi="宋体" w:cs="宋体"/>
          <w:szCs w:val="21"/>
        </w:rPr>
      </w:pPr>
      <w:r>
        <w:rPr>
          <w:rFonts w:hint="eastAsia" w:ascii="宋体" w:hAnsi="宋体" w:cs="宋体"/>
          <w:szCs w:val="21"/>
        </w:rPr>
        <w:t>供应商为自然人的，应当由本人签字；供应商为法人或者其他组织的，应当由法定代表人、主要负责人，或者其授权代表签字或者盖章，并加盖公章。</w:t>
      </w:r>
    </w:p>
    <w:p w14:paraId="03DA332C">
      <w:pPr>
        <w:spacing w:line="360" w:lineRule="auto"/>
        <w:ind w:firstLine="420" w:firstLineChars="200"/>
        <w:rPr>
          <w:rFonts w:ascii="宋体" w:hAnsi="宋体" w:cs="宋体"/>
          <w:szCs w:val="21"/>
        </w:rPr>
      </w:pPr>
      <w:r>
        <w:rPr>
          <w:rFonts w:hint="eastAsia" w:ascii="宋体" w:hAnsi="宋体" w:cs="宋体"/>
          <w:szCs w:val="21"/>
        </w:rPr>
        <w:t>27.5 采购办、项目单位、代理机构不得拒收质疑供应商在规定质疑期内发出的质疑函。质疑函通过邮寄送达的，按交邮时间计算。逾期送达的，不予接收。</w:t>
      </w:r>
    </w:p>
    <w:p w14:paraId="64E9D0E2">
      <w:pPr>
        <w:spacing w:line="360" w:lineRule="auto"/>
        <w:ind w:firstLine="420" w:firstLineChars="200"/>
        <w:rPr>
          <w:rFonts w:ascii="宋体" w:hAnsi="宋体" w:cs="宋体"/>
          <w:szCs w:val="21"/>
        </w:rPr>
      </w:pPr>
      <w:r>
        <w:rPr>
          <w:rFonts w:hint="eastAsia" w:ascii="宋体" w:hAnsi="宋体" w:cs="宋体"/>
          <w:szCs w:val="21"/>
        </w:rPr>
        <w:t>27.6 采购办、项目单位、代理机构收到质疑函后，对供应商质疑资格和质疑函相关内容进行审查。审查后若发现质疑函有未按规定签字、盖章，或代理人提出质疑未提交供应商签署的授权委托书的等不符合第27.4条规定情形的，采购办、项目单位、代理机构告知供应商（或代理人）需更正或补充的内容，要求其在规定质疑期内补正后提出。审查后发现质疑函存在下列情形之一的，采购办、项目单位、代理机构不予受理，并书面告知理由：</w:t>
      </w:r>
    </w:p>
    <w:p w14:paraId="78FF6D40">
      <w:pPr>
        <w:spacing w:line="360" w:lineRule="auto"/>
        <w:ind w:firstLine="420" w:firstLineChars="200"/>
        <w:rPr>
          <w:rFonts w:ascii="宋体" w:hAnsi="宋体" w:cs="宋体"/>
          <w:szCs w:val="21"/>
        </w:rPr>
      </w:pPr>
      <w:r>
        <w:rPr>
          <w:rFonts w:hint="eastAsia" w:ascii="宋体" w:hAnsi="宋体" w:cs="宋体"/>
          <w:szCs w:val="21"/>
        </w:rPr>
        <w:t>（1）供应商不是参与所质疑项目采购活动的供应商或依法获取可质疑采购文件的潜在供应商；</w:t>
      </w:r>
    </w:p>
    <w:p w14:paraId="7A0F39D1">
      <w:pPr>
        <w:spacing w:line="360" w:lineRule="auto"/>
        <w:ind w:firstLine="420" w:firstLineChars="200"/>
        <w:rPr>
          <w:rFonts w:ascii="宋体" w:hAnsi="宋体" w:cs="宋体"/>
          <w:szCs w:val="21"/>
        </w:rPr>
      </w:pPr>
      <w:r>
        <w:rPr>
          <w:rFonts w:hint="eastAsia" w:ascii="宋体" w:hAnsi="宋体" w:cs="宋体"/>
          <w:szCs w:val="21"/>
        </w:rPr>
        <w:t>（2）潜在供应商所质疑事项均为采购文件以外的事项；</w:t>
      </w:r>
    </w:p>
    <w:p w14:paraId="3529F3A6">
      <w:pPr>
        <w:spacing w:line="360" w:lineRule="auto"/>
        <w:ind w:firstLine="420" w:firstLineChars="200"/>
        <w:rPr>
          <w:rFonts w:ascii="宋体" w:hAnsi="宋体" w:cs="宋体"/>
          <w:szCs w:val="21"/>
        </w:rPr>
      </w:pPr>
      <w:r>
        <w:rPr>
          <w:rFonts w:hint="eastAsia" w:ascii="宋体" w:hAnsi="宋体" w:cs="宋体"/>
          <w:szCs w:val="21"/>
        </w:rPr>
        <w:t>（3）供应商提交质疑的时间已超过规定质疑期。</w:t>
      </w:r>
    </w:p>
    <w:p w14:paraId="2574F05D">
      <w:pPr>
        <w:spacing w:line="360" w:lineRule="auto"/>
        <w:ind w:firstLine="420" w:firstLineChars="200"/>
        <w:rPr>
          <w:rFonts w:ascii="宋体" w:hAnsi="宋体" w:cs="宋体"/>
          <w:szCs w:val="21"/>
        </w:rPr>
      </w:pPr>
      <w:r>
        <w:rPr>
          <w:rFonts w:hint="eastAsia" w:ascii="宋体" w:hAnsi="宋体" w:cs="宋体"/>
          <w:szCs w:val="21"/>
        </w:rPr>
        <w:t>（4）质疑函未按规定签字、盖章，或代理人提出质疑未提交供应商签署的授权委托书，采购办、项目单位、代理机构告知后，供应商或代理人未在规定质疑期内补正后提出的。</w:t>
      </w:r>
    </w:p>
    <w:p w14:paraId="1235D716">
      <w:pPr>
        <w:spacing w:line="360" w:lineRule="auto"/>
        <w:ind w:firstLine="420" w:firstLineChars="200"/>
        <w:rPr>
          <w:rFonts w:ascii="宋体" w:hAnsi="宋体" w:cs="宋体"/>
          <w:szCs w:val="21"/>
        </w:rPr>
      </w:pPr>
      <w:r>
        <w:rPr>
          <w:rFonts w:hint="eastAsia" w:ascii="宋体" w:hAnsi="宋体" w:cs="宋体"/>
          <w:szCs w:val="21"/>
        </w:rPr>
        <w:t>（5）其它不符合受理条件的情形。</w:t>
      </w:r>
    </w:p>
    <w:p w14:paraId="36891C6B">
      <w:pPr>
        <w:spacing w:line="360" w:lineRule="auto"/>
        <w:ind w:firstLine="422" w:firstLineChars="200"/>
        <w:rPr>
          <w:rFonts w:ascii="宋体" w:hAnsi="宋体" w:cs="宋体"/>
          <w:b/>
          <w:bCs/>
          <w:szCs w:val="21"/>
        </w:rPr>
      </w:pPr>
      <w:r>
        <w:rPr>
          <w:rFonts w:hint="eastAsia" w:ascii="宋体" w:hAnsi="宋体" w:cs="宋体"/>
          <w:b/>
          <w:bCs/>
          <w:szCs w:val="21"/>
        </w:rPr>
        <w:t>28.投诉提起与处理</w:t>
      </w:r>
    </w:p>
    <w:p w14:paraId="4513FBE7">
      <w:pPr>
        <w:spacing w:line="360" w:lineRule="auto"/>
        <w:ind w:firstLine="420" w:firstLineChars="200"/>
        <w:rPr>
          <w:rFonts w:ascii="宋体" w:hAnsi="宋体" w:cs="宋体"/>
          <w:szCs w:val="21"/>
          <w:lang w:val="zh-CN"/>
        </w:rPr>
      </w:pPr>
      <w:r>
        <w:rPr>
          <w:rFonts w:hint="eastAsia" w:ascii="宋体" w:hAnsi="宋体" w:cs="宋体"/>
          <w:szCs w:val="21"/>
        </w:rPr>
        <w:t>28.1</w:t>
      </w:r>
      <w:r>
        <w:rPr>
          <w:rFonts w:hint="eastAsia" w:ascii="宋体" w:hAnsi="宋体" w:cs="宋体"/>
          <w:szCs w:val="21"/>
          <w:lang w:val="zh-CN"/>
        </w:rPr>
        <w:t xml:space="preserve"> 投诉提起</w:t>
      </w:r>
    </w:p>
    <w:p w14:paraId="2AB3AE40">
      <w:pPr>
        <w:spacing w:line="360" w:lineRule="auto"/>
        <w:ind w:firstLine="420" w:firstLineChars="200"/>
        <w:rPr>
          <w:rFonts w:ascii="宋体" w:hAnsi="宋体" w:cs="宋体"/>
          <w:szCs w:val="21"/>
          <w:lang w:val="zh-CN"/>
        </w:rPr>
      </w:pPr>
      <w:r>
        <w:rPr>
          <w:rFonts w:hint="eastAsia" w:ascii="宋体" w:hAnsi="宋体" w:cs="宋体"/>
          <w:szCs w:val="21"/>
          <w:lang w:val="zh-CN"/>
        </w:rPr>
        <w:t>质疑供应商对代理机构的答复不满意，或者代理机构未在规定时间内作出答复的，可以在答复期满后法律法规规定的期限内向有关行政监督部门提起投诉。</w:t>
      </w:r>
    </w:p>
    <w:p w14:paraId="4A30A537">
      <w:pPr>
        <w:spacing w:line="360" w:lineRule="auto"/>
        <w:ind w:firstLine="420" w:firstLineChars="200"/>
        <w:rPr>
          <w:rFonts w:ascii="宋体" w:hAnsi="宋体" w:cs="宋体"/>
          <w:szCs w:val="21"/>
        </w:rPr>
      </w:pPr>
      <w:r>
        <w:rPr>
          <w:rFonts w:hint="eastAsia" w:ascii="宋体" w:hAnsi="宋体" w:cs="宋体"/>
          <w:szCs w:val="21"/>
        </w:rPr>
        <w:t>28.2 供应商投诉时,应当提交投诉书和必要的证明材料。投诉书应当包括下列内容：</w:t>
      </w:r>
    </w:p>
    <w:p w14:paraId="473F1243">
      <w:pPr>
        <w:spacing w:line="360" w:lineRule="auto"/>
        <w:ind w:firstLine="420" w:firstLineChars="200"/>
        <w:rPr>
          <w:rFonts w:ascii="宋体" w:hAnsi="宋体" w:cs="宋体"/>
          <w:szCs w:val="21"/>
        </w:rPr>
      </w:pPr>
      <w:r>
        <w:rPr>
          <w:rFonts w:hint="eastAsia" w:ascii="宋体" w:hAnsi="宋体" w:cs="宋体"/>
          <w:szCs w:val="21"/>
        </w:rPr>
        <w:t>（1）投诉人和被投诉人的姓名或者名称、通讯地址、邮编、联系人及联系电话；</w:t>
      </w:r>
    </w:p>
    <w:p w14:paraId="59AC61AA">
      <w:pPr>
        <w:spacing w:line="360" w:lineRule="auto"/>
        <w:ind w:firstLine="420" w:firstLineChars="200"/>
        <w:rPr>
          <w:rFonts w:ascii="宋体" w:hAnsi="宋体" w:cs="宋体"/>
          <w:szCs w:val="21"/>
        </w:rPr>
      </w:pPr>
      <w:r>
        <w:rPr>
          <w:rFonts w:hint="eastAsia" w:ascii="宋体" w:hAnsi="宋体" w:cs="宋体"/>
          <w:szCs w:val="21"/>
        </w:rPr>
        <w:t>（2）质疑和质疑答复情况说明及相关证明材料；</w:t>
      </w:r>
    </w:p>
    <w:p w14:paraId="452BA1FB">
      <w:pPr>
        <w:spacing w:line="360" w:lineRule="auto"/>
        <w:ind w:firstLine="420" w:firstLineChars="200"/>
        <w:rPr>
          <w:rFonts w:ascii="宋体" w:hAnsi="宋体" w:cs="宋体"/>
          <w:szCs w:val="21"/>
        </w:rPr>
      </w:pPr>
      <w:r>
        <w:rPr>
          <w:rFonts w:hint="eastAsia" w:ascii="宋体" w:hAnsi="宋体" w:cs="宋体"/>
          <w:szCs w:val="21"/>
        </w:rPr>
        <w:t>（3）具体、明确的投诉事项和与投诉事项相关的投诉请求；</w:t>
      </w:r>
    </w:p>
    <w:p w14:paraId="35F1F140">
      <w:pPr>
        <w:spacing w:line="360" w:lineRule="auto"/>
        <w:ind w:firstLine="420" w:firstLineChars="200"/>
        <w:rPr>
          <w:rFonts w:ascii="宋体" w:hAnsi="宋体" w:cs="宋体"/>
          <w:szCs w:val="21"/>
        </w:rPr>
      </w:pPr>
      <w:r>
        <w:rPr>
          <w:rFonts w:hint="eastAsia" w:ascii="宋体" w:hAnsi="宋体" w:cs="宋体"/>
          <w:szCs w:val="21"/>
        </w:rPr>
        <w:t>（4）事实依据；</w:t>
      </w:r>
    </w:p>
    <w:p w14:paraId="1DC100A4">
      <w:pPr>
        <w:spacing w:line="360" w:lineRule="auto"/>
        <w:ind w:firstLine="420" w:firstLineChars="200"/>
        <w:rPr>
          <w:rFonts w:ascii="宋体" w:hAnsi="宋体" w:cs="宋体"/>
          <w:szCs w:val="21"/>
        </w:rPr>
      </w:pPr>
      <w:r>
        <w:rPr>
          <w:rFonts w:hint="eastAsia" w:ascii="宋体" w:hAnsi="宋体" w:cs="宋体"/>
          <w:szCs w:val="21"/>
        </w:rPr>
        <w:t>（5）法律依据；</w:t>
      </w:r>
    </w:p>
    <w:p w14:paraId="104245A2">
      <w:pPr>
        <w:spacing w:line="360" w:lineRule="auto"/>
        <w:ind w:firstLine="420" w:firstLineChars="200"/>
        <w:rPr>
          <w:rFonts w:ascii="宋体" w:hAnsi="宋体" w:cs="宋体"/>
          <w:szCs w:val="21"/>
        </w:rPr>
      </w:pPr>
      <w:r>
        <w:rPr>
          <w:rFonts w:hint="eastAsia" w:ascii="宋体" w:hAnsi="宋体" w:cs="宋体"/>
          <w:szCs w:val="21"/>
        </w:rPr>
        <w:t>（6）提起投诉的日期。</w:t>
      </w:r>
    </w:p>
    <w:p w14:paraId="59761837">
      <w:pPr>
        <w:spacing w:line="360" w:lineRule="auto"/>
        <w:ind w:firstLine="420" w:firstLineChars="200"/>
        <w:rPr>
          <w:rFonts w:ascii="宋体" w:hAnsi="宋体" w:cs="宋体"/>
          <w:szCs w:val="21"/>
        </w:rPr>
      </w:pPr>
      <w:r>
        <w:rPr>
          <w:rFonts w:hint="eastAsia" w:ascii="宋体" w:hAnsi="宋体" w:cs="宋体"/>
          <w:szCs w:val="21"/>
        </w:rPr>
        <w:t>投诉人为自然人的，应当由本人签字；投诉人为法人或者其他组织的，应当由法定代表人、主要负责人，或者其授权代表签字或者盖章，并加盖公章。</w:t>
      </w:r>
    </w:p>
    <w:p w14:paraId="228BD0F2">
      <w:pPr>
        <w:spacing w:line="360" w:lineRule="auto"/>
        <w:ind w:firstLine="422" w:firstLineChars="200"/>
        <w:rPr>
          <w:rFonts w:ascii="宋体" w:hAnsi="宋体" w:cs="宋体"/>
          <w:b/>
          <w:bCs/>
          <w:szCs w:val="21"/>
          <w:lang w:val="zh-CN"/>
        </w:rPr>
      </w:pPr>
      <w:r>
        <w:rPr>
          <w:rFonts w:hint="eastAsia" w:ascii="宋体" w:hAnsi="宋体" w:cs="宋体"/>
          <w:b/>
          <w:bCs/>
          <w:szCs w:val="21"/>
          <w:lang w:val="zh-CN"/>
        </w:rPr>
        <w:t>29.诚实信用</w:t>
      </w:r>
    </w:p>
    <w:p w14:paraId="68DB9B05">
      <w:pPr>
        <w:spacing w:line="360" w:lineRule="auto"/>
        <w:ind w:firstLine="420" w:firstLineChars="200"/>
        <w:rPr>
          <w:rFonts w:ascii="宋体" w:hAnsi="宋体" w:cs="宋体"/>
          <w:szCs w:val="21"/>
          <w:lang w:val="zh-CN"/>
        </w:rPr>
      </w:pPr>
      <w:r>
        <w:rPr>
          <w:rFonts w:hint="eastAsia" w:ascii="宋体" w:hAnsi="宋体" w:cs="宋体"/>
          <w:szCs w:val="21"/>
          <w:lang w:val="zh-CN"/>
        </w:rPr>
        <w:t>29.1 供应商之间不得相互串通投标报价，不得妨碍其他供应商的公平竞争，不得损害采购人和其他供应商的合法权益。</w:t>
      </w:r>
    </w:p>
    <w:p w14:paraId="4BD6F71E">
      <w:pPr>
        <w:spacing w:line="360" w:lineRule="auto"/>
        <w:ind w:firstLine="420" w:firstLineChars="200"/>
        <w:rPr>
          <w:rFonts w:ascii="宋体" w:hAnsi="宋体" w:cs="宋体"/>
          <w:szCs w:val="21"/>
          <w:lang w:val="zh-CN"/>
        </w:rPr>
      </w:pPr>
      <w:r>
        <w:rPr>
          <w:rFonts w:hint="eastAsia" w:ascii="宋体" w:hAnsi="宋体" w:cs="宋体"/>
          <w:szCs w:val="21"/>
          <w:lang w:val="zh-CN"/>
        </w:rPr>
        <w:t>29.2 供应商不得向代理机构工作人员、评标委员会成员行贿或者采取其他不正当手段谋取中标。经查实供应商有此行为的，</w:t>
      </w:r>
      <w:r>
        <w:rPr>
          <w:rFonts w:hint="eastAsia" w:ascii="宋体" w:hAnsi="宋体" w:cs="宋体"/>
          <w:szCs w:val="21"/>
        </w:rPr>
        <w:t>将供应商列入不良行为记录名单，参照《政府采购法》有关规定处理。</w:t>
      </w:r>
    </w:p>
    <w:p w14:paraId="10D30DBF">
      <w:pPr>
        <w:spacing w:line="360" w:lineRule="auto"/>
        <w:ind w:firstLine="420" w:firstLineChars="200"/>
        <w:rPr>
          <w:rFonts w:ascii="宋体" w:hAnsi="宋体" w:cs="宋体"/>
          <w:szCs w:val="21"/>
          <w:lang w:val="zh-CN"/>
        </w:rPr>
      </w:pPr>
      <w:r>
        <w:rPr>
          <w:rFonts w:hint="eastAsia" w:ascii="宋体" w:hAnsi="宋体" w:cs="宋体"/>
          <w:szCs w:val="21"/>
          <w:lang w:val="zh-CN"/>
        </w:rPr>
        <w:t>29.3 供应商提出书面质疑必须有理、有据，不得虚假质疑和恶意质疑，并对质疑内容的真实性承担责任。否则，一经查实，代理机构有权</w:t>
      </w:r>
      <w:r>
        <w:rPr>
          <w:rFonts w:hint="eastAsia" w:ascii="宋体" w:hAnsi="宋体" w:cs="宋体"/>
          <w:szCs w:val="21"/>
        </w:rPr>
        <w:t>参照</w:t>
      </w:r>
      <w:r>
        <w:rPr>
          <w:rFonts w:hint="eastAsia" w:ascii="宋体" w:hAnsi="宋体" w:cs="宋体"/>
          <w:szCs w:val="21"/>
          <w:lang w:val="zh-CN"/>
        </w:rPr>
        <w:t>政府采购的有关规定，报请采购监管部门对该供应商进行相应的行政处罚并予以公示。如果供应商或者其他利害关系人通过捏造事实、伪造证明材料等方式提出质疑，干扰采购活动正常进行的，属于严重不良行为，代理机构将提请将其列入</w:t>
      </w:r>
      <w:r>
        <w:rPr>
          <w:rFonts w:hint="eastAsia" w:ascii="宋体" w:hAnsi="宋体" w:cs="宋体"/>
          <w:szCs w:val="21"/>
        </w:rPr>
        <w:t>采购人</w:t>
      </w:r>
      <w:r>
        <w:rPr>
          <w:rFonts w:hint="eastAsia" w:ascii="宋体" w:hAnsi="宋体" w:cs="宋体"/>
          <w:szCs w:val="21"/>
          <w:lang w:val="zh-CN"/>
        </w:rPr>
        <w:t>不良行为记录名单，并依法予以处罚。</w:t>
      </w:r>
    </w:p>
    <w:p w14:paraId="0BC315AE">
      <w:pPr>
        <w:spacing w:line="360" w:lineRule="auto"/>
        <w:ind w:firstLine="420" w:firstLineChars="200"/>
        <w:rPr>
          <w:rFonts w:ascii="宋体" w:hAnsi="宋体" w:cs="宋体"/>
          <w:szCs w:val="21"/>
          <w:lang w:val="zh-CN"/>
        </w:rPr>
      </w:pPr>
      <w:r>
        <w:rPr>
          <w:rFonts w:hint="eastAsia" w:ascii="宋体" w:hAnsi="宋体" w:cs="宋体"/>
          <w:szCs w:val="21"/>
          <w:lang w:val="zh-CN"/>
        </w:rPr>
        <w:t>29.4 供应商不得虚假承诺，否则，按照提供虚假材料谋取中标处理。</w:t>
      </w:r>
    </w:p>
    <w:p w14:paraId="56237E04">
      <w:pPr>
        <w:rPr>
          <w:rFonts w:ascii="宋体" w:hAnsi="宋体" w:cs="宋体"/>
          <w:b/>
          <w:sz w:val="36"/>
          <w:szCs w:val="36"/>
        </w:rPr>
      </w:pPr>
      <w:bookmarkStart w:id="0" w:name="_Hlk119400608"/>
      <w:r>
        <w:rPr>
          <w:rFonts w:hint="eastAsia" w:ascii="宋体" w:hAnsi="宋体" w:cs="宋体"/>
          <w:b/>
          <w:sz w:val="36"/>
          <w:szCs w:val="36"/>
        </w:rPr>
        <w:br w:type="page"/>
      </w:r>
    </w:p>
    <w:p w14:paraId="2AA63612">
      <w:pPr>
        <w:spacing w:line="360" w:lineRule="auto"/>
        <w:jc w:val="center"/>
        <w:outlineLvl w:val="0"/>
        <w:rPr>
          <w:rFonts w:ascii="宋体" w:hAnsi="宋体" w:cs="宋体"/>
          <w:sz w:val="28"/>
          <w:szCs w:val="28"/>
        </w:rPr>
      </w:pPr>
      <w:r>
        <w:rPr>
          <w:rFonts w:hint="eastAsia" w:ascii="宋体" w:hAnsi="宋体" w:cs="宋体"/>
          <w:b/>
          <w:sz w:val="28"/>
          <w:szCs w:val="28"/>
        </w:rPr>
        <w:t>第三章  评标标准</w:t>
      </w:r>
    </w:p>
    <w:p w14:paraId="4575297B">
      <w:pPr>
        <w:widowControl/>
        <w:spacing w:line="360" w:lineRule="auto"/>
        <w:ind w:firstLine="420" w:firstLineChars="200"/>
        <w:rPr>
          <w:rFonts w:ascii="宋体" w:hAnsi="宋体" w:cs="宋体"/>
          <w:b/>
        </w:rPr>
      </w:pPr>
      <w:r>
        <w:rPr>
          <w:rFonts w:hint="eastAsia" w:ascii="宋体" w:hAnsi="宋体" w:cs="宋体"/>
        </w:rPr>
        <w:t>本项目采用综合评分法，评分统计方法采用百分制（满分100分），将全部评标委员会成员评分直接进行算术平均，小数点后保留2位。评标结果按评审后得分由高到低顺序排列，将综合排名第一的供应商确定为中标供应商。得分相同的，按投标报价由低到高顺序排列。得分且报价相同的，按技术指标和服务标准优劣顺序排列。</w:t>
      </w:r>
    </w:p>
    <w:tbl>
      <w:tblPr>
        <w:tblStyle w:val="47"/>
        <w:tblW w:w="453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5"/>
        <w:gridCol w:w="1091"/>
        <w:gridCol w:w="6630"/>
        <w:gridCol w:w="510"/>
      </w:tblGrid>
      <w:tr w14:paraId="40164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jc w:val="center"/>
        </w:trPr>
        <w:tc>
          <w:tcPr>
            <w:tcW w:w="284" w:type="pct"/>
            <w:tcBorders>
              <w:top w:val="single" w:color="auto" w:sz="4" w:space="0"/>
              <w:left w:val="single" w:color="auto" w:sz="4" w:space="0"/>
              <w:bottom w:val="single" w:color="auto" w:sz="4" w:space="0"/>
              <w:right w:val="single" w:color="auto" w:sz="4" w:space="0"/>
            </w:tcBorders>
            <w:vAlign w:val="center"/>
          </w:tcPr>
          <w:p w14:paraId="3AC51E76">
            <w:pPr>
              <w:spacing w:line="360" w:lineRule="auto"/>
              <w:jc w:val="center"/>
              <w:rPr>
                <w:rFonts w:ascii="宋体" w:hAnsi="宋体" w:cs="宋体"/>
                <w:szCs w:val="21"/>
              </w:rPr>
            </w:pPr>
            <w:r>
              <w:rPr>
                <w:rFonts w:hint="eastAsia" w:ascii="宋体" w:hAnsi="宋体" w:cs="宋体"/>
                <w:szCs w:val="21"/>
              </w:rPr>
              <w:t>序号</w:t>
            </w:r>
          </w:p>
        </w:tc>
        <w:tc>
          <w:tcPr>
            <w:tcW w:w="625" w:type="pct"/>
            <w:tcBorders>
              <w:top w:val="single" w:color="auto" w:sz="4" w:space="0"/>
              <w:left w:val="single" w:color="auto" w:sz="4" w:space="0"/>
              <w:bottom w:val="single" w:color="auto" w:sz="4" w:space="0"/>
              <w:right w:val="single" w:color="auto" w:sz="4" w:space="0"/>
            </w:tcBorders>
            <w:vAlign w:val="center"/>
          </w:tcPr>
          <w:p w14:paraId="372E7959">
            <w:pPr>
              <w:spacing w:line="360" w:lineRule="auto"/>
              <w:jc w:val="center"/>
              <w:rPr>
                <w:rFonts w:ascii="宋体" w:hAnsi="宋体" w:cs="宋体"/>
                <w:szCs w:val="21"/>
              </w:rPr>
            </w:pPr>
            <w:r>
              <w:rPr>
                <w:rFonts w:hint="eastAsia" w:ascii="宋体" w:hAnsi="宋体" w:cs="宋体"/>
                <w:szCs w:val="21"/>
              </w:rPr>
              <w:t>评审因素</w:t>
            </w:r>
          </w:p>
        </w:tc>
        <w:tc>
          <w:tcPr>
            <w:tcW w:w="3798" w:type="pct"/>
            <w:tcBorders>
              <w:top w:val="single" w:color="auto" w:sz="4" w:space="0"/>
              <w:left w:val="single" w:color="auto" w:sz="4" w:space="0"/>
              <w:bottom w:val="single" w:color="auto" w:sz="4" w:space="0"/>
              <w:right w:val="single" w:color="auto" w:sz="4" w:space="0"/>
            </w:tcBorders>
            <w:vAlign w:val="center"/>
          </w:tcPr>
          <w:p w14:paraId="0CF21511">
            <w:pPr>
              <w:spacing w:line="360" w:lineRule="auto"/>
              <w:ind w:firstLine="2940" w:firstLineChars="1400"/>
              <w:rPr>
                <w:rFonts w:ascii="宋体" w:hAnsi="宋体" w:cs="宋体"/>
                <w:szCs w:val="21"/>
              </w:rPr>
            </w:pPr>
            <w:r>
              <w:rPr>
                <w:rFonts w:hint="eastAsia" w:ascii="宋体" w:hAnsi="宋体" w:cs="宋体"/>
                <w:szCs w:val="21"/>
              </w:rPr>
              <w:t>评审标准</w:t>
            </w:r>
          </w:p>
        </w:tc>
        <w:tc>
          <w:tcPr>
            <w:tcW w:w="292" w:type="pct"/>
            <w:tcBorders>
              <w:top w:val="single" w:color="auto" w:sz="4" w:space="0"/>
              <w:left w:val="single" w:color="auto" w:sz="4" w:space="0"/>
              <w:bottom w:val="single" w:color="auto" w:sz="4" w:space="0"/>
              <w:right w:val="single" w:color="auto" w:sz="4" w:space="0"/>
            </w:tcBorders>
            <w:vAlign w:val="center"/>
          </w:tcPr>
          <w:p w14:paraId="3E1ED676">
            <w:pPr>
              <w:spacing w:line="360" w:lineRule="auto"/>
              <w:jc w:val="center"/>
              <w:rPr>
                <w:rFonts w:ascii="宋体" w:hAnsi="宋体" w:cs="宋体"/>
                <w:szCs w:val="21"/>
              </w:rPr>
            </w:pPr>
            <w:r>
              <w:rPr>
                <w:rFonts w:hint="eastAsia" w:ascii="宋体" w:hAnsi="宋体" w:cs="宋体"/>
                <w:szCs w:val="21"/>
              </w:rPr>
              <w:t>分值</w:t>
            </w:r>
          </w:p>
        </w:tc>
      </w:tr>
      <w:tr w14:paraId="2BF84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3" w:hRule="atLeast"/>
          <w:jc w:val="center"/>
        </w:trPr>
        <w:tc>
          <w:tcPr>
            <w:tcW w:w="284" w:type="pct"/>
            <w:tcBorders>
              <w:top w:val="single" w:color="auto" w:sz="4" w:space="0"/>
              <w:left w:val="single" w:color="auto" w:sz="4" w:space="0"/>
              <w:bottom w:val="single" w:color="auto" w:sz="4" w:space="0"/>
              <w:right w:val="single" w:color="auto" w:sz="4" w:space="0"/>
            </w:tcBorders>
            <w:vAlign w:val="center"/>
          </w:tcPr>
          <w:p w14:paraId="321EF9DE">
            <w:pPr>
              <w:spacing w:line="360" w:lineRule="auto"/>
              <w:jc w:val="center"/>
              <w:rPr>
                <w:rFonts w:ascii="宋体" w:hAnsi="宋体" w:cs="宋体"/>
                <w:szCs w:val="21"/>
              </w:rPr>
            </w:pPr>
            <w:r>
              <w:rPr>
                <w:rFonts w:hint="eastAsia" w:ascii="宋体" w:hAnsi="宋体" w:cs="宋体"/>
                <w:szCs w:val="21"/>
              </w:rPr>
              <w:t>1</w:t>
            </w:r>
          </w:p>
        </w:tc>
        <w:tc>
          <w:tcPr>
            <w:tcW w:w="625" w:type="pct"/>
            <w:tcBorders>
              <w:top w:val="single" w:color="auto" w:sz="4" w:space="0"/>
              <w:left w:val="single" w:color="auto" w:sz="4" w:space="0"/>
              <w:bottom w:val="single" w:color="auto" w:sz="4" w:space="0"/>
              <w:right w:val="single" w:color="auto" w:sz="4" w:space="0"/>
            </w:tcBorders>
            <w:vAlign w:val="center"/>
          </w:tcPr>
          <w:p w14:paraId="69647B49">
            <w:pPr>
              <w:spacing w:line="360" w:lineRule="auto"/>
              <w:jc w:val="center"/>
              <w:rPr>
                <w:rFonts w:ascii="宋体" w:hAnsi="宋体" w:cs="宋体"/>
                <w:szCs w:val="21"/>
              </w:rPr>
            </w:pPr>
            <w:r>
              <w:rPr>
                <w:rFonts w:hint="eastAsia" w:ascii="宋体" w:hAnsi="宋体" w:cs="宋体"/>
                <w:szCs w:val="21"/>
              </w:rPr>
              <w:t>投标报价</w:t>
            </w:r>
          </w:p>
        </w:tc>
        <w:tc>
          <w:tcPr>
            <w:tcW w:w="3798" w:type="pct"/>
            <w:tcBorders>
              <w:top w:val="single" w:color="auto" w:sz="4" w:space="0"/>
              <w:left w:val="single" w:color="auto" w:sz="4" w:space="0"/>
              <w:bottom w:val="single" w:color="auto" w:sz="4" w:space="0"/>
              <w:right w:val="single" w:color="auto" w:sz="4" w:space="0"/>
            </w:tcBorders>
            <w:vAlign w:val="center"/>
          </w:tcPr>
          <w:p w14:paraId="4EDA7DDB">
            <w:pPr>
              <w:snapToGrid w:val="0"/>
              <w:spacing w:line="360" w:lineRule="auto"/>
              <w:rPr>
                <w:rFonts w:ascii="宋体" w:hAnsi="宋体" w:cs="宋体"/>
                <w:szCs w:val="21"/>
              </w:rPr>
            </w:pPr>
            <w:r>
              <w:rPr>
                <w:rFonts w:hint="eastAsia" w:ascii="宋体" w:hAnsi="宋体" w:cs="宋体"/>
                <w:szCs w:val="21"/>
              </w:rPr>
              <w:t>满足采购文件要求且</w:t>
            </w:r>
            <w:r>
              <w:rPr>
                <w:rFonts w:hint="eastAsia" w:ascii="宋体" w:hAnsi="宋体" w:cs="宋体"/>
              </w:rPr>
              <w:t>投标</w:t>
            </w:r>
            <w:r>
              <w:rPr>
                <w:rFonts w:hint="eastAsia" w:ascii="宋体" w:hAnsi="宋体" w:cs="宋体"/>
                <w:szCs w:val="21"/>
              </w:rPr>
              <w:t>最低的报价为评标基准价，其价格分为满分。其他供应商的价格分统一按照下列公式计算：</w:t>
            </w:r>
          </w:p>
          <w:p w14:paraId="2F1B0856">
            <w:pPr>
              <w:snapToGrid w:val="0"/>
              <w:spacing w:line="360" w:lineRule="auto"/>
              <w:rPr>
                <w:rFonts w:ascii="宋体" w:hAnsi="宋体" w:cs="宋体"/>
                <w:szCs w:val="21"/>
              </w:rPr>
            </w:pPr>
            <w:r>
              <w:rPr>
                <w:rFonts w:hint="eastAsia" w:ascii="宋体" w:hAnsi="宋体" w:cs="宋体"/>
                <w:szCs w:val="21"/>
              </w:rPr>
              <w:t>报价得分=（评标基准价/投标报价）×</w:t>
            </w:r>
            <w:r>
              <w:rPr>
                <w:rFonts w:hint="eastAsia" w:ascii="宋体" w:hAnsi="宋体" w:cs="宋体"/>
                <w:szCs w:val="21"/>
                <w:lang w:val="en-US" w:eastAsia="zh-CN"/>
              </w:rPr>
              <w:t>40</w:t>
            </w:r>
            <w:r>
              <w:rPr>
                <w:rFonts w:hint="eastAsia" w:ascii="宋体" w:hAnsi="宋体" w:cs="宋体"/>
                <w:szCs w:val="21"/>
              </w:rPr>
              <w:t>（小数点后保留2位）</w:t>
            </w:r>
          </w:p>
        </w:tc>
        <w:tc>
          <w:tcPr>
            <w:tcW w:w="292" w:type="pct"/>
            <w:tcBorders>
              <w:top w:val="single" w:color="auto" w:sz="4" w:space="0"/>
              <w:left w:val="single" w:color="auto" w:sz="4" w:space="0"/>
              <w:bottom w:val="single" w:color="auto" w:sz="4" w:space="0"/>
              <w:right w:val="single" w:color="auto" w:sz="4" w:space="0"/>
            </w:tcBorders>
            <w:vAlign w:val="center"/>
          </w:tcPr>
          <w:p w14:paraId="3B1B938C">
            <w:pPr>
              <w:spacing w:line="360" w:lineRule="auto"/>
              <w:jc w:val="center"/>
              <w:rPr>
                <w:rFonts w:hint="default" w:ascii="宋体" w:hAnsi="宋体" w:eastAsia="宋体" w:cs="宋体"/>
                <w:szCs w:val="21"/>
                <w:lang w:val="en-US" w:eastAsia="zh-CN"/>
              </w:rPr>
            </w:pPr>
            <w:r>
              <w:rPr>
                <w:rFonts w:hint="eastAsia" w:ascii="宋体" w:hAnsi="宋体" w:cs="宋体"/>
                <w:szCs w:val="21"/>
                <w:lang w:val="en-US" w:eastAsia="zh-CN"/>
              </w:rPr>
              <w:t>40</w:t>
            </w:r>
          </w:p>
        </w:tc>
      </w:tr>
      <w:tr w14:paraId="43256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3" w:hRule="atLeast"/>
          <w:jc w:val="center"/>
        </w:trPr>
        <w:tc>
          <w:tcPr>
            <w:tcW w:w="284" w:type="pct"/>
            <w:tcBorders>
              <w:top w:val="single" w:color="auto" w:sz="4" w:space="0"/>
              <w:left w:val="single" w:color="auto" w:sz="4" w:space="0"/>
              <w:right w:val="single" w:color="auto" w:sz="4" w:space="0"/>
            </w:tcBorders>
            <w:vAlign w:val="center"/>
          </w:tcPr>
          <w:p w14:paraId="6EB7E0F2">
            <w:pPr>
              <w:spacing w:line="360" w:lineRule="auto"/>
              <w:jc w:val="center"/>
              <w:rPr>
                <w:rFonts w:ascii="宋体" w:hAnsi="宋体" w:cs="宋体"/>
                <w:szCs w:val="21"/>
              </w:rPr>
            </w:pPr>
            <w:r>
              <w:rPr>
                <w:rFonts w:hint="eastAsia" w:ascii="宋体" w:hAnsi="宋体" w:cs="宋体"/>
                <w:szCs w:val="21"/>
              </w:rPr>
              <w:t>2</w:t>
            </w:r>
          </w:p>
        </w:tc>
        <w:tc>
          <w:tcPr>
            <w:tcW w:w="625" w:type="pct"/>
            <w:tcBorders>
              <w:top w:val="single" w:color="auto" w:sz="4" w:space="0"/>
              <w:left w:val="single" w:color="auto" w:sz="4" w:space="0"/>
              <w:right w:val="single" w:color="auto" w:sz="4" w:space="0"/>
            </w:tcBorders>
            <w:vAlign w:val="center"/>
          </w:tcPr>
          <w:p w14:paraId="1F3D8D91">
            <w:pPr>
              <w:spacing w:line="360" w:lineRule="auto"/>
              <w:jc w:val="center"/>
              <w:rPr>
                <w:rFonts w:ascii="宋体" w:hAnsi="宋体" w:cs="宋体"/>
                <w:szCs w:val="21"/>
              </w:rPr>
            </w:pPr>
            <w:r>
              <w:rPr>
                <w:rFonts w:hint="eastAsia" w:ascii="宋体" w:hAnsi="宋体" w:cs="宋体"/>
                <w:szCs w:val="21"/>
              </w:rPr>
              <w:t>企业业绩</w:t>
            </w:r>
          </w:p>
        </w:tc>
        <w:tc>
          <w:tcPr>
            <w:tcW w:w="3798" w:type="pct"/>
            <w:tcBorders>
              <w:top w:val="single" w:color="auto" w:sz="4" w:space="0"/>
              <w:left w:val="single" w:color="auto" w:sz="4" w:space="0"/>
              <w:right w:val="single" w:color="auto" w:sz="4" w:space="0"/>
            </w:tcBorders>
            <w:vAlign w:val="center"/>
          </w:tcPr>
          <w:p w14:paraId="176CABA6">
            <w:pPr>
              <w:widowControl/>
              <w:numPr>
                <w:ilvl w:val="0"/>
                <w:numId w:val="0"/>
              </w:numPr>
              <w:autoSpaceDE w:val="0"/>
              <w:autoSpaceDN w:val="0"/>
              <w:snapToGrid w:val="0"/>
              <w:spacing w:line="360" w:lineRule="auto"/>
              <w:rPr>
                <w:rFonts w:hint="default" w:eastAsia="宋体"/>
                <w:lang w:val="en-US" w:eastAsia="zh-CN"/>
              </w:rPr>
            </w:pPr>
            <w:r>
              <w:rPr>
                <w:rFonts w:hint="eastAsia" w:ascii="宋体" w:hAnsi="宋体" w:cs="宋体"/>
                <w:szCs w:val="21"/>
              </w:rPr>
              <w:t>供应商自2023年1月1日</w:t>
            </w:r>
            <w:r>
              <w:rPr>
                <w:rFonts w:hint="eastAsia" w:ascii="宋体" w:hAnsi="宋体" w:cs="宋体"/>
                <w:szCs w:val="21"/>
                <w:lang w:eastAsia="zh-CN"/>
              </w:rPr>
              <w:t>（</w:t>
            </w:r>
            <w:r>
              <w:rPr>
                <w:rFonts w:hint="eastAsia" w:ascii="宋体" w:hAnsi="宋体" w:cs="宋体"/>
                <w:szCs w:val="21"/>
                <w:lang w:val="en-US" w:eastAsia="zh-CN"/>
              </w:rPr>
              <w:t>含</w:t>
            </w:r>
            <w:r>
              <w:rPr>
                <w:rFonts w:hint="eastAsia" w:ascii="宋体" w:hAnsi="宋体" w:cs="宋体"/>
                <w:szCs w:val="21"/>
                <w:lang w:eastAsia="zh-CN"/>
              </w:rPr>
              <w:t>）</w:t>
            </w:r>
            <w:r>
              <w:rPr>
                <w:rFonts w:hint="eastAsia" w:ascii="宋体" w:hAnsi="宋体" w:cs="宋体"/>
                <w:szCs w:val="21"/>
              </w:rPr>
              <w:t>以来，承接过已取得住房和城乡建设主管部门出具《建设工程消防验收意见书》且验收合格的消防工程项目，有1个得</w:t>
            </w:r>
            <w:r>
              <w:rPr>
                <w:rFonts w:hint="eastAsia" w:ascii="宋体" w:hAnsi="宋体" w:cs="宋体"/>
                <w:szCs w:val="21"/>
                <w:lang w:val="en-US" w:eastAsia="zh-CN"/>
              </w:rPr>
              <w:t>4</w:t>
            </w:r>
            <w:r>
              <w:rPr>
                <w:rFonts w:hint="eastAsia" w:ascii="宋体" w:hAnsi="宋体" w:cs="宋体"/>
                <w:szCs w:val="21"/>
              </w:rPr>
              <w:t>分，最高得</w:t>
            </w:r>
            <w:r>
              <w:rPr>
                <w:rFonts w:hint="eastAsia" w:ascii="宋体" w:hAnsi="宋体" w:cs="宋体"/>
                <w:szCs w:val="21"/>
                <w:lang w:val="en-US" w:eastAsia="zh-CN"/>
              </w:rPr>
              <w:t>8</w:t>
            </w:r>
            <w:r>
              <w:rPr>
                <w:rFonts w:hint="eastAsia" w:ascii="宋体" w:hAnsi="宋体" w:cs="宋体"/>
                <w:szCs w:val="21"/>
              </w:rPr>
              <w:t>分。（提供施工合同、竣工验收证明、建设工程消防验收意见书的复印件并加盖公章，三者缺一不可；时间以竣工验收证明为准；提供的材料必须能反映出相关内容，否则视为未提供，未提供或不符合要求不得分</w:t>
            </w:r>
            <w:r>
              <w:rPr>
                <w:rFonts w:hint="eastAsia" w:ascii="宋体" w:hAnsi="宋体" w:cs="宋体"/>
                <w:szCs w:val="21"/>
                <w:lang w:eastAsia="zh-CN"/>
              </w:rPr>
              <w:t>；</w:t>
            </w:r>
            <w:r>
              <w:rPr>
                <w:rFonts w:hint="eastAsia" w:ascii="宋体" w:hAnsi="宋体" w:cs="宋体"/>
                <w:szCs w:val="21"/>
                <w:lang w:val="en-US" w:eastAsia="zh-CN"/>
              </w:rPr>
              <w:t>项目负责人业绩与企业业绩可兼得</w:t>
            </w:r>
            <w:r>
              <w:rPr>
                <w:rFonts w:hint="eastAsia" w:ascii="宋体" w:hAnsi="宋体" w:cs="宋体"/>
                <w:szCs w:val="21"/>
              </w:rPr>
              <w:t>）</w:t>
            </w:r>
          </w:p>
        </w:tc>
        <w:tc>
          <w:tcPr>
            <w:tcW w:w="292" w:type="pct"/>
            <w:tcBorders>
              <w:top w:val="single" w:color="auto" w:sz="4" w:space="0"/>
              <w:left w:val="single" w:color="auto" w:sz="4" w:space="0"/>
              <w:right w:val="single" w:color="auto" w:sz="4" w:space="0"/>
            </w:tcBorders>
            <w:vAlign w:val="center"/>
          </w:tcPr>
          <w:p w14:paraId="3F01CD15">
            <w:pPr>
              <w:spacing w:line="360" w:lineRule="auto"/>
              <w:jc w:val="center"/>
              <w:rPr>
                <w:rFonts w:hint="eastAsia" w:ascii="宋体" w:hAnsi="宋体" w:eastAsia="宋体" w:cs="宋体"/>
                <w:szCs w:val="21"/>
                <w:lang w:eastAsia="zh-CN"/>
              </w:rPr>
            </w:pPr>
            <w:r>
              <w:rPr>
                <w:rFonts w:hint="eastAsia" w:ascii="宋体" w:hAnsi="宋体" w:cs="宋体"/>
                <w:szCs w:val="21"/>
                <w:lang w:val="en-US" w:eastAsia="zh-CN"/>
              </w:rPr>
              <w:t>8</w:t>
            </w:r>
          </w:p>
        </w:tc>
      </w:tr>
      <w:tr w14:paraId="22609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3" w:hRule="atLeast"/>
          <w:jc w:val="center"/>
        </w:trPr>
        <w:tc>
          <w:tcPr>
            <w:tcW w:w="284" w:type="pct"/>
            <w:tcBorders>
              <w:top w:val="single" w:color="auto" w:sz="4" w:space="0"/>
              <w:left w:val="single" w:color="auto" w:sz="4" w:space="0"/>
              <w:right w:val="single" w:color="auto" w:sz="4" w:space="0"/>
            </w:tcBorders>
            <w:vAlign w:val="center"/>
          </w:tcPr>
          <w:p w14:paraId="5B1CB8D8">
            <w:pPr>
              <w:spacing w:line="360" w:lineRule="auto"/>
              <w:jc w:val="center"/>
              <w:rPr>
                <w:rFonts w:hint="eastAsia" w:ascii="宋体" w:hAnsi="宋体" w:eastAsia="宋体" w:cs="宋体"/>
                <w:szCs w:val="21"/>
                <w:lang w:val="en-US" w:eastAsia="zh-CN"/>
              </w:rPr>
            </w:pPr>
            <w:r>
              <w:rPr>
                <w:rFonts w:hint="eastAsia" w:ascii="宋体" w:hAnsi="宋体" w:cs="宋体"/>
                <w:szCs w:val="21"/>
                <w:lang w:val="en-US" w:eastAsia="zh-CN"/>
              </w:rPr>
              <w:t>3</w:t>
            </w:r>
          </w:p>
        </w:tc>
        <w:tc>
          <w:tcPr>
            <w:tcW w:w="625" w:type="pct"/>
            <w:tcBorders>
              <w:top w:val="single" w:color="auto" w:sz="4" w:space="0"/>
              <w:left w:val="single" w:color="auto" w:sz="4" w:space="0"/>
              <w:right w:val="single" w:color="auto" w:sz="4" w:space="0"/>
            </w:tcBorders>
            <w:vAlign w:val="center"/>
          </w:tcPr>
          <w:p w14:paraId="11A96609">
            <w:pPr>
              <w:spacing w:line="360" w:lineRule="auto"/>
              <w:jc w:val="center"/>
              <w:rPr>
                <w:rFonts w:hint="default" w:ascii="宋体" w:hAnsi="宋体" w:eastAsia="宋体" w:cs="宋体"/>
                <w:szCs w:val="21"/>
                <w:lang w:val="en-US" w:eastAsia="zh-CN"/>
              </w:rPr>
            </w:pPr>
            <w:r>
              <w:rPr>
                <w:rFonts w:hint="eastAsia" w:ascii="宋体" w:hAnsi="宋体" w:cs="宋体"/>
                <w:szCs w:val="21"/>
                <w:lang w:val="en-US" w:eastAsia="zh-CN"/>
              </w:rPr>
              <w:t>项目负责人业绩</w:t>
            </w:r>
          </w:p>
        </w:tc>
        <w:tc>
          <w:tcPr>
            <w:tcW w:w="3798" w:type="pct"/>
            <w:tcBorders>
              <w:top w:val="single" w:color="auto" w:sz="4" w:space="0"/>
              <w:left w:val="single" w:color="auto" w:sz="4" w:space="0"/>
              <w:right w:val="single" w:color="auto" w:sz="4" w:space="0"/>
            </w:tcBorders>
            <w:vAlign w:val="center"/>
          </w:tcPr>
          <w:p w14:paraId="0BDEFFDE">
            <w:pPr>
              <w:pStyle w:val="25"/>
              <w:numPr>
                <w:ilvl w:val="-1"/>
                <w:numId w:val="0"/>
              </w:numPr>
              <w:spacing w:line="360" w:lineRule="auto"/>
              <w:ind w:left="0" w:firstLine="0"/>
              <w:rPr>
                <w:rFonts w:hint="eastAsia"/>
                <w:lang w:eastAsia="zh-CN"/>
              </w:rPr>
            </w:pPr>
            <w:r>
              <w:rPr>
                <w:rFonts w:hint="eastAsia" w:ascii="宋体" w:hAnsi="宋体" w:cs="宋体"/>
                <w:szCs w:val="21"/>
              </w:rPr>
              <w:t>自2023年1月1日</w:t>
            </w:r>
            <w:r>
              <w:rPr>
                <w:rFonts w:hint="eastAsia" w:ascii="宋体" w:hAnsi="宋体" w:cs="宋体"/>
                <w:szCs w:val="21"/>
                <w:lang w:eastAsia="zh-CN"/>
              </w:rPr>
              <w:t>（</w:t>
            </w:r>
            <w:r>
              <w:rPr>
                <w:rFonts w:hint="eastAsia" w:ascii="宋体" w:hAnsi="宋体" w:cs="宋体"/>
                <w:szCs w:val="21"/>
                <w:lang w:val="en-US" w:eastAsia="zh-CN"/>
              </w:rPr>
              <w:t>含</w:t>
            </w:r>
            <w:r>
              <w:rPr>
                <w:rFonts w:hint="eastAsia" w:ascii="宋体" w:hAnsi="宋体" w:cs="宋体"/>
                <w:szCs w:val="21"/>
                <w:lang w:eastAsia="zh-CN"/>
              </w:rPr>
              <w:t>）</w:t>
            </w:r>
            <w:r>
              <w:rPr>
                <w:rFonts w:hint="eastAsia" w:ascii="宋体" w:hAnsi="宋体" w:cs="宋体"/>
                <w:szCs w:val="21"/>
              </w:rPr>
              <w:t>以来，</w:t>
            </w:r>
            <w:r>
              <w:rPr>
                <w:rFonts w:hint="eastAsia"/>
                <w:lang w:val="en-US" w:eastAsia="zh-CN"/>
              </w:rPr>
              <w:t>项目负责人在本单位完成过类似消防且验收合格项目的，每提供1个得2分，最高4分。</w:t>
            </w:r>
            <w:r>
              <w:rPr>
                <w:rFonts w:hint="eastAsia" w:ascii="宋体" w:hAnsi="宋体" w:cs="宋体"/>
                <w:szCs w:val="21"/>
              </w:rPr>
              <w:t>（提供施工合同、竣工验收证明</w:t>
            </w:r>
            <w:r>
              <w:rPr>
                <w:rFonts w:hint="eastAsia" w:ascii="宋体" w:hAnsi="宋体" w:cs="宋体"/>
                <w:szCs w:val="21"/>
                <w:lang w:eastAsia="zh-CN"/>
              </w:rPr>
              <w:t>，</w:t>
            </w:r>
            <w:r>
              <w:rPr>
                <w:rFonts w:hint="eastAsia" w:ascii="宋体" w:hAnsi="宋体" w:cs="宋体"/>
                <w:szCs w:val="21"/>
                <w:lang w:val="en-US" w:eastAsia="zh-CN"/>
              </w:rPr>
              <w:t>二</w:t>
            </w:r>
            <w:r>
              <w:rPr>
                <w:rFonts w:hint="eastAsia" w:ascii="宋体" w:hAnsi="宋体" w:cs="宋体"/>
                <w:szCs w:val="21"/>
              </w:rPr>
              <w:t>者缺一不可；时间以竣工验收证明为准；提供的材料必须能反映出相关内容，否则视为未提供，未提供或不符合要求不得分</w:t>
            </w:r>
            <w:r>
              <w:rPr>
                <w:rFonts w:hint="eastAsia" w:ascii="宋体" w:hAnsi="宋体" w:cs="宋体"/>
                <w:szCs w:val="21"/>
                <w:lang w:eastAsia="zh-CN"/>
              </w:rPr>
              <w:t>；</w:t>
            </w:r>
            <w:r>
              <w:rPr>
                <w:rFonts w:hint="eastAsia" w:ascii="宋体" w:hAnsi="宋体" w:cs="宋体"/>
                <w:szCs w:val="21"/>
                <w:lang w:val="en-US" w:eastAsia="zh-CN"/>
              </w:rPr>
              <w:t>项目负责人业绩需为供应商承接的；项目负责人业绩与企业业绩可兼得</w:t>
            </w:r>
            <w:r>
              <w:rPr>
                <w:rFonts w:hint="eastAsia" w:ascii="宋体" w:hAnsi="宋体" w:cs="宋体"/>
                <w:szCs w:val="21"/>
              </w:rPr>
              <w:t>）</w:t>
            </w:r>
          </w:p>
        </w:tc>
        <w:tc>
          <w:tcPr>
            <w:tcW w:w="292" w:type="pct"/>
            <w:tcBorders>
              <w:top w:val="single" w:color="auto" w:sz="4" w:space="0"/>
              <w:left w:val="single" w:color="auto" w:sz="4" w:space="0"/>
              <w:right w:val="single" w:color="auto" w:sz="4" w:space="0"/>
            </w:tcBorders>
            <w:vAlign w:val="center"/>
          </w:tcPr>
          <w:p w14:paraId="0C2A2619">
            <w:pPr>
              <w:spacing w:line="360" w:lineRule="auto"/>
              <w:jc w:val="center"/>
              <w:rPr>
                <w:rFonts w:hint="eastAsia" w:ascii="宋体" w:hAnsi="宋体" w:eastAsia="宋体" w:cs="宋体"/>
                <w:szCs w:val="21"/>
                <w:lang w:val="en-US" w:eastAsia="zh-CN"/>
              </w:rPr>
            </w:pPr>
            <w:r>
              <w:rPr>
                <w:rFonts w:hint="eastAsia" w:ascii="宋体" w:hAnsi="宋体" w:cs="宋体"/>
                <w:szCs w:val="21"/>
                <w:lang w:val="en-US" w:eastAsia="zh-CN"/>
              </w:rPr>
              <w:t>4</w:t>
            </w:r>
          </w:p>
        </w:tc>
      </w:tr>
      <w:tr w14:paraId="379B7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3" w:hRule="atLeast"/>
          <w:jc w:val="center"/>
        </w:trPr>
        <w:tc>
          <w:tcPr>
            <w:tcW w:w="284" w:type="pct"/>
            <w:tcBorders>
              <w:top w:val="single" w:color="auto" w:sz="4" w:space="0"/>
              <w:left w:val="single" w:color="auto" w:sz="4" w:space="0"/>
              <w:right w:val="single" w:color="auto" w:sz="4" w:space="0"/>
            </w:tcBorders>
            <w:vAlign w:val="center"/>
          </w:tcPr>
          <w:p w14:paraId="0CEAC388">
            <w:pPr>
              <w:spacing w:line="360" w:lineRule="auto"/>
              <w:jc w:val="center"/>
              <w:rPr>
                <w:rFonts w:hint="eastAsia" w:ascii="宋体" w:hAnsi="宋体" w:eastAsia="宋体" w:cs="宋体"/>
                <w:szCs w:val="21"/>
                <w:lang w:eastAsia="zh-CN"/>
              </w:rPr>
            </w:pPr>
            <w:r>
              <w:rPr>
                <w:rFonts w:hint="eastAsia" w:ascii="宋体" w:hAnsi="宋体" w:cs="宋体"/>
                <w:szCs w:val="21"/>
                <w:lang w:val="en-US" w:eastAsia="zh-CN"/>
              </w:rPr>
              <w:t>4</w:t>
            </w:r>
          </w:p>
        </w:tc>
        <w:tc>
          <w:tcPr>
            <w:tcW w:w="625" w:type="pct"/>
            <w:tcBorders>
              <w:top w:val="single" w:color="auto" w:sz="4" w:space="0"/>
              <w:left w:val="single" w:color="auto" w:sz="4" w:space="0"/>
              <w:right w:val="single" w:color="auto" w:sz="4" w:space="0"/>
            </w:tcBorders>
            <w:vAlign w:val="center"/>
          </w:tcPr>
          <w:p w14:paraId="255BF0AE">
            <w:pPr>
              <w:spacing w:line="360" w:lineRule="auto"/>
              <w:jc w:val="center"/>
              <w:rPr>
                <w:rFonts w:hint="eastAsia" w:ascii="宋体" w:hAnsi="宋体" w:eastAsia="宋体" w:cs="宋体"/>
                <w:szCs w:val="21"/>
                <w:lang w:val="en-US" w:eastAsia="zh-CN"/>
              </w:rPr>
            </w:pPr>
            <w:r>
              <w:rPr>
                <w:rFonts w:hint="eastAsia" w:ascii="宋体" w:hAnsi="宋体" w:cs="宋体"/>
                <w:szCs w:val="21"/>
              </w:rPr>
              <w:t>项目负责人</w:t>
            </w:r>
            <w:r>
              <w:rPr>
                <w:rFonts w:hint="eastAsia" w:ascii="宋体" w:hAnsi="宋体" w:cs="宋体"/>
                <w:szCs w:val="21"/>
                <w:lang w:val="en-US" w:eastAsia="zh-CN"/>
              </w:rPr>
              <w:t>证书</w:t>
            </w:r>
          </w:p>
        </w:tc>
        <w:tc>
          <w:tcPr>
            <w:tcW w:w="3798" w:type="pct"/>
            <w:tcBorders>
              <w:top w:val="single" w:color="auto" w:sz="4" w:space="0"/>
              <w:left w:val="single" w:color="auto" w:sz="4" w:space="0"/>
              <w:right w:val="single" w:color="auto" w:sz="4" w:space="0"/>
            </w:tcBorders>
            <w:shd w:val="clear" w:color="auto" w:fill="auto"/>
            <w:vAlign w:val="center"/>
          </w:tcPr>
          <w:p w14:paraId="532D067F">
            <w:pPr>
              <w:widowControl/>
              <w:numPr>
                <w:ilvl w:val="255"/>
                <w:numId w:val="0"/>
              </w:numPr>
              <w:autoSpaceDE w:val="0"/>
              <w:autoSpaceDN w:val="0"/>
              <w:snapToGrid w:val="0"/>
              <w:spacing w:line="360" w:lineRule="auto"/>
              <w:rPr>
                <w:rFonts w:ascii="宋体" w:hAnsi="宋体" w:cs="宋体"/>
                <w:szCs w:val="21"/>
              </w:rPr>
            </w:pPr>
            <w:r>
              <w:rPr>
                <w:rFonts w:hint="eastAsia" w:ascii="宋体" w:hAnsi="宋体" w:cs="宋体"/>
                <w:szCs w:val="21"/>
              </w:rPr>
              <w:t>项目负责人具有二级注册消防工程师及以上的得</w:t>
            </w:r>
            <w:r>
              <w:rPr>
                <w:rFonts w:hint="eastAsia" w:ascii="宋体" w:hAnsi="宋体" w:cs="宋体"/>
                <w:szCs w:val="21"/>
                <w:lang w:val="en-US" w:eastAsia="zh-CN"/>
              </w:rPr>
              <w:t>5</w:t>
            </w:r>
            <w:r>
              <w:rPr>
                <w:rFonts w:hint="eastAsia" w:ascii="宋体" w:hAnsi="宋体" w:cs="宋体"/>
                <w:szCs w:val="21"/>
              </w:rPr>
              <w:t>分。（提供人员有效证书、社保机构出具近半年（2025年12月至2026年5月）任意一个月供应商为</w:t>
            </w:r>
            <w:r>
              <w:rPr>
                <w:rFonts w:hint="eastAsia" w:ascii="宋体" w:hAnsi="宋体" w:cs="宋体"/>
                <w:szCs w:val="21"/>
                <w:lang w:val="en-US" w:eastAsia="zh-CN"/>
              </w:rPr>
              <w:t>其</w:t>
            </w:r>
            <w:r>
              <w:rPr>
                <w:rFonts w:hint="eastAsia" w:ascii="宋体" w:hAnsi="宋体" w:cs="宋体"/>
                <w:szCs w:val="21"/>
              </w:rPr>
              <w:t>缴纳的养老保险金缴费证明材料（加盖社保中心章或社保中心参保缴费证明电子专用章）</w:t>
            </w:r>
            <w:r>
              <w:rPr>
                <w:rFonts w:hint="eastAsia" w:ascii="宋体" w:hAnsi="宋体" w:cs="宋体"/>
                <w:szCs w:val="21"/>
                <w:lang w:eastAsia="zh-CN"/>
              </w:rPr>
              <w:t>；</w:t>
            </w:r>
            <w:r>
              <w:rPr>
                <w:rFonts w:hint="eastAsia" w:ascii="宋体" w:hAnsi="宋体" w:cs="宋体"/>
                <w:szCs w:val="21"/>
                <w:lang w:val="en-US" w:eastAsia="zh-CN"/>
              </w:rPr>
              <w:t>证书以注册在本单位为准</w:t>
            </w:r>
            <w:r>
              <w:rPr>
                <w:rFonts w:hint="eastAsia" w:ascii="宋体" w:hAnsi="宋体" w:cs="宋体"/>
                <w:szCs w:val="21"/>
              </w:rPr>
              <w:t>）</w:t>
            </w:r>
          </w:p>
        </w:tc>
        <w:tc>
          <w:tcPr>
            <w:tcW w:w="292" w:type="pct"/>
            <w:tcBorders>
              <w:top w:val="single" w:color="auto" w:sz="4" w:space="0"/>
              <w:left w:val="single" w:color="auto" w:sz="4" w:space="0"/>
              <w:right w:val="single" w:color="auto" w:sz="4" w:space="0"/>
            </w:tcBorders>
            <w:vAlign w:val="center"/>
          </w:tcPr>
          <w:p w14:paraId="015F1453">
            <w:pPr>
              <w:spacing w:line="360" w:lineRule="auto"/>
              <w:jc w:val="center"/>
              <w:rPr>
                <w:rFonts w:hint="eastAsia" w:ascii="宋体" w:hAnsi="宋体" w:eastAsia="宋体" w:cs="宋体"/>
                <w:szCs w:val="21"/>
                <w:lang w:eastAsia="zh-CN"/>
              </w:rPr>
            </w:pPr>
            <w:r>
              <w:rPr>
                <w:rFonts w:hint="eastAsia" w:ascii="宋体" w:hAnsi="宋体" w:cs="宋体"/>
                <w:szCs w:val="21"/>
                <w:lang w:val="en-US" w:eastAsia="zh-CN"/>
              </w:rPr>
              <w:t>5</w:t>
            </w:r>
          </w:p>
        </w:tc>
      </w:tr>
      <w:tr w14:paraId="0CA93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284" w:type="pct"/>
            <w:tcBorders>
              <w:left w:val="single" w:color="auto" w:sz="4" w:space="0"/>
              <w:right w:val="single" w:color="auto" w:sz="4" w:space="0"/>
            </w:tcBorders>
            <w:vAlign w:val="center"/>
          </w:tcPr>
          <w:p w14:paraId="61BDA7D2">
            <w:pPr>
              <w:spacing w:line="360" w:lineRule="auto"/>
              <w:jc w:val="center"/>
              <w:rPr>
                <w:rFonts w:hint="eastAsia" w:ascii="宋体" w:hAnsi="宋体" w:eastAsia="宋体" w:cs="宋体"/>
                <w:szCs w:val="21"/>
                <w:lang w:eastAsia="zh-CN"/>
              </w:rPr>
            </w:pPr>
            <w:r>
              <w:rPr>
                <w:rFonts w:hint="eastAsia" w:ascii="宋体" w:hAnsi="宋体" w:cs="宋体"/>
                <w:szCs w:val="21"/>
                <w:lang w:val="en-US" w:eastAsia="zh-CN"/>
              </w:rPr>
              <w:t>5</w:t>
            </w:r>
          </w:p>
        </w:tc>
        <w:tc>
          <w:tcPr>
            <w:tcW w:w="625" w:type="pct"/>
            <w:tcBorders>
              <w:top w:val="single" w:color="auto" w:sz="4" w:space="0"/>
              <w:left w:val="single" w:color="auto" w:sz="4" w:space="0"/>
              <w:right w:val="single" w:color="auto" w:sz="4" w:space="0"/>
            </w:tcBorders>
            <w:vAlign w:val="center"/>
          </w:tcPr>
          <w:p w14:paraId="43DC12B5">
            <w:pPr>
              <w:spacing w:line="360" w:lineRule="auto"/>
              <w:jc w:val="center"/>
              <w:rPr>
                <w:rFonts w:ascii="宋体" w:hAnsi="宋体" w:cs="宋体"/>
                <w:szCs w:val="21"/>
              </w:rPr>
            </w:pPr>
            <w:r>
              <w:rPr>
                <w:rFonts w:hint="eastAsia" w:ascii="宋体" w:hAnsi="宋体" w:cs="宋体"/>
                <w:szCs w:val="21"/>
              </w:rPr>
              <w:t>项目组成员</w:t>
            </w:r>
          </w:p>
        </w:tc>
        <w:tc>
          <w:tcPr>
            <w:tcW w:w="3798" w:type="pct"/>
            <w:tcBorders>
              <w:top w:val="single" w:color="auto" w:sz="4" w:space="0"/>
              <w:left w:val="single" w:color="auto" w:sz="4" w:space="0"/>
              <w:right w:val="single" w:color="auto" w:sz="4" w:space="0"/>
            </w:tcBorders>
            <w:vAlign w:val="center"/>
          </w:tcPr>
          <w:p w14:paraId="6CC68769">
            <w:pPr>
              <w:widowControl/>
              <w:numPr>
                <w:ilvl w:val="255"/>
                <w:numId w:val="0"/>
              </w:numPr>
              <w:autoSpaceDE w:val="0"/>
              <w:autoSpaceDN w:val="0"/>
              <w:snapToGrid w:val="0"/>
              <w:spacing w:line="360" w:lineRule="auto"/>
              <w:rPr>
                <w:rFonts w:ascii="宋体" w:hAnsi="宋体" w:cs="宋体"/>
                <w:szCs w:val="21"/>
              </w:rPr>
            </w:pPr>
            <w:r>
              <w:rPr>
                <w:rFonts w:ascii="宋体" w:hAnsi="宋体" w:cs="宋体"/>
                <w:szCs w:val="21"/>
              </w:rPr>
              <w:t>（1）</w:t>
            </w:r>
            <w:r>
              <w:rPr>
                <w:rFonts w:hint="eastAsia" w:ascii="宋体" w:hAnsi="宋体" w:cs="宋体"/>
                <w:szCs w:val="21"/>
              </w:rPr>
              <w:t>项目组成员具有中级消防设施操作员</w:t>
            </w:r>
            <w:r>
              <w:rPr>
                <w:rFonts w:hint="eastAsia" w:ascii="宋体" w:hAnsi="宋体" w:cs="宋体"/>
                <w:szCs w:val="21"/>
                <w:lang w:eastAsia="zh-CN"/>
              </w:rPr>
              <w:t>（</w:t>
            </w:r>
            <w:r>
              <w:rPr>
                <w:rFonts w:hint="eastAsia" w:ascii="宋体" w:hAnsi="宋体" w:cs="宋体"/>
                <w:szCs w:val="21"/>
                <w:lang w:val="en-US" w:eastAsia="zh-CN"/>
              </w:rPr>
              <w:t>消防设施</w:t>
            </w:r>
            <w:r>
              <w:rPr>
                <w:rFonts w:hint="eastAsia" w:ascii="宋体" w:hAnsi="宋体" w:cs="宋体"/>
                <w:szCs w:val="21"/>
                <w:lang w:eastAsia="zh-CN"/>
              </w:rPr>
              <w:t>检测维修保养）</w:t>
            </w:r>
            <w:r>
              <w:rPr>
                <w:rFonts w:hint="eastAsia" w:ascii="宋体" w:hAnsi="宋体" w:cs="宋体"/>
                <w:szCs w:val="21"/>
              </w:rPr>
              <w:t>（四级/中级工）及以上或中级建（构）筑物消防员的得3分/人，满分9分。</w:t>
            </w:r>
          </w:p>
          <w:p w14:paraId="1745C94C">
            <w:pPr>
              <w:widowControl/>
              <w:numPr>
                <w:ilvl w:val="255"/>
                <w:numId w:val="0"/>
              </w:numPr>
              <w:autoSpaceDE w:val="0"/>
              <w:autoSpaceDN w:val="0"/>
              <w:snapToGrid w:val="0"/>
              <w:spacing w:line="360" w:lineRule="auto"/>
              <w:rPr>
                <w:rFonts w:ascii="宋体" w:hAnsi="宋体" w:cs="宋体"/>
                <w:szCs w:val="21"/>
              </w:rPr>
            </w:pPr>
            <w:r>
              <w:rPr>
                <w:rFonts w:ascii="宋体" w:hAnsi="宋体" w:cs="宋体"/>
                <w:szCs w:val="21"/>
              </w:rPr>
              <w:t>（2）</w:t>
            </w:r>
            <w:r>
              <w:rPr>
                <w:rFonts w:hint="eastAsia" w:ascii="宋体" w:hAnsi="宋体" w:cs="宋体"/>
                <w:szCs w:val="21"/>
              </w:rPr>
              <w:t>项目组成员具有中华人民共和国特种作业操作证（低压电工作业）或中华人民共和国特种作业操作证（高压电工作业）或职业技能等级证书（电工・二级/技师）及以上或建筑施工特种作业操作资格证书（建筑电工）证书的得3分。</w:t>
            </w:r>
          </w:p>
          <w:p w14:paraId="6B482FB7">
            <w:pPr>
              <w:widowControl/>
              <w:numPr>
                <w:ilvl w:val="255"/>
                <w:numId w:val="0"/>
              </w:numPr>
              <w:autoSpaceDE w:val="0"/>
              <w:autoSpaceDN w:val="0"/>
              <w:snapToGrid w:val="0"/>
              <w:spacing w:line="360" w:lineRule="auto"/>
              <w:rPr>
                <w:rFonts w:ascii="宋体" w:hAnsi="宋体" w:cs="宋体"/>
                <w:szCs w:val="21"/>
              </w:rPr>
            </w:pPr>
            <w:r>
              <w:rPr>
                <w:rFonts w:hint="eastAsia" w:ascii="宋体" w:hAnsi="宋体" w:cs="宋体"/>
                <w:szCs w:val="21"/>
              </w:rPr>
              <w:t>（提供人员有效证书、社保机构出具近半年（2025年12月至2026年5月）任意一个月供应商为</w:t>
            </w:r>
            <w:r>
              <w:rPr>
                <w:rFonts w:hint="eastAsia" w:ascii="宋体" w:hAnsi="宋体" w:cs="宋体"/>
                <w:szCs w:val="21"/>
                <w:lang w:val="en-US" w:eastAsia="zh-CN"/>
              </w:rPr>
              <w:t>上述人员</w:t>
            </w:r>
            <w:r>
              <w:rPr>
                <w:rFonts w:hint="eastAsia" w:ascii="宋体" w:hAnsi="宋体" w:cs="宋体"/>
                <w:szCs w:val="21"/>
              </w:rPr>
              <w:t>缴纳的养老保险金缴费证明材料（加盖社保中心章或社保中心参保缴费证明电子专用章）；项目负责人和项目组其他成员均为一人一岗，互相不可兼任）</w:t>
            </w:r>
          </w:p>
        </w:tc>
        <w:tc>
          <w:tcPr>
            <w:tcW w:w="292" w:type="pct"/>
            <w:tcBorders>
              <w:top w:val="single" w:color="auto" w:sz="4" w:space="0"/>
              <w:left w:val="single" w:color="auto" w:sz="4" w:space="0"/>
              <w:bottom w:val="single" w:color="auto" w:sz="4" w:space="0"/>
              <w:right w:val="single" w:color="auto" w:sz="4" w:space="0"/>
            </w:tcBorders>
            <w:vAlign w:val="center"/>
          </w:tcPr>
          <w:p w14:paraId="4B5B67C8">
            <w:pPr>
              <w:spacing w:line="360" w:lineRule="auto"/>
              <w:jc w:val="center"/>
              <w:rPr>
                <w:rFonts w:ascii="宋体" w:hAnsi="宋体" w:cs="宋体"/>
                <w:szCs w:val="21"/>
              </w:rPr>
            </w:pPr>
            <w:r>
              <w:rPr>
                <w:rFonts w:hint="eastAsia" w:ascii="宋体" w:hAnsi="宋体" w:cs="宋体"/>
                <w:szCs w:val="21"/>
              </w:rPr>
              <w:t>12</w:t>
            </w:r>
          </w:p>
        </w:tc>
      </w:tr>
      <w:tr w14:paraId="4A903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3" w:hRule="atLeast"/>
          <w:jc w:val="center"/>
        </w:trPr>
        <w:tc>
          <w:tcPr>
            <w:tcW w:w="284" w:type="pct"/>
            <w:tcBorders>
              <w:left w:val="single" w:color="auto" w:sz="4" w:space="0"/>
              <w:right w:val="single" w:color="auto" w:sz="4" w:space="0"/>
            </w:tcBorders>
            <w:vAlign w:val="center"/>
          </w:tcPr>
          <w:p w14:paraId="52C30D27">
            <w:pPr>
              <w:spacing w:line="360" w:lineRule="auto"/>
              <w:jc w:val="center"/>
              <w:rPr>
                <w:rFonts w:hint="eastAsia" w:ascii="宋体" w:hAnsi="宋体" w:eastAsia="宋体" w:cs="宋体"/>
                <w:szCs w:val="21"/>
                <w:lang w:eastAsia="zh-CN"/>
              </w:rPr>
            </w:pPr>
            <w:r>
              <w:rPr>
                <w:rFonts w:hint="eastAsia" w:ascii="宋体" w:hAnsi="宋体" w:cs="宋体"/>
                <w:szCs w:val="21"/>
                <w:lang w:val="en-US" w:eastAsia="zh-CN"/>
              </w:rPr>
              <w:t>6</w:t>
            </w:r>
          </w:p>
        </w:tc>
        <w:tc>
          <w:tcPr>
            <w:tcW w:w="625" w:type="pct"/>
            <w:tcBorders>
              <w:top w:val="single" w:color="auto" w:sz="4" w:space="0"/>
              <w:left w:val="single" w:color="auto" w:sz="4" w:space="0"/>
              <w:bottom w:val="single" w:color="auto" w:sz="4" w:space="0"/>
              <w:right w:val="single" w:color="auto" w:sz="4" w:space="0"/>
            </w:tcBorders>
            <w:vAlign w:val="center"/>
          </w:tcPr>
          <w:p w14:paraId="1FDC8157">
            <w:pPr>
              <w:spacing w:line="360" w:lineRule="auto"/>
              <w:jc w:val="center"/>
              <w:rPr>
                <w:rFonts w:ascii="宋体" w:hAnsi="宋体" w:cs="宋体"/>
                <w:szCs w:val="21"/>
              </w:rPr>
            </w:pPr>
            <w:r>
              <w:rPr>
                <w:rFonts w:hint="eastAsia" w:ascii="宋体" w:hAnsi="宋体" w:cs="宋体"/>
                <w:szCs w:val="21"/>
              </w:rPr>
              <w:t>质保期承诺</w:t>
            </w:r>
          </w:p>
        </w:tc>
        <w:tc>
          <w:tcPr>
            <w:tcW w:w="3798" w:type="pct"/>
            <w:tcBorders>
              <w:top w:val="single" w:color="auto" w:sz="4" w:space="0"/>
              <w:left w:val="single" w:color="auto" w:sz="4" w:space="0"/>
              <w:bottom w:val="single" w:color="auto" w:sz="4" w:space="0"/>
              <w:right w:val="single" w:color="auto" w:sz="4" w:space="0"/>
            </w:tcBorders>
            <w:vAlign w:val="center"/>
          </w:tcPr>
          <w:p w14:paraId="695A96DB">
            <w:pPr>
              <w:pStyle w:val="25"/>
              <w:numPr>
                <w:ilvl w:val="0"/>
                <w:numId w:val="0"/>
              </w:numPr>
              <w:spacing w:line="360" w:lineRule="auto"/>
            </w:pPr>
            <w:r>
              <w:rPr>
                <w:rFonts w:hint="eastAsia" w:ascii="宋体" w:hAnsi="宋体" w:cs="宋体"/>
                <w:szCs w:val="21"/>
              </w:rPr>
              <w:t>供应商在满足招标文件最低质保要求的基础（2年）上，提供延长质保期承诺，每延长6个月质保期加1分，最多加4分（提供承诺书加盖公章，格式自拟；承诺书内容表述不清或存在评审歧义的，视为未提供）</w:t>
            </w:r>
          </w:p>
        </w:tc>
        <w:tc>
          <w:tcPr>
            <w:tcW w:w="292" w:type="pct"/>
            <w:tcBorders>
              <w:top w:val="single" w:color="auto" w:sz="4" w:space="0"/>
              <w:left w:val="single" w:color="auto" w:sz="4" w:space="0"/>
              <w:bottom w:val="single" w:color="auto" w:sz="4" w:space="0"/>
              <w:right w:val="single" w:color="auto" w:sz="4" w:space="0"/>
            </w:tcBorders>
            <w:vAlign w:val="center"/>
          </w:tcPr>
          <w:p w14:paraId="535A4EDC">
            <w:pPr>
              <w:spacing w:line="360" w:lineRule="auto"/>
              <w:jc w:val="center"/>
              <w:rPr>
                <w:rFonts w:ascii="宋体" w:hAnsi="宋体" w:cs="宋体"/>
                <w:szCs w:val="21"/>
              </w:rPr>
            </w:pPr>
            <w:r>
              <w:rPr>
                <w:rFonts w:hint="eastAsia" w:ascii="宋体" w:hAnsi="宋体" w:cs="宋体"/>
                <w:szCs w:val="21"/>
              </w:rPr>
              <w:t>4</w:t>
            </w:r>
          </w:p>
        </w:tc>
      </w:tr>
      <w:tr w14:paraId="67AAD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3" w:hRule="atLeast"/>
          <w:jc w:val="center"/>
        </w:trPr>
        <w:tc>
          <w:tcPr>
            <w:tcW w:w="284" w:type="pct"/>
            <w:vMerge w:val="restart"/>
            <w:tcBorders>
              <w:top w:val="single" w:color="auto" w:sz="4" w:space="0"/>
              <w:left w:val="single" w:color="auto" w:sz="4" w:space="0"/>
              <w:right w:val="single" w:color="auto" w:sz="4" w:space="0"/>
            </w:tcBorders>
            <w:vAlign w:val="center"/>
          </w:tcPr>
          <w:p w14:paraId="1AD02D4B">
            <w:pPr>
              <w:spacing w:line="360" w:lineRule="auto"/>
              <w:jc w:val="center"/>
              <w:rPr>
                <w:rFonts w:hint="eastAsia" w:ascii="宋体" w:hAnsi="宋体" w:eastAsia="宋体" w:cs="宋体"/>
                <w:szCs w:val="21"/>
                <w:lang w:eastAsia="zh-CN"/>
              </w:rPr>
            </w:pPr>
            <w:r>
              <w:rPr>
                <w:rFonts w:hint="eastAsia" w:ascii="宋体" w:hAnsi="宋体" w:cs="宋体"/>
                <w:szCs w:val="21"/>
                <w:lang w:val="en-US" w:eastAsia="zh-CN"/>
              </w:rPr>
              <w:t>7</w:t>
            </w:r>
          </w:p>
        </w:tc>
        <w:tc>
          <w:tcPr>
            <w:tcW w:w="625" w:type="pct"/>
            <w:tcBorders>
              <w:top w:val="single" w:color="auto" w:sz="4" w:space="0"/>
              <w:left w:val="single" w:color="auto" w:sz="4" w:space="0"/>
              <w:bottom w:val="single" w:color="auto" w:sz="4" w:space="0"/>
              <w:right w:val="single" w:color="auto" w:sz="4" w:space="0"/>
            </w:tcBorders>
            <w:vAlign w:val="center"/>
          </w:tcPr>
          <w:p w14:paraId="3F665FFA">
            <w:pPr>
              <w:spacing w:line="360" w:lineRule="auto"/>
              <w:jc w:val="center"/>
              <w:rPr>
                <w:rFonts w:ascii="宋体" w:hAnsi="宋体" w:cs="宋体"/>
                <w:szCs w:val="21"/>
              </w:rPr>
            </w:pPr>
            <w:r>
              <w:rPr>
                <w:rFonts w:hint="eastAsia" w:ascii="宋体" w:hAnsi="宋体" w:cs="宋体"/>
                <w:szCs w:val="21"/>
              </w:rPr>
              <w:t>施工总体部署</w:t>
            </w:r>
          </w:p>
        </w:tc>
        <w:tc>
          <w:tcPr>
            <w:tcW w:w="3798" w:type="pct"/>
            <w:tcBorders>
              <w:top w:val="single" w:color="auto" w:sz="4" w:space="0"/>
              <w:left w:val="single" w:color="auto" w:sz="4" w:space="0"/>
              <w:bottom w:val="single" w:color="auto" w:sz="4" w:space="0"/>
              <w:right w:val="single" w:color="auto" w:sz="4" w:space="0"/>
            </w:tcBorders>
            <w:vAlign w:val="center"/>
          </w:tcPr>
          <w:p w14:paraId="557CC978">
            <w:pPr>
              <w:widowControl/>
              <w:autoSpaceDE w:val="0"/>
              <w:autoSpaceDN w:val="0"/>
              <w:snapToGrid w:val="0"/>
              <w:spacing w:line="360" w:lineRule="auto"/>
              <w:rPr>
                <w:rFonts w:ascii="宋体" w:hAnsi="宋体" w:cs="宋体"/>
                <w:szCs w:val="21"/>
              </w:rPr>
            </w:pPr>
            <w:r>
              <w:rPr>
                <w:rFonts w:hint="eastAsia" w:ascii="宋体" w:hAnsi="宋体" w:cs="宋体"/>
                <w:szCs w:val="21"/>
              </w:rPr>
              <w:t>对工程的总体设想、组织形式、各项管理目标及控制措施、施工实施计划、与施工的协调措施等内容进行评分：</w:t>
            </w:r>
          </w:p>
          <w:p w14:paraId="2F49DDA8">
            <w:pPr>
              <w:widowControl/>
              <w:autoSpaceDE w:val="0"/>
              <w:autoSpaceDN w:val="0"/>
              <w:snapToGrid w:val="0"/>
              <w:spacing w:line="360" w:lineRule="auto"/>
              <w:rPr>
                <w:rFonts w:ascii="宋体" w:hAnsi="宋体" w:cs="宋体"/>
                <w:szCs w:val="21"/>
              </w:rPr>
            </w:pPr>
            <w:r>
              <w:rPr>
                <w:rFonts w:hint="eastAsia" w:ascii="宋体" w:hAnsi="宋体" w:cs="宋体"/>
                <w:szCs w:val="21"/>
              </w:rPr>
              <w:t>方案完整、细致，完全符合项目需求，操作性强得</w:t>
            </w:r>
            <w:r>
              <w:rPr>
                <w:rFonts w:hint="eastAsia" w:ascii="宋体" w:hAnsi="宋体" w:cs="宋体"/>
                <w:szCs w:val="21"/>
                <w:lang w:val="en-US" w:eastAsia="zh-CN"/>
              </w:rPr>
              <w:t>6</w:t>
            </w:r>
            <w:r>
              <w:rPr>
                <w:rFonts w:hint="eastAsia" w:ascii="宋体" w:hAnsi="宋体" w:cs="宋体"/>
                <w:szCs w:val="21"/>
              </w:rPr>
              <w:t>分；</w:t>
            </w:r>
          </w:p>
          <w:p w14:paraId="3FC9406F">
            <w:pPr>
              <w:widowControl/>
              <w:autoSpaceDE w:val="0"/>
              <w:autoSpaceDN w:val="0"/>
              <w:snapToGrid w:val="0"/>
              <w:spacing w:line="360" w:lineRule="auto"/>
              <w:rPr>
                <w:rFonts w:ascii="宋体" w:hAnsi="宋体" w:cs="宋体"/>
                <w:szCs w:val="21"/>
              </w:rPr>
            </w:pPr>
            <w:r>
              <w:rPr>
                <w:rFonts w:hint="eastAsia" w:ascii="宋体" w:hAnsi="宋体" w:cs="宋体"/>
                <w:szCs w:val="21"/>
              </w:rPr>
              <w:t>方案较为完整、细致，符合项目需求，操作性</w:t>
            </w:r>
            <w:r>
              <w:rPr>
                <w:rFonts w:hint="eastAsia" w:ascii="宋体" w:hAnsi="宋体" w:cs="宋体"/>
                <w:szCs w:val="21"/>
                <w:lang w:val="en-US" w:eastAsia="zh-CN"/>
              </w:rPr>
              <w:t>较强</w:t>
            </w:r>
            <w:r>
              <w:rPr>
                <w:rFonts w:hint="eastAsia" w:ascii="宋体" w:hAnsi="宋体" w:cs="宋体"/>
                <w:szCs w:val="21"/>
              </w:rPr>
              <w:t>得</w:t>
            </w:r>
            <w:r>
              <w:rPr>
                <w:rFonts w:hint="eastAsia" w:ascii="宋体" w:hAnsi="宋体" w:cs="宋体"/>
                <w:szCs w:val="21"/>
                <w:lang w:val="en-US" w:eastAsia="zh-CN"/>
              </w:rPr>
              <w:t>4</w:t>
            </w:r>
            <w:r>
              <w:rPr>
                <w:rFonts w:hint="eastAsia" w:ascii="宋体" w:hAnsi="宋体" w:cs="宋体"/>
                <w:szCs w:val="21"/>
              </w:rPr>
              <w:t>分；</w:t>
            </w:r>
          </w:p>
          <w:p w14:paraId="26B9CA54">
            <w:pPr>
              <w:widowControl/>
              <w:autoSpaceDE w:val="0"/>
              <w:autoSpaceDN w:val="0"/>
              <w:snapToGrid w:val="0"/>
              <w:spacing w:line="360" w:lineRule="auto"/>
              <w:rPr>
                <w:rFonts w:ascii="宋体" w:hAnsi="宋体" w:cs="宋体"/>
                <w:szCs w:val="21"/>
              </w:rPr>
            </w:pPr>
            <w:r>
              <w:rPr>
                <w:rFonts w:hint="eastAsia" w:ascii="宋体" w:hAnsi="宋体" w:cs="宋体"/>
                <w:szCs w:val="21"/>
              </w:rPr>
              <w:t>方案不完整、不细致，符合项目需求，操作性一般得</w:t>
            </w:r>
            <w:r>
              <w:rPr>
                <w:rFonts w:hint="eastAsia" w:ascii="宋体" w:hAnsi="宋体" w:cs="宋体"/>
                <w:szCs w:val="21"/>
                <w:lang w:val="en-US" w:eastAsia="zh-CN"/>
              </w:rPr>
              <w:t>2</w:t>
            </w:r>
            <w:r>
              <w:rPr>
                <w:rFonts w:hint="eastAsia" w:ascii="宋体" w:hAnsi="宋体" w:cs="宋体"/>
                <w:szCs w:val="21"/>
              </w:rPr>
              <w:t>分；</w:t>
            </w:r>
          </w:p>
          <w:p w14:paraId="4093B07D">
            <w:pPr>
              <w:widowControl/>
              <w:autoSpaceDE w:val="0"/>
              <w:autoSpaceDN w:val="0"/>
              <w:snapToGrid w:val="0"/>
              <w:spacing w:line="360" w:lineRule="auto"/>
              <w:rPr>
                <w:rFonts w:ascii="宋体" w:hAnsi="宋体" w:cs="宋体"/>
                <w:szCs w:val="21"/>
              </w:rPr>
            </w:pPr>
            <w:r>
              <w:rPr>
                <w:rFonts w:hint="eastAsia" w:ascii="宋体" w:hAnsi="宋体" w:cs="宋体"/>
                <w:szCs w:val="21"/>
              </w:rPr>
              <w:t>方案不完整、不细致，与项目需求响应度低，操作性差得</w:t>
            </w:r>
            <w:r>
              <w:rPr>
                <w:rFonts w:hint="eastAsia" w:ascii="宋体" w:hAnsi="宋体" w:cs="宋体"/>
                <w:szCs w:val="21"/>
                <w:lang w:val="en-US" w:eastAsia="zh-CN"/>
              </w:rPr>
              <w:t>1</w:t>
            </w:r>
            <w:r>
              <w:rPr>
                <w:rFonts w:hint="eastAsia" w:ascii="宋体" w:hAnsi="宋体" w:cs="宋体"/>
                <w:szCs w:val="21"/>
              </w:rPr>
              <w:t>分；</w:t>
            </w:r>
          </w:p>
          <w:p w14:paraId="7CE6792F">
            <w:pPr>
              <w:spacing w:line="360" w:lineRule="auto"/>
              <w:rPr>
                <w:rFonts w:ascii="宋体" w:hAnsi="宋体" w:cs="宋体"/>
                <w:szCs w:val="21"/>
              </w:rPr>
            </w:pPr>
            <w:r>
              <w:rPr>
                <w:rFonts w:hint="eastAsia" w:ascii="宋体" w:hAnsi="宋体" w:cs="宋体"/>
                <w:szCs w:val="21"/>
              </w:rPr>
              <w:t>未提供方案不得分。</w:t>
            </w:r>
          </w:p>
        </w:tc>
        <w:tc>
          <w:tcPr>
            <w:tcW w:w="292" w:type="pct"/>
            <w:tcBorders>
              <w:top w:val="single" w:color="auto" w:sz="4" w:space="0"/>
              <w:left w:val="single" w:color="auto" w:sz="4" w:space="0"/>
              <w:bottom w:val="single" w:color="auto" w:sz="4" w:space="0"/>
              <w:right w:val="single" w:color="auto" w:sz="4" w:space="0"/>
            </w:tcBorders>
            <w:vAlign w:val="center"/>
          </w:tcPr>
          <w:p w14:paraId="30C3EEBF">
            <w:pPr>
              <w:spacing w:line="360" w:lineRule="auto"/>
              <w:jc w:val="center"/>
              <w:rPr>
                <w:rFonts w:hint="eastAsia" w:ascii="宋体" w:hAnsi="宋体" w:eastAsia="宋体" w:cs="宋体"/>
                <w:szCs w:val="21"/>
                <w:lang w:eastAsia="zh-CN"/>
              </w:rPr>
            </w:pPr>
            <w:r>
              <w:rPr>
                <w:rFonts w:hint="eastAsia" w:ascii="宋体" w:hAnsi="宋体" w:cs="宋体"/>
                <w:szCs w:val="21"/>
                <w:lang w:val="en-US" w:eastAsia="zh-CN"/>
              </w:rPr>
              <w:t>6</w:t>
            </w:r>
          </w:p>
        </w:tc>
      </w:tr>
      <w:tr w14:paraId="17DA3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3" w:hRule="atLeast"/>
          <w:jc w:val="center"/>
        </w:trPr>
        <w:tc>
          <w:tcPr>
            <w:tcW w:w="284" w:type="pct"/>
            <w:vMerge w:val="continue"/>
            <w:tcBorders>
              <w:left w:val="single" w:color="auto" w:sz="4" w:space="0"/>
              <w:right w:val="single" w:color="auto" w:sz="4" w:space="0"/>
            </w:tcBorders>
            <w:vAlign w:val="center"/>
          </w:tcPr>
          <w:p w14:paraId="1F8C4514">
            <w:pPr>
              <w:spacing w:line="360" w:lineRule="auto"/>
              <w:jc w:val="center"/>
              <w:rPr>
                <w:rFonts w:ascii="宋体" w:hAnsi="宋体" w:cs="宋体"/>
                <w:szCs w:val="21"/>
              </w:rPr>
            </w:pPr>
          </w:p>
        </w:tc>
        <w:tc>
          <w:tcPr>
            <w:tcW w:w="625" w:type="pct"/>
            <w:tcBorders>
              <w:top w:val="single" w:color="auto" w:sz="4" w:space="0"/>
              <w:left w:val="single" w:color="auto" w:sz="4" w:space="0"/>
              <w:bottom w:val="single" w:color="auto" w:sz="4" w:space="0"/>
              <w:right w:val="single" w:color="auto" w:sz="4" w:space="0"/>
            </w:tcBorders>
            <w:vAlign w:val="center"/>
          </w:tcPr>
          <w:p w14:paraId="6342CF6E">
            <w:pPr>
              <w:spacing w:line="360" w:lineRule="auto"/>
              <w:jc w:val="center"/>
              <w:rPr>
                <w:rFonts w:ascii="宋体" w:hAnsi="宋体" w:cs="宋体"/>
                <w:szCs w:val="21"/>
              </w:rPr>
            </w:pPr>
            <w:r>
              <w:rPr>
                <w:rFonts w:hint="eastAsia" w:ascii="宋体" w:hAnsi="宋体" w:cs="宋体"/>
                <w:szCs w:val="21"/>
              </w:rPr>
              <w:t>安全施工措施</w:t>
            </w:r>
          </w:p>
        </w:tc>
        <w:tc>
          <w:tcPr>
            <w:tcW w:w="3798" w:type="pct"/>
            <w:tcBorders>
              <w:top w:val="single" w:color="auto" w:sz="4" w:space="0"/>
              <w:left w:val="single" w:color="auto" w:sz="4" w:space="0"/>
              <w:bottom w:val="single" w:color="auto" w:sz="4" w:space="0"/>
              <w:right w:val="single" w:color="auto" w:sz="4" w:space="0"/>
            </w:tcBorders>
            <w:shd w:val="clear" w:color="auto" w:fill="auto"/>
            <w:vAlign w:val="center"/>
          </w:tcPr>
          <w:p w14:paraId="151C8D86">
            <w:pPr>
              <w:widowControl/>
              <w:autoSpaceDE w:val="0"/>
              <w:autoSpaceDN w:val="0"/>
              <w:snapToGrid w:val="0"/>
              <w:spacing w:line="360" w:lineRule="auto"/>
              <w:rPr>
                <w:rFonts w:ascii="宋体" w:hAnsi="宋体" w:cs="宋体"/>
                <w:szCs w:val="21"/>
              </w:rPr>
            </w:pPr>
            <w:r>
              <w:rPr>
                <w:rFonts w:hint="eastAsia" w:ascii="宋体" w:hAnsi="宋体" w:cs="宋体"/>
                <w:szCs w:val="21"/>
              </w:rPr>
              <w:t>提供安全保证体系及安全防护措施：</w:t>
            </w:r>
          </w:p>
          <w:p w14:paraId="036E0A00">
            <w:pPr>
              <w:widowControl/>
              <w:autoSpaceDE w:val="0"/>
              <w:autoSpaceDN w:val="0"/>
              <w:snapToGrid w:val="0"/>
              <w:spacing w:line="360" w:lineRule="auto"/>
              <w:rPr>
                <w:rFonts w:ascii="宋体" w:hAnsi="宋体" w:cs="宋体"/>
                <w:szCs w:val="21"/>
              </w:rPr>
            </w:pPr>
            <w:r>
              <w:rPr>
                <w:rFonts w:hint="eastAsia" w:ascii="宋体" w:hAnsi="宋体" w:cs="宋体"/>
                <w:szCs w:val="21"/>
              </w:rPr>
              <w:t>方案完整、细致，完全符合项目需求，操作性强得</w:t>
            </w:r>
            <w:r>
              <w:rPr>
                <w:rFonts w:hint="eastAsia" w:ascii="宋体" w:hAnsi="宋体" w:cs="宋体"/>
                <w:szCs w:val="21"/>
                <w:lang w:val="en-US" w:eastAsia="zh-CN"/>
              </w:rPr>
              <w:t>3</w:t>
            </w:r>
            <w:r>
              <w:rPr>
                <w:rFonts w:hint="eastAsia" w:ascii="宋体" w:hAnsi="宋体" w:cs="宋体"/>
                <w:szCs w:val="21"/>
              </w:rPr>
              <w:t>分；</w:t>
            </w:r>
          </w:p>
          <w:p w14:paraId="2F825DF2">
            <w:pPr>
              <w:widowControl/>
              <w:autoSpaceDE w:val="0"/>
              <w:autoSpaceDN w:val="0"/>
              <w:snapToGrid w:val="0"/>
              <w:spacing w:line="360" w:lineRule="auto"/>
              <w:rPr>
                <w:rFonts w:ascii="宋体" w:hAnsi="宋体" w:cs="宋体"/>
                <w:szCs w:val="21"/>
              </w:rPr>
            </w:pPr>
            <w:r>
              <w:rPr>
                <w:rFonts w:hint="eastAsia" w:ascii="宋体" w:hAnsi="宋体" w:cs="宋体"/>
                <w:szCs w:val="21"/>
              </w:rPr>
              <w:t>方案较为完整、细致，符合项目需求，操作性</w:t>
            </w:r>
            <w:r>
              <w:rPr>
                <w:rFonts w:hint="eastAsia" w:ascii="宋体" w:hAnsi="宋体" w:cs="宋体"/>
                <w:szCs w:val="21"/>
                <w:lang w:val="en-US" w:eastAsia="zh-CN"/>
              </w:rPr>
              <w:t>较强</w:t>
            </w:r>
            <w:r>
              <w:rPr>
                <w:rFonts w:hint="eastAsia" w:ascii="宋体" w:hAnsi="宋体" w:cs="宋体"/>
                <w:szCs w:val="21"/>
              </w:rPr>
              <w:t>得</w:t>
            </w:r>
            <w:r>
              <w:rPr>
                <w:rFonts w:hint="eastAsia" w:ascii="宋体" w:hAnsi="宋体" w:cs="宋体"/>
                <w:szCs w:val="21"/>
                <w:lang w:val="en-US" w:eastAsia="zh-CN"/>
              </w:rPr>
              <w:t>2</w:t>
            </w:r>
            <w:r>
              <w:rPr>
                <w:rFonts w:hint="eastAsia" w:ascii="宋体" w:hAnsi="宋体" w:cs="宋体"/>
                <w:szCs w:val="21"/>
              </w:rPr>
              <w:t>分；</w:t>
            </w:r>
          </w:p>
          <w:p w14:paraId="375ACC61">
            <w:pPr>
              <w:widowControl/>
              <w:autoSpaceDE w:val="0"/>
              <w:autoSpaceDN w:val="0"/>
              <w:snapToGrid w:val="0"/>
              <w:spacing w:line="360" w:lineRule="auto"/>
              <w:rPr>
                <w:rFonts w:ascii="宋体" w:hAnsi="宋体" w:cs="宋体"/>
                <w:szCs w:val="21"/>
              </w:rPr>
            </w:pPr>
            <w:r>
              <w:rPr>
                <w:rFonts w:hint="eastAsia" w:ascii="宋体" w:hAnsi="宋体" w:cs="宋体"/>
                <w:szCs w:val="21"/>
              </w:rPr>
              <w:t>方案不完整、不细致，符合项目需求，操作性一般得</w:t>
            </w:r>
            <w:r>
              <w:rPr>
                <w:rFonts w:hint="eastAsia" w:ascii="宋体" w:hAnsi="宋体" w:cs="宋体"/>
                <w:szCs w:val="21"/>
                <w:lang w:val="en-US" w:eastAsia="zh-CN"/>
              </w:rPr>
              <w:t>1</w:t>
            </w:r>
            <w:r>
              <w:rPr>
                <w:rFonts w:hint="eastAsia" w:ascii="宋体" w:hAnsi="宋体" w:cs="宋体"/>
                <w:szCs w:val="21"/>
              </w:rPr>
              <w:t>分；</w:t>
            </w:r>
          </w:p>
          <w:p w14:paraId="36BD9DE5">
            <w:pPr>
              <w:widowControl/>
              <w:autoSpaceDE w:val="0"/>
              <w:autoSpaceDN w:val="0"/>
              <w:snapToGrid w:val="0"/>
              <w:spacing w:line="360" w:lineRule="auto"/>
              <w:rPr>
                <w:rFonts w:ascii="宋体" w:hAnsi="宋体" w:cs="宋体"/>
                <w:szCs w:val="21"/>
              </w:rPr>
            </w:pPr>
            <w:r>
              <w:rPr>
                <w:rFonts w:hint="eastAsia" w:ascii="宋体" w:hAnsi="宋体" w:cs="宋体"/>
                <w:szCs w:val="21"/>
              </w:rPr>
              <w:t>未提供方案不得分。</w:t>
            </w:r>
          </w:p>
        </w:tc>
        <w:tc>
          <w:tcPr>
            <w:tcW w:w="292" w:type="pct"/>
            <w:tcBorders>
              <w:top w:val="single" w:color="auto" w:sz="4" w:space="0"/>
              <w:left w:val="single" w:color="auto" w:sz="4" w:space="0"/>
              <w:bottom w:val="single" w:color="auto" w:sz="4" w:space="0"/>
              <w:right w:val="single" w:color="auto" w:sz="4" w:space="0"/>
            </w:tcBorders>
            <w:vAlign w:val="center"/>
          </w:tcPr>
          <w:p w14:paraId="235F3DFF">
            <w:pPr>
              <w:spacing w:line="360" w:lineRule="auto"/>
              <w:jc w:val="center"/>
              <w:rPr>
                <w:rFonts w:hint="eastAsia" w:ascii="宋体" w:hAnsi="宋体" w:eastAsia="宋体" w:cs="宋体"/>
                <w:szCs w:val="21"/>
                <w:lang w:eastAsia="zh-CN"/>
              </w:rPr>
            </w:pPr>
            <w:r>
              <w:rPr>
                <w:rFonts w:hint="eastAsia" w:ascii="宋体" w:hAnsi="宋体" w:cs="宋体"/>
                <w:szCs w:val="21"/>
                <w:lang w:val="en-US" w:eastAsia="zh-CN"/>
              </w:rPr>
              <w:t>3</w:t>
            </w:r>
          </w:p>
        </w:tc>
      </w:tr>
      <w:tr w14:paraId="5685E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3" w:hRule="atLeast"/>
          <w:jc w:val="center"/>
        </w:trPr>
        <w:tc>
          <w:tcPr>
            <w:tcW w:w="284" w:type="pct"/>
            <w:vMerge w:val="continue"/>
            <w:tcBorders>
              <w:left w:val="single" w:color="auto" w:sz="4" w:space="0"/>
              <w:right w:val="single" w:color="auto" w:sz="4" w:space="0"/>
            </w:tcBorders>
            <w:vAlign w:val="center"/>
          </w:tcPr>
          <w:p w14:paraId="298B529D">
            <w:pPr>
              <w:spacing w:line="360" w:lineRule="auto"/>
              <w:jc w:val="center"/>
              <w:rPr>
                <w:rFonts w:ascii="宋体" w:hAnsi="宋体" w:cs="宋体"/>
                <w:szCs w:val="21"/>
              </w:rPr>
            </w:pPr>
          </w:p>
        </w:tc>
        <w:tc>
          <w:tcPr>
            <w:tcW w:w="625" w:type="pct"/>
            <w:tcBorders>
              <w:top w:val="single" w:color="auto" w:sz="4" w:space="0"/>
              <w:left w:val="single" w:color="auto" w:sz="4" w:space="0"/>
              <w:bottom w:val="single" w:color="auto" w:sz="4" w:space="0"/>
              <w:right w:val="single" w:color="auto" w:sz="4" w:space="0"/>
            </w:tcBorders>
            <w:vAlign w:val="center"/>
          </w:tcPr>
          <w:p w14:paraId="60ED2AB9">
            <w:pPr>
              <w:spacing w:line="360" w:lineRule="auto"/>
              <w:jc w:val="center"/>
              <w:rPr>
                <w:rFonts w:ascii="宋体" w:hAnsi="宋体" w:cs="宋体"/>
                <w:szCs w:val="21"/>
              </w:rPr>
            </w:pPr>
            <w:r>
              <w:rPr>
                <w:rFonts w:hint="eastAsia" w:ascii="宋体" w:hAnsi="宋体" w:cs="宋体"/>
                <w:szCs w:val="21"/>
              </w:rPr>
              <w:t>质量、工期保证措施</w:t>
            </w:r>
          </w:p>
        </w:tc>
        <w:tc>
          <w:tcPr>
            <w:tcW w:w="3798" w:type="pct"/>
            <w:tcBorders>
              <w:top w:val="single" w:color="auto" w:sz="4" w:space="0"/>
              <w:left w:val="single" w:color="auto" w:sz="4" w:space="0"/>
              <w:bottom w:val="single" w:color="auto" w:sz="4" w:space="0"/>
              <w:right w:val="single" w:color="auto" w:sz="4" w:space="0"/>
            </w:tcBorders>
            <w:shd w:val="clear" w:color="auto" w:fill="auto"/>
            <w:vAlign w:val="center"/>
          </w:tcPr>
          <w:p w14:paraId="058CE54F">
            <w:pPr>
              <w:widowControl/>
              <w:autoSpaceDE w:val="0"/>
              <w:autoSpaceDN w:val="0"/>
              <w:snapToGrid w:val="0"/>
              <w:spacing w:line="360" w:lineRule="auto"/>
              <w:rPr>
                <w:rFonts w:ascii="宋体" w:hAnsi="宋体" w:cs="宋体"/>
                <w:szCs w:val="21"/>
              </w:rPr>
            </w:pPr>
            <w:r>
              <w:rPr>
                <w:rFonts w:hint="eastAsia" w:ascii="宋体" w:hAnsi="宋体" w:cs="宋体"/>
                <w:szCs w:val="21"/>
              </w:rPr>
              <w:t>能够有效实施管理工作，采取科学合理的措施保证工程的质量、工期：</w:t>
            </w:r>
          </w:p>
          <w:p w14:paraId="0945C2F9">
            <w:pPr>
              <w:widowControl/>
              <w:autoSpaceDE w:val="0"/>
              <w:autoSpaceDN w:val="0"/>
              <w:snapToGrid w:val="0"/>
              <w:spacing w:line="360" w:lineRule="auto"/>
              <w:rPr>
                <w:rFonts w:ascii="宋体" w:hAnsi="宋体" w:cs="宋体"/>
                <w:szCs w:val="21"/>
              </w:rPr>
            </w:pPr>
            <w:r>
              <w:rPr>
                <w:rFonts w:hint="eastAsia" w:ascii="宋体" w:hAnsi="宋体" w:cs="宋体"/>
                <w:szCs w:val="21"/>
              </w:rPr>
              <w:t>措施方案完整、细致，完全符合项目需求，操作性强得</w:t>
            </w:r>
            <w:r>
              <w:rPr>
                <w:rFonts w:hint="eastAsia" w:ascii="宋体" w:hAnsi="宋体" w:cs="宋体"/>
                <w:szCs w:val="21"/>
                <w:lang w:val="en-US" w:eastAsia="zh-CN"/>
              </w:rPr>
              <w:t>6</w:t>
            </w:r>
            <w:r>
              <w:rPr>
                <w:rFonts w:hint="eastAsia" w:ascii="宋体" w:hAnsi="宋体" w:cs="宋体"/>
                <w:szCs w:val="21"/>
              </w:rPr>
              <w:t>分；</w:t>
            </w:r>
          </w:p>
          <w:p w14:paraId="54557192">
            <w:pPr>
              <w:widowControl/>
              <w:autoSpaceDE w:val="0"/>
              <w:autoSpaceDN w:val="0"/>
              <w:snapToGrid w:val="0"/>
              <w:spacing w:line="360" w:lineRule="auto"/>
              <w:rPr>
                <w:rFonts w:ascii="宋体" w:hAnsi="宋体" w:cs="宋体"/>
                <w:szCs w:val="21"/>
              </w:rPr>
            </w:pPr>
            <w:r>
              <w:rPr>
                <w:rFonts w:hint="eastAsia" w:ascii="宋体" w:hAnsi="宋体" w:cs="宋体"/>
                <w:szCs w:val="21"/>
              </w:rPr>
              <w:t>措施方案较为完整、细致，符合项目需求，操作性</w:t>
            </w:r>
            <w:r>
              <w:rPr>
                <w:rFonts w:hint="eastAsia" w:ascii="宋体" w:hAnsi="宋体" w:cs="宋体"/>
                <w:szCs w:val="21"/>
                <w:lang w:val="en-US" w:eastAsia="zh-CN"/>
              </w:rPr>
              <w:t>较强</w:t>
            </w:r>
            <w:r>
              <w:rPr>
                <w:rFonts w:hint="eastAsia" w:ascii="宋体" w:hAnsi="宋体" w:cs="宋体"/>
                <w:szCs w:val="21"/>
              </w:rPr>
              <w:t>得</w:t>
            </w:r>
            <w:r>
              <w:rPr>
                <w:rFonts w:hint="eastAsia" w:ascii="宋体" w:hAnsi="宋体" w:cs="宋体"/>
                <w:szCs w:val="21"/>
                <w:lang w:val="en-US" w:eastAsia="zh-CN"/>
              </w:rPr>
              <w:t>4</w:t>
            </w:r>
            <w:r>
              <w:rPr>
                <w:rFonts w:hint="eastAsia" w:ascii="宋体" w:hAnsi="宋体" w:cs="宋体"/>
                <w:szCs w:val="21"/>
              </w:rPr>
              <w:t>分；</w:t>
            </w:r>
          </w:p>
          <w:p w14:paraId="6CF2C0D5">
            <w:pPr>
              <w:widowControl/>
              <w:autoSpaceDE w:val="0"/>
              <w:autoSpaceDN w:val="0"/>
              <w:snapToGrid w:val="0"/>
              <w:spacing w:line="360" w:lineRule="auto"/>
              <w:rPr>
                <w:rFonts w:ascii="宋体" w:hAnsi="宋体" w:cs="宋体"/>
                <w:szCs w:val="21"/>
              </w:rPr>
            </w:pPr>
            <w:r>
              <w:rPr>
                <w:rFonts w:hint="eastAsia" w:ascii="宋体" w:hAnsi="宋体" w:cs="宋体"/>
                <w:szCs w:val="21"/>
              </w:rPr>
              <w:t>措施方案不完整、不细致，符合项目需求，操作性一般得2分；</w:t>
            </w:r>
          </w:p>
          <w:p w14:paraId="37DCA091">
            <w:pPr>
              <w:widowControl/>
              <w:autoSpaceDE w:val="0"/>
              <w:autoSpaceDN w:val="0"/>
              <w:snapToGrid w:val="0"/>
              <w:spacing w:line="360" w:lineRule="auto"/>
              <w:rPr>
                <w:rFonts w:ascii="宋体" w:hAnsi="宋体" w:cs="宋体"/>
                <w:szCs w:val="21"/>
              </w:rPr>
            </w:pPr>
            <w:r>
              <w:rPr>
                <w:rFonts w:hint="eastAsia" w:ascii="宋体" w:hAnsi="宋体" w:cs="宋体"/>
                <w:szCs w:val="21"/>
              </w:rPr>
              <w:t>措施方案不完整、不细致，与项目需求响应度低，操作性差得1分；</w:t>
            </w:r>
          </w:p>
          <w:p w14:paraId="2608B7D0">
            <w:pPr>
              <w:widowControl/>
              <w:autoSpaceDE w:val="0"/>
              <w:autoSpaceDN w:val="0"/>
              <w:snapToGrid w:val="0"/>
              <w:spacing w:line="360" w:lineRule="auto"/>
              <w:rPr>
                <w:rFonts w:ascii="宋体" w:hAnsi="宋体" w:cs="宋体"/>
                <w:szCs w:val="21"/>
              </w:rPr>
            </w:pPr>
            <w:r>
              <w:rPr>
                <w:rFonts w:hint="eastAsia" w:ascii="宋体" w:hAnsi="宋体" w:cs="宋体"/>
                <w:szCs w:val="21"/>
              </w:rPr>
              <w:t>未提供方案不得分。</w:t>
            </w:r>
          </w:p>
        </w:tc>
        <w:tc>
          <w:tcPr>
            <w:tcW w:w="292" w:type="pct"/>
            <w:tcBorders>
              <w:top w:val="single" w:color="auto" w:sz="4" w:space="0"/>
              <w:left w:val="single" w:color="auto" w:sz="4" w:space="0"/>
              <w:right w:val="single" w:color="auto" w:sz="4" w:space="0"/>
            </w:tcBorders>
            <w:vAlign w:val="center"/>
          </w:tcPr>
          <w:p w14:paraId="378077EF">
            <w:pPr>
              <w:spacing w:line="360" w:lineRule="auto"/>
              <w:jc w:val="center"/>
              <w:rPr>
                <w:rFonts w:hint="eastAsia" w:ascii="宋体" w:hAnsi="宋体" w:eastAsia="宋体" w:cs="宋体"/>
                <w:szCs w:val="21"/>
                <w:lang w:eastAsia="zh-CN"/>
              </w:rPr>
            </w:pPr>
            <w:r>
              <w:rPr>
                <w:rFonts w:hint="eastAsia" w:ascii="宋体" w:hAnsi="宋体" w:cs="宋体"/>
                <w:szCs w:val="21"/>
                <w:lang w:val="en-US" w:eastAsia="zh-CN"/>
              </w:rPr>
              <w:t>6</w:t>
            </w:r>
          </w:p>
        </w:tc>
      </w:tr>
      <w:tr w14:paraId="256F1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3" w:hRule="atLeast"/>
          <w:jc w:val="center"/>
        </w:trPr>
        <w:tc>
          <w:tcPr>
            <w:tcW w:w="284" w:type="pct"/>
            <w:vMerge w:val="continue"/>
            <w:tcBorders>
              <w:left w:val="single" w:color="auto" w:sz="4" w:space="0"/>
              <w:right w:val="single" w:color="auto" w:sz="4" w:space="0"/>
            </w:tcBorders>
            <w:vAlign w:val="center"/>
          </w:tcPr>
          <w:p w14:paraId="6B49AB19">
            <w:pPr>
              <w:spacing w:line="360" w:lineRule="auto"/>
              <w:jc w:val="center"/>
              <w:rPr>
                <w:rFonts w:ascii="宋体" w:hAnsi="宋体" w:cs="宋体"/>
                <w:szCs w:val="21"/>
              </w:rPr>
            </w:pPr>
          </w:p>
        </w:tc>
        <w:tc>
          <w:tcPr>
            <w:tcW w:w="625" w:type="pct"/>
            <w:tcBorders>
              <w:top w:val="single" w:color="auto" w:sz="4" w:space="0"/>
              <w:left w:val="single" w:color="auto" w:sz="4" w:space="0"/>
              <w:bottom w:val="single" w:color="auto" w:sz="4" w:space="0"/>
              <w:right w:val="single" w:color="auto" w:sz="4" w:space="0"/>
            </w:tcBorders>
            <w:vAlign w:val="center"/>
          </w:tcPr>
          <w:p w14:paraId="0435CEB4">
            <w:pPr>
              <w:spacing w:line="360" w:lineRule="auto"/>
              <w:jc w:val="center"/>
              <w:rPr>
                <w:rFonts w:ascii="宋体" w:hAnsi="宋体" w:cs="宋体"/>
                <w:szCs w:val="21"/>
              </w:rPr>
            </w:pPr>
            <w:r>
              <w:rPr>
                <w:rFonts w:hint="eastAsia" w:ascii="宋体" w:hAnsi="宋体" w:cs="宋体"/>
                <w:szCs w:val="21"/>
              </w:rPr>
              <w:t xml:space="preserve">针对性措施 </w:t>
            </w:r>
          </w:p>
        </w:tc>
        <w:tc>
          <w:tcPr>
            <w:tcW w:w="3798" w:type="pct"/>
            <w:tcBorders>
              <w:top w:val="single" w:color="auto" w:sz="4" w:space="0"/>
              <w:left w:val="single" w:color="auto" w:sz="4" w:space="0"/>
              <w:bottom w:val="single" w:color="auto" w:sz="4" w:space="0"/>
              <w:right w:val="single" w:color="auto" w:sz="4" w:space="0"/>
            </w:tcBorders>
            <w:shd w:val="clear" w:color="auto" w:fill="auto"/>
            <w:vAlign w:val="center"/>
          </w:tcPr>
          <w:p w14:paraId="1F47832B">
            <w:pPr>
              <w:widowControl/>
              <w:autoSpaceDE w:val="0"/>
              <w:autoSpaceDN w:val="0"/>
              <w:snapToGrid w:val="0"/>
              <w:spacing w:line="360" w:lineRule="auto"/>
              <w:rPr>
                <w:rFonts w:ascii="宋体" w:hAnsi="宋体" w:cs="宋体"/>
                <w:szCs w:val="21"/>
              </w:rPr>
            </w:pPr>
            <w:r>
              <w:rPr>
                <w:rFonts w:hint="eastAsia" w:ascii="宋体" w:hAnsi="宋体" w:cs="宋体"/>
                <w:szCs w:val="21"/>
              </w:rPr>
              <w:t>供应商根据本工程特点，提供针对性措施方案：</w:t>
            </w:r>
          </w:p>
          <w:p w14:paraId="157FCFCE">
            <w:pPr>
              <w:widowControl/>
              <w:autoSpaceDE w:val="0"/>
              <w:autoSpaceDN w:val="0"/>
              <w:snapToGrid w:val="0"/>
              <w:spacing w:line="360" w:lineRule="auto"/>
              <w:rPr>
                <w:rFonts w:ascii="宋体" w:hAnsi="宋体" w:cs="宋体"/>
                <w:szCs w:val="21"/>
              </w:rPr>
            </w:pPr>
            <w:r>
              <w:rPr>
                <w:rFonts w:hint="eastAsia" w:ascii="宋体" w:hAnsi="宋体" w:cs="宋体"/>
                <w:szCs w:val="21"/>
              </w:rPr>
              <w:t>措施方案完整、细致，完全符合项目需求，操作性强得</w:t>
            </w:r>
            <w:r>
              <w:rPr>
                <w:rFonts w:hint="eastAsia" w:ascii="宋体" w:hAnsi="宋体" w:cs="宋体"/>
                <w:szCs w:val="21"/>
                <w:lang w:val="en-US" w:eastAsia="zh-CN"/>
              </w:rPr>
              <w:t>4</w:t>
            </w:r>
            <w:r>
              <w:rPr>
                <w:rFonts w:hint="eastAsia" w:ascii="宋体" w:hAnsi="宋体" w:cs="宋体"/>
                <w:szCs w:val="21"/>
              </w:rPr>
              <w:t>分；</w:t>
            </w:r>
          </w:p>
          <w:p w14:paraId="6353DABD">
            <w:pPr>
              <w:widowControl/>
              <w:autoSpaceDE w:val="0"/>
              <w:autoSpaceDN w:val="0"/>
              <w:snapToGrid w:val="0"/>
              <w:spacing w:line="360" w:lineRule="auto"/>
              <w:rPr>
                <w:rFonts w:ascii="宋体" w:hAnsi="宋体" w:cs="宋体"/>
                <w:szCs w:val="21"/>
              </w:rPr>
            </w:pPr>
            <w:r>
              <w:rPr>
                <w:rFonts w:hint="eastAsia" w:ascii="宋体" w:hAnsi="宋体" w:cs="宋体"/>
                <w:szCs w:val="21"/>
              </w:rPr>
              <w:t>措施方案较为完整、细致，符合项目需求，操作性</w:t>
            </w:r>
            <w:r>
              <w:rPr>
                <w:rFonts w:hint="eastAsia" w:ascii="宋体" w:hAnsi="宋体" w:cs="宋体"/>
                <w:szCs w:val="21"/>
                <w:lang w:val="en-US" w:eastAsia="zh-CN"/>
              </w:rPr>
              <w:t>较强</w:t>
            </w:r>
            <w:r>
              <w:rPr>
                <w:rFonts w:hint="eastAsia" w:ascii="宋体" w:hAnsi="宋体" w:cs="宋体"/>
                <w:szCs w:val="21"/>
              </w:rPr>
              <w:t>得</w:t>
            </w:r>
            <w:r>
              <w:rPr>
                <w:rFonts w:hint="eastAsia" w:ascii="宋体" w:hAnsi="宋体" w:cs="宋体"/>
                <w:szCs w:val="21"/>
                <w:lang w:val="en-US" w:eastAsia="zh-CN"/>
              </w:rPr>
              <w:t>2</w:t>
            </w:r>
            <w:r>
              <w:rPr>
                <w:rFonts w:hint="eastAsia" w:ascii="宋体" w:hAnsi="宋体" w:cs="宋体"/>
                <w:szCs w:val="21"/>
              </w:rPr>
              <w:t>分；</w:t>
            </w:r>
          </w:p>
          <w:p w14:paraId="22FB7AC0">
            <w:pPr>
              <w:widowControl/>
              <w:autoSpaceDE w:val="0"/>
              <w:autoSpaceDN w:val="0"/>
              <w:snapToGrid w:val="0"/>
              <w:spacing w:line="360" w:lineRule="auto"/>
              <w:rPr>
                <w:rFonts w:ascii="宋体" w:hAnsi="宋体" w:cs="宋体"/>
                <w:szCs w:val="21"/>
              </w:rPr>
            </w:pPr>
            <w:r>
              <w:rPr>
                <w:rFonts w:hint="eastAsia" w:ascii="宋体" w:hAnsi="宋体" w:cs="宋体"/>
                <w:szCs w:val="21"/>
              </w:rPr>
              <w:t>措施方案不完整、不细致，符合项目需求，操作性一般得</w:t>
            </w:r>
            <w:r>
              <w:rPr>
                <w:rFonts w:hint="eastAsia" w:ascii="宋体" w:hAnsi="宋体" w:cs="宋体"/>
                <w:szCs w:val="21"/>
                <w:lang w:val="en-US" w:eastAsia="zh-CN"/>
              </w:rPr>
              <w:t>1</w:t>
            </w:r>
            <w:r>
              <w:rPr>
                <w:rFonts w:hint="eastAsia" w:ascii="宋体" w:hAnsi="宋体" w:cs="宋体"/>
                <w:szCs w:val="21"/>
              </w:rPr>
              <w:t>分；</w:t>
            </w:r>
          </w:p>
          <w:p w14:paraId="49283027">
            <w:pPr>
              <w:widowControl/>
              <w:autoSpaceDE w:val="0"/>
              <w:autoSpaceDN w:val="0"/>
              <w:snapToGrid w:val="0"/>
              <w:spacing w:line="360" w:lineRule="auto"/>
              <w:rPr>
                <w:rFonts w:ascii="宋体" w:hAnsi="宋体" w:cs="宋体"/>
                <w:szCs w:val="21"/>
              </w:rPr>
            </w:pPr>
            <w:r>
              <w:rPr>
                <w:rFonts w:hint="eastAsia" w:ascii="宋体" w:hAnsi="宋体" w:cs="宋体"/>
                <w:szCs w:val="21"/>
              </w:rPr>
              <w:t>未提供方案不得分。</w:t>
            </w:r>
          </w:p>
        </w:tc>
        <w:tc>
          <w:tcPr>
            <w:tcW w:w="292" w:type="pct"/>
            <w:tcBorders>
              <w:top w:val="single" w:color="auto" w:sz="4" w:space="0"/>
              <w:left w:val="single" w:color="auto" w:sz="4" w:space="0"/>
              <w:right w:val="single" w:color="auto" w:sz="4" w:space="0"/>
            </w:tcBorders>
            <w:vAlign w:val="center"/>
          </w:tcPr>
          <w:p w14:paraId="25CC308C">
            <w:pPr>
              <w:spacing w:line="360" w:lineRule="auto"/>
              <w:jc w:val="center"/>
              <w:rPr>
                <w:rFonts w:hint="eastAsia" w:ascii="宋体" w:hAnsi="宋体" w:eastAsia="宋体" w:cs="宋体"/>
                <w:szCs w:val="21"/>
                <w:lang w:eastAsia="zh-CN"/>
              </w:rPr>
            </w:pPr>
            <w:r>
              <w:rPr>
                <w:rFonts w:hint="eastAsia" w:ascii="宋体" w:hAnsi="宋体" w:cs="宋体"/>
                <w:szCs w:val="21"/>
                <w:lang w:val="en-US" w:eastAsia="zh-CN"/>
              </w:rPr>
              <w:t>4</w:t>
            </w:r>
          </w:p>
        </w:tc>
      </w:tr>
      <w:tr w14:paraId="2BADE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3" w:hRule="atLeast"/>
          <w:jc w:val="center"/>
        </w:trPr>
        <w:tc>
          <w:tcPr>
            <w:tcW w:w="284" w:type="pct"/>
            <w:vMerge w:val="continue"/>
            <w:tcBorders>
              <w:left w:val="single" w:color="auto" w:sz="4" w:space="0"/>
              <w:right w:val="single" w:color="auto" w:sz="4" w:space="0"/>
            </w:tcBorders>
            <w:vAlign w:val="center"/>
          </w:tcPr>
          <w:p w14:paraId="3310F93C">
            <w:pPr>
              <w:spacing w:line="360" w:lineRule="auto"/>
              <w:jc w:val="center"/>
              <w:rPr>
                <w:rFonts w:ascii="宋体" w:hAnsi="宋体" w:cs="宋体"/>
                <w:szCs w:val="21"/>
              </w:rPr>
            </w:pPr>
          </w:p>
        </w:tc>
        <w:tc>
          <w:tcPr>
            <w:tcW w:w="625" w:type="pct"/>
            <w:tcBorders>
              <w:top w:val="single" w:color="auto" w:sz="4" w:space="0"/>
              <w:left w:val="single" w:color="auto" w:sz="4" w:space="0"/>
              <w:bottom w:val="single" w:color="auto" w:sz="4" w:space="0"/>
              <w:right w:val="single" w:color="auto" w:sz="4" w:space="0"/>
            </w:tcBorders>
            <w:vAlign w:val="center"/>
          </w:tcPr>
          <w:p w14:paraId="2D363CFA">
            <w:pPr>
              <w:spacing w:line="360" w:lineRule="auto"/>
              <w:jc w:val="center"/>
              <w:rPr>
                <w:rFonts w:ascii="宋体" w:hAnsi="宋体" w:cs="宋体"/>
                <w:szCs w:val="21"/>
              </w:rPr>
            </w:pPr>
            <w:r>
              <w:rPr>
                <w:rFonts w:hint="eastAsia" w:ascii="宋体" w:hAnsi="宋体" w:cs="宋体"/>
                <w:szCs w:val="21"/>
              </w:rPr>
              <w:t xml:space="preserve">技术设备、人力资源安排 </w:t>
            </w:r>
          </w:p>
        </w:tc>
        <w:tc>
          <w:tcPr>
            <w:tcW w:w="3798" w:type="pct"/>
            <w:tcBorders>
              <w:top w:val="single" w:color="auto" w:sz="4" w:space="0"/>
              <w:left w:val="single" w:color="auto" w:sz="4" w:space="0"/>
              <w:bottom w:val="single" w:color="auto" w:sz="4" w:space="0"/>
              <w:right w:val="single" w:color="auto" w:sz="4" w:space="0"/>
            </w:tcBorders>
            <w:shd w:val="clear" w:color="auto" w:fill="auto"/>
            <w:vAlign w:val="center"/>
          </w:tcPr>
          <w:p w14:paraId="14CE15EB">
            <w:pPr>
              <w:widowControl/>
              <w:autoSpaceDE w:val="0"/>
              <w:autoSpaceDN w:val="0"/>
              <w:snapToGrid w:val="0"/>
              <w:spacing w:line="360" w:lineRule="auto"/>
              <w:rPr>
                <w:rFonts w:ascii="宋体" w:hAnsi="宋体" w:cs="宋体"/>
                <w:szCs w:val="21"/>
              </w:rPr>
            </w:pPr>
            <w:r>
              <w:rPr>
                <w:rFonts w:hint="eastAsia" w:ascii="宋体" w:hAnsi="宋体" w:cs="宋体"/>
                <w:szCs w:val="21"/>
              </w:rPr>
              <w:t>供应商根据保证项目实施的技术设备和人力资源安排，提供方案：</w:t>
            </w:r>
          </w:p>
          <w:p w14:paraId="412B9CB5">
            <w:pPr>
              <w:widowControl/>
              <w:autoSpaceDE w:val="0"/>
              <w:autoSpaceDN w:val="0"/>
              <w:snapToGrid w:val="0"/>
              <w:spacing w:line="360" w:lineRule="auto"/>
              <w:rPr>
                <w:rFonts w:ascii="宋体" w:hAnsi="宋体" w:cs="宋体"/>
                <w:szCs w:val="21"/>
              </w:rPr>
            </w:pPr>
            <w:r>
              <w:rPr>
                <w:rFonts w:hint="eastAsia" w:ascii="宋体" w:hAnsi="宋体" w:cs="宋体"/>
                <w:szCs w:val="21"/>
              </w:rPr>
              <w:t>项目投入技术设备选型科学严谨、配置合规合理；管理制度体系完善齐全，使用方案内容详实、贴合项目实际、针对性强；专业技术人员配置足额适配、岗位分工周全，可完全保障项目落地实施的得5分；</w:t>
            </w:r>
          </w:p>
          <w:p w14:paraId="41279868">
            <w:pPr>
              <w:widowControl/>
              <w:autoSpaceDE w:val="0"/>
              <w:autoSpaceDN w:val="0"/>
              <w:snapToGrid w:val="0"/>
              <w:spacing w:line="360" w:lineRule="auto"/>
              <w:rPr>
                <w:rFonts w:ascii="宋体" w:hAnsi="宋体" w:cs="宋体"/>
                <w:szCs w:val="21"/>
              </w:rPr>
            </w:pPr>
            <w:r>
              <w:rPr>
                <w:rFonts w:hint="eastAsia" w:ascii="宋体" w:hAnsi="宋体" w:cs="宋体"/>
                <w:szCs w:val="21"/>
              </w:rPr>
              <w:t>项目投入技术设备配置基本合理，满足项目运行基本需求；管理制度基本健全，使用方案内容完整，无明显缺项；技术人员配置达标，人员分工基本满足项目用工需要，项目实施无实质性阻碍的得3分；</w:t>
            </w:r>
          </w:p>
          <w:p w14:paraId="270EA0A7">
            <w:pPr>
              <w:widowControl/>
              <w:autoSpaceDE w:val="0"/>
              <w:autoSpaceDN w:val="0"/>
              <w:snapToGrid w:val="0"/>
              <w:spacing w:line="360" w:lineRule="auto"/>
              <w:rPr>
                <w:rFonts w:hint="eastAsia" w:ascii="宋体" w:hAnsi="宋体" w:eastAsia="宋体" w:cs="宋体"/>
                <w:szCs w:val="21"/>
                <w:lang w:eastAsia="zh-CN"/>
              </w:rPr>
            </w:pPr>
            <w:r>
              <w:rPr>
                <w:rFonts w:hint="eastAsia" w:ascii="宋体" w:hAnsi="宋体" w:cs="宋体"/>
                <w:szCs w:val="21"/>
              </w:rPr>
              <w:t>项目技术设备配置存在少量短板；管理制度不完善，使用方案简略、针对性不足；技术人员配置缺岗或搭配不合理，对项目正常开展造成一定影响的得2分</w:t>
            </w:r>
            <w:r>
              <w:rPr>
                <w:rFonts w:hint="eastAsia" w:ascii="宋体" w:hAnsi="宋体" w:cs="宋体"/>
                <w:szCs w:val="21"/>
                <w:lang w:eastAsia="zh-CN"/>
              </w:rPr>
              <w:t>；</w:t>
            </w:r>
          </w:p>
          <w:p w14:paraId="7735FC75">
            <w:pPr>
              <w:widowControl/>
              <w:autoSpaceDE w:val="0"/>
              <w:autoSpaceDN w:val="0"/>
              <w:snapToGrid w:val="0"/>
              <w:spacing w:line="360" w:lineRule="auto"/>
              <w:rPr>
                <w:rFonts w:ascii="宋体" w:hAnsi="宋体" w:cs="宋体"/>
                <w:szCs w:val="21"/>
              </w:rPr>
            </w:pPr>
            <w:r>
              <w:rPr>
                <w:rFonts w:hint="eastAsia" w:ascii="宋体" w:hAnsi="宋体" w:cs="宋体"/>
                <w:szCs w:val="21"/>
              </w:rPr>
              <w:t>项目技术设备选型不合理，难以匹配项目需求；管理制度缺失、无完整使用实施方案；技术人员配置严重不足，无法支撑项目正常实施的得1分；</w:t>
            </w:r>
          </w:p>
          <w:p w14:paraId="6D2313E1">
            <w:pPr>
              <w:pStyle w:val="25"/>
              <w:numPr>
                <w:ilvl w:val="0"/>
                <w:numId w:val="0"/>
              </w:numPr>
            </w:pPr>
            <w:r>
              <w:rPr>
                <w:rFonts w:hint="eastAsia" w:ascii="宋体" w:hAnsi="宋体" w:cs="宋体"/>
                <w:szCs w:val="21"/>
              </w:rPr>
              <w:t>未提供方案不得分。</w:t>
            </w:r>
          </w:p>
        </w:tc>
        <w:tc>
          <w:tcPr>
            <w:tcW w:w="292" w:type="pct"/>
            <w:tcBorders>
              <w:top w:val="single" w:color="auto" w:sz="4" w:space="0"/>
              <w:left w:val="single" w:color="auto" w:sz="4" w:space="0"/>
              <w:right w:val="single" w:color="auto" w:sz="4" w:space="0"/>
            </w:tcBorders>
            <w:vAlign w:val="center"/>
          </w:tcPr>
          <w:p w14:paraId="75BE96D8">
            <w:pPr>
              <w:spacing w:line="360" w:lineRule="auto"/>
              <w:jc w:val="center"/>
              <w:rPr>
                <w:rFonts w:ascii="宋体" w:hAnsi="宋体" w:cs="宋体"/>
                <w:szCs w:val="21"/>
              </w:rPr>
            </w:pPr>
            <w:r>
              <w:rPr>
                <w:rFonts w:hint="eastAsia" w:ascii="宋体" w:hAnsi="宋体" w:cs="宋体"/>
                <w:szCs w:val="21"/>
              </w:rPr>
              <w:t>5</w:t>
            </w:r>
          </w:p>
        </w:tc>
      </w:tr>
      <w:tr w14:paraId="54713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284" w:type="pct"/>
            <w:vMerge w:val="continue"/>
            <w:tcBorders>
              <w:left w:val="single" w:color="auto" w:sz="4" w:space="0"/>
              <w:right w:val="single" w:color="auto" w:sz="4" w:space="0"/>
            </w:tcBorders>
            <w:vAlign w:val="center"/>
          </w:tcPr>
          <w:p w14:paraId="67735969">
            <w:pPr>
              <w:spacing w:line="360" w:lineRule="auto"/>
              <w:jc w:val="center"/>
              <w:rPr>
                <w:rFonts w:ascii="宋体" w:hAnsi="宋体" w:cs="宋体"/>
                <w:szCs w:val="21"/>
              </w:rPr>
            </w:pPr>
          </w:p>
        </w:tc>
        <w:tc>
          <w:tcPr>
            <w:tcW w:w="625" w:type="pct"/>
            <w:tcBorders>
              <w:top w:val="single" w:color="auto" w:sz="4" w:space="0"/>
              <w:left w:val="single" w:color="auto" w:sz="4" w:space="0"/>
              <w:bottom w:val="single" w:color="auto" w:sz="4" w:space="0"/>
              <w:right w:val="single" w:color="auto" w:sz="4" w:space="0"/>
            </w:tcBorders>
            <w:vAlign w:val="center"/>
          </w:tcPr>
          <w:p w14:paraId="4F3A0BE0">
            <w:pPr>
              <w:spacing w:line="360" w:lineRule="auto"/>
              <w:jc w:val="center"/>
              <w:rPr>
                <w:rFonts w:ascii="宋体" w:hAnsi="宋体" w:cs="宋体"/>
                <w:szCs w:val="21"/>
              </w:rPr>
            </w:pPr>
            <w:r>
              <w:rPr>
                <w:rFonts w:hint="eastAsia" w:ascii="宋体" w:hAnsi="宋体" w:cs="宋体"/>
                <w:szCs w:val="21"/>
              </w:rPr>
              <w:t>售后服务方案</w:t>
            </w:r>
          </w:p>
        </w:tc>
        <w:tc>
          <w:tcPr>
            <w:tcW w:w="3798" w:type="pct"/>
            <w:tcBorders>
              <w:top w:val="single" w:color="auto" w:sz="4" w:space="0"/>
              <w:left w:val="single" w:color="auto" w:sz="4" w:space="0"/>
              <w:bottom w:val="single" w:color="auto" w:sz="4" w:space="0"/>
              <w:right w:val="single" w:color="auto" w:sz="4" w:space="0"/>
            </w:tcBorders>
            <w:vAlign w:val="center"/>
          </w:tcPr>
          <w:p w14:paraId="00E67E73">
            <w:pPr>
              <w:widowControl/>
              <w:autoSpaceDE w:val="0"/>
              <w:autoSpaceDN w:val="0"/>
              <w:snapToGrid w:val="0"/>
              <w:spacing w:line="360" w:lineRule="auto"/>
              <w:rPr>
                <w:rFonts w:ascii="宋体" w:hAnsi="宋体" w:cs="宋体"/>
                <w:szCs w:val="21"/>
              </w:rPr>
            </w:pPr>
            <w:r>
              <w:rPr>
                <w:rFonts w:hint="eastAsia" w:ascii="宋体" w:hAnsi="宋体" w:cs="宋体"/>
                <w:szCs w:val="21"/>
              </w:rPr>
              <w:t>根据供应商提供的售后服务方案进行评分：</w:t>
            </w:r>
          </w:p>
          <w:p w14:paraId="258DAEBC">
            <w:pPr>
              <w:widowControl/>
              <w:autoSpaceDE w:val="0"/>
              <w:autoSpaceDN w:val="0"/>
              <w:snapToGrid w:val="0"/>
              <w:spacing w:line="360" w:lineRule="auto"/>
              <w:rPr>
                <w:rFonts w:ascii="宋体" w:hAnsi="宋体" w:cs="宋体"/>
                <w:szCs w:val="21"/>
              </w:rPr>
            </w:pPr>
            <w:r>
              <w:rPr>
                <w:rFonts w:hint="eastAsia" w:ascii="宋体" w:hAnsi="宋体" w:cs="宋体"/>
                <w:szCs w:val="21"/>
              </w:rPr>
              <w:t>售后服务方案内容完整，全覆盖日常维保流程、应急处置预案、师生实操培训体系，内容详实贴合项目，落地性强的得</w:t>
            </w:r>
            <w:r>
              <w:rPr>
                <w:rFonts w:hint="eastAsia" w:ascii="宋体" w:hAnsi="宋体" w:cs="宋体"/>
                <w:szCs w:val="21"/>
                <w:lang w:val="en-US" w:eastAsia="zh-CN"/>
              </w:rPr>
              <w:t>3</w:t>
            </w:r>
            <w:r>
              <w:rPr>
                <w:rFonts w:hint="eastAsia" w:ascii="宋体" w:hAnsi="宋体" w:cs="宋体"/>
                <w:szCs w:val="21"/>
              </w:rPr>
              <w:t>分；</w:t>
            </w:r>
          </w:p>
          <w:p w14:paraId="47753B8A">
            <w:pPr>
              <w:widowControl/>
              <w:autoSpaceDE w:val="0"/>
              <w:autoSpaceDN w:val="0"/>
              <w:snapToGrid w:val="0"/>
              <w:spacing w:line="360" w:lineRule="auto"/>
              <w:rPr>
                <w:rFonts w:ascii="宋体" w:hAnsi="宋体" w:cs="宋体"/>
                <w:szCs w:val="21"/>
              </w:rPr>
            </w:pPr>
            <w:r>
              <w:rPr>
                <w:rFonts w:hint="eastAsia" w:ascii="宋体" w:hAnsi="宋体" w:cs="宋体"/>
                <w:szCs w:val="21"/>
              </w:rPr>
              <w:t>已提供完整方案，维保、应急、培训三大模块齐全，但内容偏简略、深度不足，可满足项目常规服务要求的得</w:t>
            </w:r>
            <w:r>
              <w:rPr>
                <w:rFonts w:hint="eastAsia" w:ascii="宋体" w:hAnsi="宋体" w:cs="宋体"/>
                <w:szCs w:val="21"/>
                <w:lang w:val="en-US" w:eastAsia="zh-CN"/>
              </w:rPr>
              <w:t>2</w:t>
            </w:r>
            <w:r>
              <w:rPr>
                <w:rFonts w:hint="eastAsia" w:ascii="宋体" w:hAnsi="宋体" w:cs="宋体"/>
                <w:szCs w:val="21"/>
              </w:rPr>
              <w:t>分；</w:t>
            </w:r>
          </w:p>
          <w:p w14:paraId="7779E8EB">
            <w:pPr>
              <w:widowControl/>
              <w:autoSpaceDE w:val="0"/>
              <w:autoSpaceDN w:val="0"/>
              <w:snapToGrid w:val="0"/>
              <w:spacing w:line="360" w:lineRule="auto"/>
              <w:rPr>
                <w:rFonts w:ascii="宋体" w:hAnsi="宋体" w:cs="宋体"/>
                <w:szCs w:val="21"/>
              </w:rPr>
            </w:pPr>
            <w:r>
              <w:rPr>
                <w:rFonts w:hint="eastAsia" w:ascii="宋体" w:hAnsi="宋体" w:cs="宋体"/>
                <w:szCs w:val="21"/>
              </w:rPr>
              <w:t>提交售后服务方案，维保、应急、培训任一板块内容缺失或表述单薄，部分服务无法有效落地的得</w:t>
            </w:r>
            <w:r>
              <w:rPr>
                <w:rFonts w:hint="eastAsia" w:ascii="宋体" w:hAnsi="宋体" w:cs="宋体"/>
                <w:szCs w:val="21"/>
                <w:lang w:val="en-US" w:eastAsia="zh-CN"/>
              </w:rPr>
              <w:t>1</w:t>
            </w:r>
            <w:r>
              <w:rPr>
                <w:rFonts w:hint="eastAsia" w:ascii="宋体" w:hAnsi="宋体" w:cs="宋体"/>
                <w:szCs w:val="21"/>
              </w:rPr>
              <w:t>分；</w:t>
            </w:r>
          </w:p>
          <w:p w14:paraId="0C204CF2">
            <w:pPr>
              <w:pStyle w:val="25"/>
              <w:numPr>
                <w:ilvl w:val="0"/>
                <w:numId w:val="0"/>
              </w:numPr>
            </w:pPr>
            <w:r>
              <w:rPr>
                <w:rFonts w:hint="eastAsia" w:ascii="宋体" w:hAnsi="宋体" w:cs="宋体"/>
                <w:szCs w:val="21"/>
              </w:rPr>
              <w:t>未提供方案不得分。</w:t>
            </w:r>
          </w:p>
        </w:tc>
        <w:tc>
          <w:tcPr>
            <w:tcW w:w="292" w:type="pct"/>
            <w:tcBorders>
              <w:top w:val="single" w:color="auto" w:sz="4" w:space="0"/>
              <w:left w:val="single" w:color="auto" w:sz="4" w:space="0"/>
              <w:right w:val="single" w:color="auto" w:sz="4" w:space="0"/>
            </w:tcBorders>
            <w:vAlign w:val="center"/>
          </w:tcPr>
          <w:p w14:paraId="4E34A380">
            <w:pPr>
              <w:spacing w:line="360" w:lineRule="auto"/>
              <w:jc w:val="center"/>
              <w:rPr>
                <w:rFonts w:hint="eastAsia" w:ascii="宋体" w:hAnsi="宋体" w:eastAsia="宋体" w:cs="宋体"/>
                <w:szCs w:val="21"/>
                <w:lang w:eastAsia="zh-CN"/>
              </w:rPr>
            </w:pPr>
            <w:r>
              <w:rPr>
                <w:rFonts w:hint="eastAsia" w:ascii="宋体" w:hAnsi="宋体" w:cs="宋体"/>
                <w:szCs w:val="21"/>
                <w:lang w:val="en-US" w:eastAsia="zh-CN"/>
              </w:rPr>
              <w:t>3</w:t>
            </w:r>
          </w:p>
        </w:tc>
      </w:tr>
    </w:tbl>
    <w:p w14:paraId="16AC08E3">
      <w:pPr>
        <w:pStyle w:val="26"/>
        <w:tabs>
          <w:tab w:val="right" w:pos="8953"/>
        </w:tabs>
        <w:spacing w:line="360" w:lineRule="auto"/>
        <w:rPr>
          <w:rFonts w:hAnsi="宋体" w:cs="宋体"/>
        </w:rPr>
      </w:pPr>
      <w:r>
        <w:rPr>
          <w:rFonts w:hint="eastAsia" w:hAnsi="宋体" w:cs="宋体"/>
          <w:b/>
        </w:rPr>
        <w:t>说明：</w:t>
      </w:r>
    </w:p>
    <w:p w14:paraId="60DD9825">
      <w:pPr>
        <w:widowControl/>
        <w:spacing w:line="360" w:lineRule="auto"/>
        <w:jc w:val="left"/>
        <w:rPr>
          <w:rFonts w:ascii="宋体" w:hAnsi="宋体" w:cs="宋体"/>
          <w:bCs/>
          <w:szCs w:val="21"/>
        </w:rPr>
      </w:pPr>
      <w:r>
        <w:rPr>
          <w:rFonts w:hint="eastAsia" w:ascii="宋体" w:hAnsi="宋体" w:cs="宋体"/>
          <w:bCs/>
          <w:szCs w:val="21"/>
        </w:rPr>
        <w:t>除评分标准中另有说明外，所有证明和业绩均以有效的证明文件的复印件为依据。</w:t>
      </w:r>
    </w:p>
    <w:p w14:paraId="3022BFAC">
      <w:pPr>
        <w:rPr>
          <w:rFonts w:ascii="宋体" w:hAnsi="宋体" w:cs="宋体"/>
          <w:b/>
          <w:sz w:val="36"/>
          <w:szCs w:val="36"/>
        </w:rPr>
      </w:pPr>
      <w:r>
        <w:rPr>
          <w:rFonts w:hint="eastAsia" w:ascii="宋体" w:hAnsi="宋体" w:cs="宋体"/>
          <w:b/>
          <w:sz w:val="36"/>
          <w:szCs w:val="36"/>
        </w:rPr>
        <w:br w:type="page"/>
      </w:r>
    </w:p>
    <w:p w14:paraId="40200978">
      <w:pPr>
        <w:spacing w:line="360" w:lineRule="auto"/>
        <w:jc w:val="center"/>
        <w:outlineLvl w:val="0"/>
        <w:rPr>
          <w:rFonts w:ascii="宋体" w:hAnsi="宋体" w:cs="宋体"/>
          <w:b/>
          <w:sz w:val="24"/>
        </w:rPr>
      </w:pPr>
      <w:r>
        <w:rPr>
          <w:rFonts w:hint="eastAsia" w:ascii="宋体" w:hAnsi="宋体" w:cs="宋体"/>
          <w:b/>
          <w:sz w:val="28"/>
          <w:szCs w:val="28"/>
        </w:rPr>
        <w:t>第四章  采购项目要求</w:t>
      </w:r>
      <w:bookmarkEnd w:id="0"/>
    </w:p>
    <w:p w14:paraId="28180E39">
      <w:pPr>
        <w:spacing w:line="360" w:lineRule="auto"/>
        <w:ind w:firstLine="422" w:firstLineChars="200"/>
        <w:rPr>
          <w:rFonts w:ascii="宋体" w:hAnsi="宋体" w:cs="宋体"/>
          <w:szCs w:val="21"/>
        </w:rPr>
      </w:pPr>
      <w:r>
        <w:rPr>
          <w:rFonts w:hint="eastAsia" w:ascii="宋体" w:hAnsi="宋体" w:cs="宋体"/>
          <w:b/>
          <w:bCs/>
          <w:szCs w:val="21"/>
        </w:rPr>
        <w:t>一、项目名称：</w:t>
      </w:r>
      <w:r>
        <w:rPr>
          <w:rFonts w:hint="eastAsia" w:ascii="宋体" w:hAnsi="宋体" w:cs="宋体"/>
          <w:szCs w:val="21"/>
        </w:rPr>
        <w:t>南京邮电大学通达学院消控主机联网整合及消防设施改造工程</w:t>
      </w:r>
    </w:p>
    <w:p w14:paraId="3DE65B14">
      <w:pPr>
        <w:spacing w:line="360" w:lineRule="auto"/>
        <w:ind w:firstLine="422" w:firstLineChars="200"/>
        <w:rPr>
          <w:rFonts w:ascii="宋体" w:hAnsi="宋体" w:cs="宋体"/>
          <w:b/>
          <w:bCs/>
          <w:szCs w:val="21"/>
        </w:rPr>
      </w:pPr>
      <w:r>
        <w:rPr>
          <w:rFonts w:hint="eastAsia" w:ascii="宋体" w:hAnsi="宋体" w:cs="宋体"/>
          <w:b/>
          <w:bCs/>
          <w:szCs w:val="21"/>
        </w:rPr>
        <w:t>二、项目需求</w:t>
      </w:r>
    </w:p>
    <w:p w14:paraId="4940D4D9">
      <w:pPr>
        <w:spacing w:line="360" w:lineRule="auto"/>
        <w:ind w:firstLine="420" w:firstLineChars="200"/>
        <w:rPr>
          <w:rFonts w:ascii="宋体" w:hAnsi="宋体" w:cs="宋体"/>
          <w:szCs w:val="21"/>
        </w:rPr>
      </w:pPr>
      <w:r>
        <w:rPr>
          <w:rFonts w:hint="eastAsia" w:ascii="宋体" w:hAnsi="宋体" w:cs="宋体"/>
          <w:szCs w:val="21"/>
        </w:rPr>
        <w:t>南京邮电大学通达学院目前在校</w:t>
      </w:r>
      <w:r>
        <w:rPr>
          <w:rFonts w:hint="eastAsia" w:ascii="宋体" w:hAnsi="宋体" w:cs="宋体"/>
          <w:szCs w:val="21"/>
          <w:lang w:val="en-US" w:eastAsia="zh-CN"/>
        </w:rPr>
        <w:t>师</w:t>
      </w:r>
      <w:r>
        <w:rPr>
          <w:rFonts w:hint="eastAsia" w:ascii="宋体" w:hAnsi="宋体" w:cs="宋体"/>
          <w:szCs w:val="21"/>
        </w:rPr>
        <w:t>生人数约1</w:t>
      </w:r>
      <w:r>
        <w:rPr>
          <w:rFonts w:hint="eastAsia" w:ascii="宋体" w:hAnsi="宋体" w:cs="宋体"/>
          <w:szCs w:val="21"/>
          <w:lang w:val="en-US" w:eastAsia="zh-CN"/>
        </w:rPr>
        <w:t>.2</w:t>
      </w:r>
      <w:r>
        <w:rPr>
          <w:rFonts w:hint="eastAsia" w:ascii="宋体" w:hAnsi="宋体" w:cs="宋体"/>
          <w:szCs w:val="21"/>
        </w:rPr>
        <w:t>万</w:t>
      </w:r>
      <w:r>
        <w:rPr>
          <w:rFonts w:hint="eastAsia" w:ascii="宋体" w:hAnsi="宋体" w:cs="宋体"/>
          <w:szCs w:val="21"/>
          <w:lang w:val="en-US" w:eastAsia="zh-CN"/>
        </w:rPr>
        <w:t>余</w:t>
      </w:r>
      <w:r>
        <w:rPr>
          <w:rFonts w:hint="eastAsia" w:ascii="宋体" w:hAnsi="宋体" w:cs="宋体"/>
          <w:szCs w:val="21"/>
        </w:rPr>
        <w:t>名，校园占地面积约为893亩。学院内设有6个消防控制室，分别位于行政楼、学术交流中心、学生宿舍4、5号楼、体育馆、教师公寓以及双创中心。</w:t>
      </w:r>
      <w:r>
        <w:rPr>
          <w:rFonts w:hint="eastAsia" w:ascii="宋体" w:hAnsi="宋体" w:cs="宋体"/>
          <w:szCs w:val="21"/>
          <w:lang w:val="en-US" w:eastAsia="zh-CN"/>
        </w:rPr>
        <w:t>本项目</w:t>
      </w:r>
      <w:r>
        <w:rPr>
          <w:rFonts w:hint="eastAsia" w:ascii="宋体" w:hAnsi="宋体" w:cs="宋体"/>
          <w:szCs w:val="21"/>
        </w:rPr>
        <w:t>综合利用物联网、大数据、云计算、移动互联网、人工智能等新技术，围绕消防与安防监控平台结合管理，整合设备设施、事件等，融合采集消防与安防监控系统的基础数据，构建立体化、全覆盖的火灾防控体系，全面提升学校的火灾防控水平。</w:t>
      </w:r>
    </w:p>
    <w:p w14:paraId="573266B7">
      <w:pPr>
        <w:spacing w:line="360" w:lineRule="auto"/>
        <w:ind w:firstLine="422" w:firstLineChars="200"/>
        <w:rPr>
          <w:rFonts w:ascii="宋体" w:hAnsi="宋体" w:cs="宋体"/>
          <w:b/>
          <w:bCs/>
          <w:szCs w:val="21"/>
        </w:rPr>
      </w:pPr>
      <w:r>
        <w:rPr>
          <w:rFonts w:hint="eastAsia" w:ascii="宋体" w:hAnsi="宋体" w:cs="宋体"/>
          <w:b/>
          <w:bCs/>
          <w:szCs w:val="21"/>
        </w:rPr>
        <w:t>（一）核心要求</w:t>
      </w:r>
    </w:p>
    <w:p w14:paraId="439B6B2C">
      <w:pPr>
        <w:spacing w:line="360" w:lineRule="auto"/>
        <w:ind w:firstLine="420" w:firstLineChars="200"/>
        <w:rPr>
          <w:rFonts w:ascii="宋体" w:hAnsi="宋体" w:cs="宋体"/>
          <w:szCs w:val="21"/>
        </w:rPr>
      </w:pPr>
      <w:r>
        <w:rPr>
          <w:rFonts w:hint="eastAsia" w:ascii="宋体" w:hAnsi="宋体" w:cs="宋体"/>
          <w:szCs w:val="21"/>
        </w:rPr>
        <w:t>结合学校消防建设的现状及业务需求，本次项目主要完成以下方面的建设：</w:t>
      </w:r>
    </w:p>
    <w:p w14:paraId="3C6B5804">
      <w:pPr>
        <w:spacing w:line="360" w:lineRule="auto"/>
        <w:ind w:firstLine="420" w:firstLineChars="200"/>
        <w:rPr>
          <w:rFonts w:ascii="宋体" w:hAnsi="宋体" w:cs="宋体"/>
          <w:szCs w:val="21"/>
        </w:rPr>
      </w:pPr>
      <w:r>
        <w:rPr>
          <w:rFonts w:hint="eastAsia" w:ascii="宋体" w:hAnsi="宋体" w:cs="宋体"/>
          <w:szCs w:val="21"/>
        </w:rPr>
        <w:t>将行政楼（含行政楼、大学生活动中心、乒乓球馆地下人防、图书馆）、教师公寓、体育馆、学术交流中心、学生宿舍楼4、5#的消控室内的消防系统合并至双创中心主消控室，以</w:t>
      </w:r>
      <w:r>
        <w:rPr>
          <w:rFonts w:hint="eastAsia" w:ascii="宋体" w:hAnsi="宋体" w:cs="宋体"/>
          <w:b/>
          <w:bCs/>
          <w:szCs w:val="21"/>
        </w:rPr>
        <w:t>实现6个消控室整合并达到火灾报警控制器联网及下行控制功能</w:t>
      </w:r>
      <w:r>
        <w:rPr>
          <w:rFonts w:hint="eastAsia" w:ascii="宋体" w:hAnsi="宋体" w:cs="宋体"/>
          <w:szCs w:val="21"/>
        </w:rPr>
        <w:t>。校区内所有消防设施状态信息通过有线方式</w:t>
      </w:r>
      <w:r>
        <w:rPr>
          <w:rFonts w:hint="eastAsia" w:ascii="宋体" w:hAnsi="宋体" w:cs="宋体"/>
          <w:b/>
          <w:bCs/>
          <w:szCs w:val="21"/>
        </w:rPr>
        <w:t>集中至双创中心主消控室统一进行展示、监测、告警、处置等</w:t>
      </w:r>
      <w:r>
        <w:rPr>
          <w:rFonts w:hint="eastAsia" w:ascii="宋体" w:hAnsi="宋体" w:cs="宋体"/>
          <w:szCs w:val="21"/>
        </w:rPr>
        <w:t>。本次项目需要与现有的安消系统统一整合，安消联动，以实现学校智慧校园利用最大化，具体的要求如下：</w:t>
      </w:r>
    </w:p>
    <w:p w14:paraId="7D1C73E8">
      <w:pPr>
        <w:spacing w:line="360" w:lineRule="auto"/>
        <w:ind w:firstLine="422" w:firstLineChars="200"/>
        <w:rPr>
          <w:rFonts w:ascii="宋体" w:hAnsi="宋体" w:cs="宋体"/>
          <w:b/>
          <w:bCs/>
          <w:szCs w:val="21"/>
        </w:rPr>
      </w:pPr>
      <w:r>
        <w:rPr>
          <w:rFonts w:hint="eastAsia" w:ascii="宋体" w:hAnsi="宋体" w:cs="宋体"/>
          <w:b/>
          <w:bCs/>
          <w:szCs w:val="21"/>
        </w:rPr>
        <w:t>★1.为保证系统兼容性及平台统一管理，本项目内供应商所提供产品应对任何第三方平台免费开放接口，无条件与学校智慧校园综合管理平台对接；所需费用包含在投标报价中。（提供承诺书并加盖公章，格式自拟；未提供承诺书或承诺书内容表述不清的，视为无效投标）</w:t>
      </w:r>
    </w:p>
    <w:p w14:paraId="47977F0C">
      <w:pPr>
        <w:spacing w:line="360" w:lineRule="auto"/>
        <w:ind w:firstLine="420" w:firstLineChars="200"/>
        <w:rPr>
          <w:rFonts w:ascii="宋体" w:hAnsi="宋体" w:cs="宋体"/>
          <w:szCs w:val="21"/>
        </w:rPr>
      </w:pPr>
      <w:r>
        <w:rPr>
          <w:rFonts w:hint="eastAsia" w:ascii="宋体" w:hAnsi="宋体" w:cs="宋体"/>
          <w:szCs w:val="21"/>
        </w:rPr>
        <w:t>2.本项目属于交钥匙工程，总价包括运抵各种运费、材料费、安装调试及人工等所有费用。</w:t>
      </w:r>
    </w:p>
    <w:p w14:paraId="19F1BB44">
      <w:pPr>
        <w:spacing w:line="360" w:lineRule="auto"/>
        <w:ind w:firstLine="420" w:firstLineChars="200"/>
        <w:rPr>
          <w:rFonts w:ascii="宋体" w:hAnsi="宋体" w:cs="宋体"/>
          <w:szCs w:val="21"/>
        </w:rPr>
      </w:pPr>
      <w:r>
        <w:rPr>
          <w:rFonts w:hint="eastAsia" w:ascii="宋体" w:hAnsi="宋体" w:cs="宋体"/>
          <w:szCs w:val="21"/>
        </w:rPr>
        <w:t>3.本项目各项消防设备设施的安装调试均按照国家消防相关强制性标准实施。</w:t>
      </w:r>
    </w:p>
    <w:p w14:paraId="69A9D340">
      <w:pPr>
        <w:spacing w:line="360" w:lineRule="auto"/>
        <w:ind w:firstLine="422" w:firstLineChars="200"/>
        <w:rPr>
          <w:rFonts w:ascii="宋体" w:hAnsi="宋体" w:cs="宋体"/>
          <w:b/>
          <w:bCs/>
          <w:szCs w:val="21"/>
        </w:rPr>
      </w:pPr>
      <w:r>
        <w:rPr>
          <w:rFonts w:hint="eastAsia" w:ascii="宋体" w:hAnsi="宋体" w:cs="宋体"/>
          <w:b/>
          <w:bCs/>
          <w:szCs w:val="21"/>
        </w:rPr>
        <w:t>（二）具体建设要求</w:t>
      </w:r>
    </w:p>
    <w:p w14:paraId="331A3D41">
      <w:pPr>
        <w:spacing w:line="360" w:lineRule="auto"/>
        <w:ind w:firstLine="420" w:firstLineChars="200"/>
        <w:rPr>
          <w:rFonts w:ascii="宋体" w:hAnsi="宋体" w:cs="宋体"/>
          <w:szCs w:val="21"/>
        </w:rPr>
      </w:pPr>
      <w:r>
        <w:rPr>
          <w:rFonts w:hint="eastAsia" w:ascii="宋体" w:hAnsi="宋体" w:cs="宋体"/>
          <w:szCs w:val="21"/>
        </w:rPr>
        <w:t>1.双创中心主控室：新增一台青鸟柜式消防报警联动控制主机。</w:t>
      </w:r>
    </w:p>
    <w:p w14:paraId="10ACBBE3">
      <w:pPr>
        <w:spacing w:line="360" w:lineRule="auto"/>
        <w:ind w:firstLine="420" w:firstLineChars="200"/>
        <w:rPr>
          <w:rFonts w:ascii="宋体" w:hAnsi="宋体" w:cs="宋体"/>
          <w:szCs w:val="21"/>
        </w:rPr>
      </w:pPr>
      <w:r>
        <w:rPr>
          <w:rFonts w:hint="eastAsia" w:ascii="宋体" w:hAnsi="宋体" w:cs="宋体"/>
          <w:szCs w:val="21"/>
        </w:rPr>
        <w:t>2.行政楼区域：消防电话线、风机直接启停线、水泵直接启停线，通过开挖敷设至双创中心消防主控室，同时增加敷设行政楼消防水池和屋顶消防水箱的液位状态显示器的线路和2台液位显示器，使得在双创中心主控室可以随时监控行政楼的消防水池和水箱的水位状态。</w:t>
      </w:r>
    </w:p>
    <w:p w14:paraId="4DB09BB3">
      <w:pPr>
        <w:spacing w:line="360" w:lineRule="auto"/>
        <w:ind w:firstLine="420" w:firstLineChars="200"/>
        <w:rPr>
          <w:rFonts w:ascii="宋体" w:hAnsi="宋体" w:cs="宋体"/>
          <w:szCs w:val="21"/>
        </w:rPr>
      </w:pPr>
      <w:r>
        <w:rPr>
          <w:rFonts w:hint="eastAsia" w:ascii="宋体" w:hAnsi="宋体" w:cs="宋体"/>
          <w:szCs w:val="21"/>
        </w:rPr>
        <w:t>3.图书馆区域：将图书馆气体灭火主机的联网机（现置于行政楼消控室）搬迁至双创中心主控室。</w:t>
      </w:r>
    </w:p>
    <w:p w14:paraId="0B5210A0">
      <w:pPr>
        <w:spacing w:line="360" w:lineRule="auto"/>
        <w:ind w:firstLine="420" w:firstLineChars="200"/>
        <w:rPr>
          <w:rFonts w:ascii="宋体" w:hAnsi="宋体" w:cs="宋体"/>
          <w:szCs w:val="21"/>
        </w:rPr>
      </w:pPr>
      <w:r>
        <w:rPr>
          <w:rFonts w:hint="eastAsia" w:ascii="宋体" w:hAnsi="宋体" w:cs="宋体"/>
          <w:szCs w:val="21"/>
        </w:rPr>
        <w:t>4.大学生活动中心、乒乓球馆地下人防区域：将2台主机（现置于行政楼消控室）整体搬迁至双创中心主控室。</w:t>
      </w:r>
    </w:p>
    <w:p w14:paraId="6654817F">
      <w:pPr>
        <w:spacing w:line="360" w:lineRule="auto"/>
        <w:ind w:firstLine="420" w:firstLineChars="200"/>
        <w:rPr>
          <w:rFonts w:ascii="宋体" w:hAnsi="宋体" w:cs="宋体"/>
          <w:szCs w:val="21"/>
        </w:rPr>
      </w:pPr>
      <w:r>
        <w:rPr>
          <w:rFonts w:hint="eastAsia" w:ascii="宋体" w:hAnsi="宋体" w:cs="宋体"/>
          <w:szCs w:val="21"/>
        </w:rPr>
        <w:t>5.学生宿舍4、5#楼消控室：将此控制室内的主机整体迁移至双创中心主控室，淘汰原有存在故障的主机，并将线路全部接至双创中心主控室新增的柜式青鸟主机上。</w:t>
      </w:r>
    </w:p>
    <w:p w14:paraId="52F8C7E4">
      <w:pPr>
        <w:spacing w:line="360" w:lineRule="auto"/>
        <w:ind w:firstLine="420" w:firstLineChars="200"/>
        <w:rPr>
          <w:rFonts w:ascii="宋体" w:hAnsi="宋体" w:cs="宋体"/>
          <w:szCs w:val="21"/>
        </w:rPr>
      </w:pPr>
      <w:r>
        <w:rPr>
          <w:rFonts w:hint="eastAsia" w:ascii="宋体" w:hAnsi="宋体" w:cs="宋体"/>
          <w:szCs w:val="21"/>
        </w:rPr>
        <w:t>6.教师公寓区域：将控制室主机整体迁移至双创中心主控室，淘汰原有存在故障的主机，并将所有线路连接至双创中心主控室现有的行政楼的联网机上（需增加回路板）。</w:t>
      </w:r>
    </w:p>
    <w:p w14:paraId="2D195F1B">
      <w:pPr>
        <w:spacing w:line="360" w:lineRule="auto"/>
        <w:ind w:firstLine="420" w:firstLineChars="200"/>
        <w:rPr>
          <w:rFonts w:ascii="宋体" w:hAnsi="宋体" w:cs="宋体"/>
          <w:szCs w:val="21"/>
        </w:rPr>
      </w:pPr>
      <w:r>
        <w:rPr>
          <w:rFonts w:hint="eastAsia" w:ascii="宋体" w:hAnsi="宋体" w:cs="宋体"/>
          <w:szCs w:val="21"/>
        </w:rPr>
        <w:t>7.体育馆区域：</w:t>
      </w:r>
    </w:p>
    <w:p w14:paraId="41624A27">
      <w:pPr>
        <w:spacing w:line="360" w:lineRule="auto"/>
        <w:ind w:firstLine="420" w:firstLineChars="200"/>
        <w:rPr>
          <w:rFonts w:ascii="宋体" w:hAnsi="宋体" w:cs="宋体"/>
          <w:szCs w:val="21"/>
        </w:rPr>
      </w:pPr>
      <w:r>
        <w:rPr>
          <w:rFonts w:hint="eastAsia" w:ascii="宋体" w:hAnsi="宋体" w:cs="宋体"/>
          <w:szCs w:val="21"/>
        </w:rPr>
        <w:t>将体育馆控制室消防报警主机、CRT整体搬迁至双创中心主控室，将防火门监控器、消防电源监控器、电气火灾监控器整体搬迁至双创中心主控室。</w:t>
      </w:r>
    </w:p>
    <w:p w14:paraId="72C38E9C">
      <w:pPr>
        <w:spacing w:line="360" w:lineRule="auto"/>
        <w:ind w:firstLine="420" w:firstLineChars="200"/>
        <w:rPr>
          <w:rFonts w:ascii="宋体" w:hAnsi="宋体" w:cs="宋体"/>
          <w:szCs w:val="21"/>
        </w:rPr>
      </w:pPr>
      <w:r>
        <w:rPr>
          <w:rFonts w:hint="eastAsia" w:ascii="宋体" w:hAnsi="宋体" w:cs="宋体"/>
          <w:szCs w:val="21"/>
        </w:rPr>
        <w:t>8.学术交流中心区域：</w:t>
      </w:r>
    </w:p>
    <w:p w14:paraId="5342EBB6">
      <w:pPr>
        <w:spacing w:line="360" w:lineRule="auto"/>
        <w:ind w:firstLine="420" w:firstLineChars="200"/>
        <w:rPr>
          <w:rFonts w:ascii="宋体" w:hAnsi="宋体" w:cs="宋体"/>
          <w:szCs w:val="21"/>
        </w:rPr>
      </w:pPr>
      <w:r>
        <w:rPr>
          <w:rFonts w:hint="eastAsia" w:ascii="宋体" w:hAnsi="宋体" w:cs="宋体"/>
          <w:szCs w:val="21"/>
        </w:rPr>
        <w:t>（1）控制室消防报警主机保持不动，主机信号通过联网传输至双创中心；</w:t>
      </w:r>
    </w:p>
    <w:p w14:paraId="49597477">
      <w:pPr>
        <w:spacing w:line="360" w:lineRule="auto"/>
        <w:ind w:firstLine="420" w:firstLineChars="200"/>
        <w:rPr>
          <w:rFonts w:ascii="宋体" w:hAnsi="宋体" w:cs="宋体"/>
          <w:szCs w:val="21"/>
        </w:rPr>
      </w:pPr>
      <w:r>
        <w:rPr>
          <w:rFonts w:hint="eastAsia" w:ascii="宋体" w:hAnsi="宋体" w:cs="宋体"/>
          <w:szCs w:val="21"/>
        </w:rPr>
        <w:t>（2）将主机上原本包含的二食堂的2个回路迁移至双创中心新增的青鸟柜式主机；</w:t>
      </w:r>
    </w:p>
    <w:p w14:paraId="07D5E0C9">
      <w:pPr>
        <w:spacing w:line="360" w:lineRule="auto"/>
        <w:ind w:firstLine="420" w:firstLineChars="200"/>
        <w:rPr>
          <w:rFonts w:ascii="宋体" w:hAnsi="宋体" w:cs="宋体"/>
          <w:szCs w:val="21"/>
        </w:rPr>
      </w:pPr>
      <w:r>
        <w:rPr>
          <w:rFonts w:hint="eastAsia" w:ascii="宋体" w:hAnsi="宋体" w:cs="宋体"/>
          <w:szCs w:val="21"/>
        </w:rPr>
        <w:t>（3）水炮主机整体搬迁到双创中心；</w:t>
      </w:r>
    </w:p>
    <w:p w14:paraId="331D338C">
      <w:pPr>
        <w:spacing w:line="360" w:lineRule="auto"/>
        <w:ind w:firstLine="420" w:firstLineChars="200"/>
        <w:rPr>
          <w:rFonts w:ascii="宋体" w:hAnsi="宋体" w:cs="宋体"/>
          <w:szCs w:val="21"/>
        </w:rPr>
      </w:pPr>
      <w:r>
        <w:rPr>
          <w:rFonts w:hint="eastAsia" w:ascii="宋体" w:hAnsi="宋体" w:cs="宋体"/>
          <w:szCs w:val="21"/>
        </w:rPr>
        <w:t>（4）预埋学术交流中心至双创中心线路管道。</w:t>
      </w:r>
    </w:p>
    <w:p w14:paraId="024F4201">
      <w:pPr>
        <w:spacing w:line="360" w:lineRule="auto"/>
        <w:ind w:firstLine="420" w:firstLineChars="200"/>
        <w:rPr>
          <w:rFonts w:ascii="宋体" w:hAnsi="宋体" w:cs="宋体"/>
          <w:szCs w:val="21"/>
        </w:rPr>
      </w:pPr>
      <w:r>
        <w:rPr>
          <w:rFonts w:hint="eastAsia" w:ascii="宋体" w:hAnsi="宋体" w:cs="宋体"/>
          <w:szCs w:val="21"/>
        </w:rPr>
        <w:t>9.校区内消防水池、消防水箱增加液位显示器：</w:t>
      </w:r>
    </w:p>
    <w:p w14:paraId="35A3C00F">
      <w:pPr>
        <w:spacing w:line="360" w:lineRule="auto"/>
        <w:ind w:firstLine="420" w:firstLineChars="200"/>
        <w:rPr>
          <w:rFonts w:ascii="宋体" w:hAnsi="宋体" w:cs="宋体"/>
          <w:szCs w:val="21"/>
        </w:rPr>
      </w:pPr>
      <w:r>
        <w:rPr>
          <w:rFonts w:hint="eastAsia" w:ascii="宋体" w:hAnsi="宋体" w:cs="宋体"/>
          <w:szCs w:val="21"/>
        </w:rPr>
        <w:t>新增6台液位显示器（1号教学楼楼顶、2号实验楼楼顶、10号宿舍楼楼顶、行政楼楼顶、行政楼泵房内、中水泵房外东侧），确保双创中心控制室能够实时监控消防水池和水箱的水位状态。</w:t>
      </w:r>
    </w:p>
    <w:p w14:paraId="660BD2EB">
      <w:pPr>
        <w:spacing w:line="360" w:lineRule="auto"/>
        <w:ind w:firstLine="420" w:firstLineChars="200"/>
        <w:rPr>
          <w:rFonts w:ascii="宋体" w:hAnsi="宋体" w:cs="宋体"/>
          <w:szCs w:val="21"/>
        </w:rPr>
      </w:pPr>
      <w:r>
        <w:rPr>
          <w:rFonts w:hint="eastAsia" w:ascii="宋体" w:hAnsi="宋体" w:cs="宋体"/>
          <w:szCs w:val="21"/>
        </w:rPr>
        <w:t>10.行政楼及其他消防控制室出新改造：</w:t>
      </w:r>
    </w:p>
    <w:p w14:paraId="6EA77F8C">
      <w:pPr>
        <w:spacing w:line="360" w:lineRule="auto"/>
        <w:ind w:firstLine="420" w:firstLineChars="200"/>
        <w:rPr>
          <w:rFonts w:ascii="宋体" w:hAnsi="宋体" w:cs="宋体"/>
          <w:szCs w:val="21"/>
        </w:rPr>
      </w:pPr>
      <w:r>
        <w:rPr>
          <w:rFonts w:hint="eastAsia" w:ascii="宋体" w:hAnsi="宋体" w:cs="宋体"/>
          <w:szCs w:val="21"/>
        </w:rPr>
        <w:t>（1）将行政楼消防控制室原有静电地板进行拆除更换；</w:t>
      </w:r>
    </w:p>
    <w:p w14:paraId="2AD51991">
      <w:pPr>
        <w:spacing w:line="360" w:lineRule="auto"/>
        <w:ind w:firstLine="420" w:firstLineChars="200"/>
        <w:rPr>
          <w:rFonts w:ascii="宋体" w:hAnsi="宋体" w:cs="宋体"/>
          <w:szCs w:val="21"/>
        </w:rPr>
      </w:pPr>
      <w:r>
        <w:rPr>
          <w:rFonts w:hint="eastAsia" w:ascii="宋体" w:hAnsi="宋体" w:cs="宋体"/>
          <w:szCs w:val="21"/>
        </w:rPr>
        <w:t xml:space="preserve">（2）将涉及原有消控室吊顶拆除更换； </w:t>
      </w:r>
    </w:p>
    <w:p w14:paraId="4C42A552">
      <w:pPr>
        <w:spacing w:line="360" w:lineRule="auto"/>
        <w:ind w:firstLine="420" w:firstLineChars="200"/>
        <w:rPr>
          <w:rFonts w:ascii="宋体" w:hAnsi="宋体" w:cs="宋体"/>
          <w:szCs w:val="21"/>
        </w:rPr>
      </w:pPr>
      <w:r>
        <w:rPr>
          <w:rFonts w:hint="eastAsia" w:ascii="宋体" w:hAnsi="宋体" w:cs="宋体"/>
          <w:szCs w:val="21"/>
        </w:rPr>
        <w:t>（3）原有墙面铲除重新粉刷；</w:t>
      </w:r>
    </w:p>
    <w:p w14:paraId="33CD05DE">
      <w:pPr>
        <w:spacing w:line="360" w:lineRule="auto"/>
        <w:ind w:firstLine="420" w:firstLineChars="200"/>
        <w:rPr>
          <w:rFonts w:ascii="宋体" w:hAnsi="宋体" w:cs="宋体"/>
          <w:szCs w:val="21"/>
        </w:rPr>
      </w:pPr>
      <w:r>
        <w:rPr>
          <w:rFonts w:hint="eastAsia" w:ascii="宋体" w:hAnsi="宋体" w:cs="宋体"/>
          <w:szCs w:val="21"/>
        </w:rPr>
        <w:t>（4）机房电器（含照明、插座、控制箱）更换。</w:t>
      </w:r>
    </w:p>
    <w:p w14:paraId="5B66EFA3">
      <w:pPr>
        <w:spacing w:line="360" w:lineRule="auto"/>
        <w:ind w:firstLine="420" w:firstLineChars="200"/>
        <w:rPr>
          <w:rFonts w:ascii="宋体" w:hAnsi="宋体" w:cs="宋体"/>
          <w:szCs w:val="21"/>
        </w:rPr>
      </w:pPr>
      <w:r>
        <w:rPr>
          <w:rFonts w:hint="eastAsia" w:ascii="宋体" w:hAnsi="宋体" w:cs="宋体"/>
          <w:szCs w:val="21"/>
        </w:rPr>
        <w:t>11.拆除双创中心消防控制室现有喷淋管道。</w:t>
      </w:r>
    </w:p>
    <w:p w14:paraId="17041FD3">
      <w:pPr>
        <w:spacing w:line="360" w:lineRule="auto"/>
        <w:ind w:firstLine="422" w:firstLineChars="200"/>
        <w:rPr>
          <w:rFonts w:ascii="宋体" w:hAnsi="宋体" w:cs="宋体"/>
          <w:b/>
          <w:bCs/>
          <w:szCs w:val="21"/>
        </w:rPr>
      </w:pPr>
      <w:r>
        <w:rPr>
          <w:rFonts w:hint="eastAsia" w:ascii="宋体" w:hAnsi="宋体" w:cs="宋体"/>
          <w:b/>
          <w:bCs/>
          <w:szCs w:val="21"/>
        </w:rPr>
        <w:t>（三）设计原则</w:t>
      </w:r>
    </w:p>
    <w:p w14:paraId="1445B2CD">
      <w:pPr>
        <w:spacing w:line="360" w:lineRule="auto"/>
        <w:ind w:firstLine="420" w:firstLineChars="200"/>
        <w:rPr>
          <w:rFonts w:ascii="宋体" w:hAnsi="宋体" w:cs="宋体"/>
          <w:szCs w:val="21"/>
        </w:rPr>
      </w:pPr>
      <w:r>
        <w:rPr>
          <w:rFonts w:hint="eastAsia" w:ascii="宋体" w:hAnsi="宋体" w:cs="宋体"/>
          <w:szCs w:val="21"/>
        </w:rPr>
        <w:t>1.确保原设计功能得以实现</w:t>
      </w:r>
    </w:p>
    <w:p w14:paraId="58F5C04C">
      <w:pPr>
        <w:spacing w:line="360" w:lineRule="auto"/>
        <w:ind w:firstLine="420" w:firstLineChars="200"/>
        <w:rPr>
          <w:rFonts w:ascii="宋体" w:hAnsi="宋体" w:cs="宋体"/>
          <w:szCs w:val="21"/>
        </w:rPr>
      </w:pPr>
      <w:r>
        <w:rPr>
          <w:rFonts w:hint="eastAsia" w:ascii="宋体" w:hAnsi="宋体" w:cs="宋体"/>
          <w:szCs w:val="21"/>
        </w:rPr>
        <w:t>保留原行政楼、学术交流中心的二个消防控制室，各单体建筑的消防系统保持原样，确保原有设计功能的完整性。在此基础上，对消防主机进行联网整合</w:t>
      </w:r>
      <w:r>
        <w:rPr>
          <w:rFonts w:hint="eastAsia" w:ascii="宋体" w:hAnsi="宋体" w:cs="宋体"/>
          <w:szCs w:val="21"/>
          <w:lang w:val="en-US" w:eastAsia="zh-CN"/>
        </w:rPr>
        <w:t>须</w:t>
      </w:r>
      <w:r>
        <w:rPr>
          <w:rFonts w:hint="eastAsia"/>
          <w:lang w:val="en-US" w:eastAsia="zh-CN"/>
        </w:rPr>
        <w:t>满足扬州市消防条例</w:t>
      </w:r>
      <w:r>
        <w:t>第二十条</w:t>
      </w:r>
      <w:r>
        <w:rPr>
          <w:rFonts w:hint="eastAsia"/>
          <w:lang w:val="en-US" w:eastAsia="zh-CN"/>
        </w:rPr>
        <w:t>要求，</w:t>
      </w:r>
      <w:r>
        <w:t>能够通过消防设施联网实时监测、预警并实现远程操作消防控制室所有控制功能</w:t>
      </w:r>
      <w:r>
        <w:rPr>
          <w:rFonts w:hint="eastAsia"/>
          <w:lang w:eastAsia="zh-CN"/>
        </w:rPr>
        <w:t>。</w:t>
      </w:r>
    </w:p>
    <w:p w14:paraId="1D1ACD7D">
      <w:pPr>
        <w:spacing w:line="360" w:lineRule="auto"/>
        <w:ind w:firstLine="420" w:firstLineChars="200"/>
        <w:rPr>
          <w:rFonts w:ascii="宋体" w:hAnsi="宋体" w:cs="宋体"/>
          <w:szCs w:val="21"/>
        </w:rPr>
      </w:pPr>
      <w:r>
        <w:rPr>
          <w:rFonts w:hint="eastAsia" w:ascii="宋体" w:hAnsi="宋体" w:cs="宋体"/>
          <w:szCs w:val="21"/>
        </w:rPr>
        <w:t>2.提升管理效能</w:t>
      </w:r>
    </w:p>
    <w:p w14:paraId="2849FD8B">
      <w:pPr>
        <w:spacing w:line="360" w:lineRule="auto"/>
        <w:ind w:firstLine="420" w:firstLineChars="200"/>
        <w:rPr>
          <w:rFonts w:ascii="宋体" w:hAnsi="宋体" w:cs="宋体"/>
          <w:szCs w:val="21"/>
        </w:rPr>
      </w:pPr>
      <w:r>
        <w:rPr>
          <w:rFonts w:hint="eastAsia" w:ascii="宋体" w:hAnsi="宋体" w:cs="宋体"/>
          <w:szCs w:val="21"/>
        </w:rPr>
        <w:t>通过改造，每一栋建筑均能实现集中控制器与区域控制器的双级管理。火警、故障、监管、反馈等信息能够被统一收集，便于进行统计和处理。更为关键的是，各栋建筑中的关键消防设施也能实现统一控制，并能一键启动，显著提升灭火和逃生的可靠性。</w:t>
      </w:r>
    </w:p>
    <w:p w14:paraId="39907BC3">
      <w:pPr>
        <w:spacing w:line="360" w:lineRule="auto"/>
        <w:ind w:firstLine="420" w:firstLineChars="200"/>
        <w:rPr>
          <w:rFonts w:ascii="宋体" w:hAnsi="宋体" w:cs="宋体"/>
          <w:szCs w:val="21"/>
        </w:rPr>
      </w:pPr>
      <w:r>
        <w:rPr>
          <w:rFonts w:hint="eastAsia" w:ascii="宋体" w:hAnsi="宋体" w:cs="宋体"/>
          <w:szCs w:val="21"/>
        </w:rPr>
        <w:t>3.提升性价比</w:t>
      </w:r>
    </w:p>
    <w:p w14:paraId="76E8BF81">
      <w:pPr>
        <w:spacing w:line="360" w:lineRule="auto"/>
        <w:ind w:firstLine="420" w:firstLineChars="200"/>
        <w:rPr>
          <w:rFonts w:ascii="宋体" w:hAnsi="宋体" w:cs="宋体"/>
          <w:szCs w:val="21"/>
        </w:rPr>
      </w:pPr>
      <w:r>
        <w:rPr>
          <w:rFonts w:hint="eastAsia" w:ascii="宋体" w:hAnsi="宋体" w:cs="宋体"/>
          <w:szCs w:val="21"/>
        </w:rPr>
        <w:t>在改造实施过程中，尽管双创中心新增了一台控制柜，但同时更换了4、5#宿舍楼的旧主机，并且对二食堂的系统进行了梳理，减少了信号线和电源线的铺设，总体上并未增加改造投资的成本。</w:t>
      </w:r>
    </w:p>
    <w:p w14:paraId="5A07A5A2">
      <w:pPr>
        <w:spacing w:line="360" w:lineRule="auto"/>
        <w:ind w:firstLine="420" w:firstLineChars="200"/>
        <w:rPr>
          <w:rFonts w:ascii="宋体" w:hAnsi="宋体" w:cs="宋体"/>
          <w:szCs w:val="21"/>
        </w:rPr>
      </w:pPr>
      <w:r>
        <w:rPr>
          <w:rFonts w:hint="eastAsia" w:ascii="宋体" w:hAnsi="宋体" w:cs="宋体"/>
          <w:szCs w:val="21"/>
        </w:rPr>
        <w:t>4.可管理性和可维护性</w:t>
      </w:r>
    </w:p>
    <w:p w14:paraId="726A15BC">
      <w:pPr>
        <w:spacing w:line="360" w:lineRule="auto"/>
        <w:ind w:firstLine="420" w:firstLineChars="200"/>
        <w:rPr>
          <w:rFonts w:ascii="宋体" w:hAnsi="宋体" w:cs="宋体"/>
          <w:szCs w:val="21"/>
        </w:rPr>
      </w:pPr>
      <w:r>
        <w:rPr>
          <w:rFonts w:hint="eastAsia" w:ascii="宋体" w:hAnsi="宋体" w:cs="宋体"/>
          <w:szCs w:val="21"/>
        </w:rPr>
        <w:t>区域机与集中机联网工作的模式，减轻了控制器的工作负担，确保了系统的稳定运行和通信效果，均能满足较高要求，并降低了整体风险。此外，这种模式便于未来各设施的维护保养工作集中进行。</w:t>
      </w:r>
    </w:p>
    <w:p w14:paraId="6AD0BDFD">
      <w:pPr>
        <w:spacing w:line="360" w:lineRule="auto"/>
        <w:ind w:firstLine="420" w:firstLineChars="200"/>
        <w:rPr>
          <w:rFonts w:ascii="宋体" w:hAnsi="宋体" w:cs="宋体"/>
          <w:szCs w:val="21"/>
        </w:rPr>
      </w:pPr>
      <w:r>
        <w:rPr>
          <w:rFonts w:hint="eastAsia" w:ascii="宋体" w:hAnsi="宋体" w:cs="宋体"/>
          <w:szCs w:val="21"/>
        </w:rPr>
        <w:t>5.降低用人成本</w:t>
      </w:r>
    </w:p>
    <w:p w14:paraId="651573F1">
      <w:pPr>
        <w:spacing w:line="360" w:lineRule="auto"/>
        <w:ind w:firstLine="420" w:firstLineChars="200"/>
        <w:rPr>
          <w:rFonts w:ascii="宋体" w:hAnsi="宋体" w:cs="宋体"/>
          <w:szCs w:val="21"/>
        </w:rPr>
      </w:pPr>
      <w:r>
        <w:rPr>
          <w:rFonts w:hint="eastAsia" w:ascii="宋体" w:hAnsi="宋体" w:cs="宋体"/>
          <w:szCs w:val="21"/>
        </w:rPr>
        <w:t>由于消防控制室规模的差异，其展现的系统功能也各不相同。因此，在设备操作人员的配置上，应充分考虑消防控制室的性质和实际情况。每个班组至少应配备两名人员，以便在报警信号发出时，一人可以前往现场进行确认，而另一人则留在消防控制室内，对现场情况进行严密监视，并处理其他报警信号，必要时启动相关消防设备。对于拥有多个控制室的单位，需要多名持证值班人员。根据扬州市消防条例第二十条能够通过消防设施联网实时监测、预警并实现远程操作消防控制室所有控制功能的，可以实行单人值班。通过本设计的联网合并消防控制室，可以有效降低人工成本。</w:t>
      </w:r>
    </w:p>
    <w:p w14:paraId="030DC716">
      <w:pPr>
        <w:spacing w:line="360" w:lineRule="auto"/>
        <w:ind w:firstLine="422" w:firstLineChars="200"/>
        <w:rPr>
          <w:rFonts w:ascii="宋体" w:hAnsi="宋体" w:cs="宋体"/>
          <w:szCs w:val="21"/>
        </w:rPr>
      </w:pPr>
      <w:r>
        <w:rPr>
          <w:rFonts w:hint="eastAsia" w:ascii="宋体" w:hAnsi="宋体" w:cs="宋体"/>
          <w:b/>
          <w:bCs/>
          <w:szCs w:val="21"/>
        </w:rPr>
        <w:t>三、最高限价：</w:t>
      </w:r>
      <w:ins w:id="22" w:author="Nie [2]" w:date="2026-07-02T12:14:32Z">
        <w:r>
          <w:rPr>
            <w:rFonts w:hint="eastAsia" w:ascii="宋体" w:hAnsi="宋体" w:cs="宋体"/>
            <w:szCs w:val="21"/>
          </w:rPr>
          <w:t>140</w:t>
        </w:r>
      </w:ins>
      <w:ins w:id="23" w:author="Nie [2]" w:date="2026-07-02T12:14:32Z">
        <w:r>
          <w:rPr>
            <w:rFonts w:hint="eastAsia" w:ascii="宋体" w:hAnsi="宋体" w:cs="宋体"/>
            <w:szCs w:val="21"/>
            <w:lang w:val="en-US" w:eastAsia="zh-CN"/>
          </w:rPr>
          <w:t>.</w:t>
        </w:r>
      </w:ins>
      <w:ins w:id="24" w:author="Nie [2]" w:date="2026-07-02T12:14:32Z">
        <w:r>
          <w:rPr>
            <w:rFonts w:hint="eastAsia" w:ascii="宋体" w:hAnsi="宋体" w:cs="宋体"/>
            <w:szCs w:val="21"/>
          </w:rPr>
          <w:t>884855</w:t>
        </w:r>
      </w:ins>
      <w:r>
        <w:rPr>
          <w:rFonts w:hint="eastAsia" w:ascii="宋体" w:hAnsi="宋体" w:cs="宋体"/>
          <w:szCs w:val="21"/>
        </w:rPr>
        <w:t>万元，投标报价超过最高限价的为无效投标。</w:t>
      </w:r>
    </w:p>
    <w:p w14:paraId="429B4500">
      <w:pPr>
        <w:spacing w:line="360" w:lineRule="auto"/>
        <w:ind w:firstLine="422" w:firstLineChars="200"/>
        <w:rPr>
          <w:rFonts w:ascii="宋体" w:hAnsi="宋体" w:cs="宋体"/>
          <w:szCs w:val="21"/>
        </w:rPr>
      </w:pPr>
      <w:r>
        <w:rPr>
          <w:rFonts w:hint="eastAsia" w:ascii="宋体" w:hAnsi="宋体" w:cs="宋体"/>
          <w:b/>
          <w:bCs/>
          <w:szCs w:val="21"/>
        </w:rPr>
        <w:t>四、工期要求（合同履行期限）：</w:t>
      </w:r>
      <w:r>
        <w:rPr>
          <w:rFonts w:hint="eastAsia" w:ascii="宋体" w:hAnsi="宋体" w:cs="宋体"/>
          <w:szCs w:val="21"/>
        </w:rPr>
        <w:t>90日历天。</w:t>
      </w:r>
    </w:p>
    <w:p w14:paraId="59B2D8B5">
      <w:pPr>
        <w:spacing w:line="360" w:lineRule="auto"/>
        <w:ind w:firstLine="422" w:firstLineChars="200"/>
        <w:rPr>
          <w:rFonts w:ascii="宋体" w:hAnsi="宋体" w:cs="宋体"/>
          <w:szCs w:val="21"/>
        </w:rPr>
      </w:pPr>
      <w:r>
        <w:rPr>
          <w:rFonts w:hint="eastAsia" w:ascii="宋体" w:hAnsi="宋体" w:cs="宋体"/>
          <w:b/>
          <w:bCs/>
          <w:szCs w:val="21"/>
        </w:rPr>
        <w:t>五、工程质量：</w:t>
      </w:r>
      <w:r>
        <w:rPr>
          <w:rFonts w:hint="eastAsia" w:ascii="宋体" w:hAnsi="宋体" w:cs="宋体"/>
          <w:szCs w:val="21"/>
        </w:rPr>
        <w:t>符合国家质量验收标准及采购人要求。</w:t>
      </w:r>
    </w:p>
    <w:p w14:paraId="3D308214">
      <w:pPr>
        <w:pStyle w:val="19"/>
        <w:spacing w:after="0" w:line="360" w:lineRule="auto"/>
        <w:ind w:firstLine="422" w:firstLineChars="200"/>
        <w:rPr>
          <w:rFonts w:ascii="宋体" w:hAnsi="宋体" w:cs="宋体"/>
          <w:sz w:val="21"/>
          <w:szCs w:val="21"/>
        </w:rPr>
      </w:pPr>
      <w:r>
        <w:rPr>
          <w:rFonts w:hint="eastAsia" w:ascii="宋体" w:hAnsi="宋体" w:cs="宋体"/>
          <w:b/>
          <w:bCs/>
          <w:sz w:val="21"/>
          <w:szCs w:val="21"/>
        </w:rPr>
        <w:t>六、质保期：</w:t>
      </w:r>
      <w:r>
        <w:rPr>
          <w:rFonts w:hint="eastAsia" w:ascii="宋体" w:hAnsi="宋体" w:cs="宋体"/>
          <w:sz w:val="21"/>
          <w:szCs w:val="21"/>
        </w:rPr>
        <w:t>2年。</w:t>
      </w:r>
    </w:p>
    <w:p w14:paraId="08FB0971">
      <w:pPr>
        <w:spacing w:line="360" w:lineRule="auto"/>
        <w:ind w:firstLine="422" w:firstLineChars="200"/>
        <w:rPr>
          <w:rFonts w:ascii="宋体" w:hAnsi="宋体" w:cs="宋体"/>
          <w:szCs w:val="21"/>
        </w:rPr>
      </w:pPr>
      <w:r>
        <w:rPr>
          <w:rFonts w:hint="eastAsia" w:ascii="宋体" w:hAnsi="宋体" w:cs="宋体"/>
          <w:b/>
          <w:bCs/>
          <w:szCs w:val="21"/>
        </w:rPr>
        <w:t>七、履约保证金：</w:t>
      </w:r>
      <w:r>
        <w:rPr>
          <w:rFonts w:hint="eastAsia" w:ascii="宋体" w:hAnsi="宋体" w:cs="宋体"/>
          <w:szCs w:val="21"/>
        </w:rPr>
        <w:t>本项目实行履约担保制度，合同签订前，中标供应商需交纳合同价的10%作为本合同的履约保证金，工程验收合格以后</w:t>
      </w:r>
      <w:ins w:id="25" w:author="Nie [2]" w:date="2026-07-02T12:14:38Z">
        <w:r>
          <w:rPr>
            <w:rFonts w:hint="eastAsia" w:ascii="宋体" w:hAnsi="宋体" w:cs="宋体"/>
            <w:szCs w:val="21"/>
            <w:lang w:val="en-US" w:eastAsia="zh-CN"/>
          </w:rPr>
          <w:t>3</w:t>
        </w:r>
      </w:ins>
      <w:ins w:id="26" w:author="Nie [2]" w:date="2026-07-02T12:14:39Z">
        <w:r>
          <w:rPr>
            <w:rFonts w:hint="eastAsia" w:ascii="宋体" w:hAnsi="宋体" w:cs="宋体"/>
            <w:szCs w:val="21"/>
            <w:lang w:val="en-US" w:eastAsia="zh-CN"/>
          </w:rPr>
          <w:t>0</w:t>
        </w:r>
      </w:ins>
      <w:ins w:id="27" w:author="Nie [2]" w:date="2026-07-02T12:14:40Z">
        <w:r>
          <w:rPr>
            <w:rFonts w:hint="eastAsia" w:ascii="宋体" w:hAnsi="宋体" w:cs="宋体"/>
            <w:szCs w:val="21"/>
            <w:lang w:val="en-US" w:eastAsia="zh-CN"/>
          </w:rPr>
          <w:t>日历</w:t>
        </w:r>
      </w:ins>
      <w:r>
        <w:rPr>
          <w:rFonts w:hint="eastAsia" w:ascii="宋体" w:hAnsi="宋体" w:cs="宋体"/>
          <w:szCs w:val="21"/>
        </w:rPr>
        <w:t>日内无息退还。如中标供应商对校区有破坏，需要按市价在履约保证金中扣除。</w:t>
      </w:r>
    </w:p>
    <w:p w14:paraId="21A5F52A">
      <w:pPr>
        <w:spacing w:line="360" w:lineRule="auto"/>
        <w:ind w:firstLine="420" w:firstLineChars="200"/>
        <w:rPr>
          <w:rFonts w:ascii="宋体" w:hAnsi="宋体" w:cs="宋体"/>
          <w:szCs w:val="21"/>
        </w:rPr>
      </w:pPr>
      <w:r>
        <w:rPr>
          <w:rFonts w:hint="eastAsia" w:ascii="宋体" w:hAnsi="宋体" w:cs="宋体"/>
          <w:szCs w:val="21"/>
        </w:rPr>
        <w:t>履约保证金缴纳方式：支票、汇票、本票、保函等非现金形式。</w:t>
      </w:r>
    </w:p>
    <w:p w14:paraId="76BB202D">
      <w:pPr>
        <w:spacing w:line="360" w:lineRule="auto"/>
        <w:ind w:firstLine="422" w:firstLineChars="200"/>
        <w:rPr>
          <w:rFonts w:ascii="宋体" w:hAnsi="宋体" w:cs="宋体"/>
          <w:szCs w:val="21"/>
        </w:rPr>
      </w:pPr>
      <w:r>
        <w:rPr>
          <w:rFonts w:hint="eastAsia" w:ascii="宋体" w:hAnsi="宋体" w:cs="宋体"/>
          <w:b/>
          <w:bCs/>
          <w:szCs w:val="21"/>
        </w:rPr>
        <w:t>★八、付款方式（不可负偏离）：</w:t>
      </w:r>
      <w:r>
        <w:rPr>
          <w:rFonts w:hint="eastAsia" w:ascii="宋体" w:hAnsi="宋体" w:cs="宋体"/>
          <w:szCs w:val="21"/>
        </w:rPr>
        <w:t>本工程无预付款；完工验收合格后付至合同价的70%；经审计后付至审定价的97%，同时扣除审计费，余款在质保期到后全额无息付清，每次付款前须提供正规发票，审计费按南京邮电大学审计相关规定执行。</w:t>
      </w:r>
    </w:p>
    <w:p w14:paraId="03CE48FA">
      <w:pPr>
        <w:adjustRightInd w:val="0"/>
        <w:spacing w:line="360" w:lineRule="auto"/>
        <w:ind w:firstLine="420" w:firstLineChars="200"/>
        <w:rPr>
          <w:rFonts w:ascii="宋体" w:hAnsi="宋体" w:cs="宋体"/>
          <w:szCs w:val="21"/>
        </w:rPr>
      </w:pPr>
      <w:r>
        <w:rPr>
          <w:rFonts w:hint="eastAsia" w:ascii="宋体" w:hAnsi="宋体" w:cs="宋体"/>
          <w:szCs w:val="21"/>
        </w:rPr>
        <w:t>建设项目结算审计，应按下列规定支付审计费用：</w:t>
      </w:r>
    </w:p>
    <w:p w14:paraId="1BD23E38">
      <w:pPr>
        <w:adjustRightInd w:val="0"/>
        <w:spacing w:line="360" w:lineRule="auto"/>
        <w:ind w:firstLine="420" w:firstLineChars="200"/>
        <w:rPr>
          <w:rFonts w:ascii="宋体" w:hAnsi="宋体" w:cs="宋体"/>
          <w:szCs w:val="21"/>
        </w:rPr>
      </w:pPr>
      <w:r>
        <w:rPr>
          <w:rFonts w:hint="eastAsia" w:ascii="宋体" w:hAnsi="宋体" w:cs="宋体"/>
          <w:szCs w:val="21"/>
        </w:rPr>
        <w:t>（1）单项工程核减率超过10%的，其审计费用全部由施工单位承担，并由学校从施工单位工程款中扣除（下同）；</w:t>
      </w:r>
    </w:p>
    <w:p w14:paraId="6BA9A1F0">
      <w:pPr>
        <w:adjustRightInd w:val="0"/>
        <w:spacing w:line="360" w:lineRule="auto"/>
        <w:ind w:firstLine="420" w:firstLineChars="200"/>
        <w:rPr>
          <w:rFonts w:ascii="宋体" w:hAnsi="宋体" w:cs="宋体"/>
          <w:szCs w:val="21"/>
        </w:rPr>
      </w:pPr>
      <w:r>
        <w:rPr>
          <w:rFonts w:hint="eastAsia" w:ascii="宋体" w:hAnsi="宋体" w:cs="宋体"/>
          <w:szCs w:val="21"/>
        </w:rPr>
        <w:t>（2）单项工程核减率在5%—10%（含10%）之间的，其审计费用由学校承担20%，施工单位承担80%；</w:t>
      </w:r>
    </w:p>
    <w:p w14:paraId="65B66BD9">
      <w:pPr>
        <w:adjustRightInd w:val="0"/>
        <w:spacing w:line="360" w:lineRule="auto"/>
        <w:ind w:firstLine="420" w:firstLineChars="200"/>
        <w:rPr>
          <w:rFonts w:ascii="宋体" w:hAnsi="宋体" w:cs="宋体"/>
          <w:szCs w:val="21"/>
        </w:rPr>
      </w:pPr>
      <w:r>
        <w:rPr>
          <w:rFonts w:hint="eastAsia" w:ascii="宋体" w:hAnsi="宋体" w:cs="宋体"/>
          <w:szCs w:val="21"/>
        </w:rPr>
        <w:t>（3）单项工程核减率在5%及其以下的，其审计费用由学校承担。</w:t>
      </w:r>
    </w:p>
    <w:p w14:paraId="225440D2">
      <w:pPr>
        <w:spacing w:line="360" w:lineRule="auto"/>
        <w:ind w:firstLine="422" w:firstLineChars="200"/>
        <w:rPr>
          <w:rFonts w:ascii="宋体" w:hAnsi="宋体" w:cs="宋体"/>
          <w:b/>
          <w:bCs/>
          <w:szCs w:val="21"/>
        </w:rPr>
      </w:pPr>
      <w:r>
        <w:rPr>
          <w:rFonts w:hint="eastAsia" w:ascii="宋体" w:hAnsi="宋体" w:cs="宋体"/>
          <w:b/>
          <w:bCs/>
          <w:szCs w:val="21"/>
        </w:rPr>
        <w:t>九、售后及质量保证</w:t>
      </w:r>
    </w:p>
    <w:p w14:paraId="15477BBA">
      <w:pPr>
        <w:spacing w:line="360" w:lineRule="auto"/>
        <w:ind w:firstLine="422" w:firstLineChars="200"/>
        <w:rPr>
          <w:rFonts w:ascii="宋体" w:hAnsi="宋体" w:cs="宋体"/>
          <w:szCs w:val="21"/>
          <w:highlight w:val="yellow"/>
        </w:rPr>
      </w:pPr>
      <w:r>
        <w:rPr>
          <w:rFonts w:hint="eastAsia" w:ascii="宋体" w:hAnsi="宋体" w:cs="宋体"/>
          <w:b/>
          <w:bCs/>
          <w:szCs w:val="21"/>
        </w:rPr>
        <w:t>★（一）供应商为本项目所有建设的软硬件提供不低于两年免费质保期(质保期自验收合格之日算起)。质保期内，供应商须配备专业技术人员提供7×24小时远程技术支持，及时处置系统运行、软硬件故障等常见问题。如设备发生软、硬件故障，维保人员必须在接到报修后1小时(工作时间)或4小时(非工作时间)内响应，8小时内解决问题。维保人员必须具备足够的专业技术水平，能够处理系统运维过程中遇到的常见问题。节假日或学校重大活动期间应按校方要求安排驻场人员值班保障。因产品质量、施工工艺问题产生的所有维修、更换、差旅等费用，均由供应商全额承担。（本项须单独出具加盖公章的质保服务承诺书，格式自拟；未提供承诺书或承诺内容不符合要求的，按无效投标处理。）</w:t>
      </w:r>
    </w:p>
    <w:p w14:paraId="72625453">
      <w:pPr>
        <w:spacing w:line="360" w:lineRule="auto"/>
        <w:ind w:firstLine="420" w:firstLineChars="200"/>
        <w:rPr>
          <w:rFonts w:ascii="宋体" w:hAnsi="宋体" w:cs="宋体"/>
          <w:szCs w:val="21"/>
        </w:rPr>
      </w:pPr>
      <w:r>
        <w:rPr>
          <w:rFonts w:hint="eastAsia" w:ascii="宋体" w:hAnsi="宋体" w:cs="宋体"/>
          <w:szCs w:val="21"/>
        </w:rPr>
        <w:t>（二）为确保系统正常使用，供应商需准备足够的原厂备件用于替换。如不能提供同种规格型号的配件，应提供相当质量、档次的配件(不补差价)。在系统的设计使用寿命周期内，供应商应能保证采购人可更换到原厂同质的零部件，确保系统的正常使用。</w:t>
      </w:r>
    </w:p>
    <w:p w14:paraId="4149F87A">
      <w:pPr>
        <w:spacing w:line="360" w:lineRule="auto"/>
        <w:ind w:firstLine="420" w:firstLineChars="200"/>
        <w:rPr>
          <w:rFonts w:ascii="宋体" w:hAnsi="宋体" w:cs="宋体"/>
          <w:szCs w:val="21"/>
        </w:rPr>
      </w:pPr>
      <w:r>
        <w:rPr>
          <w:rFonts w:hint="eastAsia" w:ascii="宋体" w:hAnsi="宋体" w:cs="宋体"/>
          <w:szCs w:val="21"/>
        </w:rPr>
        <w:t>质保期内如同一设备、同类故障累计发生三次或连续发生二次，或在1月内无法修复，供应商无条件换货，立即更换新机。如保修期内因故障停机，按停机时间的双倍顺延保修期。保修期结束后，供应商仍应负责提供终身维修服务，但只能收取配件费。</w:t>
      </w:r>
    </w:p>
    <w:p w14:paraId="4DCE31C4">
      <w:pPr>
        <w:spacing w:line="360" w:lineRule="auto"/>
        <w:ind w:firstLine="422" w:firstLineChars="200"/>
        <w:rPr>
          <w:rFonts w:ascii="宋体" w:hAnsi="宋体" w:cs="宋体"/>
          <w:b/>
          <w:bCs/>
          <w:szCs w:val="21"/>
        </w:rPr>
      </w:pPr>
      <w:r>
        <w:rPr>
          <w:rFonts w:hint="eastAsia" w:ascii="宋体" w:hAnsi="宋体" w:cs="宋体"/>
          <w:b/>
          <w:bCs/>
          <w:szCs w:val="21"/>
        </w:rPr>
        <w:t>十、验收要求</w:t>
      </w:r>
    </w:p>
    <w:p w14:paraId="7A58170C">
      <w:pPr>
        <w:spacing w:line="360" w:lineRule="auto"/>
        <w:ind w:firstLine="420" w:firstLineChars="200"/>
        <w:rPr>
          <w:rFonts w:ascii="宋体" w:hAnsi="宋体" w:cs="宋体"/>
          <w:szCs w:val="21"/>
        </w:rPr>
      </w:pPr>
      <w:r>
        <w:rPr>
          <w:rFonts w:hint="eastAsia" w:ascii="宋体" w:hAnsi="宋体" w:cs="宋体"/>
          <w:szCs w:val="21"/>
        </w:rPr>
        <w:t>（一）在交付前，中标供应商应作出全面检查和对验收文件进行整理，并列出清单，作为采购人初验收和使用的技术条件依据，检验的结果交采购人。</w:t>
      </w:r>
    </w:p>
    <w:p w14:paraId="20792850">
      <w:pPr>
        <w:spacing w:line="360" w:lineRule="auto"/>
        <w:ind w:firstLine="420" w:firstLineChars="200"/>
        <w:rPr>
          <w:rFonts w:ascii="宋体" w:hAnsi="宋体" w:cs="宋体"/>
          <w:szCs w:val="21"/>
        </w:rPr>
      </w:pPr>
      <w:r>
        <w:rPr>
          <w:rFonts w:hint="eastAsia" w:ascii="宋体" w:hAnsi="宋体" w:cs="宋体"/>
          <w:szCs w:val="21"/>
        </w:rPr>
        <w:t>（二）依据招标文件上的技术要求和国家有关质量标准进行现场初步验收，符合招标文件技术要求的，给予签收，初步验收不合格的不予签收。</w:t>
      </w:r>
    </w:p>
    <w:p w14:paraId="630C4FC4">
      <w:pPr>
        <w:spacing w:line="360" w:lineRule="auto"/>
        <w:ind w:firstLine="420" w:firstLineChars="200"/>
        <w:rPr>
          <w:rFonts w:ascii="宋体" w:hAnsi="宋体" w:cs="宋体"/>
          <w:szCs w:val="21"/>
        </w:rPr>
      </w:pPr>
      <w:r>
        <w:rPr>
          <w:rFonts w:hint="eastAsia" w:ascii="宋体" w:hAnsi="宋体" w:cs="宋体"/>
          <w:szCs w:val="21"/>
        </w:rPr>
        <w:t>（三）中标供应商按照招标文件要求负责安装并培训采购人的使用操作人员，中标供应商在采购人使用前进行调试，调试直到符合技术要求的采购人才做最终验收。</w:t>
      </w:r>
    </w:p>
    <w:p w14:paraId="6A5CEFB6">
      <w:pPr>
        <w:spacing w:line="360" w:lineRule="auto"/>
        <w:ind w:firstLine="420" w:firstLineChars="200"/>
        <w:rPr>
          <w:rFonts w:ascii="宋体" w:hAnsi="宋体" w:cs="宋体"/>
          <w:szCs w:val="21"/>
        </w:rPr>
      </w:pPr>
      <w:r>
        <w:rPr>
          <w:rFonts w:hint="eastAsia" w:ascii="宋体" w:hAnsi="宋体" w:cs="宋体"/>
          <w:szCs w:val="21"/>
        </w:rPr>
        <w:t>（四）对技术复杂的服务内容，采购人可请国家认可的专业检测机构参与初步验收及最终验收，并由其出具质量检测报告。验收时中标供应商必须在现场，验收完毕后作出验收结果报告；若聘请第三方中立机构验收，验收费用中标供应商承担。</w:t>
      </w:r>
    </w:p>
    <w:p w14:paraId="0A650D56">
      <w:pPr>
        <w:spacing w:line="360" w:lineRule="auto"/>
        <w:ind w:firstLine="420" w:firstLineChars="200"/>
        <w:rPr>
          <w:rFonts w:ascii="宋体" w:hAnsi="宋体" w:cs="宋体"/>
          <w:szCs w:val="21"/>
        </w:rPr>
      </w:pPr>
      <w:r>
        <w:rPr>
          <w:rFonts w:hint="eastAsia" w:ascii="宋体" w:hAnsi="宋体" w:cs="宋体"/>
          <w:szCs w:val="21"/>
        </w:rPr>
        <w:t>（五）双方关于调试和验收的其他约定。</w:t>
      </w:r>
    </w:p>
    <w:p w14:paraId="61BD4527">
      <w:pPr>
        <w:spacing w:line="360" w:lineRule="auto"/>
        <w:ind w:firstLine="422" w:firstLineChars="200"/>
        <w:rPr>
          <w:rFonts w:ascii="宋体" w:hAnsi="宋体" w:cs="宋体"/>
          <w:b/>
          <w:bCs/>
          <w:szCs w:val="21"/>
        </w:rPr>
      </w:pPr>
      <w:r>
        <w:rPr>
          <w:rFonts w:hint="eastAsia" w:ascii="宋体" w:hAnsi="宋体" w:cs="宋体"/>
          <w:b/>
          <w:bCs/>
          <w:szCs w:val="21"/>
        </w:rPr>
        <w:t>十一、培训要求</w:t>
      </w:r>
    </w:p>
    <w:p w14:paraId="3512C9C0">
      <w:pPr>
        <w:spacing w:line="360" w:lineRule="auto"/>
        <w:ind w:firstLine="420" w:firstLineChars="200"/>
        <w:rPr>
          <w:rFonts w:ascii="宋体" w:hAnsi="宋体" w:cs="宋体"/>
          <w:szCs w:val="21"/>
        </w:rPr>
      </w:pPr>
      <w:r>
        <w:rPr>
          <w:rFonts w:hint="eastAsia" w:ascii="宋体" w:hAnsi="宋体" w:cs="宋体"/>
          <w:szCs w:val="21"/>
        </w:rPr>
        <w:t>中标供应商提供免费培训（不限人数），并提供相关的培训材料，做好相关的培训记录情况。保证采购人人员达到熟练操作、维护的程度，能进行一般的日常维护管理和检修，并能够处理简单的软、硬件故障。</w:t>
      </w:r>
    </w:p>
    <w:p w14:paraId="2CD2A9C3">
      <w:pPr>
        <w:spacing w:line="360" w:lineRule="auto"/>
        <w:ind w:firstLine="422" w:firstLineChars="200"/>
        <w:rPr>
          <w:rFonts w:ascii="宋体" w:hAnsi="宋体" w:cs="宋体"/>
          <w:b/>
          <w:bCs/>
          <w:szCs w:val="21"/>
        </w:rPr>
      </w:pPr>
      <w:r>
        <w:rPr>
          <w:rFonts w:hint="eastAsia" w:ascii="宋体" w:hAnsi="宋体" w:cs="宋体"/>
          <w:b/>
          <w:bCs/>
          <w:szCs w:val="21"/>
        </w:rPr>
        <w:t>十二、其他</w:t>
      </w:r>
    </w:p>
    <w:p w14:paraId="28C75D9B">
      <w:pPr>
        <w:spacing w:line="360" w:lineRule="auto"/>
        <w:ind w:firstLine="420" w:firstLineChars="200"/>
        <w:jc w:val="left"/>
        <w:rPr>
          <w:rFonts w:ascii="宋体" w:hAnsi="宋体" w:cs="宋体"/>
          <w:szCs w:val="21"/>
        </w:rPr>
      </w:pPr>
      <w:r>
        <w:rPr>
          <w:rFonts w:hint="eastAsia" w:ascii="宋体" w:hAnsi="宋体" w:cs="宋体"/>
          <w:szCs w:val="21"/>
        </w:rPr>
        <w:t>（一）根据住房和城乡建设部办公厅关于全面实行一级建造师电子注册证书的通知（建办市〔2021〕40号）要求，自2021年10月15日起，在全国范围内实行一级建造师电子证书，电子证书式样按照《全国一体化在线政 务服务平台电子证照一级建造师注册证书》标准执行。自2022年1月1日起，一级建造师统一使用电子证书，纸质注册证书作废。各供应商若使用一级建造师证书电子注册证书编入投标文件的，电子注册证书应当符合相关文件规定，签名图像应当与持证人个人手写签名笔迹一致，证书应当在使用有效期限内。若提供的电子件无法识别有效信息的，视为无效。供应商将自行承担资格审查不通过等相应后果。</w:t>
      </w:r>
    </w:p>
    <w:p w14:paraId="035ECCE4">
      <w:pPr>
        <w:spacing w:line="360" w:lineRule="auto"/>
        <w:ind w:firstLine="420" w:firstLineChars="200"/>
        <w:jc w:val="left"/>
        <w:rPr>
          <w:rFonts w:ascii="宋体" w:hAnsi="宋体" w:cs="宋体"/>
          <w:szCs w:val="21"/>
        </w:rPr>
      </w:pPr>
      <w:r>
        <w:rPr>
          <w:rFonts w:hint="eastAsia" w:ascii="宋体" w:hAnsi="宋体" w:cs="宋体"/>
          <w:szCs w:val="21"/>
        </w:rPr>
        <w:t>（二）资质、证书的延续以相关国家、省、市规定为准，如有请将相关证明材料编入响应文件。</w:t>
      </w:r>
    </w:p>
    <w:p w14:paraId="66E7088A">
      <w:pPr>
        <w:spacing w:line="360" w:lineRule="auto"/>
        <w:ind w:firstLine="420" w:firstLineChars="200"/>
        <w:jc w:val="left"/>
        <w:rPr>
          <w:rFonts w:ascii="宋体" w:hAnsi="宋体" w:cs="宋体"/>
          <w:szCs w:val="21"/>
        </w:rPr>
      </w:pPr>
      <w:r>
        <w:rPr>
          <w:rFonts w:hint="eastAsia" w:ascii="宋体" w:hAnsi="宋体" w:cs="宋体"/>
          <w:szCs w:val="21"/>
        </w:rPr>
        <w:t>（三）根据建办市[2019]50号文及苏建函建管[2019]393号文规定，已取消一级、二级建造师临时执业证书，因此本项目不接受持临时建造师执业资格的项目负责人投标，否则将作为资格审查不通过处理。</w:t>
      </w:r>
    </w:p>
    <w:p w14:paraId="46CAC129">
      <w:pPr>
        <w:spacing w:line="360" w:lineRule="auto"/>
        <w:ind w:firstLine="420" w:firstLineChars="200"/>
        <w:jc w:val="left"/>
        <w:rPr>
          <w:rFonts w:hint="eastAsia" w:ascii="宋体" w:hAnsi="宋体" w:cs="宋体"/>
          <w:szCs w:val="21"/>
        </w:rPr>
      </w:pPr>
      <w:r>
        <w:rPr>
          <w:rFonts w:hint="eastAsia" w:ascii="宋体" w:hAnsi="宋体" w:cs="宋体"/>
          <w:szCs w:val="21"/>
        </w:rPr>
        <w:t>（四）根据江苏省住房和城乡建设厅颁发的“省住房和城乡建设厅关于我省二级建造师、二级造价工程师、二级注册建筑师、二级注册结构工程师注册证书电子证照换发的公告”请各供应商自行提供有效且满足招标文件要求的证书。否则供应商将自行承担资格审查不通过等相应后果。</w:t>
      </w:r>
    </w:p>
    <w:p w14:paraId="466F4158">
      <w:pPr>
        <w:spacing w:line="360" w:lineRule="auto"/>
        <w:ind w:firstLine="422" w:firstLineChars="200"/>
        <w:rPr>
          <w:rFonts w:ascii="宋体" w:hAnsi="宋体" w:cs="宋体"/>
          <w:b/>
          <w:bCs/>
          <w:szCs w:val="21"/>
        </w:rPr>
      </w:pPr>
      <w:r>
        <w:rPr>
          <w:rFonts w:hint="eastAsia" w:ascii="宋体" w:hAnsi="宋体" w:cs="宋体"/>
          <w:b/>
          <w:bCs/>
          <w:szCs w:val="21"/>
        </w:rPr>
        <w:t>十三、进校报备</w:t>
      </w:r>
    </w:p>
    <w:p w14:paraId="352A95A6">
      <w:pPr>
        <w:spacing w:line="360" w:lineRule="auto"/>
        <w:ind w:firstLine="420" w:firstLineChars="200"/>
        <w:jc w:val="left"/>
        <w:rPr>
          <w:rFonts w:ascii="宋体" w:hAnsi="宋体" w:cs="宋体"/>
          <w:szCs w:val="21"/>
        </w:rPr>
      </w:pPr>
      <w:r>
        <w:rPr>
          <w:rFonts w:hint="eastAsia" w:ascii="宋体" w:hAnsi="宋体" w:cs="宋体"/>
          <w:szCs w:val="21"/>
        </w:rPr>
        <w:t>供应商自行预约踏勘现场，踏勘联系人：胡老师，联系电话：15380396666。供应商授权代表需携带单位授权委托书对项目现场和周围环境进行仔细认真的查勘，在随后的采购中，对现场资料和数据所作出的推论、解释和结论及由此造成的后果由供应商负责。没有踏勘现场导致对采购需求了解不充分的供应商，自行承担相应责任。不参加现场踏勘的视同对现场的一切情况均已掌握，采购人不对供应商据此作出的判断和决策负责。在现场勘察过程中，供应商如果发生人身伤亡、财物或其他损失，无论何种原因所造成，采购人及采购代理人均不负责。供应商踏勘现场后有疑问的地方需要提供书面材料给采购人，采购人统一回复。未勘察现场或勘查工作不详细的供应商中标后，不得以不完全了解现场情况为由，而向采购人提出任何索赔或其他要求，对此采购人不承担任何责任，并将不作任何答复。</w:t>
      </w:r>
    </w:p>
    <w:p w14:paraId="3DBBE27D">
      <w:r>
        <w:br w:type="page"/>
      </w:r>
    </w:p>
    <w:p w14:paraId="1DB98A31">
      <w:pPr>
        <w:spacing w:line="360" w:lineRule="auto"/>
        <w:jc w:val="center"/>
        <w:outlineLvl w:val="0"/>
        <w:rPr>
          <w:rFonts w:hint="eastAsia" w:ascii="宋体" w:hAnsi="宋体" w:cs="宋体"/>
          <w:b/>
          <w:sz w:val="28"/>
          <w:szCs w:val="28"/>
          <w:lang w:val="zh-CN"/>
        </w:rPr>
      </w:pPr>
      <w:r>
        <w:rPr>
          <w:rFonts w:hint="eastAsia" w:ascii="宋体" w:hAnsi="宋体" w:cs="宋体"/>
          <w:b/>
          <w:sz w:val="28"/>
          <w:szCs w:val="28"/>
          <w:lang w:val="en-US" w:eastAsia="zh-CN"/>
        </w:rPr>
        <w:t xml:space="preserve">清 单 </w:t>
      </w:r>
      <w:r>
        <w:rPr>
          <w:rFonts w:hint="eastAsia" w:ascii="宋体" w:hAnsi="宋体" w:cs="宋体"/>
          <w:b/>
          <w:sz w:val="28"/>
          <w:szCs w:val="28"/>
          <w:lang w:val="zh-CN"/>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hint="eastAsia" w:ascii="宋体" w:hAnsi="宋体" w:cs="宋体"/>
          <w:b/>
          <w:sz w:val="28"/>
          <w:szCs w:val="28"/>
          <w:lang w:val="zh-CN"/>
        </w:rPr>
        <w:instrText xml:space="preserve">ADDIN CNKISM.UserStyle</w:instrText>
      </w:r>
      <w:r>
        <w:rPr>
          <w:rFonts w:hint="eastAsia" w:ascii="宋体" w:hAnsi="宋体" w:cs="宋体"/>
          <w:b/>
          <w:sz w:val="28"/>
          <w:szCs w:val="28"/>
          <w:lang w:val="zh-CN"/>
        </w:rPr>
        <w:fldChar w:fldCharType="separate"/>
      </w:r>
      <w:r>
        <w:rPr>
          <w:rFonts w:hint="eastAsia" w:ascii="宋体" w:hAnsi="宋体" w:cs="宋体"/>
          <w:b/>
          <w:sz w:val="28"/>
          <w:szCs w:val="28"/>
          <w:lang w:val="zh-CN"/>
        </w:rPr>
        <w:fldChar w:fldCharType="end"/>
      </w:r>
      <w:r>
        <w:rPr>
          <w:rFonts w:hint="eastAsia" w:ascii="宋体" w:hAnsi="宋体" w:cs="宋体"/>
          <w:b/>
          <w:sz w:val="28"/>
          <w:szCs w:val="28"/>
          <w:lang w:val="zh-CN"/>
        </w:rPr>
        <w:t xml:space="preserve">编 制 </w:t>
      </w:r>
      <w:r>
        <w:rPr>
          <w:rFonts w:hint="eastAsia" w:ascii="宋体" w:hAnsi="宋体" w:cs="宋体"/>
          <w:b/>
          <w:sz w:val="28"/>
          <w:szCs w:val="28"/>
          <w:lang w:val="zh-CN" w:eastAsia="zh-CN"/>
        </w:rPr>
        <w:t>总</w:t>
      </w:r>
      <w:r>
        <w:rPr>
          <w:rFonts w:hint="eastAsia" w:ascii="宋体" w:hAnsi="宋体" w:cs="宋体"/>
          <w:b/>
          <w:sz w:val="28"/>
          <w:szCs w:val="28"/>
          <w:lang w:val="en-US" w:eastAsia="zh-CN"/>
        </w:rPr>
        <w:t xml:space="preserve"> </w:t>
      </w:r>
      <w:r>
        <w:rPr>
          <w:rFonts w:hint="eastAsia" w:ascii="宋体" w:hAnsi="宋体" w:cs="宋体"/>
          <w:b/>
          <w:sz w:val="28"/>
          <w:szCs w:val="28"/>
          <w:lang w:val="zh-CN"/>
        </w:rPr>
        <w:t>说 明</w:t>
      </w:r>
    </w:p>
    <w:p w14:paraId="2E6D376F">
      <w:pPr>
        <w:spacing w:line="440" w:lineRule="exact"/>
        <w:ind w:firstLine="310" w:firstLineChars="147"/>
        <w:rPr>
          <w:rStyle w:val="467"/>
          <w:sz w:val="21"/>
          <w:szCs w:val="21"/>
        </w:rPr>
      </w:pPr>
      <w:r>
        <w:rPr>
          <w:rStyle w:val="467"/>
          <w:rFonts w:hint="eastAsia" w:ascii="宋体" w:hAnsi="宋体" w:cs="Arial"/>
          <w:sz w:val="21"/>
          <w:szCs w:val="21"/>
        </w:rPr>
        <w:t>一、</w:t>
      </w:r>
      <w:r>
        <w:rPr>
          <w:rStyle w:val="467"/>
          <w:rFonts w:ascii="宋体" w:hAnsi="宋体" w:cs="Arial"/>
          <w:sz w:val="21"/>
          <w:szCs w:val="21"/>
        </w:rPr>
        <w:t>工程概况：</w:t>
      </w:r>
      <w:r>
        <w:rPr>
          <w:rStyle w:val="467"/>
          <w:sz w:val="21"/>
          <w:szCs w:val="21"/>
        </w:rPr>
        <w:t xml:space="preserve"> </w:t>
      </w:r>
    </w:p>
    <w:p w14:paraId="4050C435">
      <w:pPr>
        <w:spacing w:line="360" w:lineRule="auto"/>
        <w:ind w:firstLine="420" w:firstLineChars="200"/>
        <w:rPr>
          <w:rFonts w:hint="default" w:ascii="Times New Roman" w:hAnsi="Times New Roman" w:cs="Times New Roman"/>
          <w:sz w:val="21"/>
          <w:szCs w:val="21"/>
          <w:lang w:val="en-US" w:eastAsia="zh-CN"/>
        </w:rPr>
      </w:pPr>
      <w:r>
        <w:rPr>
          <w:rFonts w:hint="eastAsia" w:ascii="宋体" w:hAnsi="宋体"/>
          <w:sz w:val="21"/>
          <w:szCs w:val="21"/>
        </w:rPr>
        <w:t>1、地理位置：</w:t>
      </w:r>
      <w:r>
        <w:rPr>
          <w:rFonts w:hint="default" w:ascii="Times New Roman" w:hAnsi="Times New Roman" w:cs="Times New Roman"/>
          <w:sz w:val="21"/>
          <w:szCs w:val="21"/>
          <w:lang w:val="en-US" w:eastAsia="zh-CN"/>
        </w:rPr>
        <w:t>本工程位于</w:t>
      </w:r>
      <w:r>
        <w:rPr>
          <w:rFonts w:hint="eastAsia" w:ascii="Times New Roman" w:hAnsi="Times New Roman" w:cs="Times New Roman"/>
          <w:sz w:val="21"/>
          <w:szCs w:val="21"/>
          <w:lang w:val="en-US" w:eastAsia="zh-CN"/>
        </w:rPr>
        <w:t>江苏省扬州市</w:t>
      </w:r>
      <w:r>
        <w:rPr>
          <w:rFonts w:hint="default" w:ascii="Times New Roman" w:hAnsi="Times New Roman" w:cs="Times New Roman"/>
          <w:sz w:val="21"/>
          <w:szCs w:val="21"/>
          <w:lang w:val="en-US" w:eastAsia="zh-CN"/>
        </w:rPr>
        <w:t>。</w:t>
      </w:r>
    </w:p>
    <w:p w14:paraId="71191B62">
      <w:pPr>
        <w:spacing w:line="360" w:lineRule="auto"/>
        <w:ind w:firstLine="420" w:firstLineChars="200"/>
        <w:rPr>
          <w:rFonts w:hint="eastAsia" w:ascii="宋体" w:hAnsi="宋体" w:eastAsia="宋体"/>
          <w:sz w:val="21"/>
          <w:szCs w:val="21"/>
          <w:lang w:eastAsia="zh-CN"/>
        </w:rPr>
      </w:pPr>
      <w:r>
        <w:rPr>
          <w:rFonts w:hint="eastAsia" w:ascii="宋体" w:hAnsi="宋体" w:eastAsia="宋体" w:cs="Times New Roman"/>
          <w:sz w:val="21"/>
          <w:szCs w:val="21"/>
          <w:lang w:val="en-US" w:eastAsia="zh-CN"/>
        </w:rPr>
        <w:t>2、</w:t>
      </w:r>
      <w:r>
        <w:rPr>
          <w:rFonts w:hint="eastAsia" w:ascii="宋体" w:hAnsi="宋体"/>
          <w:sz w:val="21"/>
          <w:szCs w:val="21"/>
        </w:rPr>
        <w:t>工程特征：</w:t>
      </w:r>
      <w:r>
        <w:rPr>
          <w:rFonts w:hint="default" w:ascii="Times New Roman" w:hAnsi="Times New Roman" w:cs="Times New Roman"/>
          <w:sz w:val="21"/>
          <w:szCs w:val="21"/>
          <w:lang w:val="en-US" w:eastAsia="zh-CN"/>
        </w:rPr>
        <w:t>主要建设内容包括：</w:t>
      </w:r>
      <w:r>
        <w:rPr>
          <w:rFonts w:hint="eastAsia" w:ascii="宋体" w:hAnsi="宋体"/>
          <w:sz w:val="21"/>
          <w:szCs w:val="21"/>
        </w:rPr>
        <w:t>主机联网整合及消防设施改造工程等</w:t>
      </w:r>
      <w:r>
        <w:rPr>
          <w:rFonts w:hint="default" w:ascii="Times New Roman" w:hAnsi="Times New Roman" w:cs="Times New Roman"/>
          <w:sz w:val="21"/>
          <w:szCs w:val="21"/>
          <w:lang w:val="en-US" w:eastAsia="zh-CN"/>
        </w:rPr>
        <w:t>。</w:t>
      </w:r>
    </w:p>
    <w:p w14:paraId="51C67459">
      <w:pPr>
        <w:numPr>
          <w:ilvl w:val="0"/>
          <w:numId w:val="0"/>
        </w:numPr>
        <w:spacing w:line="360" w:lineRule="auto"/>
        <w:ind w:left="420" w:leftChars="0"/>
        <w:rPr>
          <w:rFonts w:hint="eastAsia" w:ascii="宋体" w:hAnsi="宋体"/>
          <w:sz w:val="21"/>
          <w:szCs w:val="21"/>
        </w:rPr>
      </w:pPr>
      <w:r>
        <w:rPr>
          <w:rFonts w:hint="eastAsia" w:ascii="宋体" w:hAnsi="宋体"/>
          <w:sz w:val="21"/>
          <w:szCs w:val="21"/>
          <w:lang w:val="en-US" w:eastAsia="zh-CN"/>
        </w:rPr>
        <w:t>3、</w:t>
      </w:r>
      <w:r>
        <w:rPr>
          <w:rFonts w:hint="eastAsia" w:ascii="宋体" w:hAnsi="宋体"/>
          <w:sz w:val="21"/>
          <w:szCs w:val="21"/>
        </w:rPr>
        <w:t>本工程要求工期详见招标文件要求。</w:t>
      </w:r>
    </w:p>
    <w:p w14:paraId="6BE72DE2">
      <w:pPr>
        <w:spacing w:line="360" w:lineRule="auto"/>
        <w:ind w:firstLine="480"/>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4、本工程为南京邮电大学通达学院消控主机联网整合及消控室消防设施改造工程</w:t>
      </w:r>
      <w:r>
        <w:rPr>
          <w:rFonts w:hint="eastAsia" w:ascii="宋体" w:hAnsi="宋体" w:eastAsia="宋体" w:cs="Arial"/>
          <w:sz w:val="21"/>
          <w:szCs w:val="21"/>
          <w:lang w:val="en-US" w:eastAsia="zh-CN"/>
        </w:rPr>
        <w:t>。</w:t>
      </w:r>
    </w:p>
    <w:p w14:paraId="7C349CFB">
      <w:pPr>
        <w:spacing w:line="440" w:lineRule="exact"/>
        <w:ind w:firstLine="211" w:firstLineChars="100"/>
        <w:rPr>
          <w:rStyle w:val="467"/>
          <w:rFonts w:hint="eastAsia" w:ascii="宋体" w:hAnsi="宋体" w:cs="Arial"/>
          <w:sz w:val="21"/>
          <w:szCs w:val="21"/>
        </w:rPr>
      </w:pPr>
      <w:r>
        <w:rPr>
          <w:rStyle w:val="467"/>
          <w:rFonts w:hint="eastAsia" w:ascii="宋体" w:hAnsi="宋体" w:cs="Arial"/>
          <w:sz w:val="21"/>
          <w:szCs w:val="21"/>
          <w:lang w:val="en-US" w:eastAsia="zh-CN"/>
        </w:rPr>
        <w:t>二</w:t>
      </w:r>
      <w:r>
        <w:rPr>
          <w:rStyle w:val="467"/>
          <w:rFonts w:hint="eastAsia" w:ascii="宋体" w:hAnsi="宋体" w:cs="Arial"/>
          <w:sz w:val="21"/>
          <w:szCs w:val="21"/>
        </w:rPr>
        <w:t>、</w:t>
      </w:r>
      <w:r>
        <w:rPr>
          <w:rStyle w:val="467"/>
          <w:rFonts w:ascii="宋体" w:hAnsi="宋体" w:cs="Arial"/>
          <w:sz w:val="21"/>
          <w:szCs w:val="21"/>
        </w:rPr>
        <w:t>工程量清单编制依据：</w:t>
      </w:r>
    </w:p>
    <w:p w14:paraId="627B0124">
      <w:pPr>
        <w:pStyle w:val="42"/>
        <w:widowControl/>
        <w:spacing w:before="0" w:beforeAutospacing="0" w:after="0" w:afterAutospacing="0" w:line="360" w:lineRule="auto"/>
        <w:ind w:firstLine="480"/>
        <w:rPr>
          <w:rFonts w:hint="eastAsia" w:ascii="宋体" w:hAnsi="宋体" w:eastAsia="宋体" w:cs="Arial"/>
          <w:kern w:val="2"/>
          <w:sz w:val="21"/>
          <w:szCs w:val="21"/>
          <w:lang w:val="en-US" w:eastAsia="zh-CN"/>
        </w:rPr>
      </w:pPr>
      <w:r>
        <w:rPr>
          <w:rFonts w:hint="eastAsia" w:ascii="宋体" w:hAnsi="宋体" w:cs="Arial"/>
          <w:sz w:val="21"/>
          <w:szCs w:val="21"/>
          <w:lang w:val="en-US" w:eastAsia="zh-CN"/>
        </w:rPr>
        <w:t>1、</w:t>
      </w:r>
      <w:r>
        <w:rPr>
          <w:rFonts w:hint="eastAsia" w:ascii="宋体" w:hAnsi="宋体"/>
          <w:kern w:val="2"/>
          <w:sz w:val="21"/>
          <w:szCs w:val="21"/>
          <w:lang w:eastAsia="zh-CN"/>
        </w:rPr>
        <w:t>建设单位提供的</w:t>
      </w:r>
      <w:r>
        <w:rPr>
          <w:rFonts w:hint="eastAsia" w:ascii="宋体" w:hAnsi="宋体"/>
          <w:kern w:val="2"/>
          <w:sz w:val="21"/>
          <w:szCs w:val="21"/>
          <w:lang w:val="en-US" w:eastAsia="zh-CN"/>
        </w:rPr>
        <w:t>清单工程量表</w:t>
      </w:r>
      <w:r>
        <w:rPr>
          <w:rFonts w:hint="eastAsia" w:ascii="宋体" w:hAnsi="宋体"/>
          <w:kern w:val="2"/>
          <w:sz w:val="21"/>
          <w:szCs w:val="21"/>
          <w:lang w:eastAsia="zh-CN"/>
        </w:rPr>
        <w:t>。</w:t>
      </w:r>
    </w:p>
    <w:p w14:paraId="5595202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outlineLvl w:val="9"/>
        <w:rPr>
          <w:rFonts w:hint="eastAsia" w:ascii="宋体" w:hAnsi="宋体" w:cs="Arial"/>
          <w:sz w:val="21"/>
          <w:szCs w:val="21"/>
        </w:rPr>
      </w:pPr>
      <w:r>
        <w:rPr>
          <w:rFonts w:hint="eastAsia" w:ascii="宋体" w:hAnsi="宋体" w:cs="Arial"/>
          <w:sz w:val="21"/>
          <w:szCs w:val="21"/>
          <w:lang w:val="en-US" w:eastAsia="zh-CN"/>
        </w:rPr>
        <w:t>2、</w:t>
      </w:r>
      <w:r>
        <w:rPr>
          <w:rFonts w:ascii="宋体" w:hAnsi="宋体" w:cs="Arial"/>
          <w:color w:val="auto"/>
          <w:sz w:val="21"/>
          <w:szCs w:val="21"/>
        </w:rPr>
        <w:t>建设部</w:t>
      </w:r>
      <w:r>
        <w:rPr>
          <w:rFonts w:hint="eastAsia" w:ascii="宋体" w:hAnsi="宋体" w:cs="Arial"/>
          <w:color w:val="auto"/>
          <w:sz w:val="21"/>
          <w:szCs w:val="21"/>
        </w:rPr>
        <w:t>颁</w:t>
      </w:r>
      <w:r>
        <w:rPr>
          <w:rFonts w:ascii="宋体" w:hAnsi="宋体" w:cs="Arial"/>
          <w:color w:val="auto"/>
          <w:sz w:val="21"/>
          <w:szCs w:val="21"/>
        </w:rPr>
        <w:t>发的</w:t>
      </w:r>
      <w:r>
        <w:rPr>
          <w:rFonts w:hint="eastAsia" w:ascii="宋体" w:hAnsi="宋体" w:cs="Arial"/>
          <w:color w:val="auto"/>
          <w:sz w:val="21"/>
          <w:szCs w:val="21"/>
        </w:rPr>
        <w:t>《建设工程工程量清单计价标准》（GB/T50500-2024）及《房屋建筑与装饰工程工程量计算标准》（GB/T50854-2024）、《仿古建筑工程工程量计算标准》（GB/T50855-2024）、《通用安装工程工程量计算标准》（GB/T50856-2024）</w:t>
      </w:r>
      <w:r>
        <w:rPr>
          <w:rFonts w:hint="eastAsia" w:ascii="宋体" w:hAnsi="宋体"/>
          <w:color w:val="auto"/>
          <w:sz w:val="21"/>
          <w:szCs w:val="21"/>
          <w:shd w:val="clear" w:color="auto" w:fill="FFFFFF"/>
          <w:lang w:val="en-US" w:eastAsia="zh-CN"/>
        </w:rPr>
        <w:t>等</w:t>
      </w:r>
      <w:r>
        <w:rPr>
          <w:rFonts w:hint="eastAsia" w:ascii="宋体" w:hAnsi="宋体" w:eastAsia="宋体" w:cs="Arial"/>
          <w:sz w:val="21"/>
          <w:szCs w:val="21"/>
          <w:lang w:val="en-US" w:eastAsia="zh-CN"/>
        </w:rPr>
        <w:t>。</w:t>
      </w:r>
    </w:p>
    <w:p w14:paraId="013E607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cs="Arial"/>
          <w:color w:val="000000"/>
          <w:sz w:val="21"/>
          <w:szCs w:val="21"/>
        </w:rPr>
      </w:pPr>
      <w:r>
        <w:rPr>
          <w:rFonts w:hint="eastAsia" w:ascii="宋体" w:hAnsi="宋体"/>
          <w:sz w:val="21"/>
          <w:szCs w:val="21"/>
          <w:lang w:val="en-US" w:eastAsia="zh-CN"/>
        </w:rPr>
        <w:t>3、</w:t>
      </w:r>
      <w:r>
        <w:rPr>
          <w:rFonts w:hint="eastAsia" w:ascii="宋体" w:hAnsi="宋体"/>
          <w:sz w:val="21"/>
          <w:szCs w:val="21"/>
        </w:rPr>
        <w:t>江苏省、南京市等相关文件规定,</w:t>
      </w:r>
      <w:r>
        <w:rPr>
          <w:rFonts w:hint="eastAsia" w:ascii="宋体" w:hAnsi="宋体" w:cs="Arial"/>
          <w:color w:val="000000"/>
          <w:sz w:val="21"/>
          <w:szCs w:val="21"/>
        </w:rPr>
        <w:t>执行苏建价〔2019〕178号省住房城乡建设厅关于建筑业实施营改增后江苏省建设工程计价依据调整的通知。</w:t>
      </w:r>
    </w:p>
    <w:p w14:paraId="03368AB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cs="Arial"/>
          <w:color w:val="000000"/>
          <w:sz w:val="21"/>
          <w:szCs w:val="21"/>
        </w:rPr>
      </w:pPr>
      <w:r>
        <w:rPr>
          <w:rFonts w:hint="eastAsia" w:ascii="宋体" w:hAnsi="宋体" w:eastAsia="宋体" w:cs="Times New Roman"/>
          <w:sz w:val="21"/>
          <w:szCs w:val="21"/>
          <w:lang w:val="en-US" w:eastAsia="zh-CN"/>
        </w:rPr>
        <w:t>4、《关于明确材料预算价格中含税价和除税价计算方式的通知》苏建价函(2025)2号文；</w:t>
      </w:r>
    </w:p>
    <w:p w14:paraId="16D678CA">
      <w:pPr>
        <w:spacing w:line="360" w:lineRule="auto"/>
        <w:ind w:firstLine="420" w:firstLineChars="200"/>
        <w:rPr>
          <w:rStyle w:val="467"/>
          <w:rFonts w:hint="eastAsia" w:eastAsia="宋体"/>
          <w:b w:val="0"/>
          <w:sz w:val="21"/>
          <w:szCs w:val="21"/>
          <w:lang w:val="en-US" w:eastAsia="zh-CN"/>
        </w:rPr>
      </w:pPr>
      <w:r>
        <w:rPr>
          <w:rStyle w:val="467"/>
          <w:rFonts w:hint="eastAsia"/>
          <w:b w:val="0"/>
          <w:sz w:val="21"/>
          <w:szCs w:val="21"/>
          <w:lang w:val="en-US" w:eastAsia="zh-CN"/>
        </w:rPr>
        <w:t>5</w:t>
      </w:r>
      <w:r>
        <w:rPr>
          <w:rStyle w:val="467"/>
          <w:rFonts w:hint="eastAsia"/>
          <w:b w:val="0"/>
          <w:sz w:val="21"/>
          <w:szCs w:val="21"/>
          <w:lang w:val="en-US"/>
        </w:rPr>
        <w:t>、</w:t>
      </w:r>
      <w:r>
        <w:rPr>
          <w:rFonts w:hint="eastAsia" w:ascii="宋体" w:hAnsi="宋体"/>
          <w:sz w:val="21"/>
          <w:szCs w:val="21"/>
        </w:rPr>
        <w:t>江苏省、</w:t>
      </w:r>
      <w:r>
        <w:rPr>
          <w:rFonts w:hint="eastAsia" w:ascii="宋体" w:hAnsi="宋体"/>
          <w:sz w:val="21"/>
          <w:szCs w:val="21"/>
          <w:lang w:val="en-US" w:eastAsia="zh-CN"/>
        </w:rPr>
        <w:t>扬州</w:t>
      </w:r>
      <w:r>
        <w:rPr>
          <w:rFonts w:hint="eastAsia" w:ascii="宋体" w:hAnsi="宋体"/>
          <w:sz w:val="21"/>
          <w:szCs w:val="21"/>
        </w:rPr>
        <w:t>市区等相关</w:t>
      </w:r>
      <w:r>
        <w:rPr>
          <w:rFonts w:hint="eastAsia" w:ascii="宋体" w:hAnsi="宋体"/>
          <w:sz w:val="21"/>
          <w:szCs w:val="21"/>
          <w:lang w:eastAsia="zh-CN"/>
        </w:rPr>
        <w:t>文件</w:t>
      </w:r>
      <w:r>
        <w:rPr>
          <w:rFonts w:hint="eastAsia" w:ascii="宋体" w:hAnsi="宋体"/>
          <w:sz w:val="21"/>
          <w:szCs w:val="21"/>
        </w:rPr>
        <w:t>规定</w:t>
      </w:r>
      <w:r>
        <w:rPr>
          <w:rFonts w:hint="eastAsia" w:ascii="宋体" w:hAnsi="宋体"/>
          <w:sz w:val="21"/>
          <w:szCs w:val="21"/>
          <w:lang w:eastAsia="zh-CN"/>
        </w:rPr>
        <w:t>。</w:t>
      </w:r>
    </w:p>
    <w:p w14:paraId="0A1B0C42">
      <w:pPr>
        <w:spacing w:line="360" w:lineRule="auto"/>
        <w:ind w:firstLine="420" w:firstLineChars="200"/>
        <w:rPr>
          <w:rFonts w:hint="eastAsia" w:ascii="宋体" w:hAnsi="宋体"/>
          <w:sz w:val="21"/>
          <w:szCs w:val="21"/>
        </w:rPr>
      </w:pPr>
      <w:r>
        <w:rPr>
          <w:rFonts w:hint="eastAsia" w:ascii="宋体" w:hAnsi="宋体"/>
          <w:sz w:val="21"/>
          <w:szCs w:val="21"/>
          <w:lang w:val="en-US" w:eastAsia="zh-CN"/>
        </w:rPr>
        <w:t>6</w:t>
      </w:r>
      <w:r>
        <w:rPr>
          <w:rFonts w:hint="eastAsia" w:ascii="宋体" w:hAnsi="宋体"/>
          <w:sz w:val="21"/>
          <w:szCs w:val="21"/>
        </w:rPr>
        <w:t>、业主</w:t>
      </w:r>
      <w:r>
        <w:rPr>
          <w:rFonts w:hint="eastAsia" w:ascii="宋体" w:hAnsi="宋体"/>
          <w:sz w:val="21"/>
          <w:szCs w:val="21"/>
          <w:lang w:eastAsia="zh-CN"/>
        </w:rPr>
        <w:t>编制</w:t>
      </w:r>
      <w:r>
        <w:rPr>
          <w:rFonts w:hint="eastAsia" w:ascii="宋体" w:hAnsi="宋体"/>
          <w:sz w:val="21"/>
          <w:szCs w:val="21"/>
        </w:rPr>
        <w:t>要求及答疑、</w:t>
      </w:r>
      <w:r>
        <w:rPr>
          <w:rFonts w:hint="eastAsia" w:ascii="宋体" w:hAnsi="宋体"/>
          <w:sz w:val="21"/>
          <w:szCs w:val="21"/>
          <w:lang w:eastAsia="zh-CN"/>
        </w:rPr>
        <w:t>设计</w:t>
      </w:r>
      <w:r>
        <w:rPr>
          <w:rFonts w:hint="eastAsia" w:ascii="宋体" w:hAnsi="宋体"/>
          <w:sz w:val="21"/>
          <w:szCs w:val="21"/>
        </w:rPr>
        <w:t>图纸答疑等。</w:t>
      </w:r>
    </w:p>
    <w:p w14:paraId="2D2A4CE3">
      <w:pPr>
        <w:spacing w:line="440" w:lineRule="exact"/>
        <w:ind w:firstLine="211" w:firstLineChars="100"/>
        <w:rPr>
          <w:rStyle w:val="467"/>
          <w:sz w:val="21"/>
          <w:szCs w:val="21"/>
        </w:rPr>
      </w:pPr>
      <w:r>
        <w:rPr>
          <w:rStyle w:val="467"/>
          <w:rFonts w:hint="eastAsia" w:ascii="宋体" w:hAnsi="宋体" w:cs="Arial"/>
          <w:sz w:val="21"/>
          <w:szCs w:val="21"/>
          <w:lang w:val="en-US" w:eastAsia="zh-CN"/>
        </w:rPr>
        <w:t>三</w:t>
      </w:r>
      <w:r>
        <w:rPr>
          <w:rStyle w:val="467"/>
          <w:rFonts w:hint="eastAsia" w:ascii="宋体" w:hAnsi="宋体" w:cs="Arial"/>
          <w:sz w:val="21"/>
          <w:szCs w:val="21"/>
        </w:rPr>
        <w:t>、</w:t>
      </w:r>
      <w:r>
        <w:rPr>
          <w:rStyle w:val="467"/>
          <w:rFonts w:ascii="宋体" w:hAnsi="宋体" w:cs="Arial"/>
          <w:sz w:val="21"/>
          <w:szCs w:val="21"/>
        </w:rPr>
        <w:t>本工程工程量清单组成：</w:t>
      </w:r>
      <w:r>
        <w:rPr>
          <w:rStyle w:val="467"/>
          <w:sz w:val="21"/>
          <w:szCs w:val="21"/>
        </w:rPr>
        <w:t xml:space="preserve"> </w:t>
      </w:r>
    </w:p>
    <w:p w14:paraId="47FF8FF2">
      <w:pPr>
        <w:spacing w:line="440" w:lineRule="exact"/>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总说明、</w:t>
      </w:r>
      <w:r>
        <w:rPr>
          <w:rFonts w:hint="eastAsia" w:ascii="宋体" w:hAnsi="宋体"/>
          <w:color w:val="auto"/>
          <w:sz w:val="21"/>
          <w:szCs w:val="21"/>
          <w:highlight w:val="none"/>
          <w:lang w:val="en-US" w:eastAsia="zh-CN"/>
        </w:rPr>
        <w:t>项目清单汇总表、</w:t>
      </w:r>
      <w:r>
        <w:rPr>
          <w:rFonts w:hint="eastAsia" w:ascii="宋体" w:hAnsi="宋体"/>
          <w:color w:val="auto"/>
          <w:sz w:val="21"/>
          <w:szCs w:val="21"/>
          <w:highlight w:val="none"/>
        </w:rPr>
        <w:t>分部分项工程</w:t>
      </w:r>
      <w:r>
        <w:rPr>
          <w:rFonts w:hint="eastAsia" w:ascii="宋体" w:hAnsi="宋体"/>
          <w:color w:val="auto"/>
          <w:sz w:val="21"/>
          <w:szCs w:val="21"/>
          <w:highlight w:val="none"/>
          <w:lang w:val="en-US" w:eastAsia="zh-CN"/>
        </w:rPr>
        <w:t>项目清单</w:t>
      </w:r>
      <w:r>
        <w:rPr>
          <w:rFonts w:hint="eastAsia" w:ascii="宋体" w:hAnsi="宋体"/>
          <w:color w:val="auto"/>
          <w:sz w:val="21"/>
          <w:szCs w:val="21"/>
          <w:highlight w:val="none"/>
        </w:rPr>
        <w:t>计价表、材料暂估单价及调整表</w:t>
      </w:r>
      <w:r>
        <w:rPr>
          <w:rFonts w:hint="eastAsia" w:ascii="宋体" w:hAnsi="宋体"/>
          <w:color w:val="auto"/>
          <w:sz w:val="21"/>
          <w:szCs w:val="21"/>
          <w:highlight w:val="none"/>
          <w:lang w:eastAsia="zh-CN"/>
        </w:rPr>
        <w:t>、</w:t>
      </w:r>
      <w:r>
        <w:rPr>
          <w:rFonts w:hint="eastAsia" w:ascii="宋体" w:hAnsi="宋体"/>
          <w:color w:val="auto"/>
          <w:sz w:val="21"/>
          <w:szCs w:val="21"/>
          <w:highlight w:val="none"/>
        </w:rPr>
        <w:t>措施项目清单计价表、其他项目清单与计价表、暂列金额明细表、专业工程暂估价</w:t>
      </w:r>
      <w:r>
        <w:rPr>
          <w:rFonts w:hint="eastAsia" w:ascii="宋体" w:hAnsi="宋体"/>
          <w:color w:val="auto"/>
          <w:sz w:val="21"/>
          <w:szCs w:val="21"/>
          <w:highlight w:val="none"/>
          <w:lang w:val="en-US" w:eastAsia="zh-CN"/>
        </w:rPr>
        <w:t>明细</w:t>
      </w:r>
      <w:r>
        <w:rPr>
          <w:rFonts w:hint="eastAsia" w:ascii="宋体" w:hAnsi="宋体"/>
          <w:color w:val="auto"/>
          <w:sz w:val="21"/>
          <w:szCs w:val="21"/>
          <w:highlight w:val="none"/>
        </w:rPr>
        <w:t>表、计日工表、总承包服务费计价表、</w:t>
      </w:r>
      <w:r>
        <w:rPr>
          <w:rFonts w:hint="eastAsia" w:ascii="宋体" w:hAnsi="宋体"/>
          <w:color w:val="auto"/>
          <w:sz w:val="21"/>
          <w:szCs w:val="21"/>
          <w:highlight w:val="none"/>
          <w:lang w:val="en-US" w:eastAsia="zh-CN"/>
        </w:rPr>
        <w:t>直接发包的专业工程明细表、增值税</w:t>
      </w:r>
      <w:r>
        <w:rPr>
          <w:rFonts w:hint="eastAsia" w:ascii="宋体" w:hAnsi="宋体"/>
          <w:color w:val="auto"/>
          <w:sz w:val="21"/>
          <w:szCs w:val="21"/>
          <w:highlight w:val="none"/>
        </w:rPr>
        <w:t>计价表、发包人提供材料一览表</w:t>
      </w:r>
      <w:r>
        <w:rPr>
          <w:rFonts w:hint="eastAsia" w:ascii="宋体" w:hAnsi="宋体"/>
          <w:color w:val="auto"/>
          <w:sz w:val="21"/>
          <w:szCs w:val="21"/>
          <w:highlight w:val="none"/>
          <w:lang w:eastAsia="zh-CN"/>
        </w:rPr>
        <w:t>、承包人提供</w:t>
      </w:r>
      <w:r>
        <w:rPr>
          <w:rFonts w:hint="eastAsia" w:ascii="宋体" w:hAnsi="宋体"/>
          <w:color w:val="auto"/>
          <w:sz w:val="21"/>
          <w:szCs w:val="21"/>
          <w:highlight w:val="none"/>
          <w:lang w:val="en-US" w:eastAsia="zh-CN"/>
        </w:rPr>
        <w:t>可调价</w:t>
      </w:r>
      <w:r>
        <w:rPr>
          <w:rFonts w:hint="eastAsia" w:ascii="宋体" w:hAnsi="宋体"/>
          <w:color w:val="auto"/>
          <w:sz w:val="21"/>
          <w:szCs w:val="21"/>
          <w:highlight w:val="none"/>
          <w:lang w:eastAsia="zh-CN"/>
        </w:rPr>
        <w:t>主要材料表</w:t>
      </w:r>
      <w:r>
        <w:rPr>
          <w:rFonts w:hint="eastAsia" w:ascii="宋体" w:hAnsi="宋体"/>
          <w:color w:val="auto"/>
          <w:sz w:val="21"/>
          <w:szCs w:val="21"/>
          <w:highlight w:val="none"/>
        </w:rPr>
        <w:t>等。</w:t>
      </w:r>
    </w:p>
    <w:p w14:paraId="305AECF9">
      <w:pPr>
        <w:spacing w:line="360" w:lineRule="auto"/>
        <w:ind w:firstLine="316" w:firstLineChars="150"/>
        <w:rPr>
          <w:rFonts w:hint="default" w:ascii="宋体" w:hAnsi="宋体" w:eastAsia="宋体"/>
          <w:b/>
          <w:sz w:val="21"/>
          <w:szCs w:val="21"/>
          <w:lang w:val="en-US" w:eastAsia="zh-CN"/>
        </w:rPr>
      </w:pPr>
      <w:r>
        <w:rPr>
          <w:rFonts w:hint="eastAsia" w:ascii="宋体" w:hAnsi="宋体"/>
          <w:b/>
          <w:sz w:val="21"/>
          <w:szCs w:val="21"/>
          <w:lang w:val="en-US" w:eastAsia="zh-CN"/>
        </w:rPr>
        <w:t>四</w:t>
      </w:r>
      <w:r>
        <w:rPr>
          <w:rFonts w:hint="eastAsia" w:ascii="宋体" w:hAnsi="宋体"/>
          <w:b/>
          <w:sz w:val="21"/>
          <w:szCs w:val="21"/>
        </w:rPr>
        <w:t>、</w:t>
      </w:r>
      <w:r>
        <w:rPr>
          <w:rFonts w:hint="eastAsia" w:ascii="宋体" w:hAnsi="宋体"/>
          <w:b/>
          <w:sz w:val="21"/>
          <w:szCs w:val="21"/>
          <w:lang w:val="en-US" w:eastAsia="zh-CN"/>
        </w:rPr>
        <w:t>工程量清单编制说明</w:t>
      </w:r>
    </w:p>
    <w:p w14:paraId="667BCCC7">
      <w:pPr>
        <w:spacing w:line="440" w:lineRule="exact"/>
        <w:ind w:firstLine="420" w:firstLineChars="200"/>
        <w:rPr>
          <w:rFonts w:hint="eastAsia" w:ascii="宋体" w:hAnsi="宋体"/>
          <w:sz w:val="21"/>
          <w:szCs w:val="21"/>
        </w:rPr>
      </w:pPr>
      <w:r>
        <w:rPr>
          <w:rFonts w:hint="eastAsia" w:ascii="宋体" w:hAnsi="宋体"/>
          <w:sz w:val="21"/>
          <w:szCs w:val="21"/>
        </w:rPr>
        <w:t>1、工程垃圾</w:t>
      </w:r>
      <w:r>
        <w:rPr>
          <w:rFonts w:hint="eastAsia" w:ascii="宋体" w:hAnsi="宋体"/>
          <w:sz w:val="21"/>
          <w:szCs w:val="21"/>
          <w:lang w:val="en-US" w:eastAsia="zh-CN"/>
        </w:rPr>
        <w:t>及</w:t>
      </w:r>
      <w:r>
        <w:rPr>
          <w:rFonts w:hint="eastAsia" w:ascii="宋体" w:hAnsi="宋体"/>
          <w:sz w:val="21"/>
          <w:szCs w:val="21"/>
          <w:lang w:eastAsia="zh-CN"/>
        </w:rPr>
        <w:t>土石方，</w:t>
      </w:r>
      <w:r>
        <w:rPr>
          <w:rFonts w:hint="eastAsia" w:ascii="宋体" w:hAnsi="宋体"/>
          <w:sz w:val="21"/>
          <w:szCs w:val="21"/>
        </w:rPr>
        <w:t>清运出场，弃置费、运距由投标单位自行考虑。</w:t>
      </w:r>
    </w:p>
    <w:p w14:paraId="25ACDA88">
      <w:pPr>
        <w:spacing w:line="440" w:lineRule="exact"/>
        <w:ind w:firstLine="420" w:firstLineChars="200"/>
        <w:rPr>
          <w:rFonts w:hint="eastAsia" w:ascii="宋体" w:hAnsi="宋体" w:eastAsia="宋体" w:cs="Times New Roman"/>
          <w:sz w:val="21"/>
          <w:szCs w:val="21"/>
          <w:lang w:val="en-US" w:eastAsia="zh-CN"/>
        </w:rPr>
      </w:pPr>
      <w:r>
        <w:rPr>
          <w:rFonts w:hint="eastAsia" w:ascii="宋体" w:hAnsi="宋体" w:eastAsia="宋体" w:cs="Times New Roman"/>
          <w:sz w:val="21"/>
          <w:szCs w:val="21"/>
          <w:lang w:eastAsia="zh-CN"/>
        </w:rPr>
        <w:t>2、砂浆均采用预拌砂浆。</w:t>
      </w:r>
      <w:r>
        <w:rPr>
          <w:rFonts w:hint="eastAsia" w:ascii="宋体" w:hAnsi="宋体" w:eastAsia="宋体" w:cs="Times New Roman"/>
          <w:sz w:val="21"/>
          <w:szCs w:val="21"/>
          <w:lang w:val="en-US" w:eastAsia="zh-CN"/>
        </w:rPr>
        <w:t>砼均采用商品砼。</w:t>
      </w:r>
    </w:p>
    <w:p w14:paraId="6CEC6093">
      <w:pPr>
        <w:numPr>
          <w:ilvl w:val="0"/>
          <w:numId w:val="0"/>
        </w:numPr>
        <w:spacing w:line="440" w:lineRule="exact"/>
        <w:ind w:firstLine="420" w:firstLineChars="200"/>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3、绿化养护时间一年，养护等级三级。</w:t>
      </w:r>
    </w:p>
    <w:p w14:paraId="2575C713">
      <w:pPr>
        <w:spacing w:line="440" w:lineRule="exact"/>
        <w:ind w:firstLine="420" w:firstLineChars="200"/>
        <w:rPr>
          <w:rFonts w:hint="eastAsia" w:ascii="宋体" w:hAnsi="宋体" w:eastAsia="宋体" w:cs="Times New Roman"/>
          <w:color w:val="auto"/>
          <w:sz w:val="21"/>
          <w:szCs w:val="21"/>
          <w:lang w:val="en-US" w:eastAsia="zh-CN"/>
        </w:rPr>
      </w:pPr>
      <w:r>
        <w:rPr>
          <w:rFonts w:hint="eastAsia" w:ascii="宋体" w:hAnsi="宋体" w:eastAsia="宋体" w:cs="Times New Roman"/>
          <w:color w:val="auto"/>
          <w:sz w:val="21"/>
          <w:szCs w:val="21"/>
          <w:lang w:val="en-US" w:eastAsia="zh-CN"/>
        </w:rPr>
        <w:t>4、管线保护投标人应综合考虑到报价中，结算不予调整。</w:t>
      </w:r>
    </w:p>
    <w:p w14:paraId="3A1652CE">
      <w:pPr>
        <w:spacing w:line="440" w:lineRule="exact"/>
        <w:ind w:firstLine="420" w:firstLineChars="200"/>
        <w:rPr>
          <w:rFonts w:hint="eastAsia" w:ascii="宋体" w:hAnsi="宋体" w:eastAsia="宋体" w:cs="Times New Roman"/>
          <w:color w:val="auto"/>
          <w:sz w:val="21"/>
          <w:szCs w:val="21"/>
          <w:lang w:val="en-US" w:eastAsia="zh-CN"/>
        </w:rPr>
      </w:pPr>
      <w:r>
        <w:rPr>
          <w:rFonts w:hint="eastAsia" w:ascii="宋体" w:hAnsi="宋体" w:eastAsia="宋体" w:cs="Times New Roman"/>
          <w:color w:val="auto"/>
          <w:sz w:val="21"/>
          <w:szCs w:val="21"/>
          <w:lang w:val="en-US" w:eastAsia="zh-CN"/>
        </w:rPr>
        <w:t>5、清单按项报价的为包干价，投标人自行查勘现场，综合考虑报价，结算不予调整。</w:t>
      </w:r>
    </w:p>
    <w:p w14:paraId="17A15FB8">
      <w:pPr>
        <w:spacing w:line="440" w:lineRule="exact"/>
        <w:ind w:firstLine="420" w:firstLineChars="200"/>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6、需与原系统品牌兼容，</w:t>
      </w:r>
      <w:r>
        <w:rPr>
          <w:rFonts w:hint="eastAsia" w:ascii="宋体" w:hAnsi="Times New Roman" w:eastAsia="宋体" w:cs="Times New Roman"/>
          <w:kern w:val="0"/>
          <w:sz w:val="21"/>
          <w:szCs w:val="21"/>
          <w:lang w:val="en-US" w:eastAsia="zh-CN" w:bidi="ar-SA"/>
        </w:rPr>
        <w:t>投标人自行查勘现场，综合考虑在报价内，结算不再单独增加此项费用</w:t>
      </w:r>
      <w:r>
        <w:rPr>
          <w:rFonts w:hint="eastAsia" w:ascii="宋体" w:hAnsi="宋体" w:eastAsia="宋体" w:cs="Times New Roman"/>
          <w:sz w:val="21"/>
          <w:szCs w:val="21"/>
          <w:lang w:val="en-US" w:eastAsia="zh-CN"/>
        </w:rPr>
        <w:t>。</w:t>
      </w:r>
    </w:p>
    <w:p w14:paraId="34BD4F45">
      <w:pPr>
        <w:spacing w:line="440" w:lineRule="exact"/>
        <w:ind w:firstLine="420" w:firstLineChars="200"/>
        <w:rPr>
          <w:rFonts w:hint="eastAsia" w:ascii="宋体" w:hAnsi="Times New Roman" w:eastAsia="宋体" w:cs="Times New Roman"/>
          <w:kern w:val="0"/>
          <w:sz w:val="21"/>
          <w:szCs w:val="21"/>
          <w:lang w:val="en-US" w:eastAsia="zh-CN" w:bidi="ar-SA"/>
        </w:rPr>
      </w:pPr>
      <w:r>
        <w:rPr>
          <w:rFonts w:hint="eastAsia" w:ascii="宋体" w:hAnsi="宋体" w:eastAsia="宋体" w:cs="Times New Roman"/>
          <w:sz w:val="21"/>
          <w:szCs w:val="21"/>
          <w:lang w:val="en-US" w:eastAsia="zh-CN"/>
        </w:rPr>
        <w:t>7、</w:t>
      </w:r>
      <w:r>
        <w:rPr>
          <w:rFonts w:hint="eastAsia" w:ascii="宋体" w:hAnsi="Times New Roman" w:eastAsia="宋体" w:cs="Times New Roman"/>
          <w:kern w:val="0"/>
          <w:sz w:val="21"/>
          <w:szCs w:val="21"/>
          <w:lang w:val="en-US" w:eastAsia="zh-CN" w:bidi="ar-SA"/>
        </w:rPr>
        <w:t>消防验收费、查验费、检测费、沟通费、协调费、放水费、兼容费、深化费等相关配套费用，投标人自行查勘现场，综合考虑在报价内，结算不再单独增加此项费用。</w:t>
      </w:r>
    </w:p>
    <w:p w14:paraId="1F8A498A">
      <w:pPr>
        <w:spacing w:line="440" w:lineRule="exact"/>
        <w:ind w:firstLine="420" w:firstLineChars="200"/>
        <w:rPr>
          <w:rFonts w:hint="eastAsia" w:ascii="宋体" w:hAnsi="Times New Roman" w:eastAsia="宋体" w:cs="Times New Roman"/>
          <w:kern w:val="0"/>
          <w:sz w:val="21"/>
          <w:szCs w:val="21"/>
          <w:lang w:val="en-US" w:eastAsia="zh-CN" w:bidi="ar-SA"/>
        </w:rPr>
      </w:pPr>
      <w:r>
        <w:rPr>
          <w:rFonts w:hint="eastAsia" w:ascii="宋体" w:hAnsi="Times New Roman" w:eastAsia="宋体" w:cs="Times New Roman"/>
          <w:kern w:val="0"/>
          <w:sz w:val="21"/>
          <w:szCs w:val="21"/>
          <w:lang w:val="en-US" w:eastAsia="zh-CN" w:bidi="ar-SA"/>
        </w:rPr>
        <w:t>8、配合费（含配合装饰及其他工种的多次拆改费）、放水费、沟通费、拆除费等，需要单价报价时自行考虑综合单价，综合单价应充分考虑上述费用（包含但不仅限于），投标人自行查勘现场，结算不再单独增加此项费用。</w:t>
      </w:r>
    </w:p>
    <w:p w14:paraId="3E7598AD">
      <w:pPr>
        <w:spacing w:line="440" w:lineRule="exact"/>
        <w:ind w:firstLine="420" w:firstLineChars="200"/>
        <w:rPr>
          <w:rFonts w:hint="default" w:ascii="宋体" w:hAnsi="Times New Roman" w:eastAsia="宋体" w:cs="Times New Roman"/>
          <w:kern w:val="0"/>
          <w:sz w:val="21"/>
          <w:szCs w:val="21"/>
          <w:lang w:val="en-US" w:eastAsia="zh-CN" w:bidi="ar-SA"/>
        </w:rPr>
      </w:pPr>
      <w:r>
        <w:rPr>
          <w:rFonts w:hint="eastAsia" w:ascii="宋体" w:hAnsi="Times New Roman" w:eastAsia="宋体" w:cs="Times New Roman"/>
          <w:kern w:val="0"/>
          <w:sz w:val="21"/>
          <w:szCs w:val="21"/>
          <w:lang w:val="en-US" w:eastAsia="zh-CN" w:bidi="ar-SA"/>
        </w:rPr>
        <w:t>9、涉及拆除的部分需投标人勘察现场自行考虑报价，相关费用均须涵盖在报价中。</w:t>
      </w:r>
    </w:p>
    <w:p w14:paraId="26D28B70">
      <w:pPr>
        <w:spacing w:line="440" w:lineRule="exact"/>
        <w:ind w:firstLine="420" w:firstLineChars="200"/>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10、沟槽开挖回填、沥青路面大理石路面砖路面破除及恢复、绿化破除及恢复等无设计图纸，暂按常规做法考虑，工程量按暂估量计入。</w:t>
      </w:r>
    </w:p>
    <w:p w14:paraId="7D55BDD3">
      <w:pPr>
        <w:spacing w:line="440" w:lineRule="exact"/>
        <w:ind w:firstLine="420" w:firstLineChars="200"/>
        <w:rPr>
          <w:rFonts w:hint="eastAsia" w:ascii="宋体" w:hAnsi="Times New Roman" w:eastAsia="宋体" w:cs="Times New Roman"/>
          <w:kern w:val="0"/>
          <w:sz w:val="21"/>
          <w:szCs w:val="21"/>
          <w:lang w:val="en-US" w:eastAsia="zh-CN" w:bidi="ar-SA"/>
        </w:rPr>
      </w:pPr>
      <w:r>
        <w:rPr>
          <w:rFonts w:hint="eastAsia" w:ascii="宋体" w:hAnsi="宋体" w:eastAsia="宋体" w:cs="Times New Roman"/>
          <w:sz w:val="21"/>
          <w:szCs w:val="21"/>
          <w:lang w:val="en-US" w:eastAsia="zh-CN"/>
        </w:rPr>
        <w:t>11、</w:t>
      </w:r>
      <w:r>
        <w:rPr>
          <w:rFonts w:hint="eastAsia" w:ascii="宋体" w:hAnsi="Times New Roman" w:eastAsia="宋体" w:cs="Times New Roman"/>
          <w:kern w:val="0"/>
          <w:sz w:val="21"/>
          <w:szCs w:val="21"/>
          <w:lang w:val="en-US" w:eastAsia="zh-CN" w:bidi="ar-SA"/>
        </w:rPr>
        <w:t>所有清单项目内涉及建筑垃圾的清理及外运，综合考虑在报价内，结算不予调整。</w:t>
      </w:r>
    </w:p>
    <w:p w14:paraId="3BD3B9C9">
      <w:pPr>
        <w:spacing w:line="440" w:lineRule="exact"/>
        <w:ind w:firstLine="420" w:firstLineChars="200"/>
        <w:rPr>
          <w:rFonts w:hint="eastAsia" w:ascii="宋体" w:hAnsi="Times New Roman" w:eastAsia="宋体" w:cs="Times New Roman"/>
          <w:kern w:val="0"/>
          <w:sz w:val="21"/>
          <w:szCs w:val="21"/>
          <w:lang w:val="en-US" w:eastAsia="zh-CN" w:bidi="ar-SA"/>
        </w:rPr>
      </w:pPr>
      <w:r>
        <w:rPr>
          <w:rFonts w:hint="eastAsia" w:ascii="宋体" w:hAnsi="Times New Roman" w:eastAsia="宋体" w:cs="Times New Roman"/>
          <w:kern w:val="0"/>
          <w:sz w:val="21"/>
          <w:szCs w:val="21"/>
          <w:lang w:val="en-US" w:eastAsia="zh-CN" w:bidi="ar-SA"/>
        </w:rPr>
        <w:t>12、施工过程中造成现有保留面的损坏由投标人负责恢复，结算不另增加费用。</w:t>
      </w:r>
    </w:p>
    <w:p w14:paraId="371B2C07">
      <w:pPr>
        <w:numPr>
          <w:ilvl w:val="0"/>
          <w:numId w:val="0"/>
        </w:numPr>
        <w:spacing w:line="440" w:lineRule="exact"/>
        <w:ind w:firstLine="420" w:firstLineChars="200"/>
        <w:rPr>
          <w:rFonts w:hint="eastAsia" w:ascii="宋体" w:hAnsi="宋体" w:eastAsia="宋体" w:cs="Times New Roman"/>
          <w:color w:val="auto"/>
          <w:sz w:val="21"/>
          <w:szCs w:val="21"/>
          <w:lang w:val="en-US" w:eastAsia="zh-CN"/>
        </w:rPr>
      </w:pPr>
      <w:r>
        <w:rPr>
          <w:rFonts w:hint="eastAsia" w:ascii="宋体" w:hAnsi="宋体" w:eastAsia="宋体" w:cs="Times New Roman"/>
          <w:sz w:val="21"/>
          <w:szCs w:val="21"/>
          <w:lang w:val="en-US" w:eastAsia="zh-CN"/>
        </w:rPr>
        <w:t>13、设计图纸及清单项目特征未述事项须满足设计图纸要求及相关规范、验收标准，</w:t>
      </w:r>
      <w:r>
        <w:rPr>
          <w:rFonts w:hint="eastAsia" w:ascii="宋体" w:hAnsi="宋体" w:eastAsia="宋体" w:cs="Times New Roman"/>
          <w:color w:val="auto"/>
          <w:sz w:val="21"/>
          <w:szCs w:val="21"/>
          <w:lang w:val="en-US" w:eastAsia="zh-CN"/>
        </w:rPr>
        <w:t>投标人自行查勘现场，综合考虑报价，结算不予调整。</w:t>
      </w:r>
    </w:p>
    <w:p w14:paraId="083EA445">
      <w:pPr>
        <w:numPr>
          <w:ilvl w:val="0"/>
          <w:numId w:val="2"/>
        </w:numPr>
        <w:spacing w:line="440" w:lineRule="exact"/>
        <w:ind w:firstLine="420" w:firstLineChars="200"/>
        <w:rPr>
          <w:rFonts w:hint="default" w:ascii="宋体" w:hAnsi="宋体" w:eastAsia="宋体" w:cs="Times New Roman"/>
          <w:color w:val="auto"/>
          <w:sz w:val="21"/>
          <w:szCs w:val="21"/>
          <w:lang w:val="en-US" w:eastAsia="zh-CN"/>
        </w:rPr>
      </w:pPr>
      <w:r>
        <w:rPr>
          <w:rFonts w:hint="eastAsia" w:ascii="宋体" w:hAnsi="Times New Roman" w:eastAsia="宋体" w:cs="Times New Roman"/>
          <w:kern w:val="0"/>
          <w:sz w:val="21"/>
          <w:szCs w:val="21"/>
          <w:lang w:val="en-US" w:eastAsia="zh-CN" w:bidi="ar-SA"/>
        </w:rPr>
        <w:t>中标单位须考虑材料检验试验费，包括但不限于是施工企业按规定进行建筑材料、构配件等试样的制作、封样、送达和其它为保证工程质量进行的材料检验试验工作所发生的费用，包括新结构、新材料的试验费，对构件（如门窗）做破坏性试验所发生的试样费用和根据国家标准和施工验收规范要求对材料、构配件和建筑物工程质量检测检验发生的第三方检测费用。</w:t>
      </w:r>
    </w:p>
    <w:p w14:paraId="16E985F8">
      <w:pPr>
        <w:numPr>
          <w:ilvl w:val="0"/>
          <w:numId w:val="3"/>
        </w:numPr>
        <w:spacing w:line="440" w:lineRule="exact"/>
        <w:ind w:firstLine="422" w:firstLineChars="200"/>
        <w:rPr>
          <w:rStyle w:val="467"/>
          <w:rFonts w:hint="eastAsia" w:ascii="宋体" w:hAnsi="宋体" w:cs="Arial"/>
          <w:sz w:val="21"/>
          <w:szCs w:val="21"/>
        </w:rPr>
      </w:pPr>
      <w:r>
        <w:rPr>
          <w:rStyle w:val="467"/>
          <w:sz w:val="21"/>
          <w:szCs w:val="21"/>
        </w:rPr>
        <w:t>投标报价应考虑的有关问题说明：</w:t>
      </w:r>
    </w:p>
    <w:p w14:paraId="29033CF9">
      <w:pPr>
        <w:numPr>
          <w:ilvl w:val="0"/>
          <w:numId w:val="4"/>
        </w:numPr>
        <w:tabs>
          <w:tab w:val="left" w:pos="142"/>
        </w:tabs>
        <w:spacing w:line="360" w:lineRule="auto"/>
        <w:ind w:left="0" w:firstLine="426"/>
        <w:rPr>
          <w:rFonts w:hint="eastAsia" w:ascii="宋体" w:hAnsi="宋体"/>
          <w:sz w:val="21"/>
          <w:szCs w:val="21"/>
        </w:rPr>
      </w:pPr>
      <w:r>
        <w:rPr>
          <w:rFonts w:hint="eastAsia" w:ascii="宋体" w:hAnsi="宋体"/>
          <w:sz w:val="21"/>
          <w:szCs w:val="21"/>
        </w:rPr>
        <w:t>投标报价应按招标文件规定的统一格式填写，内容和数量以工程量清单为依据。投标人的投标报价应为工程施工所需的明示的和隐含的一切费用。</w:t>
      </w:r>
    </w:p>
    <w:p w14:paraId="1D23BA76">
      <w:pPr>
        <w:numPr>
          <w:ilvl w:val="0"/>
          <w:numId w:val="4"/>
        </w:numPr>
        <w:tabs>
          <w:tab w:val="left" w:pos="142"/>
        </w:tabs>
        <w:spacing w:line="360" w:lineRule="auto"/>
        <w:ind w:left="0" w:firstLine="426"/>
        <w:rPr>
          <w:rFonts w:ascii="宋体" w:hAnsi="宋体"/>
          <w:b/>
          <w:sz w:val="21"/>
          <w:szCs w:val="21"/>
        </w:rPr>
      </w:pPr>
      <w:r>
        <w:rPr>
          <w:rFonts w:hint="eastAsia" w:ascii="宋体" w:hAnsi="宋体"/>
          <w:sz w:val="21"/>
          <w:szCs w:val="21"/>
        </w:rPr>
        <w:t>投标报价应根据投标人实际情况自主进行，并最大限度地满足招标文件的要求，但不得低于成本。应充分考虑政策性风险、市场风险、环保措施、有害物质排放指标控制、处理和施工过程中可能发生的其他费用进行报价。</w:t>
      </w:r>
    </w:p>
    <w:p w14:paraId="37B67CE2">
      <w:pPr>
        <w:numPr>
          <w:ilvl w:val="0"/>
          <w:numId w:val="4"/>
        </w:numPr>
        <w:tabs>
          <w:tab w:val="left" w:pos="142"/>
        </w:tabs>
        <w:spacing w:line="360" w:lineRule="auto"/>
        <w:ind w:left="0" w:firstLine="426"/>
        <w:rPr>
          <w:rFonts w:hint="eastAsia" w:ascii="宋体" w:hAnsi="宋体"/>
          <w:sz w:val="21"/>
          <w:szCs w:val="21"/>
        </w:rPr>
      </w:pPr>
      <w:r>
        <w:rPr>
          <w:rFonts w:hint="eastAsia" w:ascii="宋体" w:hAnsi="宋体"/>
          <w:sz w:val="21"/>
          <w:szCs w:val="21"/>
        </w:rPr>
        <w:t>投标单位于投标前应勘察现场，分析施工条件（水、电、路、渣土堆放、施工便道的修建等）。现场水电条件是否满足施工要求，承包人按其自身需要，考虑是否需要自备电源发电；招标人对于现有的施工条件将不增加任何投入，涉及到的（水、电、路、渣土堆放等）须增加投入的因素，在投标报价中予以考虑，结算时不得调整。 对于现场的实际情况、周边环境影响、道路运输、围档要求夜间照明、专人现场安全看护等在报价中考虑，结算时不得增加与此有关的费用。</w:t>
      </w:r>
    </w:p>
    <w:p w14:paraId="4B81F136">
      <w:pPr>
        <w:numPr>
          <w:ilvl w:val="0"/>
          <w:numId w:val="4"/>
        </w:numPr>
        <w:tabs>
          <w:tab w:val="left" w:pos="142"/>
        </w:tabs>
        <w:spacing w:line="360" w:lineRule="auto"/>
        <w:ind w:left="0" w:firstLine="426"/>
        <w:rPr>
          <w:rFonts w:hint="eastAsia" w:ascii="宋体" w:hAnsi="宋体"/>
          <w:sz w:val="21"/>
          <w:szCs w:val="21"/>
        </w:rPr>
      </w:pPr>
      <w:r>
        <w:rPr>
          <w:rFonts w:hint="eastAsia" w:ascii="宋体" w:hAnsi="宋体"/>
          <w:sz w:val="21"/>
          <w:szCs w:val="21"/>
        </w:rPr>
        <w:t>投标人须在制作投标报价时自行到工地踏勘以充分了解工地位置、环境、道路、周边管线、储存空间、装卸限制及任何其他足以影响报价之情况，任何因忽视或误解工地情况而导致的成本增加或工期延长等申请一律不予认可。施工期间地下管网保护、相邻建筑物安全、道路等保护及风险费用自报，未计入报价的，视为已进行让利，结算不予调整。</w:t>
      </w:r>
    </w:p>
    <w:p w14:paraId="5EC6B8B3">
      <w:pPr>
        <w:numPr>
          <w:ilvl w:val="0"/>
          <w:numId w:val="4"/>
        </w:numPr>
        <w:spacing w:line="360" w:lineRule="auto"/>
        <w:ind w:left="0" w:leftChars="0" w:firstLine="426" w:firstLineChars="0"/>
        <w:rPr>
          <w:rFonts w:hint="eastAsia" w:ascii="Arial" w:hAnsi="Arial" w:cs="宋体"/>
          <w:color w:val="auto"/>
          <w:kern w:val="0"/>
          <w:sz w:val="21"/>
          <w:szCs w:val="21"/>
        </w:rPr>
      </w:pPr>
      <w:r>
        <w:rPr>
          <w:rFonts w:hint="eastAsia" w:ascii="Arial" w:hAnsi="Arial" w:cs="宋体"/>
          <w:color w:val="000000"/>
          <w:kern w:val="0"/>
          <w:sz w:val="21"/>
          <w:szCs w:val="21"/>
        </w:rPr>
        <w:t>本清单未尽事宜，请参见本工程设计图纸及设计答疑回复, 并应当综合考虑施工规</w:t>
      </w:r>
      <w:r>
        <w:rPr>
          <w:rFonts w:hint="eastAsia" w:ascii="Arial" w:hAnsi="Arial" w:cs="宋体"/>
          <w:color w:val="auto"/>
          <w:kern w:val="0"/>
          <w:sz w:val="21"/>
          <w:szCs w:val="21"/>
        </w:rPr>
        <w:t>范、地方规章等的要求，所产生的费用计入投标报价中；清单特征中未描述的，但规范中注明的工程内容，承包人在报价中应充分考虑“工程内容”而产生的费用，列入相应报价中。</w:t>
      </w:r>
    </w:p>
    <w:p w14:paraId="3F323A7D">
      <w:pPr>
        <w:numPr>
          <w:ilvl w:val="0"/>
          <w:numId w:val="4"/>
        </w:numPr>
        <w:tabs>
          <w:tab w:val="left" w:pos="142"/>
        </w:tabs>
        <w:spacing w:line="360" w:lineRule="auto"/>
        <w:ind w:left="0" w:firstLine="426"/>
        <w:rPr>
          <w:rFonts w:hint="eastAsia" w:ascii="宋体" w:hAnsi="宋体"/>
          <w:color w:val="auto"/>
          <w:sz w:val="21"/>
          <w:szCs w:val="21"/>
        </w:rPr>
      </w:pPr>
      <w:r>
        <w:rPr>
          <w:rFonts w:hint="eastAsia" w:ascii="宋体" w:hAnsi="宋体"/>
          <w:color w:val="auto"/>
          <w:sz w:val="21"/>
          <w:szCs w:val="21"/>
        </w:rPr>
        <w:t>投标单位必须在投标时自行充分考虑赶工措施费、脚手架、临时措施费、基槽降水排水等各项措施费（除模板外）中标后，结算时不予调整(合同约定除外)。</w:t>
      </w:r>
    </w:p>
    <w:p w14:paraId="21484798">
      <w:pPr>
        <w:numPr>
          <w:ilvl w:val="0"/>
          <w:numId w:val="4"/>
        </w:numPr>
        <w:tabs>
          <w:tab w:val="left" w:pos="142"/>
        </w:tabs>
        <w:spacing w:line="360" w:lineRule="auto"/>
        <w:ind w:left="0" w:firstLine="426"/>
        <w:rPr>
          <w:rFonts w:hint="eastAsia" w:ascii="宋体" w:hAnsi="宋体"/>
          <w:color w:val="auto"/>
          <w:sz w:val="21"/>
          <w:szCs w:val="21"/>
        </w:rPr>
      </w:pPr>
      <w:r>
        <w:rPr>
          <w:rFonts w:hint="eastAsia" w:ascii="宋体" w:hAnsi="宋体"/>
          <w:color w:val="auto"/>
          <w:sz w:val="21"/>
          <w:szCs w:val="21"/>
        </w:rPr>
        <w:t>投标人必须综合考虑本工程建成所需配合的各专业施工内容。</w:t>
      </w:r>
    </w:p>
    <w:p w14:paraId="140BD661">
      <w:pPr>
        <w:numPr>
          <w:ilvl w:val="0"/>
          <w:numId w:val="4"/>
        </w:numPr>
        <w:tabs>
          <w:tab w:val="left" w:pos="142"/>
        </w:tabs>
        <w:spacing w:line="360" w:lineRule="auto"/>
        <w:ind w:left="0" w:firstLine="426"/>
        <w:rPr>
          <w:rFonts w:hint="eastAsia" w:ascii="宋体" w:hAnsi="宋体"/>
          <w:color w:val="auto"/>
          <w:sz w:val="21"/>
          <w:szCs w:val="21"/>
        </w:rPr>
      </w:pPr>
      <w:r>
        <w:rPr>
          <w:rFonts w:hint="eastAsia" w:ascii="宋体" w:hAnsi="宋体"/>
          <w:color w:val="auto"/>
          <w:sz w:val="21"/>
          <w:szCs w:val="21"/>
        </w:rPr>
        <w:t>投标人在报价时须考虑工程交付使用前政府或有关部门要求暂停施工（如因中考、高考、雾霾天气、公祭</w:t>
      </w:r>
      <w:r>
        <w:rPr>
          <w:rFonts w:hint="eastAsia" w:ascii="宋体" w:hAnsi="宋体"/>
          <w:color w:val="auto"/>
          <w:sz w:val="21"/>
          <w:szCs w:val="21"/>
          <w:highlight w:val="none"/>
        </w:rPr>
        <w:t>日、</w:t>
      </w:r>
      <w:r>
        <w:rPr>
          <w:rFonts w:hint="eastAsia" w:ascii="宋体" w:hAnsi="宋体"/>
          <w:color w:val="auto"/>
          <w:sz w:val="21"/>
          <w:szCs w:val="21"/>
          <w:highlight w:val="none"/>
          <w:lang w:val="en-US" w:eastAsia="zh-CN"/>
        </w:rPr>
        <w:t>扬尘管控、</w:t>
      </w:r>
      <w:r>
        <w:rPr>
          <w:rFonts w:hint="eastAsia" w:ascii="宋体" w:hAnsi="宋体"/>
          <w:color w:val="auto"/>
          <w:sz w:val="21"/>
          <w:szCs w:val="21"/>
        </w:rPr>
        <w:t>节日或活动等行政性通知）而发生的各项费用，计入投标报价进行包干，无论是否列项计入，一旦中标，招标人概不调整此类费用。</w:t>
      </w:r>
    </w:p>
    <w:p w14:paraId="487764F7">
      <w:pPr>
        <w:numPr>
          <w:ilvl w:val="0"/>
          <w:numId w:val="4"/>
        </w:numPr>
        <w:tabs>
          <w:tab w:val="left" w:pos="142"/>
        </w:tabs>
        <w:spacing w:line="360" w:lineRule="auto"/>
        <w:ind w:left="0" w:firstLine="426"/>
        <w:rPr>
          <w:rFonts w:hint="eastAsia" w:ascii="宋体" w:hAnsi="宋体"/>
          <w:color w:val="auto"/>
          <w:sz w:val="21"/>
          <w:szCs w:val="21"/>
        </w:rPr>
      </w:pPr>
      <w:r>
        <w:rPr>
          <w:rFonts w:hint="eastAsia" w:ascii="宋体" w:hAnsi="宋体"/>
          <w:color w:val="auto"/>
          <w:sz w:val="21"/>
          <w:szCs w:val="21"/>
        </w:rPr>
        <w:t>投标人在报价中需综合考虑与专业分包商、材料设备供应商及专业包及相关单位的实施配合，制定切实可行的进度计划，并提供明确的材料进场计划，落实相应实现计划的措施，以及必要的赶工措施，对合理的工艺搭接和组织搭接所发生的费用，计入投标报价进行包干，无论是否列项计入，一旦中标，招标人概不调整此类费用。</w:t>
      </w:r>
    </w:p>
    <w:p w14:paraId="7D456591">
      <w:pPr>
        <w:numPr>
          <w:ilvl w:val="0"/>
          <w:numId w:val="4"/>
        </w:numPr>
        <w:tabs>
          <w:tab w:val="left" w:pos="142"/>
        </w:tabs>
        <w:spacing w:line="360" w:lineRule="auto"/>
        <w:ind w:left="0" w:firstLine="426"/>
        <w:rPr>
          <w:rFonts w:hint="eastAsia" w:ascii="宋体" w:hAnsi="宋体"/>
          <w:color w:val="auto"/>
          <w:sz w:val="21"/>
          <w:szCs w:val="21"/>
        </w:rPr>
      </w:pPr>
      <w:r>
        <w:rPr>
          <w:rFonts w:hint="eastAsia" w:ascii="宋体" w:hAnsi="宋体"/>
          <w:color w:val="auto"/>
          <w:sz w:val="21"/>
          <w:szCs w:val="21"/>
        </w:rPr>
        <w:t>投标人根据招标文件给定的工期，且应充分考虑本工程所处地区的自然气候、人文地理条件、招标人分区或分阶段提前使用等可估计的原因导致的工期影响，自行测算各项赶工费用，计入报价，一旦中标，不再调整此类赶工费用。</w:t>
      </w:r>
    </w:p>
    <w:p w14:paraId="4B62A64A">
      <w:pPr>
        <w:numPr>
          <w:ilvl w:val="0"/>
          <w:numId w:val="4"/>
        </w:numPr>
        <w:tabs>
          <w:tab w:val="left" w:pos="142"/>
        </w:tabs>
        <w:spacing w:line="360" w:lineRule="auto"/>
        <w:ind w:left="0" w:firstLine="426"/>
        <w:rPr>
          <w:rFonts w:hint="eastAsia" w:ascii="宋体" w:hAnsi="宋体"/>
          <w:color w:val="auto"/>
          <w:sz w:val="21"/>
          <w:szCs w:val="21"/>
        </w:rPr>
      </w:pPr>
      <w:r>
        <w:rPr>
          <w:rFonts w:hint="eastAsia" w:ascii="宋体" w:hAnsi="宋体"/>
          <w:color w:val="auto"/>
          <w:sz w:val="21"/>
          <w:szCs w:val="21"/>
        </w:rPr>
        <w:t>投标人应对清单中的每一个项目进行报价（包括综合单价及合价），如漏报或少报项目，均视为其费用已含在其他项目的综合单价或合价中，结算时不调整。</w:t>
      </w:r>
    </w:p>
    <w:p w14:paraId="4FA1FE36">
      <w:pPr>
        <w:numPr>
          <w:ilvl w:val="0"/>
          <w:numId w:val="4"/>
        </w:numPr>
        <w:tabs>
          <w:tab w:val="left" w:pos="142"/>
        </w:tabs>
        <w:spacing w:line="360" w:lineRule="auto"/>
        <w:ind w:left="0" w:firstLine="426"/>
        <w:rPr>
          <w:rFonts w:hint="eastAsia" w:ascii="宋体" w:hAnsi="宋体"/>
          <w:color w:val="auto"/>
          <w:sz w:val="21"/>
          <w:szCs w:val="21"/>
        </w:rPr>
      </w:pPr>
      <w:r>
        <w:rPr>
          <w:rFonts w:hint="eastAsia" w:ascii="宋体" w:hAnsi="宋体"/>
          <w:color w:val="auto"/>
          <w:sz w:val="21"/>
          <w:szCs w:val="21"/>
        </w:rPr>
        <w:t>乙供材料必须满足设计图纸和规范的要求且是环保产品的合格品，同时必须满足相应技术规范或技术标准的要求。 并根据招标文件的要求填写承包人供应材料一览表，注明：品牌、规格、型号、产地、数量、单价、合价。</w:t>
      </w:r>
    </w:p>
    <w:p w14:paraId="70B2D46E">
      <w:pPr>
        <w:numPr>
          <w:ilvl w:val="0"/>
          <w:numId w:val="4"/>
        </w:numPr>
        <w:tabs>
          <w:tab w:val="left" w:pos="142"/>
        </w:tabs>
        <w:spacing w:line="360" w:lineRule="auto"/>
        <w:ind w:left="0" w:firstLine="426"/>
        <w:rPr>
          <w:rFonts w:hint="eastAsia" w:ascii="宋体" w:hAnsi="宋体"/>
          <w:color w:val="auto"/>
          <w:sz w:val="21"/>
          <w:szCs w:val="21"/>
        </w:rPr>
      </w:pPr>
      <w:r>
        <w:rPr>
          <w:rFonts w:hint="eastAsia" w:ascii="宋体" w:hAnsi="宋体"/>
          <w:color w:val="auto"/>
          <w:sz w:val="21"/>
          <w:szCs w:val="21"/>
        </w:rPr>
        <w:t>材料费：由投标人考虑市场行情自主报价；上下力费及二次搬运费（含上楼费等）由各投标人自报，含在报价中，结算时不作调整；无论投标人是否在投标报价时明确列出此项费用，均视为已含在投标报价中</w:t>
      </w:r>
      <w:r>
        <w:rPr>
          <w:rFonts w:hint="eastAsia" w:ascii="宋体" w:hAnsi="宋体"/>
          <w:color w:val="auto"/>
          <w:sz w:val="21"/>
          <w:szCs w:val="21"/>
          <w:lang w:eastAsia="zh-CN"/>
        </w:rPr>
        <w:t>。</w:t>
      </w:r>
    </w:p>
    <w:p w14:paraId="65ADE256">
      <w:pPr>
        <w:spacing w:line="360" w:lineRule="auto"/>
        <w:ind w:firstLine="420" w:firstLineChars="200"/>
        <w:rPr>
          <w:rFonts w:hint="eastAsia" w:ascii="宋体" w:hAnsi="宋体"/>
          <w:color w:val="auto"/>
          <w:sz w:val="21"/>
          <w:szCs w:val="21"/>
        </w:rPr>
      </w:pPr>
      <w:r>
        <w:rPr>
          <w:rStyle w:val="467"/>
          <w:rFonts w:hint="eastAsia"/>
          <w:b w:val="0"/>
          <w:color w:val="auto"/>
          <w:sz w:val="21"/>
          <w:szCs w:val="21"/>
          <w:lang w:val="en-US" w:eastAsia="zh-CN"/>
        </w:rPr>
        <w:t>14、本工程的所有材料进场需经监理、发包人认可方能使用，否则发包人有权要求进场材料全部撤场，一切损失由承包人自行承担。</w:t>
      </w:r>
    </w:p>
    <w:p w14:paraId="62DD1B08">
      <w:pPr>
        <w:numPr>
          <w:ilvl w:val="0"/>
          <w:numId w:val="0"/>
        </w:numPr>
        <w:tabs>
          <w:tab w:val="left" w:pos="142"/>
        </w:tabs>
        <w:spacing w:line="360" w:lineRule="auto"/>
        <w:ind w:left="6" w:leftChars="0" w:firstLine="367" w:firstLineChars="175"/>
        <w:rPr>
          <w:rFonts w:hint="eastAsia" w:ascii="宋体" w:hAnsi="宋体"/>
          <w:color w:val="auto"/>
          <w:sz w:val="21"/>
          <w:szCs w:val="21"/>
        </w:rPr>
      </w:pPr>
      <w:r>
        <w:rPr>
          <w:rFonts w:hint="eastAsia" w:ascii="宋体" w:hAnsi="宋体"/>
          <w:color w:val="auto"/>
          <w:sz w:val="21"/>
          <w:szCs w:val="21"/>
          <w:lang w:val="en-US" w:eastAsia="zh-CN"/>
        </w:rPr>
        <w:t>15、</w:t>
      </w:r>
      <w:r>
        <w:rPr>
          <w:rFonts w:hint="eastAsia" w:ascii="宋体" w:hAnsi="宋体"/>
          <w:color w:val="auto"/>
          <w:sz w:val="21"/>
          <w:szCs w:val="21"/>
        </w:rPr>
        <w:t>施工过程中不能污染、破坏路面。如有污染、破坏要及时恢复。在投标报价中必须予以考虑，结算时不得调整。</w:t>
      </w:r>
    </w:p>
    <w:p w14:paraId="6C3D4DE3">
      <w:pPr>
        <w:numPr>
          <w:ilvl w:val="0"/>
          <w:numId w:val="0"/>
        </w:numPr>
        <w:tabs>
          <w:tab w:val="left" w:pos="142"/>
        </w:tabs>
        <w:spacing w:line="360" w:lineRule="auto"/>
        <w:ind w:left="6" w:leftChars="0" w:firstLine="367" w:firstLineChars="175"/>
        <w:rPr>
          <w:rFonts w:hint="eastAsia" w:ascii="宋体" w:hAnsi="宋体"/>
          <w:color w:val="auto"/>
          <w:sz w:val="21"/>
          <w:szCs w:val="21"/>
        </w:rPr>
      </w:pPr>
      <w:r>
        <w:rPr>
          <w:rFonts w:hint="eastAsia" w:ascii="宋体" w:hAnsi="宋体"/>
          <w:color w:val="auto"/>
          <w:sz w:val="21"/>
          <w:szCs w:val="21"/>
          <w:lang w:val="en-US" w:eastAsia="zh-CN"/>
        </w:rPr>
        <w:t>16、</w:t>
      </w:r>
      <w:r>
        <w:rPr>
          <w:rFonts w:hint="eastAsia" w:ascii="宋体" w:hAnsi="宋体"/>
          <w:color w:val="auto"/>
          <w:sz w:val="21"/>
          <w:szCs w:val="21"/>
        </w:rPr>
        <w:t>市容、环保（含夜间施工）、街道、交警、派出所和附近居民协调的一切费用一并计入报价。施工垃圾外运由承包方自理，不得混入土方内外运。</w:t>
      </w:r>
    </w:p>
    <w:p w14:paraId="73581A86">
      <w:pPr>
        <w:numPr>
          <w:ilvl w:val="0"/>
          <w:numId w:val="0"/>
        </w:numPr>
        <w:tabs>
          <w:tab w:val="left" w:pos="142"/>
        </w:tabs>
        <w:spacing w:line="360" w:lineRule="auto"/>
        <w:ind w:left="426" w:leftChars="0"/>
        <w:rPr>
          <w:rFonts w:hint="eastAsia" w:ascii="宋体" w:hAnsi="宋体"/>
          <w:color w:val="auto"/>
          <w:sz w:val="21"/>
          <w:szCs w:val="21"/>
        </w:rPr>
      </w:pPr>
      <w:r>
        <w:rPr>
          <w:rFonts w:hint="eastAsia" w:ascii="宋体" w:hAnsi="宋体"/>
          <w:color w:val="auto"/>
          <w:sz w:val="21"/>
          <w:szCs w:val="21"/>
          <w:lang w:val="en-US" w:eastAsia="zh-CN"/>
        </w:rPr>
        <w:t>17、</w:t>
      </w:r>
      <w:r>
        <w:rPr>
          <w:rFonts w:hint="eastAsia" w:ascii="宋体" w:hAnsi="宋体"/>
          <w:color w:val="auto"/>
          <w:sz w:val="21"/>
          <w:szCs w:val="21"/>
        </w:rPr>
        <w:t>噪声及排污费由各投标人自行考虑，计入投标报价。</w:t>
      </w:r>
    </w:p>
    <w:p w14:paraId="0562F4C3">
      <w:pPr>
        <w:numPr>
          <w:ilvl w:val="0"/>
          <w:numId w:val="0"/>
        </w:numPr>
        <w:tabs>
          <w:tab w:val="left" w:pos="142"/>
        </w:tabs>
        <w:spacing w:line="360" w:lineRule="auto"/>
        <w:ind w:left="0" w:leftChars="0" w:firstLine="367" w:firstLineChars="175"/>
        <w:rPr>
          <w:rFonts w:hint="eastAsia" w:ascii="宋体" w:hAnsi="宋体"/>
          <w:color w:val="auto"/>
          <w:sz w:val="21"/>
          <w:szCs w:val="21"/>
        </w:rPr>
      </w:pPr>
      <w:r>
        <w:rPr>
          <w:rFonts w:hint="eastAsia" w:ascii="宋体" w:hAnsi="宋体"/>
          <w:color w:val="auto"/>
          <w:sz w:val="21"/>
          <w:szCs w:val="21"/>
          <w:lang w:val="en-US" w:eastAsia="zh-CN"/>
        </w:rPr>
        <w:t>18、</w:t>
      </w:r>
      <w:r>
        <w:rPr>
          <w:rFonts w:hint="eastAsia" w:ascii="宋体" w:hAnsi="宋体"/>
          <w:color w:val="auto"/>
          <w:sz w:val="21"/>
          <w:szCs w:val="21"/>
        </w:rPr>
        <w:t>本工程交叉作业配合费由投标人在报价中自行考虑，后期施工不予另行计量支付。</w:t>
      </w:r>
    </w:p>
    <w:p w14:paraId="42290C92">
      <w:pPr>
        <w:tabs>
          <w:tab w:val="left" w:pos="142"/>
        </w:tabs>
        <w:spacing w:line="360" w:lineRule="auto"/>
        <w:ind w:left="0" w:leftChars="0" w:firstLine="367" w:firstLineChars="175"/>
        <w:rPr>
          <w:rFonts w:hint="eastAsia" w:ascii="宋体" w:hAnsi="宋体"/>
          <w:color w:val="auto"/>
          <w:sz w:val="21"/>
          <w:szCs w:val="21"/>
        </w:rPr>
      </w:pPr>
      <w:r>
        <w:rPr>
          <w:rFonts w:hint="eastAsia" w:ascii="宋体" w:hAnsi="宋体"/>
          <w:color w:val="auto"/>
          <w:sz w:val="21"/>
          <w:szCs w:val="21"/>
          <w:lang w:val="en-US" w:eastAsia="zh-CN"/>
        </w:rPr>
        <w:t>19</w:t>
      </w:r>
      <w:r>
        <w:rPr>
          <w:rFonts w:hint="eastAsia" w:ascii="宋体" w:hAnsi="宋体"/>
          <w:color w:val="auto"/>
          <w:sz w:val="21"/>
          <w:szCs w:val="21"/>
        </w:rPr>
        <w:t>、措施项目工程工程量为1项的项目，请投标人在报价中充分考虑，结算时不予调整（合同另行约定的除外）。</w:t>
      </w:r>
    </w:p>
    <w:p w14:paraId="3383992B">
      <w:pPr>
        <w:tabs>
          <w:tab w:val="left" w:pos="142"/>
        </w:tabs>
        <w:spacing w:line="360" w:lineRule="auto"/>
        <w:ind w:left="6" w:firstLine="367" w:firstLineChars="175"/>
        <w:rPr>
          <w:rFonts w:hint="eastAsia" w:ascii="宋体" w:hAnsi="宋体"/>
          <w:color w:val="auto"/>
          <w:sz w:val="21"/>
          <w:szCs w:val="21"/>
        </w:rPr>
      </w:pPr>
      <w:r>
        <w:rPr>
          <w:rFonts w:hint="eastAsia" w:ascii="宋体" w:hAnsi="宋体"/>
          <w:color w:val="auto"/>
          <w:sz w:val="21"/>
          <w:szCs w:val="21"/>
        </w:rPr>
        <w:t>2</w:t>
      </w:r>
      <w:r>
        <w:rPr>
          <w:rFonts w:hint="eastAsia" w:ascii="宋体" w:hAnsi="宋体"/>
          <w:color w:val="auto"/>
          <w:sz w:val="21"/>
          <w:szCs w:val="21"/>
          <w:lang w:val="en-US" w:eastAsia="zh-CN"/>
        </w:rPr>
        <w:t>0</w:t>
      </w:r>
      <w:r>
        <w:rPr>
          <w:rFonts w:hint="eastAsia" w:ascii="宋体" w:hAnsi="宋体"/>
          <w:color w:val="auto"/>
          <w:sz w:val="21"/>
          <w:szCs w:val="21"/>
        </w:rPr>
        <w:t>、对于清单中未列的措施项目，投标人可根据工程实际与施工组织设计进行增补，但不应更改已列措施项目。结算时，除工程变更引起施工方案改变外，承包人不得以招标工程措施项目清单缺项为由要求新增措施项目。</w:t>
      </w:r>
    </w:p>
    <w:p w14:paraId="2ED745A2">
      <w:pPr>
        <w:tabs>
          <w:tab w:val="left" w:pos="142"/>
        </w:tabs>
        <w:spacing w:line="360" w:lineRule="auto"/>
        <w:ind w:left="6" w:firstLine="367" w:firstLineChars="175"/>
        <w:rPr>
          <w:rFonts w:hint="eastAsia" w:ascii="宋体" w:hAnsi="宋体"/>
          <w:color w:val="auto"/>
          <w:sz w:val="21"/>
          <w:szCs w:val="21"/>
        </w:rPr>
      </w:pPr>
      <w:r>
        <w:rPr>
          <w:rFonts w:hint="eastAsia" w:ascii="宋体" w:hAnsi="宋体"/>
          <w:color w:val="auto"/>
          <w:sz w:val="21"/>
          <w:szCs w:val="21"/>
          <w:lang w:val="en-US" w:eastAsia="zh-CN"/>
        </w:rPr>
        <w:t>21</w:t>
      </w:r>
      <w:r>
        <w:rPr>
          <w:rFonts w:hint="eastAsia" w:ascii="宋体" w:hAnsi="宋体"/>
          <w:color w:val="auto"/>
          <w:sz w:val="21"/>
          <w:szCs w:val="21"/>
        </w:rPr>
        <w:t>、涉及相关施工手续和周边关系协调投标人自行解决。</w:t>
      </w:r>
    </w:p>
    <w:p w14:paraId="2B53C572">
      <w:pPr>
        <w:tabs>
          <w:tab w:val="left" w:pos="142"/>
        </w:tabs>
        <w:spacing w:line="360" w:lineRule="auto"/>
        <w:ind w:left="426"/>
        <w:rPr>
          <w:rFonts w:hint="eastAsia" w:ascii="宋体" w:hAnsi="宋体"/>
          <w:color w:val="auto"/>
          <w:sz w:val="21"/>
          <w:szCs w:val="21"/>
        </w:rPr>
      </w:pPr>
      <w:r>
        <w:rPr>
          <w:rFonts w:hint="eastAsia" w:ascii="宋体" w:hAnsi="宋体"/>
          <w:color w:val="auto"/>
          <w:sz w:val="21"/>
          <w:szCs w:val="21"/>
          <w:lang w:val="en-US" w:eastAsia="zh-CN"/>
        </w:rPr>
        <w:t>22</w:t>
      </w:r>
      <w:r>
        <w:rPr>
          <w:rFonts w:hint="eastAsia" w:ascii="宋体" w:hAnsi="宋体"/>
          <w:color w:val="auto"/>
          <w:sz w:val="21"/>
          <w:szCs w:val="21"/>
        </w:rPr>
        <w:t>、因投标人施工造成居民投诉、相关主管部门罚款由投标人承担。</w:t>
      </w:r>
    </w:p>
    <w:p w14:paraId="1BD9327F">
      <w:pPr>
        <w:spacing w:line="360" w:lineRule="auto"/>
        <w:ind w:firstLine="420" w:firstLineChars="200"/>
        <w:rPr>
          <w:rStyle w:val="467"/>
          <w:rFonts w:hint="eastAsia"/>
          <w:b w:val="0"/>
          <w:color w:val="auto"/>
          <w:sz w:val="21"/>
          <w:szCs w:val="21"/>
        </w:rPr>
      </w:pPr>
      <w:r>
        <w:rPr>
          <w:rStyle w:val="467"/>
          <w:rFonts w:hint="eastAsia"/>
          <w:b w:val="0"/>
          <w:color w:val="auto"/>
          <w:sz w:val="21"/>
          <w:szCs w:val="21"/>
          <w:lang w:val="en-US"/>
        </w:rPr>
        <w:t>23、</w:t>
      </w:r>
      <w:r>
        <w:rPr>
          <w:rStyle w:val="467"/>
          <w:rFonts w:hint="eastAsia"/>
          <w:b w:val="0"/>
          <w:color w:val="auto"/>
          <w:sz w:val="21"/>
          <w:szCs w:val="21"/>
        </w:rPr>
        <w:t>投标人自行考虑办公及住宿，费用包含在投标报价中。</w:t>
      </w:r>
    </w:p>
    <w:p w14:paraId="5285CFFF">
      <w:pPr>
        <w:tabs>
          <w:tab w:val="left" w:pos="142"/>
        </w:tabs>
        <w:spacing w:line="360" w:lineRule="auto"/>
        <w:ind w:left="6" w:firstLine="367" w:firstLineChars="175"/>
        <w:rPr>
          <w:rFonts w:hint="eastAsia" w:ascii="宋体" w:hAnsi="宋体"/>
          <w:color w:val="auto"/>
          <w:sz w:val="21"/>
          <w:szCs w:val="21"/>
        </w:rPr>
      </w:pPr>
      <w:r>
        <w:rPr>
          <w:rFonts w:hint="eastAsia" w:ascii="宋体" w:hAnsi="宋体"/>
          <w:color w:val="auto"/>
          <w:sz w:val="21"/>
          <w:szCs w:val="21"/>
          <w:lang w:val="en-US" w:eastAsia="zh-CN"/>
        </w:rPr>
        <w:t>24、</w:t>
      </w:r>
      <w:r>
        <w:rPr>
          <w:rFonts w:hint="eastAsia" w:ascii="宋体" w:hAnsi="宋体"/>
          <w:color w:val="auto"/>
          <w:sz w:val="21"/>
          <w:szCs w:val="21"/>
        </w:rPr>
        <w:t>本工程现场安全文明施工措施和扬尘控制必须符合相应规定。施工现场所有车辆出入口必须配备符合相关部门要求的洗车池，所有进出入工地的工程车辆，必须进入清洗台进行清洗，车辆洗干净才能上路</w:t>
      </w:r>
      <w:r>
        <w:rPr>
          <w:rFonts w:hint="eastAsia" w:ascii="宋体" w:hAnsi="宋体"/>
          <w:color w:val="auto"/>
          <w:sz w:val="21"/>
          <w:szCs w:val="21"/>
          <w:lang w:eastAsia="zh-CN"/>
        </w:rPr>
        <w:t>。</w:t>
      </w:r>
      <w:r>
        <w:rPr>
          <w:rFonts w:hint="eastAsia" w:ascii="宋体" w:hAnsi="宋体"/>
          <w:color w:val="auto"/>
          <w:sz w:val="21"/>
          <w:szCs w:val="21"/>
        </w:rPr>
        <w:t>请投标人根据政府部门的相关规定将冲洗台设置位置、功能等必须满足土方外运、计入报价中，功能等必须满足施工需要及甲方要求，所有费用需在投标报价中充分考虑</w:t>
      </w:r>
    </w:p>
    <w:p w14:paraId="45572809">
      <w:pPr>
        <w:tabs>
          <w:tab w:val="left" w:pos="142"/>
        </w:tabs>
        <w:spacing w:line="360" w:lineRule="auto"/>
        <w:ind w:left="6" w:firstLine="367" w:firstLineChars="175"/>
        <w:rPr>
          <w:rFonts w:hint="eastAsia" w:ascii="宋体" w:hAnsi="宋体"/>
          <w:color w:val="auto"/>
          <w:sz w:val="21"/>
          <w:szCs w:val="21"/>
        </w:rPr>
      </w:pPr>
      <w:r>
        <w:rPr>
          <w:rFonts w:hint="eastAsia" w:ascii="宋体" w:hAnsi="宋体"/>
          <w:color w:val="auto"/>
          <w:sz w:val="21"/>
          <w:szCs w:val="21"/>
          <w:lang w:val="en-US" w:eastAsia="zh-CN"/>
        </w:rPr>
        <w:t>25、</w:t>
      </w:r>
      <w:r>
        <w:rPr>
          <w:rFonts w:hint="eastAsia" w:ascii="宋体" w:hAnsi="宋体"/>
          <w:color w:val="auto"/>
          <w:sz w:val="21"/>
          <w:szCs w:val="21"/>
        </w:rPr>
        <w:t>硬化地面、渣土外运车辆冲洗、现场电子监控设备等费用包含在措施费中，结算时不得增加相关费用。</w:t>
      </w:r>
    </w:p>
    <w:p w14:paraId="1E0DC142">
      <w:pPr>
        <w:spacing w:line="360" w:lineRule="auto"/>
        <w:ind w:firstLine="420" w:firstLineChars="200"/>
        <w:rPr>
          <w:rFonts w:hint="eastAsia"/>
          <w:sz w:val="21"/>
          <w:szCs w:val="21"/>
        </w:rPr>
      </w:pPr>
      <w:r>
        <w:rPr>
          <w:rFonts w:hint="eastAsia" w:ascii="宋体" w:hAnsi="宋体"/>
          <w:sz w:val="21"/>
          <w:szCs w:val="21"/>
          <w:lang w:val="en-US" w:eastAsia="zh-CN"/>
        </w:rPr>
        <w:t>26、</w:t>
      </w:r>
      <w:r>
        <w:rPr>
          <w:rFonts w:hint="eastAsia"/>
          <w:sz w:val="21"/>
          <w:szCs w:val="21"/>
        </w:rPr>
        <w:t>土方工程在投标报价时，投标单位应结合省、市、区相关主管部门的相关规定，综合考虑运距和运输方式、清洗、除尘、购土、装车、必要的安全保障措施等综合报价，且该费用不论是否报价，结算概不调整。</w:t>
      </w:r>
    </w:p>
    <w:p w14:paraId="7650C197">
      <w:pPr>
        <w:spacing w:line="360" w:lineRule="auto"/>
        <w:ind w:firstLine="420" w:firstLineChars="200"/>
        <w:rPr>
          <w:rFonts w:hint="eastAsia"/>
          <w:sz w:val="21"/>
          <w:szCs w:val="21"/>
        </w:rPr>
      </w:pPr>
      <w:r>
        <w:rPr>
          <w:rFonts w:hint="eastAsia"/>
          <w:sz w:val="21"/>
          <w:szCs w:val="21"/>
          <w:lang w:val="en-US" w:eastAsia="zh-CN"/>
        </w:rPr>
        <w:t>27、</w:t>
      </w:r>
      <w:r>
        <w:rPr>
          <w:rFonts w:hint="eastAsia"/>
          <w:sz w:val="21"/>
          <w:szCs w:val="21"/>
        </w:rPr>
        <w:t>土方运输到现场，要按建设单位指定地点卸土，如不能满足现场施工需要，造成的现场二次转运土费用由土方单位承担。</w:t>
      </w:r>
    </w:p>
    <w:p w14:paraId="19E4248F">
      <w:pPr>
        <w:spacing w:line="360" w:lineRule="auto"/>
        <w:ind w:firstLine="420" w:firstLineChars="200"/>
        <w:rPr>
          <w:rFonts w:hint="eastAsia" w:ascii="宋体" w:hAnsi="宋体"/>
          <w:sz w:val="21"/>
          <w:szCs w:val="21"/>
        </w:rPr>
      </w:pPr>
      <w:r>
        <w:rPr>
          <w:rFonts w:hint="eastAsia"/>
          <w:sz w:val="21"/>
          <w:szCs w:val="21"/>
          <w:lang w:val="en-US" w:eastAsia="zh-CN"/>
        </w:rPr>
        <w:t>28、土方开挖期间的场地排水由投标单位自行综合考虑在投标报价中，结算时不予增加。</w:t>
      </w:r>
    </w:p>
    <w:p w14:paraId="020B57E2">
      <w:pPr>
        <w:tabs>
          <w:tab w:val="left" w:pos="142"/>
        </w:tabs>
        <w:spacing w:line="360" w:lineRule="auto"/>
        <w:ind w:firstLine="371" w:firstLineChars="177"/>
        <w:rPr>
          <w:rFonts w:hint="eastAsia" w:ascii="宋体" w:hAnsi="宋体"/>
          <w:sz w:val="21"/>
          <w:szCs w:val="21"/>
        </w:rPr>
      </w:pPr>
      <w:r>
        <w:rPr>
          <w:rFonts w:hint="eastAsia" w:ascii="宋体" w:hAnsi="宋体"/>
          <w:sz w:val="21"/>
          <w:szCs w:val="21"/>
          <w:lang w:val="en-US" w:eastAsia="zh-CN"/>
        </w:rPr>
        <w:t>29、</w:t>
      </w:r>
      <w:r>
        <w:rPr>
          <w:rFonts w:hint="eastAsia" w:ascii="宋体" w:hAnsi="宋体"/>
          <w:sz w:val="21"/>
          <w:szCs w:val="21"/>
        </w:rPr>
        <w:t>总承包人必须承担项目周边建筑、道路、地下管线及本项目新建各单体的沉降观测，以及满足设计要求的基坑边坡监测，观测（监测）次数及观测（监测）点需满足设计和相关规范要求，并向发包人提交沉降观测报告，有关费用在投标报价时考虑并计入总价。</w:t>
      </w:r>
    </w:p>
    <w:p w14:paraId="5EF53E7A">
      <w:pPr>
        <w:numPr>
          <w:ilvl w:val="0"/>
          <w:numId w:val="0"/>
        </w:numPr>
        <w:tabs>
          <w:tab w:val="left" w:pos="142"/>
        </w:tabs>
        <w:spacing w:line="360" w:lineRule="auto"/>
        <w:ind w:left="6" w:leftChars="0" w:firstLine="367" w:firstLineChars="175"/>
        <w:rPr>
          <w:rFonts w:hint="eastAsia" w:ascii="宋体" w:hAnsi="宋体"/>
          <w:color w:val="auto"/>
          <w:sz w:val="21"/>
          <w:szCs w:val="21"/>
          <w:highlight w:val="none"/>
        </w:rPr>
      </w:pPr>
      <w:r>
        <w:rPr>
          <w:rFonts w:hint="eastAsia" w:ascii="宋体" w:hAnsi="宋体"/>
          <w:sz w:val="21"/>
          <w:szCs w:val="21"/>
          <w:lang w:val="en-US" w:eastAsia="zh-CN"/>
        </w:rPr>
        <w:t>30、</w:t>
      </w:r>
      <w:r>
        <w:rPr>
          <w:rFonts w:hint="eastAsia" w:ascii="宋体" w:hAnsi="宋体"/>
          <w:sz w:val="21"/>
          <w:szCs w:val="21"/>
        </w:rPr>
        <w:t>承包人在施工过程中必须收集隐蔽项目关键部位的影像视频资料以供后期审计使用，在送审结算资料时必须一并提交。所有签证资料必须附有详细影像彩色照片，所摄照片必须有可参照性。如影像资料未能反映签证、清单或招标文</w:t>
      </w:r>
      <w:r>
        <w:rPr>
          <w:rFonts w:hint="eastAsia" w:ascii="宋体" w:hAnsi="宋体"/>
          <w:color w:val="auto"/>
          <w:sz w:val="21"/>
          <w:szCs w:val="21"/>
          <w:highlight w:val="none"/>
        </w:rPr>
        <w:t>件列明的工作内容，则结算时该项内容不予认可。</w:t>
      </w:r>
    </w:p>
    <w:p w14:paraId="5AACBF62">
      <w:pPr>
        <w:spacing w:line="360" w:lineRule="auto"/>
        <w:ind w:firstLine="420" w:firstLineChars="200"/>
        <w:rPr>
          <w:rStyle w:val="467"/>
          <w:b w:val="0"/>
          <w:color w:val="auto"/>
          <w:sz w:val="21"/>
          <w:szCs w:val="21"/>
          <w:highlight w:val="none"/>
        </w:rPr>
      </w:pPr>
      <w:r>
        <w:rPr>
          <w:rFonts w:hint="eastAsia"/>
          <w:color w:val="auto"/>
          <w:sz w:val="21"/>
          <w:szCs w:val="21"/>
          <w:highlight w:val="none"/>
          <w:lang w:val="en-US" w:eastAsia="zh-CN"/>
        </w:rPr>
        <w:t>31、</w:t>
      </w:r>
      <w:r>
        <w:rPr>
          <w:rStyle w:val="467"/>
          <w:b w:val="0"/>
          <w:color w:val="auto"/>
          <w:sz w:val="21"/>
          <w:szCs w:val="21"/>
          <w:highlight w:val="none"/>
        </w:rPr>
        <w:t>植物为</w:t>
      </w:r>
      <w:r>
        <w:rPr>
          <w:rStyle w:val="467"/>
          <w:rFonts w:hint="eastAsia"/>
          <w:b w:val="0"/>
          <w:color w:val="auto"/>
          <w:sz w:val="21"/>
          <w:szCs w:val="21"/>
          <w:highlight w:val="none"/>
          <w:lang w:val="en-US" w:eastAsia="zh-CN"/>
        </w:rPr>
        <w:t>三</w:t>
      </w:r>
      <w:r>
        <w:rPr>
          <w:rStyle w:val="467"/>
          <w:b w:val="0"/>
          <w:color w:val="auto"/>
          <w:sz w:val="21"/>
          <w:szCs w:val="21"/>
          <w:highlight w:val="none"/>
        </w:rPr>
        <w:t>级养护，养护期</w:t>
      </w:r>
      <w:r>
        <w:rPr>
          <w:rStyle w:val="467"/>
          <w:rFonts w:hint="eastAsia"/>
          <w:b w:val="0"/>
          <w:color w:val="auto"/>
          <w:sz w:val="21"/>
          <w:szCs w:val="21"/>
          <w:highlight w:val="none"/>
          <w:lang w:val="en-US" w:eastAsia="zh-CN"/>
        </w:rPr>
        <w:t>一</w:t>
      </w:r>
      <w:r>
        <w:rPr>
          <w:rStyle w:val="467"/>
          <w:b w:val="0"/>
          <w:color w:val="auto"/>
          <w:sz w:val="21"/>
          <w:szCs w:val="21"/>
          <w:highlight w:val="none"/>
        </w:rPr>
        <w:t>年，成活率要求100%。</w:t>
      </w:r>
    </w:p>
    <w:p w14:paraId="535A4F2B">
      <w:pPr>
        <w:spacing w:line="360" w:lineRule="auto"/>
        <w:ind w:firstLine="420" w:firstLineChars="200"/>
        <w:rPr>
          <w:rStyle w:val="467"/>
          <w:b w:val="0"/>
          <w:sz w:val="21"/>
          <w:szCs w:val="21"/>
        </w:rPr>
      </w:pPr>
      <w:r>
        <w:rPr>
          <w:rStyle w:val="467"/>
          <w:rFonts w:hint="eastAsia"/>
          <w:b w:val="0"/>
          <w:color w:val="auto"/>
          <w:sz w:val="21"/>
          <w:szCs w:val="21"/>
          <w:highlight w:val="none"/>
          <w:lang w:val="en-US" w:eastAsia="zh-CN"/>
        </w:rPr>
        <w:t>3</w:t>
      </w:r>
      <w:r>
        <w:rPr>
          <w:rStyle w:val="467"/>
          <w:rFonts w:hint="eastAsia"/>
          <w:b w:val="0"/>
          <w:color w:val="auto"/>
          <w:sz w:val="21"/>
          <w:szCs w:val="21"/>
          <w:highlight w:val="none"/>
          <w:lang w:val="en-US"/>
        </w:rPr>
        <w:t>2、</w:t>
      </w:r>
      <w:r>
        <w:rPr>
          <w:rStyle w:val="467"/>
          <w:b w:val="0"/>
          <w:color w:val="auto"/>
          <w:sz w:val="21"/>
          <w:szCs w:val="21"/>
          <w:highlight w:val="none"/>
        </w:rPr>
        <w:t>绿化包括苗木采购、起挖、运输，种植前的准备、混土，种植时的用工用料和施工设备机械的使用、植物种植、种植后绿地的清理、养护、施肥、除虫、修剪、栽植树木支撑，缺陷责任期内的定期养护（包括草坪）等（包括与其他专业承包单位施工的协调和衔接等），绿化缺陷责任期为</w:t>
      </w:r>
      <w:r>
        <w:rPr>
          <w:rStyle w:val="467"/>
          <w:rFonts w:hint="eastAsia"/>
          <w:b w:val="0"/>
          <w:color w:val="auto"/>
          <w:sz w:val="21"/>
          <w:szCs w:val="21"/>
          <w:highlight w:val="none"/>
          <w:lang w:val="en-US"/>
        </w:rPr>
        <w:t>1</w:t>
      </w:r>
      <w:r>
        <w:rPr>
          <w:rStyle w:val="467"/>
          <w:b w:val="0"/>
          <w:color w:val="auto"/>
          <w:sz w:val="21"/>
          <w:szCs w:val="21"/>
          <w:highlight w:val="none"/>
        </w:rPr>
        <w:t>年，缺陷</w:t>
      </w:r>
      <w:r>
        <w:rPr>
          <w:rStyle w:val="467"/>
          <w:b w:val="0"/>
          <w:sz w:val="21"/>
          <w:szCs w:val="21"/>
        </w:rPr>
        <w:t>责任期内的草花需要随季节更换，此项费用在本次报价中考率。 </w:t>
      </w:r>
    </w:p>
    <w:p w14:paraId="3BA10605">
      <w:pPr>
        <w:spacing w:line="360" w:lineRule="auto"/>
        <w:ind w:firstLine="420" w:firstLineChars="200"/>
        <w:rPr>
          <w:rFonts w:hint="default" w:ascii="宋体" w:hAnsi="宋体" w:eastAsia="宋体"/>
          <w:sz w:val="21"/>
          <w:szCs w:val="21"/>
          <w:lang w:val="en-US" w:eastAsia="zh-CN"/>
        </w:rPr>
      </w:pPr>
      <w:r>
        <w:rPr>
          <w:rStyle w:val="467"/>
          <w:rFonts w:hint="eastAsia"/>
          <w:b w:val="0"/>
          <w:sz w:val="21"/>
          <w:szCs w:val="21"/>
          <w:lang w:val="en-US" w:eastAsia="zh-CN"/>
        </w:rPr>
        <w:t>33</w:t>
      </w:r>
      <w:r>
        <w:rPr>
          <w:rStyle w:val="467"/>
          <w:rFonts w:hint="eastAsia"/>
          <w:b w:val="0"/>
          <w:sz w:val="21"/>
          <w:szCs w:val="21"/>
          <w:lang w:val="en-US"/>
        </w:rPr>
        <w:t>、</w:t>
      </w:r>
      <w:r>
        <w:rPr>
          <w:rStyle w:val="467"/>
          <w:b w:val="0"/>
          <w:sz w:val="21"/>
          <w:szCs w:val="21"/>
        </w:rPr>
        <w:t xml:space="preserve">反季节种植苗木保证苗木成活的措施费用，已包含在清单范围内，不另行计量。 </w:t>
      </w:r>
    </w:p>
    <w:p w14:paraId="3A1E72E3">
      <w:pPr>
        <w:widowControl/>
        <w:numPr>
          <w:ilvl w:val="0"/>
          <w:numId w:val="0"/>
        </w:numPr>
        <w:spacing w:line="360" w:lineRule="auto"/>
        <w:jc w:val="left"/>
        <w:rPr>
          <w:rStyle w:val="467"/>
          <w:rFonts w:hint="default"/>
          <w:b w:val="0"/>
          <w:bCs w:val="0"/>
          <w:sz w:val="21"/>
          <w:szCs w:val="21"/>
          <w:lang w:val="en-US"/>
        </w:rPr>
      </w:pPr>
      <w:r>
        <w:rPr>
          <w:rStyle w:val="467"/>
          <w:rFonts w:hint="eastAsia"/>
          <w:b w:val="0"/>
          <w:bCs w:val="0"/>
          <w:sz w:val="21"/>
          <w:szCs w:val="21"/>
          <w:lang w:val="en-US"/>
        </w:rPr>
        <w:t xml:space="preserve">   </w:t>
      </w:r>
      <w:r>
        <w:rPr>
          <w:rStyle w:val="467"/>
          <w:rFonts w:hint="eastAsia"/>
          <w:b w:val="0"/>
          <w:bCs w:val="0"/>
          <w:sz w:val="21"/>
          <w:szCs w:val="21"/>
          <w:lang w:val="en-US" w:eastAsia="zh-CN"/>
        </w:rPr>
        <w:t xml:space="preserve"> 34</w:t>
      </w:r>
      <w:r>
        <w:rPr>
          <w:rStyle w:val="467"/>
          <w:rFonts w:hint="eastAsia"/>
          <w:b w:val="0"/>
          <w:bCs w:val="0"/>
          <w:sz w:val="21"/>
          <w:szCs w:val="21"/>
          <w:lang w:val="en-US"/>
        </w:rPr>
        <w:t>、各铺装面层标高需满足设计标高要求。</w:t>
      </w:r>
    </w:p>
    <w:p w14:paraId="622D8FE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2" w:firstLineChars="200"/>
        <w:textAlignment w:val="auto"/>
        <w:rPr>
          <w:rStyle w:val="467"/>
          <w:rFonts w:hint="eastAsia" w:cs="Arial"/>
          <w:b/>
          <w:bCs/>
          <w:sz w:val="21"/>
          <w:szCs w:val="21"/>
          <w:highlight w:val="none"/>
          <w:lang w:val="en-US"/>
        </w:rPr>
      </w:pPr>
      <w:r>
        <w:rPr>
          <w:rStyle w:val="467"/>
          <w:rFonts w:hint="eastAsia" w:cs="Arial"/>
          <w:b/>
          <w:bCs/>
          <w:sz w:val="21"/>
          <w:szCs w:val="21"/>
          <w:highlight w:val="none"/>
          <w:lang w:val="en-US" w:eastAsia="zh-CN"/>
        </w:rPr>
        <w:t>六、</w:t>
      </w:r>
      <w:r>
        <w:rPr>
          <w:rStyle w:val="467"/>
          <w:rFonts w:hint="eastAsia" w:cs="Arial"/>
          <w:b/>
          <w:bCs/>
          <w:sz w:val="21"/>
          <w:szCs w:val="21"/>
          <w:highlight w:val="none"/>
          <w:lang w:val="en-US"/>
        </w:rPr>
        <w:t>材料品牌</w:t>
      </w:r>
    </w:p>
    <w:tbl>
      <w:tblPr>
        <w:tblStyle w:val="47"/>
        <w:tblW w:w="7469" w:type="dxa"/>
        <w:tblInd w:w="3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1512"/>
        <w:gridCol w:w="5269"/>
      </w:tblGrid>
      <w:tr w14:paraId="2E2A4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688" w:type="dxa"/>
            <w:noWrap/>
            <w:vAlign w:val="center"/>
          </w:tcPr>
          <w:p w14:paraId="358C488B">
            <w:pPr>
              <w:pageBreakBefore w:val="0"/>
              <w:bidi w:val="0"/>
              <w:spacing w:before="181" w:beforeLines="50" w:after="181" w:afterLines="50" w:line="360" w:lineRule="auto"/>
              <w:jc w:val="center"/>
              <w:rPr>
                <w:rFonts w:hint="eastAsia"/>
                <w:b/>
                <w:bCs/>
                <w:color w:val="000000"/>
                <w:sz w:val="21"/>
                <w:szCs w:val="21"/>
                <w:highlight w:val="none"/>
              </w:rPr>
            </w:pPr>
            <w:r>
              <w:rPr>
                <w:rFonts w:hint="eastAsia"/>
                <w:b/>
                <w:bCs/>
                <w:color w:val="000000"/>
                <w:sz w:val="21"/>
                <w:szCs w:val="21"/>
                <w:highlight w:val="none"/>
              </w:rPr>
              <w:t>序号</w:t>
            </w:r>
          </w:p>
        </w:tc>
        <w:tc>
          <w:tcPr>
            <w:tcW w:w="1512" w:type="dxa"/>
            <w:noWrap w:val="0"/>
            <w:vAlign w:val="center"/>
          </w:tcPr>
          <w:p w14:paraId="13B96139">
            <w:pPr>
              <w:pageBreakBefore w:val="0"/>
              <w:bidi w:val="0"/>
              <w:spacing w:before="181" w:beforeLines="50" w:after="181" w:afterLines="50" w:line="360" w:lineRule="auto"/>
              <w:jc w:val="center"/>
              <w:rPr>
                <w:rFonts w:hint="eastAsia"/>
                <w:b/>
                <w:bCs/>
                <w:color w:val="000000"/>
                <w:sz w:val="21"/>
                <w:szCs w:val="21"/>
                <w:highlight w:val="none"/>
              </w:rPr>
            </w:pPr>
            <w:r>
              <w:rPr>
                <w:rFonts w:hint="eastAsia"/>
                <w:b/>
                <w:bCs/>
                <w:color w:val="000000"/>
                <w:sz w:val="21"/>
                <w:szCs w:val="21"/>
                <w:highlight w:val="none"/>
              </w:rPr>
              <w:t>材料名称</w:t>
            </w:r>
          </w:p>
        </w:tc>
        <w:tc>
          <w:tcPr>
            <w:tcW w:w="5269" w:type="dxa"/>
            <w:noWrap w:val="0"/>
            <w:vAlign w:val="center"/>
          </w:tcPr>
          <w:p w14:paraId="6EE9537A">
            <w:pPr>
              <w:pageBreakBefore w:val="0"/>
              <w:bidi w:val="0"/>
              <w:spacing w:before="181" w:beforeLines="50" w:after="181" w:afterLines="50" w:line="360" w:lineRule="auto"/>
              <w:jc w:val="center"/>
              <w:rPr>
                <w:rFonts w:hint="eastAsia"/>
                <w:b/>
                <w:bCs/>
                <w:color w:val="000000"/>
                <w:sz w:val="21"/>
                <w:szCs w:val="21"/>
                <w:highlight w:val="none"/>
              </w:rPr>
            </w:pPr>
            <w:r>
              <w:rPr>
                <w:rFonts w:hint="eastAsia"/>
                <w:b/>
                <w:bCs/>
                <w:color w:val="000000"/>
                <w:sz w:val="21"/>
                <w:szCs w:val="21"/>
                <w:highlight w:val="none"/>
              </w:rPr>
              <w:t>推荐品牌</w:t>
            </w:r>
          </w:p>
        </w:tc>
      </w:tr>
      <w:tr w14:paraId="1452A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88" w:type="dxa"/>
            <w:noWrap/>
            <w:vAlign w:val="center"/>
          </w:tcPr>
          <w:p w14:paraId="4E33BBD2">
            <w:pPr>
              <w:pageBreakBefore w:val="0"/>
              <w:bidi w:val="0"/>
              <w:spacing w:before="181" w:beforeLines="50" w:after="181" w:afterLines="50"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p>
        </w:tc>
        <w:tc>
          <w:tcPr>
            <w:tcW w:w="1512" w:type="dxa"/>
            <w:noWrap w:val="0"/>
            <w:vAlign w:val="center"/>
          </w:tcPr>
          <w:p w14:paraId="1C195212">
            <w:pPr>
              <w:pageBreakBefore w:val="0"/>
              <w:bidi w:val="0"/>
              <w:spacing w:before="181" w:beforeLines="50" w:after="181" w:afterLines="50" w:line="360" w:lineRule="auto"/>
              <w:jc w:val="center"/>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塑料管</w:t>
            </w:r>
          </w:p>
        </w:tc>
        <w:tc>
          <w:tcPr>
            <w:tcW w:w="5269" w:type="dxa"/>
            <w:noWrap w:val="0"/>
            <w:vAlign w:val="center"/>
          </w:tcPr>
          <w:p w14:paraId="51F5C7CA">
            <w:pPr>
              <w:pageBreakBefore w:val="0"/>
              <w:bidi w:val="0"/>
              <w:spacing w:before="181" w:beforeLines="50" w:after="181" w:afterLines="50" w:line="360" w:lineRule="auto"/>
              <w:jc w:val="center"/>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公元、联塑、伟星</w:t>
            </w:r>
          </w:p>
          <w:p w14:paraId="467CE673">
            <w:pPr>
              <w:pageBreakBefore w:val="0"/>
              <w:bidi w:val="0"/>
              <w:spacing w:before="181" w:beforeLines="50" w:after="181" w:afterLines="50"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伟星</w:t>
            </w:r>
          </w:p>
          <w:p w14:paraId="46FB07C9">
            <w:pPr>
              <w:pageBreakBefore w:val="0"/>
              <w:bidi w:val="0"/>
              <w:spacing w:before="181" w:beforeLines="50" w:after="181" w:afterLines="50"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p>
          <w:p w14:paraId="417D0D50">
            <w:pPr>
              <w:pageBreakBefore w:val="0"/>
              <w:bidi w:val="0"/>
              <w:spacing w:before="181" w:beforeLines="50" w:after="181" w:afterLines="50"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塑料管</w:t>
            </w:r>
          </w:p>
        </w:tc>
      </w:tr>
      <w:tr w14:paraId="09D9D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88" w:type="dxa"/>
            <w:noWrap/>
            <w:vAlign w:val="center"/>
          </w:tcPr>
          <w:p w14:paraId="34D6E3E7">
            <w:pPr>
              <w:pageBreakBefore w:val="0"/>
              <w:bidi w:val="0"/>
              <w:spacing w:before="181" w:beforeLines="50" w:after="181" w:afterLines="50" w:line="360" w:lineRule="auto"/>
              <w:jc w:val="center"/>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2</w:t>
            </w:r>
          </w:p>
        </w:tc>
        <w:tc>
          <w:tcPr>
            <w:tcW w:w="1512" w:type="dxa"/>
            <w:noWrap w:val="0"/>
            <w:vAlign w:val="center"/>
          </w:tcPr>
          <w:p w14:paraId="4295C36D">
            <w:pPr>
              <w:pageBreakBefore w:val="0"/>
              <w:bidi w:val="0"/>
              <w:spacing w:before="181" w:beforeLines="50" w:after="181" w:afterLines="50" w:line="360" w:lineRule="auto"/>
              <w:jc w:val="center"/>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控制箱</w:t>
            </w:r>
          </w:p>
        </w:tc>
        <w:tc>
          <w:tcPr>
            <w:tcW w:w="5269" w:type="dxa"/>
            <w:noWrap w:val="0"/>
            <w:vAlign w:val="center"/>
          </w:tcPr>
          <w:p w14:paraId="2F6C17F5">
            <w:pPr>
              <w:pageBreakBefore w:val="0"/>
              <w:bidi w:val="0"/>
              <w:spacing w:before="181" w:beforeLines="50" w:after="181" w:afterLines="50" w:line="360" w:lineRule="auto"/>
              <w:jc w:val="center"/>
              <w:rPr>
                <w:rFonts w:hint="eastAsia"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lang w:val="en-US" w:eastAsia="zh-CN"/>
              </w:rPr>
              <w:t>施耐德、ABB、西门子</w:t>
            </w:r>
          </w:p>
          <w:p w14:paraId="5FC8D581">
            <w:pPr>
              <w:pageBreakBefore w:val="0"/>
              <w:bidi w:val="0"/>
              <w:spacing w:before="181" w:beforeLines="50" w:after="181" w:afterLines="50" w:line="360" w:lineRule="auto"/>
              <w:jc w:val="center"/>
              <w:rPr>
                <w:rFonts w:hint="eastAsia"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lang w:val="en-US" w:eastAsia="zh-CN"/>
              </w:rPr>
              <w:t>2</w:t>
            </w:r>
          </w:p>
          <w:p w14:paraId="7108D356">
            <w:pPr>
              <w:pageBreakBefore w:val="0"/>
              <w:bidi w:val="0"/>
              <w:spacing w:before="181" w:beforeLines="50" w:after="181" w:afterLines="50" w:line="360" w:lineRule="auto"/>
              <w:jc w:val="center"/>
              <w:rPr>
                <w:rFonts w:hint="eastAsia"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lang w:val="en-US" w:eastAsia="zh-CN"/>
              </w:rPr>
              <w:t>控制箱</w:t>
            </w:r>
          </w:p>
        </w:tc>
      </w:tr>
      <w:tr w14:paraId="15EEA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88" w:type="dxa"/>
            <w:noWrap/>
            <w:vAlign w:val="center"/>
          </w:tcPr>
          <w:p w14:paraId="37EAE61C">
            <w:pPr>
              <w:pageBreakBefore w:val="0"/>
              <w:bidi w:val="0"/>
              <w:spacing w:before="181" w:beforeLines="50" w:after="181" w:afterLines="50" w:line="360" w:lineRule="auto"/>
              <w:jc w:val="center"/>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w:t>
            </w:r>
          </w:p>
        </w:tc>
        <w:tc>
          <w:tcPr>
            <w:tcW w:w="1512" w:type="dxa"/>
            <w:noWrap w:val="0"/>
            <w:vAlign w:val="center"/>
          </w:tcPr>
          <w:p w14:paraId="38F7F5A5">
            <w:pPr>
              <w:pageBreakBefore w:val="0"/>
              <w:bidi w:val="0"/>
              <w:spacing w:before="181" w:beforeLines="50" w:after="181" w:afterLines="50"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电缆、电线</w:t>
            </w:r>
          </w:p>
        </w:tc>
        <w:tc>
          <w:tcPr>
            <w:tcW w:w="5269" w:type="dxa"/>
            <w:noWrap w:val="0"/>
            <w:vAlign w:val="center"/>
          </w:tcPr>
          <w:p w14:paraId="16CEF26B">
            <w:pPr>
              <w:pageBreakBefore w:val="0"/>
              <w:bidi w:val="0"/>
              <w:spacing w:before="181" w:beforeLines="50" w:after="181" w:afterLines="50" w:line="360" w:lineRule="auto"/>
              <w:jc w:val="center"/>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远东、江南、上上</w:t>
            </w:r>
          </w:p>
          <w:p w14:paraId="57058A5E">
            <w:pPr>
              <w:pageBreakBefore w:val="0"/>
              <w:bidi w:val="0"/>
              <w:spacing w:before="181" w:beforeLines="50" w:after="181" w:afterLines="50"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千年舟</w:t>
            </w:r>
          </w:p>
          <w:p w14:paraId="48C711D8">
            <w:pPr>
              <w:pageBreakBefore w:val="0"/>
              <w:bidi w:val="0"/>
              <w:spacing w:before="181" w:beforeLines="50" w:after="181" w:afterLines="50"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3</w:t>
            </w:r>
          </w:p>
          <w:p w14:paraId="78AC91B7">
            <w:pPr>
              <w:pageBreakBefore w:val="0"/>
              <w:bidi w:val="0"/>
              <w:spacing w:before="181" w:beforeLines="50" w:after="181" w:afterLines="50" w:line="360" w:lineRule="auto"/>
              <w:jc w:val="center"/>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电力电缆、电线</w:t>
            </w:r>
          </w:p>
        </w:tc>
      </w:tr>
    </w:tbl>
    <w:p w14:paraId="4784526C">
      <w:pPr>
        <w:keepNext w:val="0"/>
        <w:keepLines w:val="0"/>
        <w:pageBreakBefore w:val="0"/>
        <w:widowControl w:val="0"/>
        <w:kinsoku/>
        <w:wordWrap/>
        <w:overflowPunct/>
        <w:topLinePunct w:val="0"/>
        <w:autoSpaceDE/>
        <w:autoSpaceDN/>
        <w:bidi w:val="0"/>
        <w:adjustRightInd w:val="0"/>
        <w:snapToGrid/>
        <w:spacing w:line="360" w:lineRule="auto"/>
        <w:jc w:val="left"/>
        <w:textAlignment w:val="auto"/>
        <w:rPr>
          <w:rFonts w:hint="eastAsia" w:eastAsia="宋体"/>
          <w:sz w:val="21"/>
          <w:szCs w:val="21"/>
          <w:lang w:eastAsia="zh-CN"/>
        </w:rPr>
      </w:pPr>
      <w:r>
        <w:rPr>
          <w:rFonts w:hint="eastAsia"/>
          <w:sz w:val="21"/>
          <w:szCs w:val="21"/>
        </w:rPr>
        <w:t>备注：</w:t>
      </w:r>
    </w:p>
    <w:p w14:paraId="6BEC9F70">
      <w:pPr>
        <w:spacing w:line="360" w:lineRule="auto"/>
        <w:jc w:val="left"/>
        <w:rPr>
          <w:rFonts w:ascii="宋体" w:hAnsi="宋体" w:cs="宋体"/>
          <w:sz w:val="36"/>
          <w:szCs w:val="36"/>
          <w:lang w:val="zh-CN"/>
        </w:rPr>
      </w:pPr>
      <w:r>
        <w:rPr>
          <w:rFonts w:hint="eastAsia"/>
          <w:sz w:val="21"/>
          <w:szCs w:val="21"/>
          <w:lang w:val="en-US" w:eastAsia="zh-CN"/>
        </w:rPr>
        <w:t>其他未注明材料品牌应为国产一线品牌，</w:t>
      </w:r>
      <w:r>
        <w:rPr>
          <w:rFonts w:hint="eastAsia"/>
          <w:sz w:val="21"/>
          <w:szCs w:val="21"/>
        </w:rPr>
        <w:t>投标人应按照以上品牌一览表规定的品牌及质量要求报价，投标人在投标时必须注明主要材料规格、品牌，如进场材料与投标时不符，招标人可另行采购，中标人承担相应的材料及采购费用；工程中所用材料必须符合国家质量验收标准。</w:t>
      </w:r>
      <w:r>
        <w:rPr>
          <w:rFonts w:hint="eastAsia" w:ascii="宋体" w:hAnsi="宋体" w:cs="宋体"/>
          <w:sz w:val="36"/>
          <w:szCs w:val="36"/>
          <w:lang w:val="zh-CN"/>
        </w:rPr>
        <w:br w:type="page"/>
      </w:r>
    </w:p>
    <w:p w14:paraId="6FAD7735">
      <w:pPr>
        <w:spacing w:line="360" w:lineRule="auto"/>
        <w:jc w:val="center"/>
        <w:outlineLvl w:val="0"/>
        <w:rPr>
          <w:rFonts w:ascii="宋体" w:hAnsi="宋体" w:cs="宋体"/>
          <w:b/>
          <w:sz w:val="28"/>
          <w:szCs w:val="28"/>
          <w:lang w:val="zh-CN"/>
        </w:rPr>
      </w:pPr>
      <w:r>
        <w:rPr>
          <w:rFonts w:hint="eastAsia" w:ascii="宋体" w:hAnsi="宋体" w:cs="宋体"/>
          <w:b/>
          <w:sz w:val="28"/>
          <w:szCs w:val="28"/>
          <w:lang w:val="zh-CN"/>
        </w:rPr>
        <w:t>第五章</w:t>
      </w:r>
      <w:r>
        <w:rPr>
          <w:rFonts w:hint="eastAsia" w:ascii="宋体" w:hAnsi="宋体" w:cs="宋体"/>
          <w:b/>
          <w:sz w:val="28"/>
          <w:szCs w:val="28"/>
        </w:rPr>
        <w:t xml:space="preserve">  </w:t>
      </w:r>
      <w:r>
        <w:rPr>
          <w:rFonts w:hint="eastAsia" w:ascii="宋体" w:hAnsi="宋体" w:cs="宋体"/>
          <w:b/>
          <w:sz w:val="28"/>
          <w:szCs w:val="28"/>
          <w:lang w:val="zh-CN"/>
        </w:rPr>
        <w:t>合同主要条款及格式</w:t>
      </w:r>
    </w:p>
    <w:p w14:paraId="6CC31F44">
      <w:pPr>
        <w:adjustRightInd w:val="0"/>
        <w:spacing w:line="360" w:lineRule="auto"/>
        <w:ind w:firstLine="420" w:firstLineChars="200"/>
        <w:rPr>
          <w:rFonts w:ascii="宋体" w:hAnsi="宋体"/>
          <w:szCs w:val="21"/>
        </w:rPr>
      </w:pPr>
      <w:r>
        <w:rPr>
          <w:rFonts w:hint="eastAsia" w:ascii="宋体" w:hAnsi="宋体"/>
          <w:szCs w:val="21"/>
        </w:rPr>
        <w:t>甲方：南京邮电大学通达学院                     项目编号：</w:t>
      </w:r>
    </w:p>
    <w:p w14:paraId="14936D04">
      <w:pPr>
        <w:adjustRightInd w:val="0"/>
        <w:spacing w:line="360" w:lineRule="auto"/>
        <w:ind w:firstLine="420" w:firstLineChars="200"/>
        <w:rPr>
          <w:rFonts w:ascii="宋体" w:hAnsi="宋体"/>
          <w:szCs w:val="21"/>
        </w:rPr>
      </w:pPr>
      <w:r>
        <w:rPr>
          <w:rFonts w:hint="eastAsia" w:ascii="宋体" w:hAnsi="宋体"/>
          <w:szCs w:val="21"/>
        </w:rPr>
        <w:t>乙方：</w:t>
      </w:r>
    </w:p>
    <w:p w14:paraId="76C9E8EC">
      <w:pPr>
        <w:adjustRightInd w:val="0"/>
        <w:spacing w:line="360" w:lineRule="auto"/>
        <w:ind w:firstLine="420" w:firstLineChars="200"/>
        <w:rPr>
          <w:rFonts w:ascii="宋体" w:hAnsi="宋体"/>
          <w:szCs w:val="21"/>
        </w:rPr>
      </w:pPr>
      <w:r>
        <w:rPr>
          <w:rFonts w:hint="eastAsia" w:ascii="宋体" w:hAnsi="宋体"/>
          <w:szCs w:val="21"/>
        </w:rPr>
        <w:t>按照《中华人民共和国民法典》及其他有关法律法规的有关规定，结合本工程实际情况，遵守平等、自愿、公平和诚实信用原则，经双方协商达成如下协议：</w:t>
      </w:r>
    </w:p>
    <w:p w14:paraId="3AF9A7F6">
      <w:pPr>
        <w:adjustRightInd w:val="0"/>
        <w:spacing w:line="360" w:lineRule="auto"/>
        <w:ind w:firstLine="422" w:firstLineChars="200"/>
        <w:rPr>
          <w:rFonts w:ascii="宋体" w:hAnsi="宋体"/>
          <w:b/>
          <w:szCs w:val="21"/>
        </w:rPr>
      </w:pPr>
      <w:r>
        <w:rPr>
          <w:rFonts w:hint="eastAsia" w:ascii="宋体" w:hAnsi="宋体"/>
          <w:b/>
          <w:szCs w:val="21"/>
        </w:rPr>
        <w:t>一、合同组成</w:t>
      </w:r>
    </w:p>
    <w:p w14:paraId="16AD5685">
      <w:pPr>
        <w:adjustRightInd w:val="0"/>
        <w:spacing w:line="360" w:lineRule="auto"/>
        <w:ind w:firstLine="420" w:firstLineChars="200"/>
        <w:rPr>
          <w:rStyle w:val="465"/>
          <w:rFonts w:ascii="宋体" w:hAnsi="宋体" w:cs="宋体"/>
          <w:szCs w:val="21"/>
        </w:rPr>
      </w:pPr>
      <w:r>
        <w:rPr>
          <w:rStyle w:val="465"/>
          <w:rFonts w:hint="eastAsia" w:ascii="宋体" w:hAnsi="宋体" w:cs="宋体"/>
          <w:szCs w:val="21"/>
        </w:rPr>
        <w:t>下列关于</w:t>
      </w:r>
      <w:r>
        <w:rPr>
          <w:rStyle w:val="465"/>
          <w:rFonts w:hint="eastAsia" w:ascii="宋体" w:hAnsi="宋体" w:cs="宋体"/>
          <w:szCs w:val="21"/>
          <w:u w:val="single"/>
        </w:rPr>
        <w:t xml:space="preserve">          </w:t>
      </w:r>
      <w:r>
        <w:rPr>
          <w:rStyle w:val="465"/>
          <w:rFonts w:hint="eastAsia" w:ascii="宋体" w:hAnsi="宋体" w:cs="宋体"/>
          <w:szCs w:val="21"/>
        </w:rPr>
        <w:t>文件、乙方提交的响应文件均是构成本合同不可分割的部分，还包括：</w:t>
      </w:r>
    </w:p>
    <w:p w14:paraId="12DCF11B">
      <w:pPr>
        <w:adjustRightInd w:val="0"/>
        <w:spacing w:line="360" w:lineRule="auto"/>
        <w:ind w:firstLine="420" w:firstLineChars="200"/>
        <w:rPr>
          <w:rStyle w:val="465"/>
          <w:rFonts w:ascii="宋体" w:hAnsi="宋体" w:cs="宋体"/>
          <w:szCs w:val="21"/>
        </w:rPr>
      </w:pPr>
      <w:r>
        <w:rPr>
          <w:rStyle w:val="465"/>
          <w:rFonts w:hint="eastAsia" w:ascii="宋体" w:hAnsi="宋体" w:cs="宋体"/>
          <w:szCs w:val="21"/>
        </w:rPr>
        <w:t>（1）合同条款；</w:t>
      </w:r>
    </w:p>
    <w:p w14:paraId="411A428B">
      <w:pPr>
        <w:adjustRightInd w:val="0"/>
        <w:spacing w:line="360" w:lineRule="auto"/>
        <w:ind w:firstLine="420" w:firstLineChars="200"/>
        <w:rPr>
          <w:rStyle w:val="465"/>
          <w:rFonts w:ascii="宋体" w:hAnsi="宋体" w:cs="宋体"/>
          <w:szCs w:val="21"/>
        </w:rPr>
      </w:pPr>
      <w:r>
        <w:rPr>
          <w:rStyle w:val="465"/>
          <w:rFonts w:hint="eastAsia" w:ascii="宋体" w:hAnsi="宋体" w:cs="宋体"/>
          <w:szCs w:val="21"/>
        </w:rPr>
        <w:t>（2）响应承诺函；</w:t>
      </w:r>
    </w:p>
    <w:p w14:paraId="2777AF01">
      <w:pPr>
        <w:adjustRightInd w:val="0"/>
        <w:spacing w:line="360" w:lineRule="auto"/>
        <w:ind w:firstLine="420" w:firstLineChars="200"/>
        <w:rPr>
          <w:rStyle w:val="465"/>
          <w:rFonts w:ascii="宋体" w:hAnsi="宋体" w:cs="宋体"/>
          <w:szCs w:val="21"/>
        </w:rPr>
      </w:pPr>
      <w:r>
        <w:rPr>
          <w:rStyle w:val="465"/>
          <w:rFonts w:hint="eastAsia" w:ascii="宋体" w:hAnsi="宋体" w:cs="宋体"/>
          <w:szCs w:val="21"/>
        </w:rPr>
        <w:t>（3）开标一览表；</w:t>
      </w:r>
    </w:p>
    <w:p w14:paraId="35819168">
      <w:pPr>
        <w:adjustRightInd w:val="0"/>
        <w:spacing w:line="360" w:lineRule="auto"/>
        <w:ind w:firstLine="420" w:firstLineChars="200"/>
        <w:rPr>
          <w:rStyle w:val="465"/>
          <w:rFonts w:ascii="宋体" w:hAnsi="宋体" w:cs="宋体"/>
          <w:szCs w:val="21"/>
        </w:rPr>
      </w:pPr>
      <w:r>
        <w:rPr>
          <w:rStyle w:val="465"/>
          <w:rFonts w:hint="eastAsia" w:ascii="宋体" w:hAnsi="宋体" w:cs="宋体"/>
          <w:szCs w:val="21"/>
        </w:rPr>
        <w:t>（4）报价明细表；</w:t>
      </w:r>
    </w:p>
    <w:p w14:paraId="46B406AB">
      <w:pPr>
        <w:adjustRightInd w:val="0"/>
        <w:spacing w:line="360" w:lineRule="auto"/>
        <w:ind w:firstLine="420" w:firstLineChars="200"/>
        <w:rPr>
          <w:rStyle w:val="465"/>
          <w:rFonts w:ascii="宋体" w:hAnsi="宋体" w:cs="宋体"/>
          <w:szCs w:val="21"/>
        </w:rPr>
      </w:pPr>
      <w:r>
        <w:rPr>
          <w:rStyle w:val="465"/>
          <w:rFonts w:hint="eastAsia" w:ascii="宋体" w:hAnsi="宋体" w:cs="宋体"/>
          <w:szCs w:val="21"/>
        </w:rPr>
        <w:t>（5）工程方案及服务承诺；</w:t>
      </w:r>
    </w:p>
    <w:p w14:paraId="03709754">
      <w:pPr>
        <w:adjustRightInd w:val="0"/>
        <w:spacing w:line="360" w:lineRule="auto"/>
        <w:ind w:firstLine="420" w:firstLineChars="200"/>
        <w:rPr>
          <w:rStyle w:val="465"/>
          <w:rFonts w:ascii="宋体" w:hAnsi="宋体" w:cs="宋体"/>
          <w:szCs w:val="21"/>
        </w:rPr>
      </w:pPr>
      <w:r>
        <w:rPr>
          <w:rStyle w:val="465"/>
          <w:rFonts w:hint="eastAsia" w:ascii="宋体" w:hAnsi="宋体" w:cs="宋体"/>
          <w:szCs w:val="21"/>
        </w:rPr>
        <w:t>（6）中标通知书；</w:t>
      </w:r>
    </w:p>
    <w:p w14:paraId="116A36C1">
      <w:pPr>
        <w:adjustRightInd w:val="0"/>
        <w:spacing w:line="360" w:lineRule="auto"/>
        <w:ind w:firstLine="420" w:firstLineChars="200"/>
        <w:rPr>
          <w:rStyle w:val="465"/>
          <w:rFonts w:ascii="宋体" w:hAnsi="宋体" w:cs="宋体"/>
          <w:szCs w:val="21"/>
        </w:rPr>
      </w:pPr>
      <w:r>
        <w:rPr>
          <w:rStyle w:val="465"/>
          <w:rFonts w:hint="eastAsia" w:ascii="宋体" w:hAnsi="宋体" w:cs="宋体"/>
          <w:szCs w:val="21"/>
        </w:rPr>
        <w:t>（7）甲方、乙方商定的其他必要文件。</w:t>
      </w:r>
    </w:p>
    <w:p w14:paraId="32C3374C">
      <w:pPr>
        <w:adjustRightInd w:val="0"/>
        <w:spacing w:line="360" w:lineRule="auto"/>
        <w:ind w:firstLine="422" w:firstLineChars="200"/>
        <w:rPr>
          <w:rFonts w:ascii="宋体" w:hAnsi="宋体"/>
          <w:b/>
          <w:szCs w:val="21"/>
        </w:rPr>
      </w:pPr>
      <w:r>
        <w:rPr>
          <w:rFonts w:hint="eastAsia" w:ascii="宋体" w:hAnsi="宋体"/>
          <w:b/>
          <w:szCs w:val="21"/>
        </w:rPr>
        <w:t>二、工程概况</w:t>
      </w:r>
    </w:p>
    <w:p w14:paraId="062D2665">
      <w:pPr>
        <w:adjustRightInd w:val="0"/>
        <w:spacing w:line="360" w:lineRule="auto"/>
        <w:ind w:firstLine="420" w:firstLineChars="200"/>
        <w:rPr>
          <w:rFonts w:ascii="宋体" w:hAnsi="宋体" w:cs="宋体"/>
          <w:szCs w:val="21"/>
        </w:rPr>
      </w:pPr>
      <w:r>
        <w:rPr>
          <w:rFonts w:hint="eastAsia" w:ascii="宋体" w:hAnsi="宋体" w:cs="宋体"/>
          <w:szCs w:val="21"/>
        </w:rPr>
        <w:t>1.工程名称：</w:t>
      </w:r>
      <w:r>
        <w:rPr>
          <w:rFonts w:hint="eastAsia" w:ascii="宋体" w:hAnsi="宋体" w:cs="宋体"/>
          <w:szCs w:val="21"/>
          <w:u w:val="single"/>
        </w:rPr>
        <w:t xml:space="preserve">  </w:t>
      </w:r>
    </w:p>
    <w:p w14:paraId="0D26A49F">
      <w:pPr>
        <w:adjustRightInd w:val="0"/>
        <w:spacing w:line="360" w:lineRule="auto"/>
        <w:ind w:firstLine="420" w:firstLineChars="200"/>
        <w:rPr>
          <w:rFonts w:ascii="宋体" w:hAnsi="宋体" w:cs="宋体"/>
          <w:szCs w:val="21"/>
          <w:u w:val="single"/>
        </w:rPr>
      </w:pPr>
      <w:r>
        <w:rPr>
          <w:rFonts w:hint="eastAsia" w:ascii="宋体" w:hAnsi="宋体" w:cs="宋体"/>
          <w:szCs w:val="21"/>
        </w:rPr>
        <w:t>2.工程地点</w:t>
      </w:r>
      <w:bookmarkStart w:id="1" w:name="OLE_LINK12"/>
      <w:r>
        <w:rPr>
          <w:rFonts w:hint="eastAsia" w:ascii="宋体" w:hAnsi="宋体" w:cs="宋体"/>
          <w:szCs w:val="21"/>
        </w:rPr>
        <w:t>：</w:t>
      </w:r>
      <w:bookmarkEnd w:id="1"/>
      <w:r>
        <w:rPr>
          <w:rFonts w:hint="eastAsia" w:ascii="宋体" w:hAnsi="宋体" w:cs="宋体"/>
          <w:szCs w:val="21"/>
          <w:u w:val="single"/>
        </w:rPr>
        <w:t xml:space="preserve"> 南京邮电大学通达学院校园内 </w:t>
      </w:r>
    </w:p>
    <w:p w14:paraId="1E861685">
      <w:pPr>
        <w:adjustRightInd w:val="0"/>
        <w:spacing w:line="360" w:lineRule="auto"/>
        <w:ind w:firstLine="420" w:firstLineChars="200"/>
        <w:rPr>
          <w:rFonts w:ascii="宋体" w:hAnsi="宋体" w:cs="宋体"/>
          <w:szCs w:val="21"/>
        </w:rPr>
      </w:pPr>
      <w:r>
        <w:rPr>
          <w:rFonts w:hint="eastAsia" w:ascii="宋体" w:hAnsi="宋体" w:cs="宋体"/>
          <w:szCs w:val="21"/>
        </w:rPr>
        <w:t>3.承包范围：</w:t>
      </w:r>
      <w:r>
        <w:rPr>
          <w:rFonts w:hint="eastAsia" w:ascii="宋体" w:hAnsi="宋体" w:cs="宋体"/>
          <w:szCs w:val="21"/>
          <w:u w:val="single"/>
        </w:rPr>
        <w:t xml:space="preserve">         </w:t>
      </w:r>
    </w:p>
    <w:p w14:paraId="191AACFB">
      <w:pPr>
        <w:adjustRightInd w:val="0"/>
        <w:spacing w:line="360" w:lineRule="auto"/>
        <w:ind w:firstLine="420" w:firstLineChars="200"/>
        <w:rPr>
          <w:rFonts w:ascii="宋体" w:hAnsi="宋体" w:cs="宋体"/>
          <w:szCs w:val="21"/>
        </w:rPr>
      </w:pPr>
      <w:r>
        <w:rPr>
          <w:rFonts w:hint="eastAsia" w:ascii="宋体" w:hAnsi="宋体" w:cs="宋体"/>
          <w:szCs w:val="21"/>
        </w:rPr>
        <w:t>4.承包方式：包工包料</w:t>
      </w:r>
    </w:p>
    <w:p w14:paraId="2F6AE9A8">
      <w:pPr>
        <w:adjustRightInd w:val="0"/>
        <w:spacing w:line="360" w:lineRule="auto"/>
        <w:ind w:firstLine="420" w:firstLineChars="200"/>
        <w:rPr>
          <w:rFonts w:ascii="宋体" w:hAnsi="宋体" w:cs="宋体"/>
          <w:szCs w:val="21"/>
        </w:rPr>
      </w:pPr>
      <w:r>
        <w:rPr>
          <w:rFonts w:hint="eastAsia" w:ascii="宋体" w:hAnsi="宋体" w:cs="宋体"/>
          <w:szCs w:val="21"/>
        </w:rPr>
        <w:t>5.工期：</w:t>
      </w:r>
    </w:p>
    <w:p w14:paraId="3392AF05">
      <w:pPr>
        <w:adjustRightInd w:val="0"/>
        <w:spacing w:line="360" w:lineRule="auto"/>
        <w:ind w:firstLine="420" w:firstLineChars="200"/>
        <w:rPr>
          <w:rFonts w:ascii="宋体" w:hAnsi="宋体" w:cs="宋体"/>
          <w:szCs w:val="21"/>
        </w:rPr>
      </w:pPr>
      <w:r>
        <w:rPr>
          <w:rFonts w:hint="eastAsia" w:ascii="宋体" w:hAnsi="宋体" w:cs="宋体"/>
          <w:szCs w:val="21"/>
        </w:rPr>
        <w:t>6.工程质量：合格</w:t>
      </w:r>
    </w:p>
    <w:p w14:paraId="1D511641">
      <w:pPr>
        <w:adjustRightInd w:val="0"/>
        <w:spacing w:line="360" w:lineRule="auto"/>
        <w:ind w:firstLine="420" w:firstLineChars="200"/>
        <w:rPr>
          <w:rFonts w:ascii="宋体" w:hAnsi="宋体" w:cs="宋体"/>
          <w:szCs w:val="21"/>
        </w:rPr>
      </w:pPr>
      <w:r>
        <w:rPr>
          <w:rFonts w:hint="eastAsia" w:ascii="宋体" w:hAnsi="宋体" w:cs="宋体"/>
          <w:szCs w:val="21"/>
        </w:rPr>
        <w:t>7.暂定价为：人民币（大写）</w:t>
      </w:r>
      <w:r>
        <w:rPr>
          <w:rFonts w:hint="eastAsia" w:ascii="宋体" w:hAnsi="宋体" w:cs="宋体"/>
          <w:szCs w:val="21"/>
          <w:u w:val="single"/>
        </w:rPr>
        <w:t xml:space="preserve"> ￥：元</w:t>
      </w:r>
      <w:r>
        <w:rPr>
          <w:rFonts w:hint="eastAsia" w:ascii="宋体" w:hAnsi="宋体" w:cs="宋体"/>
          <w:szCs w:val="21"/>
        </w:rPr>
        <w:t>。</w:t>
      </w:r>
      <w:r>
        <w:rPr>
          <w:rFonts w:hint="eastAsia" w:ascii="宋体" w:hAnsi="宋体" w:cs="宋体"/>
          <w:b/>
          <w:szCs w:val="21"/>
        </w:rPr>
        <w:t>（合同价为暂定价，最终合同价以审计部门审定结算价为准）</w:t>
      </w:r>
    </w:p>
    <w:p w14:paraId="4ACF815F">
      <w:pPr>
        <w:adjustRightInd w:val="0"/>
        <w:spacing w:line="360" w:lineRule="auto"/>
        <w:ind w:firstLine="422" w:firstLineChars="200"/>
        <w:rPr>
          <w:rFonts w:ascii="宋体" w:hAnsi="宋体"/>
          <w:b/>
          <w:szCs w:val="21"/>
        </w:rPr>
      </w:pPr>
      <w:r>
        <w:rPr>
          <w:rFonts w:hint="eastAsia" w:ascii="宋体" w:hAnsi="宋体"/>
          <w:b/>
          <w:szCs w:val="21"/>
        </w:rPr>
        <w:t>三、双方工作</w:t>
      </w:r>
    </w:p>
    <w:p w14:paraId="15A2F77A">
      <w:pPr>
        <w:adjustRightInd w:val="0"/>
        <w:spacing w:line="360" w:lineRule="auto"/>
        <w:ind w:firstLine="420" w:firstLineChars="200"/>
        <w:rPr>
          <w:rFonts w:ascii="宋体" w:hAnsi="宋体" w:cs="宋体"/>
          <w:szCs w:val="21"/>
        </w:rPr>
      </w:pPr>
      <w:r>
        <w:rPr>
          <w:rFonts w:hint="eastAsia" w:ascii="宋体" w:hAnsi="宋体" w:cs="宋体"/>
          <w:szCs w:val="21"/>
        </w:rPr>
        <w:t>甲方工作：</w:t>
      </w:r>
    </w:p>
    <w:p w14:paraId="27FCAE42">
      <w:pPr>
        <w:adjustRightInd w:val="0"/>
        <w:spacing w:line="360" w:lineRule="auto"/>
        <w:ind w:firstLine="420" w:firstLineChars="200"/>
        <w:rPr>
          <w:rFonts w:ascii="宋体" w:hAnsi="宋体" w:cs="宋体"/>
          <w:szCs w:val="21"/>
        </w:rPr>
      </w:pPr>
      <w:r>
        <w:rPr>
          <w:rFonts w:hint="eastAsia" w:ascii="宋体" w:hAnsi="宋体" w:cs="宋体"/>
          <w:szCs w:val="21"/>
        </w:rPr>
        <w:t>1.办理施工所涉及的各种申请、批件等各项手续，协助乙方接通施工所需的水、电，协调有关部门做好通道、消防设备的使用和保护。</w:t>
      </w:r>
    </w:p>
    <w:p w14:paraId="23B5D087">
      <w:pPr>
        <w:adjustRightInd w:val="0"/>
        <w:spacing w:line="360" w:lineRule="auto"/>
        <w:ind w:firstLine="420" w:firstLineChars="200"/>
        <w:rPr>
          <w:rFonts w:ascii="宋体" w:hAnsi="宋体" w:cs="宋体"/>
          <w:szCs w:val="21"/>
        </w:rPr>
      </w:pPr>
      <w:r>
        <w:rPr>
          <w:rFonts w:hint="eastAsia" w:ascii="宋体" w:hAnsi="宋体" w:cs="宋体"/>
          <w:szCs w:val="21"/>
        </w:rPr>
        <w:t>2.提供原始水电线路图。</w:t>
      </w:r>
    </w:p>
    <w:p w14:paraId="110D8783">
      <w:pPr>
        <w:adjustRightInd w:val="0"/>
        <w:spacing w:line="360" w:lineRule="auto"/>
        <w:ind w:firstLine="420" w:firstLineChars="200"/>
        <w:rPr>
          <w:rFonts w:ascii="宋体" w:hAnsi="宋体" w:cs="宋体"/>
          <w:szCs w:val="21"/>
        </w:rPr>
      </w:pPr>
      <w:r>
        <w:rPr>
          <w:rFonts w:hint="eastAsia" w:ascii="宋体" w:hAnsi="宋体" w:cs="宋体"/>
          <w:szCs w:val="21"/>
        </w:rPr>
        <w:t>3.指派</w:t>
      </w:r>
      <w:r>
        <w:rPr>
          <w:rFonts w:hint="eastAsia" w:ascii="宋体" w:hAnsi="宋体" w:cs="宋体"/>
          <w:szCs w:val="21"/>
          <w:u w:val="single"/>
        </w:rPr>
        <w:t xml:space="preserve">    </w:t>
      </w:r>
      <w:r>
        <w:rPr>
          <w:rFonts w:hint="eastAsia" w:ascii="宋体" w:hAnsi="宋体" w:cs="宋体"/>
          <w:szCs w:val="21"/>
        </w:rPr>
        <w:t>为甲方代表，负责对工程质量、进度进行监督检查，办理验收、变更登记手续和其他事宜。</w:t>
      </w:r>
    </w:p>
    <w:p w14:paraId="4F147678">
      <w:pPr>
        <w:adjustRightInd w:val="0"/>
        <w:spacing w:line="360" w:lineRule="auto"/>
        <w:ind w:firstLine="420" w:firstLineChars="200"/>
        <w:rPr>
          <w:rFonts w:ascii="宋体" w:hAnsi="宋体" w:cs="宋体"/>
          <w:szCs w:val="21"/>
        </w:rPr>
      </w:pPr>
      <w:r>
        <w:rPr>
          <w:rFonts w:hint="eastAsia" w:ascii="宋体" w:hAnsi="宋体" w:cs="宋体"/>
          <w:szCs w:val="21"/>
        </w:rPr>
        <w:t>4.如确实需要拆除原建筑物结构或设备管线，负责到有关部门办理相应审批手续，擅自同意拆改原有建筑物结构或设备管线，由此发生的损失或事故，由甲方负责并承担由此造成的经济损失。</w:t>
      </w:r>
    </w:p>
    <w:p w14:paraId="5F11B72D">
      <w:pPr>
        <w:adjustRightInd w:val="0"/>
        <w:spacing w:line="360" w:lineRule="auto"/>
        <w:ind w:firstLine="420" w:firstLineChars="200"/>
        <w:rPr>
          <w:rFonts w:ascii="宋体" w:hAnsi="宋体" w:cs="宋体"/>
          <w:szCs w:val="21"/>
        </w:rPr>
      </w:pPr>
      <w:r>
        <w:rPr>
          <w:rFonts w:hint="eastAsia" w:ascii="宋体" w:hAnsi="宋体" w:cs="宋体"/>
          <w:szCs w:val="21"/>
        </w:rPr>
        <w:t>5.协调有关部门做好现场保卫、消防、垃圾临时堆放指定点等工作。</w:t>
      </w:r>
    </w:p>
    <w:p w14:paraId="45AD3488">
      <w:pPr>
        <w:adjustRightInd w:val="0"/>
        <w:spacing w:line="360" w:lineRule="auto"/>
        <w:ind w:firstLine="420" w:firstLineChars="200"/>
        <w:rPr>
          <w:rFonts w:ascii="宋体" w:hAnsi="宋体" w:cs="宋体"/>
          <w:szCs w:val="21"/>
        </w:rPr>
      </w:pPr>
      <w:r>
        <w:rPr>
          <w:rFonts w:hint="eastAsia" w:ascii="宋体" w:hAnsi="宋体" w:cs="宋体"/>
          <w:szCs w:val="21"/>
        </w:rPr>
        <w:t>乙方工作：</w:t>
      </w:r>
    </w:p>
    <w:p w14:paraId="20C51090">
      <w:pPr>
        <w:adjustRightInd w:val="0"/>
        <w:spacing w:line="360" w:lineRule="auto"/>
        <w:ind w:firstLine="420" w:firstLineChars="200"/>
        <w:rPr>
          <w:rFonts w:ascii="宋体" w:hAnsi="宋体" w:cs="宋体"/>
          <w:szCs w:val="21"/>
        </w:rPr>
      </w:pPr>
      <w:r>
        <w:rPr>
          <w:rFonts w:hint="eastAsia" w:ascii="宋体" w:hAnsi="宋体" w:cs="宋体"/>
          <w:szCs w:val="21"/>
        </w:rPr>
        <w:t>1.提交施工方案和进度计划，交甲方审定。</w:t>
      </w:r>
    </w:p>
    <w:p w14:paraId="43191EE8">
      <w:pPr>
        <w:adjustRightInd w:val="0"/>
        <w:spacing w:line="360" w:lineRule="auto"/>
        <w:ind w:firstLine="420" w:firstLineChars="200"/>
        <w:rPr>
          <w:rFonts w:ascii="宋体" w:hAnsi="宋体" w:cs="宋体"/>
          <w:szCs w:val="21"/>
        </w:rPr>
      </w:pPr>
      <w:r>
        <w:rPr>
          <w:rFonts w:hint="eastAsia" w:ascii="宋体" w:hAnsi="宋体" w:cs="宋体"/>
          <w:szCs w:val="21"/>
        </w:rPr>
        <w:t>2.严格执行施工规范、安全操作规程、防火安全和环境保护规定。严格按照图纸或双方确认的 作法说明进行施工，做好各项事宜。保证施工现场的整洁，每日完工后清扫施工现场。</w:t>
      </w:r>
    </w:p>
    <w:p w14:paraId="35C385C5">
      <w:pPr>
        <w:adjustRightInd w:val="0"/>
        <w:spacing w:line="360" w:lineRule="auto"/>
        <w:ind w:firstLine="420" w:firstLineChars="200"/>
        <w:rPr>
          <w:rFonts w:ascii="宋体" w:hAnsi="宋体" w:cs="宋体"/>
          <w:szCs w:val="21"/>
        </w:rPr>
      </w:pPr>
      <w:r>
        <w:rPr>
          <w:rFonts w:hint="eastAsia" w:ascii="宋体" w:hAnsi="宋体" w:cs="宋体"/>
          <w:szCs w:val="21"/>
        </w:rPr>
        <w:t>3.指派</w:t>
      </w:r>
      <w:r>
        <w:rPr>
          <w:rFonts w:hint="eastAsia" w:ascii="宋体" w:hAnsi="宋体" w:cs="宋体"/>
          <w:szCs w:val="21"/>
          <w:u w:val="single"/>
        </w:rPr>
        <w:t xml:space="preserve">   </w:t>
      </w:r>
      <w:r>
        <w:rPr>
          <w:rFonts w:hint="eastAsia" w:ascii="宋体" w:hAnsi="宋体" w:cs="宋体"/>
          <w:szCs w:val="21"/>
        </w:rPr>
        <w:t>为乙方项目负责人，负责履行合同，组织施工，按期限保质保量完成施工任务，解决由乙方负责的各项事宜。</w:t>
      </w:r>
    </w:p>
    <w:p w14:paraId="28EFA817">
      <w:pPr>
        <w:adjustRightInd w:val="0"/>
        <w:spacing w:line="360" w:lineRule="auto"/>
        <w:ind w:firstLine="420" w:firstLineChars="200"/>
        <w:rPr>
          <w:rFonts w:ascii="宋体" w:hAnsi="宋体" w:cs="宋体"/>
          <w:szCs w:val="21"/>
        </w:rPr>
      </w:pPr>
      <w:r>
        <w:rPr>
          <w:rFonts w:hint="eastAsia" w:ascii="宋体" w:hAnsi="宋体" w:cs="宋体"/>
          <w:szCs w:val="21"/>
        </w:rPr>
        <w:t>4.遵守国家或地方政府及有关部门对施工现场的规定，妥善保护好现场的设施、设备管线不受破坏，做好施工现场保卫、清洁和垃圾清运等工作，费用乙方承担。施工中未经甲方书面同意不得随意拆改原建筑物结构及各种设备管线。未经甲方书面同意擅自拆改原建筑物结构或设备管线，由此发生的损失或造成的事故，由乙方负责并承担损失。</w:t>
      </w:r>
    </w:p>
    <w:p w14:paraId="0D1045D0">
      <w:pPr>
        <w:adjustRightInd w:val="0"/>
        <w:spacing w:line="360" w:lineRule="auto"/>
        <w:ind w:firstLine="420" w:firstLineChars="200"/>
        <w:rPr>
          <w:rFonts w:ascii="宋体" w:hAnsi="宋体" w:cs="宋体"/>
          <w:szCs w:val="21"/>
        </w:rPr>
      </w:pPr>
      <w:r>
        <w:rPr>
          <w:rFonts w:hint="eastAsia" w:ascii="宋体" w:hAnsi="宋体" w:cs="宋体"/>
          <w:szCs w:val="21"/>
        </w:rPr>
        <w:t>5.乙方在施工中应妥善保管甲方堆放在现场的家具、陈设以及工程成品；工程竣工未移交甲方之前，负责对现场的一切设施和工程成品进行保护，费用乙方承担，造成现场的设施和工程成品损坏丢失的，由乙方承担一切责任，并照价赔偿。</w:t>
      </w:r>
    </w:p>
    <w:p w14:paraId="4452ECAB">
      <w:pPr>
        <w:adjustRightInd w:val="0"/>
        <w:spacing w:line="360" w:lineRule="auto"/>
        <w:ind w:firstLine="422" w:firstLineChars="200"/>
        <w:rPr>
          <w:rFonts w:ascii="宋体" w:hAnsi="宋体"/>
          <w:b/>
          <w:szCs w:val="21"/>
        </w:rPr>
      </w:pPr>
      <w:r>
        <w:rPr>
          <w:rFonts w:hint="eastAsia" w:ascii="宋体" w:hAnsi="宋体"/>
          <w:b/>
          <w:szCs w:val="21"/>
        </w:rPr>
        <w:t>四、工期</w:t>
      </w:r>
    </w:p>
    <w:p w14:paraId="3C4E2720">
      <w:pPr>
        <w:adjustRightInd w:val="0"/>
        <w:spacing w:line="360" w:lineRule="auto"/>
        <w:ind w:firstLine="420" w:firstLineChars="200"/>
        <w:rPr>
          <w:rFonts w:ascii="宋体" w:hAnsi="宋体" w:cs="宋体"/>
          <w:szCs w:val="21"/>
        </w:rPr>
      </w:pPr>
      <w:r>
        <w:rPr>
          <w:rFonts w:hint="eastAsia" w:ascii="宋体" w:hAnsi="宋体" w:cs="宋体"/>
          <w:szCs w:val="21"/>
        </w:rPr>
        <w:t>1.甲方要求比合同约定的工期提前竣工时，应征得乙方同意，并支付乙方因赶工采取的措施费用。每提前一天，甲方支付乙方合同价的千分之一。</w:t>
      </w:r>
    </w:p>
    <w:p w14:paraId="1D3FC9A6">
      <w:pPr>
        <w:adjustRightInd w:val="0"/>
        <w:spacing w:line="360" w:lineRule="auto"/>
        <w:ind w:firstLine="420" w:firstLineChars="200"/>
        <w:rPr>
          <w:rFonts w:ascii="宋体" w:hAnsi="宋体" w:cs="宋体"/>
          <w:szCs w:val="21"/>
        </w:rPr>
      </w:pPr>
      <w:r>
        <w:rPr>
          <w:rFonts w:hint="eastAsia" w:ascii="宋体" w:hAnsi="宋体" w:cs="宋体"/>
          <w:szCs w:val="21"/>
        </w:rPr>
        <w:t>2.由于甲方变更设计或增加工程量，以及提出增加设计范围外的工程项目，甲方应及时通知乙方，并给予办理签证，造成工期的延误，甲方承担责任，工期相应顺延，费用增加按相关规定。</w:t>
      </w:r>
    </w:p>
    <w:p w14:paraId="3327A2AC">
      <w:pPr>
        <w:adjustRightInd w:val="0"/>
        <w:spacing w:line="360" w:lineRule="auto"/>
        <w:ind w:firstLine="420" w:firstLineChars="200"/>
        <w:rPr>
          <w:rFonts w:ascii="宋体" w:hAnsi="宋体" w:cs="宋体"/>
          <w:szCs w:val="21"/>
        </w:rPr>
      </w:pPr>
      <w:r>
        <w:rPr>
          <w:rFonts w:hint="eastAsia" w:ascii="宋体" w:hAnsi="宋体" w:cs="宋体"/>
          <w:szCs w:val="21"/>
        </w:rPr>
        <w:t>3.因乙方原因，不能按期开工或中途无故停工，影响工期，工期不顺延，且承担因工期延误造成的相关损失。</w:t>
      </w:r>
    </w:p>
    <w:p w14:paraId="12987143">
      <w:pPr>
        <w:adjustRightInd w:val="0"/>
        <w:spacing w:line="360" w:lineRule="auto"/>
        <w:ind w:firstLine="420" w:firstLineChars="200"/>
        <w:rPr>
          <w:rFonts w:ascii="宋体" w:hAnsi="宋体" w:cs="宋体"/>
          <w:szCs w:val="21"/>
        </w:rPr>
      </w:pPr>
      <w:r>
        <w:rPr>
          <w:rFonts w:hint="eastAsia" w:ascii="宋体" w:hAnsi="宋体" w:cs="宋体"/>
          <w:szCs w:val="21"/>
        </w:rPr>
        <w:t>4.由于工程质量原因返工，乙方承担责任，工期不顺延。若因此造成甲方或第三人的损失，乙方负责赔偿。</w:t>
      </w:r>
    </w:p>
    <w:p w14:paraId="7D3DC378">
      <w:pPr>
        <w:adjustRightInd w:val="0"/>
        <w:spacing w:line="360" w:lineRule="auto"/>
        <w:ind w:firstLine="420" w:firstLineChars="200"/>
        <w:rPr>
          <w:rFonts w:ascii="宋体" w:hAnsi="宋体" w:cs="宋体"/>
          <w:szCs w:val="21"/>
        </w:rPr>
      </w:pPr>
      <w:r>
        <w:rPr>
          <w:rFonts w:hint="eastAsia" w:ascii="宋体" w:hAnsi="宋体" w:cs="宋体"/>
          <w:szCs w:val="21"/>
        </w:rPr>
        <w:t>5.非乙方原因造成的停电、停水及不可抗力因素影响，导致停工8小时以上（一周内累计计算），工期相应顺延，费用不增加。</w:t>
      </w:r>
    </w:p>
    <w:p w14:paraId="4580D246">
      <w:pPr>
        <w:adjustRightInd w:val="0"/>
        <w:spacing w:line="360" w:lineRule="auto"/>
        <w:ind w:firstLine="422" w:firstLineChars="200"/>
        <w:rPr>
          <w:rFonts w:ascii="宋体" w:hAnsi="宋体"/>
          <w:b/>
          <w:szCs w:val="21"/>
        </w:rPr>
      </w:pPr>
      <w:r>
        <w:rPr>
          <w:rFonts w:hint="eastAsia" w:ascii="宋体" w:hAnsi="宋体"/>
          <w:b/>
          <w:szCs w:val="21"/>
        </w:rPr>
        <w:t>五、工程质量检查及验收</w:t>
      </w:r>
    </w:p>
    <w:p w14:paraId="7A0F8EAF">
      <w:pPr>
        <w:adjustRightInd w:val="0"/>
        <w:spacing w:line="360" w:lineRule="auto"/>
        <w:ind w:firstLine="420" w:firstLineChars="200"/>
        <w:rPr>
          <w:rFonts w:ascii="宋体" w:hAnsi="宋体" w:cs="宋体"/>
          <w:szCs w:val="21"/>
        </w:rPr>
      </w:pPr>
      <w:r>
        <w:rPr>
          <w:rFonts w:hint="eastAsia" w:ascii="宋体" w:hAnsi="宋体" w:cs="宋体"/>
          <w:szCs w:val="21"/>
        </w:rPr>
        <w:t>1.本工程质量评定验收标准的依据： 。</w:t>
      </w:r>
    </w:p>
    <w:p w14:paraId="41E1C5D0">
      <w:pPr>
        <w:adjustRightInd w:val="0"/>
        <w:spacing w:line="360" w:lineRule="auto"/>
        <w:ind w:firstLine="420" w:firstLineChars="200"/>
        <w:rPr>
          <w:rFonts w:ascii="宋体" w:hAnsi="宋体" w:cs="宋体"/>
          <w:szCs w:val="21"/>
        </w:rPr>
      </w:pPr>
      <w:r>
        <w:rPr>
          <w:rFonts w:hint="eastAsia" w:ascii="宋体" w:hAnsi="宋体" w:cs="宋体"/>
          <w:szCs w:val="21"/>
        </w:rPr>
        <w:t>2.中间验收项目：</w:t>
      </w:r>
      <w:r>
        <w:rPr>
          <w:rFonts w:hint="eastAsia" w:ascii="宋体" w:hAnsi="宋体" w:cs="宋体"/>
          <w:szCs w:val="21"/>
          <w:u w:val="single"/>
        </w:rPr>
        <w:t xml:space="preserve"> 无 </w:t>
      </w:r>
      <w:r>
        <w:rPr>
          <w:rFonts w:ascii="宋体" w:hAnsi="宋体" w:cs="宋体"/>
          <w:szCs w:val="21"/>
          <w:u w:val="single"/>
        </w:rPr>
        <w:t xml:space="preserve"> </w:t>
      </w:r>
      <w:r>
        <w:rPr>
          <w:rFonts w:hint="eastAsia" w:ascii="宋体" w:hAnsi="宋体" w:cs="宋体"/>
          <w:szCs w:val="21"/>
        </w:rPr>
        <w:t>。</w:t>
      </w:r>
    </w:p>
    <w:p w14:paraId="0D6E8852">
      <w:pPr>
        <w:spacing w:line="360" w:lineRule="auto"/>
        <w:ind w:firstLine="420" w:firstLineChars="200"/>
        <w:rPr>
          <w:rFonts w:ascii="宋体" w:hAnsi="宋体" w:cs="宋体"/>
          <w:szCs w:val="21"/>
        </w:rPr>
      </w:pPr>
      <w:r>
        <w:rPr>
          <w:rFonts w:hint="eastAsia" w:ascii="宋体" w:hAnsi="宋体" w:cs="宋体"/>
          <w:szCs w:val="21"/>
        </w:rPr>
        <w:t>3.在交付前，乙方应作出全面检查和对验收文件进行整理，并列出清单，作为甲方初验收和使用的技术条件依据，检验的结果交甲方。</w:t>
      </w:r>
    </w:p>
    <w:p w14:paraId="64705767">
      <w:pPr>
        <w:spacing w:line="360" w:lineRule="auto"/>
        <w:ind w:firstLine="420" w:firstLineChars="200"/>
        <w:rPr>
          <w:rFonts w:ascii="宋体" w:hAnsi="宋体" w:cs="宋体"/>
          <w:szCs w:val="21"/>
        </w:rPr>
      </w:pPr>
      <w:r>
        <w:rPr>
          <w:rFonts w:hint="eastAsia" w:ascii="宋体" w:hAnsi="宋体" w:cs="宋体"/>
          <w:szCs w:val="21"/>
        </w:rPr>
        <w:t>4.依据招标文件上的技术要求和国家有关质量标准进行现场初步验收，符合招标文件技术要求的，给予签收，初步验收不合格的不予签收。</w:t>
      </w:r>
    </w:p>
    <w:p w14:paraId="44D5EB4D">
      <w:pPr>
        <w:spacing w:line="360" w:lineRule="auto"/>
        <w:ind w:firstLine="420" w:firstLineChars="200"/>
        <w:rPr>
          <w:rFonts w:ascii="宋体" w:hAnsi="宋体" w:cs="宋体"/>
          <w:szCs w:val="21"/>
        </w:rPr>
      </w:pPr>
      <w:r>
        <w:rPr>
          <w:rFonts w:hint="eastAsia" w:ascii="宋体" w:hAnsi="宋体" w:cs="宋体"/>
          <w:szCs w:val="21"/>
        </w:rPr>
        <w:t>5.乙方按照招标文件要求负责安装并培训甲方的使用操作人员，乙方在甲方使用前进行调试，调试直到符合技术要求的甲方才做最终验收。</w:t>
      </w:r>
    </w:p>
    <w:p w14:paraId="5DB0BD7E">
      <w:pPr>
        <w:spacing w:line="360" w:lineRule="auto"/>
        <w:ind w:firstLine="420" w:firstLineChars="200"/>
        <w:rPr>
          <w:rFonts w:ascii="宋体" w:hAnsi="宋体" w:cs="宋体"/>
          <w:szCs w:val="21"/>
        </w:rPr>
      </w:pPr>
      <w:r>
        <w:rPr>
          <w:rFonts w:hint="eastAsia" w:ascii="宋体" w:hAnsi="宋体" w:cs="宋体"/>
          <w:szCs w:val="21"/>
        </w:rPr>
        <w:t>6.对技术复杂的服务内容，甲方可请国家认可的专业检测机构参与初步验收及最终验收，并由其出具质量检测报告。验收时乙方必须在现场，验收完毕后作出验收结果报告；若聘请第三方中立机构验收，验收费用乙方承担。</w:t>
      </w:r>
    </w:p>
    <w:p w14:paraId="6062606A">
      <w:pPr>
        <w:spacing w:line="360" w:lineRule="auto"/>
        <w:ind w:firstLine="420" w:firstLineChars="200"/>
        <w:rPr>
          <w:rFonts w:ascii="宋体" w:hAnsi="宋体" w:cs="宋体"/>
          <w:szCs w:val="21"/>
        </w:rPr>
      </w:pPr>
      <w:r>
        <w:rPr>
          <w:rFonts w:hint="eastAsia" w:ascii="宋体" w:hAnsi="宋体" w:cs="宋体"/>
          <w:szCs w:val="21"/>
        </w:rPr>
        <w:t>7.双方关于调试和验收的其他约定。</w:t>
      </w:r>
    </w:p>
    <w:p w14:paraId="3919B3F3">
      <w:pPr>
        <w:adjustRightInd w:val="0"/>
        <w:spacing w:line="360" w:lineRule="auto"/>
        <w:ind w:firstLine="420" w:firstLineChars="200"/>
        <w:rPr>
          <w:rFonts w:ascii="宋体" w:hAnsi="宋体" w:cs="宋体"/>
          <w:szCs w:val="21"/>
        </w:rPr>
      </w:pPr>
      <w:r>
        <w:rPr>
          <w:rFonts w:hint="eastAsia" w:ascii="宋体" w:hAnsi="宋体" w:cs="宋体"/>
          <w:szCs w:val="21"/>
        </w:rPr>
        <w:t>8.工程竣工后，甲方未经验收擅自使用的部分，视为甲方验收合格。</w:t>
      </w:r>
    </w:p>
    <w:p w14:paraId="2A194B45">
      <w:pPr>
        <w:adjustRightInd w:val="0"/>
        <w:spacing w:line="360" w:lineRule="auto"/>
        <w:ind w:firstLine="422" w:firstLineChars="200"/>
        <w:rPr>
          <w:rFonts w:ascii="宋体" w:hAnsi="宋体"/>
          <w:b/>
          <w:szCs w:val="21"/>
        </w:rPr>
      </w:pPr>
      <w:r>
        <w:rPr>
          <w:rFonts w:hint="eastAsia" w:ascii="宋体" w:hAnsi="宋体"/>
          <w:b/>
          <w:szCs w:val="21"/>
        </w:rPr>
        <w:t>六、工程价款及结算</w:t>
      </w:r>
    </w:p>
    <w:p w14:paraId="27694F50">
      <w:pPr>
        <w:adjustRightInd w:val="0"/>
        <w:spacing w:line="360" w:lineRule="auto"/>
        <w:ind w:firstLine="420" w:firstLineChars="200"/>
        <w:rPr>
          <w:rFonts w:ascii="宋体" w:hAnsi="宋体" w:cs="宋体"/>
          <w:szCs w:val="21"/>
        </w:rPr>
      </w:pPr>
      <w:r>
        <w:rPr>
          <w:rFonts w:hint="eastAsia" w:ascii="宋体" w:hAnsi="宋体" w:cs="宋体"/>
          <w:szCs w:val="21"/>
        </w:rPr>
        <w:t>1.双方商定本合同价款结算采用第</w:t>
      </w:r>
      <w:r>
        <w:rPr>
          <w:rFonts w:hint="eastAsia" w:ascii="宋体" w:hAnsi="宋体" w:cs="宋体"/>
          <w:szCs w:val="21"/>
          <w:u w:val="single"/>
        </w:rPr>
        <w:t xml:space="preserve">  （2）   </w:t>
      </w:r>
      <w:r>
        <w:rPr>
          <w:rFonts w:hint="eastAsia" w:ascii="宋体" w:hAnsi="宋体" w:cs="宋体"/>
          <w:szCs w:val="21"/>
        </w:rPr>
        <w:t>种</w:t>
      </w:r>
    </w:p>
    <w:p w14:paraId="0E148137">
      <w:pPr>
        <w:adjustRightInd w:val="0"/>
        <w:spacing w:line="360" w:lineRule="auto"/>
        <w:ind w:firstLine="420" w:firstLineChars="200"/>
        <w:rPr>
          <w:rFonts w:ascii="宋体" w:hAnsi="宋体" w:cs="宋体"/>
          <w:szCs w:val="21"/>
        </w:rPr>
      </w:pPr>
      <w:r>
        <w:rPr>
          <w:rFonts w:hint="eastAsia" w:ascii="宋体" w:hAnsi="宋体" w:cs="宋体"/>
          <w:szCs w:val="21"/>
        </w:rPr>
        <w:t>（1）固定总价。</w:t>
      </w:r>
    </w:p>
    <w:p w14:paraId="43ADC397">
      <w:pPr>
        <w:adjustRightInd w:val="0"/>
        <w:spacing w:line="360" w:lineRule="auto"/>
        <w:ind w:firstLine="420" w:firstLineChars="200"/>
        <w:rPr>
          <w:rFonts w:ascii="宋体" w:hAnsi="宋体" w:cs="宋体"/>
          <w:szCs w:val="21"/>
        </w:rPr>
      </w:pPr>
      <w:r>
        <w:rPr>
          <w:rFonts w:hint="eastAsia" w:ascii="宋体" w:hAnsi="宋体" w:cs="宋体"/>
          <w:szCs w:val="21"/>
        </w:rPr>
        <w:t>（2）固定单价，工程量按实结算方式。</w:t>
      </w:r>
    </w:p>
    <w:p w14:paraId="7C3562ED">
      <w:pPr>
        <w:spacing w:line="360" w:lineRule="auto"/>
        <w:ind w:firstLine="422" w:firstLineChars="200"/>
        <w:rPr>
          <w:rFonts w:ascii="宋体" w:hAnsi="宋体" w:cs="宋体"/>
          <w:szCs w:val="21"/>
        </w:rPr>
      </w:pPr>
      <w:r>
        <w:rPr>
          <w:rFonts w:hint="eastAsia" w:ascii="宋体" w:hAnsi="宋体" w:cs="宋体"/>
          <w:b/>
          <w:szCs w:val="21"/>
        </w:rPr>
        <w:t>2.付款方式：</w:t>
      </w:r>
      <w:r>
        <w:rPr>
          <w:rFonts w:hint="eastAsia" w:ascii="宋体" w:hAnsi="宋体" w:cs="宋体"/>
          <w:szCs w:val="21"/>
        </w:rPr>
        <w:t>本工程无预付款；完工验收合格后付至合同价的70%；经审计后付至审定价的97%，同时扣除审计费，余款在质保期到后全额无息付清，每次付款前须提供正规发票，审计费按南京邮电大学审计相关规定执行。</w:t>
      </w:r>
    </w:p>
    <w:p w14:paraId="27210D98">
      <w:pPr>
        <w:adjustRightInd w:val="0"/>
        <w:spacing w:line="360" w:lineRule="auto"/>
        <w:ind w:firstLine="420" w:firstLineChars="200"/>
        <w:rPr>
          <w:rFonts w:ascii="宋体" w:hAnsi="宋体" w:cs="宋体"/>
          <w:szCs w:val="21"/>
        </w:rPr>
      </w:pPr>
      <w:r>
        <w:rPr>
          <w:rFonts w:hint="eastAsia" w:ascii="宋体" w:hAnsi="宋体" w:cs="宋体"/>
          <w:szCs w:val="21"/>
        </w:rPr>
        <w:t>建设项目结算审计，应按下列规定支付审计费用：</w:t>
      </w:r>
    </w:p>
    <w:p w14:paraId="3A133E7C">
      <w:pPr>
        <w:adjustRightInd w:val="0"/>
        <w:spacing w:line="360" w:lineRule="auto"/>
        <w:ind w:firstLine="420" w:firstLineChars="200"/>
        <w:rPr>
          <w:rFonts w:ascii="宋体" w:hAnsi="宋体" w:cs="宋体"/>
          <w:szCs w:val="21"/>
        </w:rPr>
      </w:pPr>
      <w:r>
        <w:rPr>
          <w:rFonts w:hint="eastAsia" w:ascii="宋体" w:hAnsi="宋体" w:cs="宋体"/>
          <w:szCs w:val="21"/>
        </w:rPr>
        <w:t>（1）单项工程核减率超过10%的，其审计费用全部由施工单位承担，并由学校从施工单位工程款中扣除（下同）；</w:t>
      </w:r>
    </w:p>
    <w:p w14:paraId="0F50F2B7">
      <w:pPr>
        <w:adjustRightInd w:val="0"/>
        <w:spacing w:line="360" w:lineRule="auto"/>
        <w:ind w:firstLine="420" w:firstLineChars="200"/>
        <w:rPr>
          <w:rFonts w:ascii="宋体" w:hAnsi="宋体" w:cs="宋体"/>
          <w:szCs w:val="21"/>
        </w:rPr>
      </w:pPr>
      <w:r>
        <w:rPr>
          <w:rFonts w:hint="eastAsia" w:ascii="宋体" w:hAnsi="宋体" w:cs="宋体"/>
          <w:szCs w:val="21"/>
        </w:rPr>
        <w:t>（2）单项工程核减率在5%—10%（含10%）之间的，其审计费用由学校承担20%，施工单位承担80%；</w:t>
      </w:r>
    </w:p>
    <w:p w14:paraId="2F7C1DE3">
      <w:pPr>
        <w:adjustRightInd w:val="0"/>
        <w:spacing w:line="360" w:lineRule="auto"/>
        <w:ind w:firstLine="420" w:firstLineChars="200"/>
        <w:rPr>
          <w:rFonts w:ascii="宋体" w:hAnsi="宋体" w:cs="宋体"/>
          <w:szCs w:val="21"/>
        </w:rPr>
      </w:pPr>
      <w:r>
        <w:rPr>
          <w:rFonts w:hint="eastAsia" w:ascii="宋体" w:hAnsi="宋体" w:cs="宋体"/>
          <w:szCs w:val="21"/>
        </w:rPr>
        <w:t>（3）单项工程核减率在5%及其以下的，其审计费用由学校承担。</w:t>
      </w:r>
    </w:p>
    <w:p w14:paraId="47936B46">
      <w:pPr>
        <w:adjustRightInd w:val="0"/>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.乙方必须在竣工10天内办理竣工资料移交手续，否则不予办理竣工结算。</w:t>
      </w:r>
    </w:p>
    <w:p w14:paraId="7D874626">
      <w:pPr>
        <w:adjustRightInd w:val="0"/>
        <w:spacing w:line="360" w:lineRule="auto"/>
        <w:ind w:firstLine="420" w:firstLineChars="200"/>
        <w:rPr>
          <w:rFonts w:ascii="宋体" w:hAnsi="宋体" w:cs="宋体"/>
          <w:szCs w:val="21"/>
        </w:rPr>
      </w:pPr>
      <w:r>
        <w:rPr>
          <w:rFonts w:ascii="宋体" w:hAnsi="宋体" w:cs="宋体"/>
          <w:szCs w:val="21"/>
        </w:rPr>
        <w:t>4</w:t>
      </w:r>
      <w:r>
        <w:rPr>
          <w:rFonts w:hint="eastAsia" w:ascii="宋体" w:hAnsi="宋体" w:cs="宋体"/>
          <w:szCs w:val="21"/>
        </w:rPr>
        <w:t>.工程竣工验收合格后，乙方未发生违约情形的，乙方凭竣工验收文件提出全部退还保证金申请，甲方予以办理保证金退还手续。</w:t>
      </w:r>
    </w:p>
    <w:p w14:paraId="499B2B52">
      <w:pPr>
        <w:adjustRightInd w:val="0"/>
        <w:spacing w:line="360" w:lineRule="auto"/>
        <w:ind w:firstLine="422" w:firstLineChars="200"/>
        <w:rPr>
          <w:rFonts w:ascii="宋体" w:hAnsi="宋体"/>
          <w:b/>
          <w:szCs w:val="21"/>
        </w:rPr>
      </w:pPr>
      <w:r>
        <w:rPr>
          <w:rFonts w:hint="eastAsia" w:ascii="宋体" w:hAnsi="宋体"/>
          <w:b/>
          <w:szCs w:val="21"/>
        </w:rPr>
        <w:t>七、安全生产和防火</w:t>
      </w:r>
    </w:p>
    <w:p w14:paraId="60D9CB05">
      <w:pPr>
        <w:adjustRightInd w:val="0"/>
        <w:spacing w:line="360" w:lineRule="auto"/>
        <w:ind w:firstLine="420" w:firstLineChars="200"/>
        <w:rPr>
          <w:rFonts w:ascii="宋体" w:hAnsi="宋体" w:cs="宋体"/>
          <w:szCs w:val="21"/>
        </w:rPr>
      </w:pPr>
      <w:r>
        <w:rPr>
          <w:rFonts w:hint="eastAsia" w:ascii="宋体" w:hAnsi="宋体" w:cs="宋体"/>
          <w:szCs w:val="21"/>
        </w:rPr>
        <w:t>1.甲方提供的施工图纸或做法说明，应符合《中华人民共和国消防条例》和有关防火设计规范。</w:t>
      </w:r>
    </w:p>
    <w:p w14:paraId="1E4E5DAE">
      <w:pPr>
        <w:adjustRightInd w:val="0"/>
        <w:spacing w:line="360" w:lineRule="auto"/>
        <w:ind w:firstLine="420" w:firstLineChars="200"/>
        <w:rPr>
          <w:rFonts w:ascii="宋体" w:hAnsi="宋体" w:cs="宋体"/>
          <w:szCs w:val="21"/>
        </w:rPr>
      </w:pPr>
      <w:r>
        <w:rPr>
          <w:rFonts w:hint="eastAsia" w:ascii="宋体" w:hAnsi="宋体" w:cs="宋体"/>
          <w:szCs w:val="21"/>
        </w:rPr>
        <w:t>2.乙方在施工期间应严格遵守《中华人民共和国建筑法》、《建筑安装工程安全技术规程》、《建筑安装工程安全操作规程》、《中华人民共和国消防条例》和其他相关的法规、规范。</w:t>
      </w:r>
    </w:p>
    <w:p w14:paraId="3F6C8E0A">
      <w:pPr>
        <w:adjustRightInd w:val="0"/>
        <w:spacing w:line="360" w:lineRule="auto"/>
        <w:ind w:firstLine="420" w:firstLineChars="200"/>
        <w:rPr>
          <w:rFonts w:ascii="宋体" w:hAnsi="宋体" w:cs="宋体"/>
          <w:szCs w:val="21"/>
        </w:rPr>
      </w:pPr>
      <w:r>
        <w:rPr>
          <w:rFonts w:hint="eastAsia" w:ascii="宋体" w:hAnsi="宋体" w:cs="宋体"/>
          <w:szCs w:val="21"/>
        </w:rPr>
        <w:t>3.由于乙方在施工生产过程中违反有关安全操作规程和消防条例，导致发生安全事故或火灾事故，乙方应承担因安全措施不力由此引发的一切安全后果及经济损失，甲方不承担任何责任，若给甲方造成相关其他损失的，甲方有权向乙方追偿。</w:t>
      </w:r>
    </w:p>
    <w:p w14:paraId="4291E774">
      <w:pPr>
        <w:adjustRightInd w:val="0"/>
        <w:spacing w:line="360" w:lineRule="auto"/>
        <w:ind w:firstLine="422" w:firstLineChars="200"/>
        <w:rPr>
          <w:rFonts w:ascii="宋体" w:hAnsi="宋体"/>
          <w:b/>
          <w:szCs w:val="21"/>
        </w:rPr>
      </w:pPr>
      <w:r>
        <w:rPr>
          <w:rFonts w:hint="eastAsia" w:ascii="宋体" w:hAnsi="宋体"/>
          <w:b/>
          <w:szCs w:val="21"/>
        </w:rPr>
        <w:t>八、违约责任</w:t>
      </w:r>
    </w:p>
    <w:p w14:paraId="72693477">
      <w:pPr>
        <w:adjustRightInd w:val="0"/>
        <w:spacing w:line="360" w:lineRule="auto"/>
        <w:ind w:firstLine="420" w:firstLineChars="200"/>
        <w:rPr>
          <w:rFonts w:ascii="宋体" w:hAnsi="宋体" w:cs="宋体"/>
          <w:szCs w:val="21"/>
        </w:rPr>
      </w:pPr>
      <w:r>
        <w:rPr>
          <w:rFonts w:hint="eastAsia" w:ascii="宋体" w:hAnsi="宋体" w:cs="宋体"/>
          <w:szCs w:val="21"/>
        </w:rPr>
        <w:t>1.甲方或乙方未按本合同条款约定内容履行自己的各项义务致使合同无法履行，应承担相应的违约金，赔偿因其违约给对方造成的损失，违约方按合同约定总价款的</w:t>
      </w:r>
      <w:r>
        <w:rPr>
          <w:rFonts w:ascii="宋体" w:hAnsi="宋体" w:cs="宋体"/>
          <w:szCs w:val="21"/>
        </w:rPr>
        <w:t>2%</w:t>
      </w:r>
      <w:r>
        <w:rPr>
          <w:rFonts w:hint="eastAsia" w:ascii="宋体" w:hAnsi="宋体" w:cs="宋体"/>
          <w:szCs w:val="21"/>
        </w:rPr>
        <w:t>支付违约金。如实际损失大于合同总价款的2</w:t>
      </w:r>
      <w:r>
        <w:rPr>
          <w:rFonts w:ascii="宋体" w:hAnsi="宋体" w:cs="宋体"/>
          <w:szCs w:val="21"/>
        </w:rPr>
        <w:t>%</w:t>
      </w:r>
      <w:r>
        <w:rPr>
          <w:rFonts w:hint="eastAsia" w:ascii="宋体" w:hAnsi="宋体" w:cs="宋体"/>
          <w:szCs w:val="21"/>
        </w:rPr>
        <w:t>，则按实际损失支付违约金。</w:t>
      </w:r>
    </w:p>
    <w:p w14:paraId="490EA594">
      <w:pPr>
        <w:adjustRightInd w:val="0"/>
        <w:spacing w:line="360" w:lineRule="auto"/>
        <w:ind w:firstLine="420" w:firstLineChars="200"/>
        <w:rPr>
          <w:rFonts w:ascii="宋体" w:hAnsi="宋体" w:cs="宋体"/>
          <w:szCs w:val="21"/>
        </w:rPr>
      </w:pPr>
      <w:r>
        <w:rPr>
          <w:rFonts w:hint="eastAsia" w:ascii="宋体" w:hAnsi="宋体" w:cs="宋体"/>
          <w:szCs w:val="21"/>
        </w:rPr>
        <w:t>2.由于甲方原因导致中途停工，工期顺延。甲方不按合同的约定拨付工程款，每拖延一天，拖延工程款部分按中国银行的短期贷款利率支付违约金。</w:t>
      </w:r>
    </w:p>
    <w:p w14:paraId="51F2EB6B">
      <w:pPr>
        <w:adjustRightInd w:val="0"/>
        <w:spacing w:line="360" w:lineRule="auto"/>
        <w:ind w:firstLine="420" w:firstLineChars="200"/>
        <w:rPr>
          <w:rFonts w:ascii="宋体" w:hAnsi="宋体" w:cs="宋体"/>
          <w:szCs w:val="21"/>
        </w:rPr>
      </w:pPr>
      <w:r>
        <w:rPr>
          <w:rFonts w:hint="eastAsia" w:ascii="宋体" w:hAnsi="宋体" w:cs="宋体"/>
          <w:szCs w:val="21"/>
        </w:rPr>
        <w:t>3.由于乙方原因，逾期竣工，每逾期一天，乙方支付甲方违约金5</w:t>
      </w:r>
      <w:r>
        <w:rPr>
          <w:rFonts w:ascii="宋体" w:hAnsi="宋体" w:cs="宋体"/>
          <w:szCs w:val="21"/>
        </w:rPr>
        <w:t>00元</w:t>
      </w:r>
      <w:r>
        <w:rPr>
          <w:rFonts w:hint="eastAsia" w:ascii="宋体" w:hAnsi="宋体" w:cs="宋体"/>
          <w:szCs w:val="21"/>
        </w:rPr>
        <w:t>；乙方需继续履行合同，除非甲方单方解除合同，且不承担违约责任。如逾期超过 15 日的，甲方有权解除本合同，并要求乙方承担合同总金额20%的惩罚性违约金。</w:t>
      </w:r>
    </w:p>
    <w:p w14:paraId="6F3E3ABD">
      <w:pPr>
        <w:adjustRightInd w:val="0"/>
        <w:spacing w:line="360" w:lineRule="auto"/>
        <w:ind w:firstLine="420" w:firstLineChars="200"/>
        <w:rPr>
          <w:rFonts w:ascii="宋体" w:hAnsi="宋体" w:cs="宋体"/>
          <w:szCs w:val="21"/>
        </w:rPr>
      </w:pPr>
      <w:r>
        <w:rPr>
          <w:rFonts w:hint="eastAsia" w:ascii="宋体" w:hAnsi="宋体" w:cs="宋体"/>
          <w:szCs w:val="21"/>
        </w:rPr>
        <w:t>4.乙方应妥善保护甲方提供的设备及现场堆放的家具、陈设和工程成品，如造成损失，应照价赔偿。</w:t>
      </w:r>
    </w:p>
    <w:p w14:paraId="416060D1">
      <w:pPr>
        <w:adjustRightInd w:val="0"/>
        <w:spacing w:line="360" w:lineRule="auto"/>
        <w:ind w:firstLine="420" w:firstLineChars="200"/>
        <w:rPr>
          <w:rFonts w:ascii="宋体" w:hAnsi="宋体" w:cs="宋体"/>
          <w:szCs w:val="21"/>
        </w:rPr>
      </w:pPr>
      <w:r>
        <w:rPr>
          <w:rFonts w:hint="eastAsia" w:ascii="宋体" w:hAnsi="宋体" w:cs="宋体"/>
          <w:szCs w:val="21"/>
        </w:rPr>
        <w:t>5.乙方应保证工程所用材料为符合本项目要求、并符合国家相关标准的合格产品。凡乙方采购的材料，如不符合质量要求或规格有差异，应禁止使用。若已使用，对工程造成的损失全部由乙方承担。</w:t>
      </w:r>
    </w:p>
    <w:p w14:paraId="296F0B04">
      <w:pPr>
        <w:adjustRightInd w:val="0"/>
        <w:spacing w:line="360" w:lineRule="auto"/>
        <w:ind w:firstLine="420" w:firstLineChars="200"/>
        <w:rPr>
          <w:rFonts w:ascii="宋体" w:hAnsi="宋体" w:cs="宋体"/>
          <w:szCs w:val="21"/>
        </w:rPr>
      </w:pPr>
      <w:r>
        <w:rPr>
          <w:rFonts w:hint="eastAsia" w:ascii="宋体" w:hAnsi="宋体" w:cs="宋体"/>
          <w:szCs w:val="21"/>
        </w:rPr>
        <w:t>6.乙方如中途退场，甲方有权要求乙方两天内撤离现场（包括人员、材料、机械设备等），乙方所完成的工程量自动放弃，不向甲方索要已完成的工程量款，作为由此造成甲方损失的赔偿，给甲方造成的损失大于工程量款的，甲方有权要求乙方继续赔偿。</w:t>
      </w:r>
    </w:p>
    <w:p w14:paraId="2406712C">
      <w:pPr>
        <w:adjustRightInd w:val="0"/>
        <w:spacing w:line="360" w:lineRule="auto"/>
        <w:ind w:firstLine="422" w:firstLineChars="200"/>
        <w:rPr>
          <w:rFonts w:ascii="宋体" w:hAnsi="宋体"/>
          <w:b/>
          <w:szCs w:val="21"/>
        </w:rPr>
      </w:pPr>
      <w:r>
        <w:rPr>
          <w:rFonts w:hint="eastAsia" w:ascii="宋体" w:hAnsi="宋体"/>
          <w:b/>
          <w:szCs w:val="21"/>
        </w:rPr>
        <w:t>九、保修：</w:t>
      </w:r>
      <w:r>
        <w:rPr>
          <w:rFonts w:hint="eastAsia" w:ascii="宋体" w:hAnsi="宋体"/>
          <w:szCs w:val="21"/>
        </w:rPr>
        <w:t>本工程保修期为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年，自工程经甲方验收合格之日起开始起算。</w:t>
      </w:r>
    </w:p>
    <w:p w14:paraId="26305ADC">
      <w:pPr>
        <w:adjustRightInd w:val="0"/>
        <w:spacing w:line="360" w:lineRule="auto"/>
        <w:ind w:firstLine="422" w:firstLineChars="200"/>
        <w:rPr>
          <w:rFonts w:ascii="宋体" w:hAnsi="宋体"/>
          <w:b/>
          <w:szCs w:val="21"/>
        </w:rPr>
      </w:pPr>
      <w:r>
        <w:rPr>
          <w:rFonts w:ascii="宋体" w:hAnsi="宋体"/>
          <w:b/>
          <w:szCs w:val="21"/>
        </w:rPr>
        <w:t>十、履约保证金</w:t>
      </w:r>
    </w:p>
    <w:p w14:paraId="281A7467">
      <w:pPr>
        <w:adjustRightInd w:val="0"/>
        <w:spacing w:line="360" w:lineRule="auto"/>
        <w:ind w:firstLine="420" w:firstLineChars="200"/>
        <w:rPr>
          <w:rFonts w:ascii="宋体" w:hAnsi="宋体" w:cs="宋体"/>
          <w:szCs w:val="21"/>
        </w:rPr>
      </w:pPr>
      <w:r>
        <w:rPr>
          <w:rFonts w:hint="eastAsia" w:ascii="宋体" w:hAnsi="宋体" w:cs="宋体"/>
          <w:szCs w:val="21"/>
        </w:rPr>
        <w:t>1.乙方应在合同签订前向甲方交纳   元(小写： 元）的履约保证金，乙方未按时足额向甲方交纳履约保证金的，甲方有权拒绝乙方提供施工。如乙方未能履行合同规定的义务，采购人有权根据工程质量验收结果从履约保证金中取得补偿。</w:t>
      </w:r>
    </w:p>
    <w:p w14:paraId="19F05C07">
      <w:pPr>
        <w:adjustRightInd w:val="0"/>
        <w:spacing w:line="360" w:lineRule="auto"/>
        <w:ind w:firstLine="420" w:firstLineChars="200"/>
        <w:rPr>
          <w:rFonts w:ascii="宋体" w:hAnsi="宋体" w:cs="宋体"/>
          <w:szCs w:val="21"/>
        </w:rPr>
      </w:pPr>
      <w:r>
        <w:rPr>
          <w:rFonts w:hint="eastAsia" w:ascii="宋体" w:hAnsi="宋体" w:cs="宋体"/>
          <w:szCs w:val="21"/>
        </w:rPr>
        <w:t>2.收取履约保证金的，允许乙方自主选择支票、汇票、本票、保函等非现金形式缴纳或提交，工程验收合格以后</w:t>
      </w:r>
      <w:ins w:id="28" w:author="Nie [2]" w:date="2026-07-02T12:16:01Z">
        <w:r>
          <w:rPr>
            <w:rFonts w:hint="eastAsia" w:ascii="宋体" w:hAnsi="宋体" w:cs="宋体"/>
            <w:szCs w:val="21"/>
            <w:lang w:val="en-US" w:eastAsia="zh-CN"/>
          </w:rPr>
          <w:t>30</w:t>
        </w:r>
      </w:ins>
      <w:ins w:id="29" w:author="Nie [2]" w:date="2026-07-02T12:15:38Z">
        <w:r>
          <w:rPr>
            <w:rFonts w:hint="eastAsia" w:ascii="宋体" w:hAnsi="宋体" w:cs="宋体"/>
            <w:szCs w:val="21"/>
            <w:lang w:val="en-US" w:eastAsia="zh-CN"/>
          </w:rPr>
          <w:t>日历日</w:t>
        </w:r>
      </w:ins>
      <w:r>
        <w:rPr>
          <w:rFonts w:hint="eastAsia" w:ascii="宋体" w:hAnsi="宋体" w:cs="宋体"/>
          <w:szCs w:val="21"/>
        </w:rPr>
        <w:t>内无息退还给乙方。</w:t>
      </w:r>
    </w:p>
    <w:p w14:paraId="35072C65">
      <w:pPr>
        <w:adjustRightInd w:val="0"/>
        <w:spacing w:line="360" w:lineRule="auto"/>
        <w:ind w:firstLine="422" w:firstLineChars="200"/>
        <w:rPr>
          <w:rFonts w:ascii="宋体" w:hAnsi="宋体"/>
          <w:b/>
          <w:szCs w:val="21"/>
        </w:rPr>
      </w:pPr>
      <w:r>
        <w:rPr>
          <w:rFonts w:hint="eastAsia" w:ascii="宋体" w:hAnsi="宋体"/>
          <w:b/>
          <w:szCs w:val="21"/>
        </w:rPr>
        <w:t>十一、其他</w:t>
      </w:r>
    </w:p>
    <w:p w14:paraId="6F3EECD7">
      <w:pPr>
        <w:adjustRightInd w:val="0"/>
        <w:spacing w:line="360" w:lineRule="auto"/>
        <w:ind w:firstLine="420" w:firstLineChars="200"/>
        <w:rPr>
          <w:rFonts w:ascii="宋体" w:hAnsi="宋体" w:cs="宋体"/>
          <w:szCs w:val="21"/>
        </w:rPr>
      </w:pPr>
      <w:r>
        <w:rPr>
          <w:rFonts w:hint="eastAsia" w:ascii="宋体" w:hAnsi="宋体" w:cs="宋体"/>
          <w:szCs w:val="21"/>
        </w:rPr>
        <w:t>1.乙方要时刻注意施工安全，同时尽量避免在校园内产生很大的噪声，以免影响学生的正常学习和人身安全。</w:t>
      </w:r>
    </w:p>
    <w:p w14:paraId="5C10DF40">
      <w:pPr>
        <w:adjustRightInd w:val="0"/>
        <w:spacing w:line="360" w:lineRule="auto"/>
        <w:ind w:firstLine="420" w:firstLineChars="200"/>
        <w:rPr>
          <w:rFonts w:ascii="宋体" w:hAnsi="宋体" w:cs="宋体"/>
          <w:szCs w:val="21"/>
        </w:rPr>
      </w:pPr>
      <w:r>
        <w:rPr>
          <w:rFonts w:hint="eastAsia" w:ascii="宋体" w:hAnsi="宋体" w:cs="宋体"/>
          <w:szCs w:val="21"/>
        </w:rPr>
        <w:t>2.乙方在施工过程中，因乙方原因发生的工程安全事故，均由乙方负责解决，并承担全部法律责任和损失，与甲方无关。</w:t>
      </w:r>
    </w:p>
    <w:p w14:paraId="0E5190DD">
      <w:pPr>
        <w:adjustRightInd w:val="0"/>
        <w:spacing w:line="360" w:lineRule="auto"/>
        <w:ind w:firstLine="420" w:firstLineChars="200"/>
        <w:rPr>
          <w:rFonts w:ascii="宋体" w:hAnsi="宋体" w:cs="宋体"/>
          <w:szCs w:val="21"/>
        </w:rPr>
      </w:pPr>
      <w:r>
        <w:rPr>
          <w:rFonts w:hint="eastAsia" w:ascii="宋体" w:hAnsi="宋体" w:cs="宋体"/>
          <w:szCs w:val="21"/>
        </w:rPr>
        <w:t>3.乙方应与其施工人员建立合法的劳动关系或者劳务关系，其与施工人员发生的一切劳资争议、纠纷等均与甲方无关，由乙方自行解决，给甲方造成不利影响的，甲方有权向乙方进行追诉。</w:t>
      </w:r>
    </w:p>
    <w:p w14:paraId="6A2F365D">
      <w:pPr>
        <w:adjustRightInd w:val="0"/>
        <w:spacing w:line="360" w:lineRule="auto"/>
        <w:ind w:firstLine="420" w:firstLineChars="200"/>
        <w:rPr>
          <w:rFonts w:ascii="宋体" w:hAnsi="宋体" w:cs="宋体"/>
          <w:szCs w:val="21"/>
        </w:rPr>
      </w:pPr>
      <w:r>
        <w:rPr>
          <w:rFonts w:hint="eastAsia" w:ascii="宋体" w:hAnsi="宋体" w:cs="宋体"/>
          <w:szCs w:val="21"/>
        </w:rPr>
        <w:t>4.本合同约定的由乙方承担的赔偿责任，若由甲方先行垫付的，甲方可从合同款中先期扣除，不足部分应由乙方补足。</w:t>
      </w:r>
    </w:p>
    <w:p w14:paraId="304583F3">
      <w:pPr>
        <w:adjustRightInd w:val="0"/>
        <w:spacing w:line="360" w:lineRule="auto"/>
        <w:ind w:firstLine="422" w:firstLineChars="200"/>
        <w:rPr>
          <w:rFonts w:ascii="宋体" w:hAnsi="宋体"/>
          <w:b/>
          <w:szCs w:val="21"/>
        </w:rPr>
      </w:pPr>
      <w:r>
        <w:rPr>
          <w:rFonts w:hint="eastAsia" w:ascii="宋体" w:hAnsi="宋体"/>
          <w:b/>
          <w:szCs w:val="21"/>
        </w:rPr>
        <w:t>十二、争议解决：</w:t>
      </w:r>
      <w:r>
        <w:rPr>
          <w:rFonts w:hint="eastAsia" w:ascii="宋体" w:hAnsi="宋体"/>
          <w:szCs w:val="21"/>
        </w:rPr>
        <w:t>本合同履行过程中，如有争议，双方应当协商解决。协商不成时，采用诉讼解决，由甲方所在地人民法院诉讼管辖。</w:t>
      </w:r>
    </w:p>
    <w:p w14:paraId="75E3C5E9">
      <w:pPr>
        <w:adjustRightInd w:val="0"/>
        <w:spacing w:line="360" w:lineRule="auto"/>
        <w:ind w:firstLine="422" w:firstLineChars="200"/>
        <w:rPr>
          <w:rFonts w:ascii="宋体" w:hAnsi="宋体"/>
          <w:b/>
          <w:szCs w:val="21"/>
        </w:rPr>
      </w:pPr>
      <w:r>
        <w:rPr>
          <w:rFonts w:hint="eastAsia" w:ascii="宋体" w:hAnsi="宋体"/>
          <w:b/>
          <w:szCs w:val="21"/>
        </w:rPr>
        <w:t>十三、合同的生效、变更、解除和终止</w:t>
      </w:r>
    </w:p>
    <w:p w14:paraId="3E2C642C">
      <w:pPr>
        <w:adjustRightInd w:val="0"/>
        <w:spacing w:line="360" w:lineRule="auto"/>
        <w:ind w:firstLine="420" w:firstLineChars="200"/>
        <w:rPr>
          <w:rFonts w:ascii="宋体" w:hAnsi="宋体" w:cs="宋体"/>
          <w:szCs w:val="21"/>
        </w:rPr>
      </w:pPr>
      <w:r>
        <w:rPr>
          <w:rFonts w:hint="eastAsia" w:ascii="宋体" w:hAnsi="宋体" w:cs="宋体"/>
          <w:szCs w:val="21"/>
        </w:rPr>
        <w:t>1.合同生效时间为：甲乙双方签字日期。</w:t>
      </w:r>
    </w:p>
    <w:p w14:paraId="480BAE72">
      <w:pPr>
        <w:adjustRightInd w:val="0"/>
        <w:spacing w:line="360" w:lineRule="auto"/>
        <w:ind w:firstLine="420" w:firstLineChars="200"/>
        <w:rPr>
          <w:rFonts w:ascii="宋体" w:hAnsi="宋体" w:cs="宋体"/>
          <w:szCs w:val="21"/>
        </w:rPr>
      </w:pPr>
      <w:r>
        <w:rPr>
          <w:rFonts w:hint="eastAsia" w:ascii="宋体" w:hAnsi="宋体" w:cs="宋体"/>
          <w:szCs w:val="21"/>
        </w:rPr>
        <w:t>2.本合同未尽事宜双方可另行协商，签订书面补充协议，与本合同具有同等的法律效力。</w:t>
      </w:r>
    </w:p>
    <w:p w14:paraId="033029AE">
      <w:pPr>
        <w:adjustRightInd w:val="0"/>
        <w:spacing w:line="360" w:lineRule="auto"/>
        <w:ind w:firstLine="420" w:firstLineChars="200"/>
        <w:rPr>
          <w:rFonts w:ascii="宋体" w:hAnsi="宋体" w:cs="宋体"/>
          <w:szCs w:val="21"/>
        </w:rPr>
      </w:pPr>
      <w:r>
        <w:rPr>
          <w:rFonts w:hint="eastAsia" w:ascii="宋体" w:hAnsi="宋体" w:cs="宋体"/>
          <w:szCs w:val="21"/>
        </w:rPr>
        <w:t>3</w:t>
      </w:r>
      <w:bookmarkStart w:id="2" w:name="OLE_LINK10"/>
      <w:bookmarkStart w:id="3" w:name="OLE_LINK11"/>
      <w:r>
        <w:rPr>
          <w:rFonts w:hint="eastAsia" w:ascii="宋体" w:hAnsi="宋体" w:cs="宋体"/>
          <w:szCs w:val="21"/>
        </w:rPr>
        <w:t>.</w:t>
      </w:r>
      <w:bookmarkEnd w:id="2"/>
      <w:bookmarkEnd w:id="3"/>
      <w:r>
        <w:rPr>
          <w:rFonts w:hint="eastAsia" w:ascii="宋体" w:hAnsi="宋体" w:cs="宋体"/>
          <w:szCs w:val="21"/>
        </w:rPr>
        <w:t>有下列情形之一的可以解除合同。</w:t>
      </w:r>
    </w:p>
    <w:p w14:paraId="69BB98A7">
      <w:pPr>
        <w:adjustRightInd w:val="0"/>
        <w:spacing w:line="360" w:lineRule="auto"/>
        <w:ind w:firstLine="420" w:firstLineChars="200"/>
        <w:rPr>
          <w:rFonts w:ascii="宋体" w:hAnsi="宋体" w:cs="宋体"/>
          <w:szCs w:val="21"/>
        </w:rPr>
      </w:pPr>
      <w:r>
        <w:rPr>
          <w:rFonts w:hint="eastAsia" w:ascii="宋体" w:hAnsi="宋体" w:cs="宋体"/>
          <w:szCs w:val="21"/>
        </w:rPr>
        <w:t>（1）甲乙双方协商一致；</w:t>
      </w:r>
    </w:p>
    <w:p w14:paraId="5CDC3176">
      <w:pPr>
        <w:adjustRightInd w:val="0"/>
        <w:spacing w:line="360" w:lineRule="auto"/>
        <w:ind w:firstLine="420" w:firstLineChars="200"/>
        <w:rPr>
          <w:rFonts w:ascii="宋体" w:hAnsi="宋体" w:cs="宋体"/>
          <w:szCs w:val="21"/>
        </w:rPr>
      </w:pPr>
      <w:r>
        <w:rPr>
          <w:rFonts w:hint="eastAsia" w:ascii="宋体" w:hAnsi="宋体" w:cs="宋体"/>
          <w:szCs w:val="21"/>
        </w:rPr>
        <w:t>（2）因不可抗力致使合同无法履行。</w:t>
      </w:r>
    </w:p>
    <w:p w14:paraId="066250D7">
      <w:pPr>
        <w:adjustRightInd w:val="0"/>
        <w:spacing w:line="360" w:lineRule="auto"/>
        <w:ind w:firstLine="420" w:firstLineChars="200"/>
        <w:rPr>
          <w:rFonts w:ascii="宋体" w:hAnsi="宋体" w:cs="宋体"/>
          <w:szCs w:val="21"/>
        </w:rPr>
      </w:pPr>
      <w:r>
        <w:rPr>
          <w:rFonts w:hint="eastAsia" w:ascii="宋体" w:hAnsi="宋体" w:cs="宋体"/>
          <w:szCs w:val="21"/>
        </w:rPr>
        <w:t>4.合同终止：甲乙双方履行完本合同全部义务，工程已办理移交手续，工程竣工结算价款支付完毕，本合同即告终止（但本合同保修及争议解决条款继续有效）。</w:t>
      </w:r>
    </w:p>
    <w:p w14:paraId="04C3FAD6">
      <w:pPr>
        <w:adjustRightInd w:val="0"/>
        <w:spacing w:line="360" w:lineRule="auto"/>
        <w:ind w:firstLine="422" w:firstLineChars="200"/>
        <w:rPr>
          <w:rFonts w:ascii="宋体" w:hAnsi="宋体"/>
          <w:b/>
          <w:szCs w:val="21"/>
        </w:rPr>
      </w:pPr>
      <w:r>
        <w:rPr>
          <w:rFonts w:hint="eastAsia" w:ascii="宋体" w:hAnsi="宋体"/>
          <w:b/>
          <w:szCs w:val="21"/>
        </w:rPr>
        <w:t>十四、附则</w:t>
      </w:r>
    </w:p>
    <w:p w14:paraId="6D7A9617">
      <w:pPr>
        <w:adjustRightInd w:val="0"/>
        <w:spacing w:line="360" w:lineRule="auto"/>
        <w:ind w:firstLine="420" w:firstLineChars="200"/>
        <w:rPr>
          <w:rFonts w:ascii="宋体" w:hAnsi="宋体" w:cs="宋体"/>
          <w:szCs w:val="21"/>
        </w:rPr>
      </w:pPr>
      <w:r>
        <w:rPr>
          <w:rFonts w:ascii="宋体" w:hAnsi="宋体" w:cs="宋体"/>
          <w:szCs w:val="21"/>
        </w:rPr>
        <w:t>本合同由甲、乙双方</w:t>
      </w:r>
      <w:r>
        <w:rPr>
          <w:rFonts w:hint="eastAsia" w:ascii="宋体" w:hAnsi="宋体" w:cs="宋体"/>
          <w:szCs w:val="21"/>
        </w:rPr>
        <w:t>共同</w:t>
      </w:r>
      <w:r>
        <w:rPr>
          <w:rFonts w:ascii="宋体" w:hAnsi="宋体" w:cs="宋体"/>
          <w:szCs w:val="21"/>
        </w:rPr>
        <w:t>签订，合同一式拾份，甲</w:t>
      </w:r>
      <w:r>
        <w:rPr>
          <w:rFonts w:hint="eastAsia" w:ascii="宋体" w:hAnsi="宋体" w:cs="宋体"/>
          <w:szCs w:val="21"/>
        </w:rPr>
        <w:t>方捌</w:t>
      </w:r>
      <w:r>
        <w:rPr>
          <w:rFonts w:ascii="宋体" w:hAnsi="宋体" w:cs="宋体"/>
          <w:szCs w:val="21"/>
        </w:rPr>
        <w:t>份、乙</w:t>
      </w:r>
      <w:r>
        <w:rPr>
          <w:rFonts w:hint="eastAsia" w:ascii="宋体" w:hAnsi="宋体" w:cs="宋体"/>
          <w:szCs w:val="21"/>
        </w:rPr>
        <w:t>方贰</w:t>
      </w:r>
      <w:r>
        <w:rPr>
          <w:rFonts w:ascii="宋体" w:hAnsi="宋体" w:cs="宋体"/>
          <w:szCs w:val="21"/>
        </w:rPr>
        <w:t>份。</w:t>
      </w:r>
      <w:r>
        <w:rPr>
          <w:rFonts w:hint="eastAsia" w:ascii="宋体" w:hAnsi="宋体" w:cs="宋体"/>
          <w:szCs w:val="21"/>
        </w:rPr>
        <w:t>自双方签字、盖章之日起生效。</w:t>
      </w:r>
    </w:p>
    <w:tbl>
      <w:tblPr>
        <w:tblStyle w:val="47"/>
        <w:tblW w:w="0" w:type="auto"/>
        <w:tblInd w:w="-108" w:type="dxa"/>
        <w:tblLayout w:type="autofit"/>
        <w:tblCellMar>
          <w:top w:w="0" w:type="dxa"/>
          <w:left w:w="108" w:type="dxa"/>
          <w:bottom w:w="0" w:type="dxa"/>
          <w:right w:w="108" w:type="dxa"/>
        </w:tblCellMar>
      </w:tblPr>
      <w:tblGrid>
        <w:gridCol w:w="4752"/>
        <w:gridCol w:w="3770"/>
      </w:tblGrid>
      <w:tr w14:paraId="7CD25872">
        <w:tblPrEx>
          <w:tblCellMar>
            <w:top w:w="0" w:type="dxa"/>
            <w:left w:w="108" w:type="dxa"/>
            <w:bottom w:w="0" w:type="dxa"/>
            <w:right w:w="108" w:type="dxa"/>
          </w:tblCellMar>
        </w:tblPrEx>
        <w:tc>
          <w:tcPr>
            <w:tcW w:w="4752" w:type="dxa"/>
          </w:tcPr>
          <w:p w14:paraId="12DCF2F5">
            <w:pPr>
              <w:adjustRightInd w:val="0"/>
              <w:spacing w:line="360" w:lineRule="auto"/>
              <w:ind w:firstLine="420" w:firstLineChars="200"/>
              <w:rPr>
                <w:rFonts w:ascii="宋体" w:hAnsi="宋体"/>
                <w:szCs w:val="21"/>
              </w:rPr>
            </w:pPr>
            <w:r>
              <w:rPr>
                <w:rFonts w:hint="eastAsia" w:ascii="宋体" w:hAnsi="宋体" w:cs="宋体"/>
                <w:szCs w:val="21"/>
              </w:rPr>
              <w:t xml:space="preserve">甲方                                        </w:t>
            </w:r>
          </w:p>
          <w:p w14:paraId="41616B8F">
            <w:pPr>
              <w:adjustRightInd w:val="0"/>
              <w:spacing w:line="360" w:lineRule="auto"/>
              <w:ind w:firstLine="420" w:firstLineChars="200"/>
              <w:rPr>
                <w:rFonts w:ascii="宋体" w:hAnsi="宋体"/>
                <w:szCs w:val="21"/>
              </w:rPr>
            </w:pPr>
            <w:r>
              <w:rPr>
                <w:rFonts w:hint="eastAsia" w:ascii="宋体" w:hAnsi="宋体" w:cs="宋体"/>
                <w:szCs w:val="21"/>
              </w:rPr>
              <w:t xml:space="preserve">单位名称：南京邮电大学通达学院              </w:t>
            </w:r>
          </w:p>
          <w:p w14:paraId="51681C86">
            <w:pPr>
              <w:adjustRightInd w:val="0"/>
              <w:spacing w:line="360" w:lineRule="auto"/>
              <w:ind w:firstLine="420" w:firstLineChars="200"/>
              <w:rPr>
                <w:rFonts w:ascii="宋体" w:hAnsi="宋体"/>
                <w:szCs w:val="21"/>
              </w:rPr>
            </w:pPr>
            <w:r>
              <w:rPr>
                <w:rFonts w:hint="eastAsia" w:ascii="宋体" w:hAnsi="宋体" w:cs="宋体"/>
                <w:szCs w:val="21"/>
              </w:rPr>
              <w:t xml:space="preserve">单位地址：扬州市润扬南路33号               </w:t>
            </w:r>
          </w:p>
          <w:p w14:paraId="221B16C6">
            <w:pPr>
              <w:adjustRightInd w:val="0"/>
              <w:spacing w:line="360" w:lineRule="auto"/>
              <w:ind w:firstLine="420" w:firstLineChars="200"/>
              <w:rPr>
                <w:rFonts w:ascii="宋体" w:hAnsi="宋体"/>
                <w:szCs w:val="21"/>
              </w:rPr>
            </w:pPr>
            <w:r>
              <w:rPr>
                <w:rFonts w:hint="eastAsia" w:ascii="宋体" w:hAnsi="宋体" w:cs="宋体"/>
                <w:szCs w:val="21"/>
              </w:rPr>
              <w:t xml:space="preserve">法定代表人：                                </w:t>
            </w:r>
          </w:p>
          <w:p w14:paraId="04457875">
            <w:pPr>
              <w:adjustRightInd w:val="0"/>
              <w:spacing w:line="360" w:lineRule="auto"/>
              <w:ind w:firstLine="420" w:firstLineChars="200"/>
              <w:rPr>
                <w:rFonts w:ascii="宋体" w:hAnsi="宋体"/>
                <w:szCs w:val="21"/>
              </w:rPr>
            </w:pPr>
            <w:r>
              <w:rPr>
                <w:rFonts w:hint="eastAsia" w:ascii="宋体" w:hAnsi="宋体" w:cs="宋体"/>
                <w:szCs w:val="21"/>
              </w:rPr>
              <w:t xml:space="preserve">委托代理人（签字）：                         </w:t>
            </w:r>
          </w:p>
          <w:p w14:paraId="782AE1C3">
            <w:pPr>
              <w:adjustRightInd w:val="0"/>
              <w:spacing w:line="360" w:lineRule="auto"/>
              <w:ind w:firstLine="420" w:firstLineChars="200"/>
              <w:rPr>
                <w:rFonts w:ascii="宋体" w:hAnsi="宋体"/>
                <w:szCs w:val="21"/>
              </w:rPr>
            </w:pPr>
            <w:r>
              <w:rPr>
                <w:rFonts w:hint="eastAsia" w:ascii="宋体" w:hAnsi="宋体" w:cs="宋体"/>
                <w:szCs w:val="21"/>
              </w:rPr>
              <w:t xml:space="preserve">联系电话：                                  </w:t>
            </w:r>
          </w:p>
          <w:p w14:paraId="2023FE10">
            <w:pPr>
              <w:adjustRightInd w:val="0"/>
              <w:spacing w:line="360" w:lineRule="auto"/>
              <w:ind w:firstLine="420" w:firstLineChars="200"/>
              <w:rPr>
                <w:rFonts w:ascii="宋体" w:hAnsi="宋体"/>
                <w:szCs w:val="21"/>
              </w:rPr>
            </w:pPr>
            <w:r>
              <w:rPr>
                <w:rFonts w:hint="eastAsia" w:ascii="宋体" w:hAnsi="宋体" w:cs="宋体"/>
                <w:szCs w:val="21"/>
              </w:rPr>
              <w:t>开户银行：</w:t>
            </w:r>
            <w:r>
              <w:rPr>
                <w:rFonts w:ascii="宋体" w:hAnsi="宋体" w:cs="宋体"/>
                <w:bCs/>
                <w:szCs w:val="21"/>
              </w:rPr>
              <w:t>中国银行扬州分行开发区支行营业部</w:t>
            </w:r>
            <w:r>
              <w:rPr>
                <w:rFonts w:hint="eastAsia" w:ascii="宋体" w:hAnsi="宋体" w:cs="宋体"/>
                <w:szCs w:val="21"/>
              </w:rPr>
              <w:t xml:space="preserve">  </w:t>
            </w:r>
          </w:p>
          <w:p w14:paraId="1FD667FB">
            <w:pPr>
              <w:adjustRightInd w:val="0"/>
              <w:spacing w:line="360" w:lineRule="auto"/>
              <w:ind w:firstLine="420" w:firstLineChars="200"/>
              <w:rPr>
                <w:rFonts w:ascii="宋体" w:hAnsi="宋体"/>
                <w:szCs w:val="21"/>
              </w:rPr>
            </w:pPr>
            <w:r>
              <w:rPr>
                <w:rFonts w:hint="eastAsia" w:ascii="宋体" w:hAnsi="宋体" w:cs="宋体"/>
                <w:szCs w:val="21"/>
              </w:rPr>
              <w:t xml:space="preserve">户名：南京邮电大学通达学院                  </w:t>
            </w:r>
          </w:p>
          <w:p w14:paraId="7F5FDC8D">
            <w:pPr>
              <w:adjustRightInd w:val="0"/>
              <w:spacing w:line="360" w:lineRule="auto"/>
              <w:ind w:firstLine="420" w:firstLineChars="200"/>
              <w:rPr>
                <w:rFonts w:ascii="宋体" w:hAnsi="宋体"/>
                <w:szCs w:val="21"/>
              </w:rPr>
            </w:pPr>
            <w:r>
              <w:rPr>
                <w:rFonts w:hint="eastAsia" w:ascii="宋体" w:hAnsi="宋体" w:cs="宋体"/>
                <w:szCs w:val="21"/>
              </w:rPr>
              <w:t>账号：</w:t>
            </w:r>
            <w:r>
              <w:rPr>
                <w:rFonts w:ascii="宋体" w:hAnsi="宋体" w:cs="宋体"/>
                <w:bCs/>
                <w:szCs w:val="21"/>
              </w:rPr>
              <w:t>489773587772</w:t>
            </w:r>
            <w:r>
              <w:rPr>
                <w:rFonts w:hint="eastAsia" w:ascii="宋体" w:hAnsi="宋体" w:cs="宋体"/>
                <w:szCs w:val="21"/>
              </w:rPr>
              <w:t xml:space="preserve">                          </w:t>
            </w:r>
          </w:p>
          <w:p w14:paraId="1B9CFB4B">
            <w:pPr>
              <w:adjustRightInd w:val="0"/>
              <w:spacing w:line="360" w:lineRule="auto"/>
              <w:ind w:firstLine="420" w:firstLineChars="200"/>
              <w:rPr>
                <w:rFonts w:ascii="宋体" w:hAnsi="宋体"/>
                <w:szCs w:val="21"/>
              </w:rPr>
            </w:pPr>
            <w:r>
              <w:rPr>
                <w:rFonts w:hint="eastAsia" w:ascii="宋体" w:hAnsi="宋体" w:cs="宋体"/>
                <w:szCs w:val="21"/>
              </w:rPr>
              <w:t>税号：</w:t>
            </w:r>
            <w:r>
              <w:rPr>
                <w:rFonts w:hint="eastAsia" w:ascii="宋体" w:hAnsi="宋体" w:cs="宋体"/>
                <w:bCs/>
                <w:szCs w:val="21"/>
              </w:rPr>
              <w:t>52320000509200179F</w:t>
            </w:r>
            <w:r>
              <w:rPr>
                <w:rFonts w:hint="eastAsia" w:ascii="宋体" w:hAnsi="宋体" w:cs="宋体"/>
                <w:szCs w:val="21"/>
              </w:rPr>
              <w:t xml:space="preserve">                    </w:t>
            </w:r>
          </w:p>
          <w:p w14:paraId="70613FA3">
            <w:pPr>
              <w:adjustRightInd w:val="0"/>
              <w:spacing w:line="360" w:lineRule="auto"/>
              <w:ind w:firstLine="420" w:firstLineChars="200"/>
              <w:rPr>
                <w:rFonts w:ascii="宋体" w:hAnsi="宋体"/>
                <w:szCs w:val="21"/>
              </w:rPr>
            </w:pPr>
            <w:r>
              <w:rPr>
                <w:rFonts w:hint="eastAsia" w:ascii="宋体" w:hAnsi="宋体" w:cs="宋体"/>
                <w:szCs w:val="21"/>
              </w:rPr>
              <w:t xml:space="preserve">电话：0514-89716081                         </w:t>
            </w:r>
          </w:p>
          <w:p w14:paraId="5DD356C9">
            <w:pPr>
              <w:adjustRightInd w:val="0"/>
              <w:spacing w:line="360" w:lineRule="auto"/>
              <w:ind w:firstLine="420" w:firstLineChars="200"/>
              <w:rPr>
                <w:rFonts w:ascii="宋体" w:hAnsi="宋体" w:cs="宋体"/>
                <w:szCs w:val="21"/>
              </w:rPr>
            </w:pPr>
            <w:r>
              <w:rPr>
                <w:rFonts w:hint="eastAsia" w:ascii="宋体" w:hAnsi="宋体" w:cs="宋体"/>
                <w:szCs w:val="21"/>
              </w:rPr>
              <w:t>签约日期（即合同生效日期）：  年   月  日</w:t>
            </w:r>
          </w:p>
        </w:tc>
        <w:tc>
          <w:tcPr>
            <w:tcW w:w="3770" w:type="dxa"/>
          </w:tcPr>
          <w:p w14:paraId="0FB53F8E">
            <w:pPr>
              <w:adjustRightInd w:val="0"/>
              <w:spacing w:line="360" w:lineRule="auto"/>
              <w:ind w:firstLine="420" w:firstLineChars="200"/>
              <w:rPr>
                <w:rFonts w:ascii="宋体" w:hAnsi="宋体"/>
                <w:szCs w:val="21"/>
              </w:rPr>
            </w:pPr>
            <w:r>
              <w:rPr>
                <w:rFonts w:hint="eastAsia" w:ascii="宋体" w:hAnsi="宋体" w:cs="宋体"/>
                <w:szCs w:val="21"/>
              </w:rPr>
              <w:t>乙方</w:t>
            </w:r>
          </w:p>
          <w:p w14:paraId="3753D898">
            <w:pPr>
              <w:adjustRightInd w:val="0"/>
              <w:spacing w:line="360" w:lineRule="auto"/>
              <w:ind w:firstLine="420" w:firstLineChars="200"/>
              <w:rPr>
                <w:rFonts w:ascii="宋体" w:hAnsi="宋体" w:cs="宋体"/>
                <w:szCs w:val="21"/>
              </w:rPr>
            </w:pPr>
            <w:r>
              <w:rPr>
                <w:rFonts w:hint="eastAsia" w:ascii="宋体" w:hAnsi="宋体" w:cs="宋体"/>
                <w:szCs w:val="21"/>
              </w:rPr>
              <w:t>单位名称：</w:t>
            </w:r>
          </w:p>
          <w:p w14:paraId="26A906ED">
            <w:pPr>
              <w:adjustRightInd w:val="0"/>
              <w:spacing w:line="360" w:lineRule="auto"/>
              <w:ind w:firstLine="420" w:firstLineChars="200"/>
              <w:rPr>
                <w:rFonts w:ascii="宋体" w:hAnsi="宋体"/>
                <w:szCs w:val="21"/>
              </w:rPr>
            </w:pPr>
            <w:r>
              <w:rPr>
                <w:rFonts w:hint="eastAsia" w:ascii="宋体" w:hAnsi="宋体" w:cs="宋体"/>
                <w:szCs w:val="21"/>
              </w:rPr>
              <w:t>单位地址：</w:t>
            </w:r>
            <w:r>
              <w:rPr>
                <w:rFonts w:ascii="宋体" w:hAnsi="宋体"/>
                <w:szCs w:val="21"/>
              </w:rPr>
              <w:t xml:space="preserve"> </w:t>
            </w:r>
          </w:p>
          <w:p w14:paraId="3D7B856B">
            <w:pPr>
              <w:adjustRightInd w:val="0"/>
              <w:spacing w:line="360" w:lineRule="auto"/>
              <w:ind w:firstLine="420" w:firstLineChars="200"/>
              <w:rPr>
                <w:rFonts w:ascii="宋体" w:hAnsi="宋体"/>
                <w:szCs w:val="21"/>
              </w:rPr>
            </w:pPr>
            <w:r>
              <w:rPr>
                <w:rFonts w:hint="eastAsia" w:ascii="宋体" w:hAnsi="宋体" w:cs="宋体"/>
                <w:szCs w:val="21"/>
              </w:rPr>
              <w:t>法定代表人：</w:t>
            </w:r>
            <w:r>
              <w:rPr>
                <w:rFonts w:ascii="宋体" w:hAnsi="宋体"/>
                <w:szCs w:val="21"/>
              </w:rPr>
              <w:t xml:space="preserve"> </w:t>
            </w:r>
          </w:p>
          <w:p w14:paraId="46BA331C">
            <w:pPr>
              <w:adjustRightInd w:val="0"/>
              <w:spacing w:line="360" w:lineRule="auto"/>
              <w:ind w:firstLine="420" w:firstLineChars="200"/>
              <w:rPr>
                <w:rFonts w:ascii="宋体" w:hAnsi="宋体"/>
                <w:szCs w:val="21"/>
              </w:rPr>
            </w:pPr>
            <w:r>
              <w:rPr>
                <w:rFonts w:hint="eastAsia" w:ascii="宋体" w:hAnsi="宋体" w:cs="宋体"/>
                <w:szCs w:val="21"/>
              </w:rPr>
              <w:t>委托代理人（签字）：</w:t>
            </w:r>
          </w:p>
          <w:p w14:paraId="70479FD2">
            <w:pPr>
              <w:adjustRightInd w:val="0"/>
              <w:spacing w:line="360" w:lineRule="auto"/>
              <w:ind w:firstLine="420" w:firstLineChars="200"/>
              <w:rPr>
                <w:rFonts w:ascii="宋体" w:hAnsi="宋体"/>
                <w:szCs w:val="21"/>
              </w:rPr>
            </w:pPr>
            <w:r>
              <w:rPr>
                <w:rFonts w:hint="eastAsia" w:ascii="宋体" w:hAnsi="宋体" w:cs="宋体"/>
                <w:szCs w:val="21"/>
              </w:rPr>
              <w:t xml:space="preserve">联系电话： </w:t>
            </w:r>
          </w:p>
          <w:p w14:paraId="06CB35A7">
            <w:pPr>
              <w:adjustRightInd w:val="0"/>
              <w:spacing w:line="360" w:lineRule="auto"/>
              <w:ind w:firstLine="420" w:firstLineChars="200"/>
              <w:rPr>
                <w:rFonts w:ascii="宋体" w:hAnsi="宋体"/>
                <w:szCs w:val="21"/>
              </w:rPr>
            </w:pPr>
            <w:r>
              <w:rPr>
                <w:rFonts w:hint="eastAsia" w:ascii="宋体" w:hAnsi="宋体" w:cs="宋体"/>
                <w:szCs w:val="21"/>
              </w:rPr>
              <w:t xml:space="preserve">开户银行： </w:t>
            </w:r>
          </w:p>
          <w:p w14:paraId="3CD5EC9C">
            <w:pPr>
              <w:adjustRightInd w:val="0"/>
              <w:spacing w:line="360" w:lineRule="auto"/>
              <w:ind w:firstLine="420" w:firstLineChars="200"/>
              <w:rPr>
                <w:rFonts w:ascii="宋体" w:hAnsi="宋体"/>
                <w:szCs w:val="21"/>
              </w:rPr>
            </w:pPr>
            <w:r>
              <w:rPr>
                <w:rFonts w:hint="eastAsia" w:ascii="宋体" w:hAnsi="宋体" w:cs="宋体"/>
                <w:szCs w:val="21"/>
              </w:rPr>
              <w:t xml:space="preserve">户名： </w:t>
            </w:r>
          </w:p>
          <w:p w14:paraId="75E2E533">
            <w:pPr>
              <w:adjustRightInd w:val="0"/>
              <w:spacing w:line="360" w:lineRule="auto"/>
              <w:ind w:firstLine="420" w:firstLineChars="200"/>
              <w:rPr>
                <w:rFonts w:ascii="宋体" w:hAnsi="宋体"/>
                <w:szCs w:val="21"/>
              </w:rPr>
            </w:pPr>
            <w:r>
              <w:rPr>
                <w:rFonts w:hint="eastAsia" w:ascii="宋体" w:hAnsi="宋体" w:cs="宋体"/>
                <w:szCs w:val="21"/>
              </w:rPr>
              <w:t xml:space="preserve">账号： </w:t>
            </w:r>
          </w:p>
          <w:p w14:paraId="1C7FCF23">
            <w:pPr>
              <w:adjustRightInd w:val="0"/>
              <w:spacing w:line="360" w:lineRule="auto"/>
              <w:ind w:firstLine="420" w:firstLineChars="200"/>
              <w:rPr>
                <w:rFonts w:ascii="宋体" w:hAnsi="宋体"/>
                <w:szCs w:val="21"/>
              </w:rPr>
            </w:pPr>
            <w:r>
              <w:rPr>
                <w:rFonts w:hint="eastAsia" w:ascii="宋体" w:hAnsi="宋体" w:cs="宋体"/>
                <w:szCs w:val="21"/>
              </w:rPr>
              <w:t xml:space="preserve">行号： </w:t>
            </w:r>
          </w:p>
          <w:p w14:paraId="6E3A440F">
            <w:pPr>
              <w:adjustRightInd w:val="0"/>
              <w:spacing w:line="360" w:lineRule="auto"/>
              <w:ind w:firstLine="420" w:firstLineChars="200"/>
              <w:rPr>
                <w:rFonts w:ascii="宋体" w:hAnsi="宋体"/>
                <w:szCs w:val="21"/>
              </w:rPr>
            </w:pPr>
            <w:r>
              <w:rPr>
                <w:rFonts w:hint="eastAsia" w:ascii="宋体" w:hAnsi="宋体" w:cs="宋体"/>
                <w:szCs w:val="21"/>
              </w:rPr>
              <w:t>项目联系人：</w:t>
            </w:r>
            <w:r>
              <w:rPr>
                <w:rFonts w:ascii="宋体" w:hAnsi="宋体"/>
                <w:szCs w:val="21"/>
              </w:rPr>
              <w:t xml:space="preserve"> </w:t>
            </w:r>
          </w:p>
          <w:p w14:paraId="4C51E531">
            <w:pPr>
              <w:adjustRightInd w:val="0"/>
              <w:spacing w:line="360" w:lineRule="auto"/>
              <w:ind w:firstLine="420" w:firstLineChars="200"/>
              <w:rPr>
                <w:rFonts w:ascii="宋体" w:hAnsi="宋体" w:cs="宋体"/>
                <w:szCs w:val="21"/>
              </w:rPr>
            </w:pPr>
            <w:r>
              <w:rPr>
                <w:rFonts w:hint="eastAsia" w:ascii="宋体" w:hAnsi="宋体" w:cs="宋体"/>
                <w:szCs w:val="21"/>
              </w:rPr>
              <w:t>联系电话：</w:t>
            </w:r>
          </w:p>
        </w:tc>
      </w:tr>
    </w:tbl>
    <w:p w14:paraId="2C9810D7">
      <w:pPr>
        <w:rPr>
          <w:rFonts w:ascii="宋体" w:hAnsi="宋体" w:cs="宋体"/>
          <w:b/>
          <w:sz w:val="28"/>
          <w:szCs w:val="28"/>
          <w:lang w:val="zh-CN"/>
        </w:rPr>
      </w:pPr>
      <w:r>
        <w:rPr>
          <w:rFonts w:hint="eastAsia" w:ascii="宋体" w:hAnsi="宋体" w:cs="宋体"/>
          <w:b/>
          <w:sz w:val="28"/>
          <w:szCs w:val="28"/>
          <w:lang w:val="zh-CN"/>
        </w:rPr>
        <w:br w:type="page"/>
      </w:r>
    </w:p>
    <w:p w14:paraId="60CAD2A8">
      <w:pPr>
        <w:spacing w:line="360" w:lineRule="auto"/>
        <w:jc w:val="center"/>
        <w:outlineLvl w:val="0"/>
        <w:rPr>
          <w:rFonts w:ascii="宋体" w:hAnsi="宋体" w:cs="宋体"/>
          <w:b/>
          <w:sz w:val="28"/>
          <w:szCs w:val="28"/>
          <w:lang w:val="zh-CN"/>
        </w:rPr>
      </w:pPr>
      <w:r>
        <w:rPr>
          <w:rFonts w:hint="eastAsia" w:ascii="宋体" w:hAnsi="宋体" w:cs="宋体"/>
          <w:b/>
          <w:sz w:val="28"/>
          <w:szCs w:val="28"/>
          <w:lang w:val="zh-CN"/>
        </w:rPr>
        <w:t>第六章</w:t>
      </w:r>
      <w:r>
        <w:rPr>
          <w:rFonts w:hint="eastAsia" w:ascii="宋体" w:hAnsi="宋体" w:cs="宋体"/>
          <w:b/>
          <w:sz w:val="28"/>
          <w:szCs w:val="28"/>
        </w:rPr>
        <w:t xml:space="preserve">  </w:t>
      </w:r>
      <w:r>
        <w:rPr>
          <w:rFonts w:hint="eastAsia" w:ascii="宋体" w:hAnsi="宋体" w:cs="宋体"/>
          <w:b/>
          <w:sz w:val="28"/>
          <w:szCs w:val="28"/>
          <w:lang w:val="zh-CN"/>
        </w:rPr>
        <w:t>响应文件格式及附件</w:t>
      </w:r>
    </w:p>
    <w:p w14:paraId="60006CF7">
      <w:pPr>
        <w:spacing w:line="360" w:lineRule="auto"/>
        <w:ind w:firstLine="480" w:firstLineChars="200"/>
        <w:rPr>
          <w:rFonts w:ascii="宋体" w:hAnsi="宋体" w:cs="宋体"/>
          <w:sz w:val="24"/>
          <w:lang w:val="zh-CN"/>
        </w:rPr>
      </w:pPr>
      <w:r>
        <w:rPr>
          <w:rFonts w:hint="eastAsia" w:ascii="宋体" w:hAnsi="宋体" w:cs="宋体"/>
          <w:sz w:val="24"/>
          <w:lang w:val="zh-CN"/>
        </w:rPr>
        <w:t>注：</w:t>
      </w:r>
    </w:p>
    <w:p w14:paraId="0B613C31">
      <w:pPr>
        <w:spacing w:line="360" w:lineRule="auto"/>
        <w:ind w:firstLine="480" w:firstLineChars="200"/>
        <w:jc w:val="left"/>
        <w:rPr>
          <w:rFonts w:ascii="宋体" w:hAnsi="宋体" w:cs="宋体"/>
          <w:sz w:val="24"/>
          <w:lang w:val="zh-CN"/>
        </w:rPr>
      </w:pPr>
      <w:r>
        <w:rPr>
          <w:rFonts w:hint="eastAsia" w:ascii="宋体" w:hAnsi="宋体" w:cs="宋体"/>
          <w:sz w:val="24"/>
          <w:lang w:val="zh-CN"/>
        </w:rPr>
        <w:t>1.本部分内容仅提供格式参考。</w:t>
      </w:r>
    </w:p>
    <w:p w14:paraId="2C4ECBF7">
      <w:pPr>
        <w:spacing w:line="360" w:lineRule="auto"/>
        <w:ind w:firstLine="480" w:firstLineChars="200"/>
        <w:jc w:val="left"/>
        <w:rPr>
          <w:rFonts w:ascii="宋体" w:hAnsi="宋体" w:cs="宋体"/>
          <w:sz w:val="24"/>
          <w:lang w:val="zh-CN"/>
        </w:rPr>
      </w:pPr>
      <w:r>
        <w:rPr>
          <w:rFonts w:hint="eastAsia" w:ascii="宋体" w:hAnsi="宋体" w:cs="宋体"/>
          <w:sz w:val="24"/>
          <w:lang w:val="zh-CN"/>
        </w:rPr>
        <w:t>2.供应商应按照以下文件的要求格式、内容制作响应文件，并编制目录及页码，混乱的编排导致响应文件被误读或查找不到，后果由供应商承担。</w:t>
      </w:r>
    </w:p>
    <w:p w14:paraId="65F383FE">
      <w:pPr>
        <w:spacing w:line="360" w:lineRule="auto"/>
        <w:ind w:firstLine="480" w:firstLineChars="200"/>
        <w:jc w:val="left"/>
        <w:rPr>
          <w:rFonts w:ascii="宋体" w:hAnsi="宋体" w:cs="宋体"/>
          <w:sz w:val="24"/>
          <w:lang w:val="zh-CN"/>
        </w:rPr>
      </w:pPr>
      <w:r>
        <w:rPr>
          <w:rFonts w:hint="eastAsia" w:ascii="宋体" w:hAnsi="宋体" w:cs="宋体"/>
          <w:sz w:val="24"/>
          <w:lang w:val="zh-CN"/>
        </w:rPr>
        <w:t>3.所附表格中要求回答的全部问题和信息都必须正面回答。</w:t>
      </w:r>
    </w:p>
    <w:p w14:paraId="4A1B8921">
      <w:pPr>
        <w:spacing w:line="360" w:lineRule="auto"/>
        <w:ind w:firstLine="480" w:firstLineChars="200"/>
        <w:jc w:val="left"/>
        <w:rPr>
          <w:rFonts w:ascii="宋体" w:hAnsi="宋体" w:cs="宋体"/>
          <w:sz w:val="24"/>
          <w:lang w:val="zh-CN"/>
        </w:rPr>
      </w:pPr>
      <w:r>
        <w:rPr>
          <w:rFonts w:hint="eastAsia" w:ascii="宋体" w:hAnsi="宋体" w:cs="宋体"/>
          <w:sz w:val="24"/>
          <w:lang w:val="zh-CN"/>
        </w:rPr>
        <w:t>4.供应商提交的材料不予退还。</w:t>
      </w:r>
    </w:p>
    <w:p w14:paraId="1D68995F">
      <w:pPr>
        <w:spacing w:line="360" w:lineRule="auto"/>
        <w:ind w:firstLine="480" w:firstLineChars="200"/>
        <w:jc w:val="left"/>
        <w:rPr>
          <w:rFonts w:ascii="宋体" w:hAnsi="宋体" w:cs="宋体"/>
          <w:sz w:val="24"/>
          <w:lang w:val="zh-CN"/>
        </w:rPr>
      </w:pPr>
      <w:r>
        <w:rPr>
          <w:rFonts w:hint="eastAsia" w:ascii="宋体" w:hAnsi="宋体" w:cs="宋体"/>
          <w:sz w:val="24"/>
          <w:lang w:val="zh-CN"/>
        </w:rPr>
        <w:t>5.全部文件应按供应商须知以及前文中规定的语言和份数提交。</w:t>
      </w:r>
    </w:p>
    <w:p w14:paraId="50D097F2">
      <w:pPr>
        <w:rPr>
          <w:rFonts w:ascii="宋体" w:hAnsi="宋体" w:cs="宋体"/>
          <w:b/>
          <w:bCs/>
          <w:sz w:val="32"/>
          <w:szCs w:val="32"/>
          <w:lang w:val="zh-CN"/>
        </w:rPr>
      </w:pPr>
      <w:r>
        <w:rPr>
          <w:rFonts w:hint="eastAsia" w:ascii="宋体" w:hAnsi="宋体" w:cs="宋体"/>
          <w:b/>
          <w:bCs/>
          <w:sz w:val="32"/>
          <w:szCs w:val="32"/>
          <w:lang w:val="zh-CN"/>
        </w:rPr>
        <w:br w:type="page"/>
      </w:r>
    </w:p>
    <w:p w14:paraId="6D61EEDC">
      <w:pPr>
        <w:rPr>
          <w:rFonts w:ascii="宋体" w:hAnsi="宋体" w:cs="宋体"/>
          <w:b/>
          <w:sz w:val="72"/>
        </w:rPr>
      </w:pPr>
      <w:r>
        <w:rPr>
          <w:rFonts w:hint="eastAsia" w:ascii="宋体" w:hAnsi="宋体" w:cs="宋体"/>
          <w:b/>
          <w:bCs/>
          <w:sz w:val="32"/>
          <w:szCs w:val="32"/>
          <w:lang w:val="zh-CN"/>
        </w:rPr>
        <w:t>响应文件封面格式：</w:t>
      </w:r>
    </w:p>
    <w:p w14:paraId="611566DB">
      <w:pPr>
        <w:jc w:val="right"/>
        <w:rPr>
          <w:rFonts w:ascii="宋体" w:hAnsi="宋体" w:cs="宋体"/>
          <w:b/>
          <w:sz w:val="72"/>
        </w:rPr>
      </w:pPr>
      <w:r>
        <w:rPr>
          <w:rFonts w:hint="eastAsia" w:ascii="宋体" w:hAnsi="宋体" w:cs="宋体"/>
          <w:b/>
          <w:sz w:val="48"/>
          <w:szCs w:val="20"/>
        </w:rPr>
        <w:t>正本/副本</w:t>
      </w:r>
    </w:p>
    <w:p w14:paraId="0D17BFFF">
      <w:pPr>
        <w:jc w:val="center"/>
        <w:rPr>
          <w:rFonts w:ascii="宋体" w:hAnsi="宋体" w:cs="宋体"/>
          <w:b/>
          <w:sz w:val="72"/>
        </w:rPr>
      </w:pPr>
    </w:p>
    <w:p w14:paraId="632D4458">
      <w:pPr>
        <w:jc w:val="center"/>
        <w:rPr>
          <w:rFonts w:ascii="宋体" w:hAnsi="宋体" w:cs="宋体"/>
          <w:b/>
          <w:sz w:val="72"/>
        </w:rPr>
      </w:pPr>
    </w:p>
    <w:p w14:paraId="5AA3D256">
      <w:pPr>
        <w:jc w:val="center"/>
        <w:rPr>
          <w:rFonts w:ascii="宋体" w:hAnsi="宋体" w:cs="宋体"/>
          <w:b/>
          <w:sz w:val="72"/>
        </w:rPr>
      </w:pPr>
    </w:p>
    <w:p w14:paraId="59C91C6F">
      <w:pPr>
        <w:jc w:val="center"/>
        <w:rPr>
          <w:rFonts w:ascii="宋体" w:hAnsi="宋体" w:cs="宋体"/>
          <w:b/>
          <w:sz w:val="72"/>
        </w:rPr>
      </w:pPr>
      <w:r>
        <w:rPr>
          <w:rFonts w:hint="eastAsia" w:ascii="宋体" w:hAnsi="宋体" w:cs="宋体"/>
          <w:b/>
          <w:sz w:val="72"/>
        </w:rPr>
        <w:t>响  应  文  件</w:t>
      </w:r>
    </w:p>
    <w:p w14:paraId="1354BD72">
      <w:pPr>
        <w:ind w:firstLine="3708"/>
        <w:rPr>
          <w:rFonts w:ascii="宋体" w:hAnsi="宋体" w:cs="宋体"/>
          <w:b/>
          <w:sz w:val="36"/>
        </w:rPr>
      </w:pPr>
    </w:p>
    <w:p w14:paraId="34F48034">
      <w:pPr>
        <w:jc w:val="center"/>
        <w:rPr>
          <w:rFonts w:ascii="宋体" w:hAnsi="宋体" w:cs="宋体"/>
          <w:b/>
          <w:sz w:val="72"/>
        </w:rPr>
      </w:pPr>
    </w:p>
    <w:p w14:paraId="22E710CD">
      <w:pPr>
        <w:jc w:val="center"/>
        <w:rPr>
          <w:rFonts w:ascii="宋体" w:hAnsi="宋体" w:cs="宋体"/>
          <w:b/>
          <w:sz w:val="36"/>
        </w:rPr>
      </w:pPr>
    </w:p>
    <w:p w14:paraId="157C4E02">
      <w:pPr>
        <w:jc w:val="center"/>
        <w:rPr>
          <w:rFonts w:ascii="宋体" w:hAnsi="宋体" w:cs="宋体"/>
          <w:b/>
          <w:sz w:val="36"/>
        </w:rPr>
      </w:pPr>
    </w:p>
    <w:p w14:paraId="5CC96BC8">
      <w:pPr>
        <w:jc w:val="center"/>
        <w:rPr>
          <w:rFonts w:ascii="宋体" w:hAnsi="宋体" w:cs="宋体"/>
          <w:b/>
          <w:sz w:val="36"/>
        </w:rPr>
      </w:pPr>
    </w:p>
    <w:p w14:paraId="3638B551">
      <w:pPr>
        <w:ind w:firstLine="1084"/>
        <w:rPr>
          <w:rFonts w:ascii="宋体" w:hAnsi="宋体" w:cs="宋体"/>
          <w:b/>
          <w:sz w:val="36"/>
        </w:rPr>
      </w:pPr>
      <w:r>
        <w:rPr>
          <w:rFonts w:hint="eastAsia" w:ascii="宋体" w:hAnsi="宋体" w:cs="宋体"/>
          <w:b/>
          <w:sz w:val="36"/>
        </w:rPr>
        <w:t xml:space="preserve">项目编号： </w:t>
      </w:r>
    </w:p>
    <w:p w14:paraId="3890C037">
      <w:pPr>
        <w:ind w:firstLine="1084"/>
        <w:rPr>
          <w:rFonts w:ascii="宋体" w:hAnsi="宋体" w:cs="宋体"/>
          <w:b/>
          <w:sz w:val="36"/>
        </w:rPr>
      </w:pPr>
      <w:r>
        <w:rPr>
          <w:rFonts w:hint="eastAsia" w:ascii="宋体" w:hAnsi="宋体" w:cs="宋体"/>
          <w:b/>
          <w:sz w:val="36"/>
        </w:rPr>
        <w:t xml:space="preserve">项目名称： </w:t>
      </w:r>
    </w:p>
    <w:p w14:paraId="242AC504">
      <w:pPr>
        <w:ind w:firstLine="1084"/>
        <w:rPr>
          <w:rFonts w:ascii="宋体" w:hAnsi="宋体" w:cs="宋体"/>
          <w:b/>
          <w:sz w:val="36"/>
        </w:rPr>
      </w:pPr>
    </w:p>
    <w:p w14:paraId="17D4E56D">
      <w:pPr>
        <w:ind w:firstLine="1084"/>
        <w:rPr>
          <w:rFonts w:ascii="宋体" w:hAnsi="宋体" w:cs="宋体"/>
          <w:b/>
          <w:sz w:val="36"/>
        </w:rPr>
      </w:pPr>
    </w:p>
    <w:p w14:paraId="5D723833">
      <w:pPr>
        <w:ind w:firstLine="1084"/>
        <w:rPr>
          <w:rFonts w:ascii="宋体" w:hAnsi="宋体" w:cs="宋体"/>
          <w:b/>
          <w:sz w:val="36"/>
        </w:rPr>
      </w:pPr>
    </w:p>
    <w:p w14:paraId="01E2DFD0">
      <w:pPr>
        <w:ind w:firstLine="1084"/>
        <w:rPr>
          <w:rFonts w:ascii="宋体" w:hAnsi="宋体" w:cs="宋体"/>
          <w:b/>
          <w:sz w:val="36"/>
        </w:rPr>
      </w:pPr>
    </w:p>
    <w:p w14:paraId="77B0D586">
      <w:pPr>
        <w:ind w:firstLine="1084"/>
        <w:rPr>
          <w:rFonts w:ascii="宋体" w:hAnsi="宋体" w:cs="宋体"/>
          <w:b/>
          <w:sz w:val="36"/>
        </w:rPr>
      </w:pPr>
    </w:p>
    <w:p w14:paraId="55FC60E7">
      <w:pPr>
        <w:ind w:firstLine="1084"/>
        <w:rPr>
          <w:rFonts w:ascii="宋体" w:hAnsi="宋体" w:cs="宋体"/>
          <w:b/>
          <w:sz w:val="36"/>
        </w:rPr>
      </w:pPr>
    </w:p>
    <w:p w14:paraId="4E1E6BFD">
      <w:pPr>
        <w:ind w:firstLine="1084"/>
        <w:rPr>
          <w:rFonts w:ascii="宋体" w:hAnsi="宋体" w:cs="宋体"/>
          <w:b/>
          <w:sz w:val="36"/>
        </w:rPr>
      </w:pPr>
    </w:p>
    <w:p w14:paraId="00219C3C">
      <w:pPr>
        <w:ind w:firstLine="1084"/>
        <w:rPr>
          <w:rFonts w:ascii="宋体" w:hAnsi="宋体" w:cs="宋体"/>
          <w:b/>
          <w:sz w:val="36"/>
        </w:rPr>
      </w:pPr>
      <w:r>
        <w:rPr>
          <w:rFonts w:hint="eastAsia" w:ascii="宋体" w:hAnsi="宋体" w:cs="宋体"/>
          <w:b/>
          <w:sz w:val="36"/>
        </w:rPr>
        <w:t>供应商名称：</w:t>
      </w:r>
    </w:p>
    <w:p w14:paraId="24735CAD">
      <w:pPr>
        <w:ind w:firstLine="1084"/>
        <w:rPr>
          <w:rFonts w:ascii="宋体" w:hAnsi="宋体" w:cs="宋体"/>
          <w:b/>
          <w:sz w:val="36"/>
        </w:rPr>
      </w:pPr>
      <w:r>
        <w:rPr>
          <w:rFonts w:hint="eastAsia" w:ascii="宋体" w:hAnsi="宋体" w:cs="宋体"/>
          <w:b/>
          <w:sz w:val="36"/>
        </w:rPr>
        <w:t>日      期：</w:t>
      </w:r>
    </w:p>
    <w:p w14:paraId="78B71922">
      <w:pPr>
        <w:jc w:val="center"/>
        <w:rPr>
          <w:rFonts w:ascii="宋体" w:hAnsi="宋体" w:cs="宋体"/>
          <w:b/>
          <w:bCs/>
          <w:sz w:val="44"/>
        </w:rPr>
      </w:pPr>
    </w:p>
    <w:p w14:paraId="234C3619">
      <w:pPr>
        <w:jc w:val="center"/>
        <w:rPr>
          <w:rFonts w:ascii="宋体" w:hAnsi="宋体" w:cs="宋体"/>
          <w:b/>
          <w:sz w:val="30"/>
          <w:szCs w:val="30"/>
        </w:rPr>
      </w:pPr>
      <w:r>
        <w:rPr>
          <w:rFonts w:hint="eastAsia" w:ascii="宋体" w:hAnsi="宋体" w:cs="宋体"/>
          <w:b/>
          <w:bCs/>
          <w:sz w:val="36"/>
        </w:rPr>
        <w:br w:type="page" w:clear="all"/>
      </w:r>
      <w:bookmarkStart w:id="4" w:name="_Toc405408732"/>
      <w:r>
        <w:rPr>
          <w:rFonts w:hint="eastAsia" w:ascii="宋体" w:hAnsi="宋体" w:cs="宋体"/>
          <w:b/>
          <w:sz w:val="30"/>
          <w:szCs w:val="30"/>
        </w:rPr>
        <w:t>评分索引表</w:t>
      </w:r>
    </w:p>
    <w:tbl>
      <w:tblPr>
        <w:tblStyle w:val="47"/>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07"/>
        <w:gridCol w:w="3720"/>
      </w:tblGrid>
      <w:tr w14:paraId="248D3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068" w:type="pct"/>
            <w:vAlign w:val="center"/>
          </w:tcPr>
          <w:p w14:paraId="3DC42397">
            <w:pPr>
              <w:jc w:val="center"/>
              <w:rPr>
                <w:rFonts w:ascii="宋体" w:hAnsi="宋体" w:cs="宋体"/>
                <w:b/>
                <w:lang w:bidi="en-US"/>
              </w:rPr>
            </w:pPr>
            <w:r>
              <w:rPr>
                <w:rFonts w:hint="eastAsia" w:ascii="宋体" w:hAnsi="宋体" w:cs="宋体"/>
                <w:b/>
                <w:lang w:bidi="en-US"/>
              </w:rPr>
              <w:t>评分项目</w:t>
            </w:r>
          </w:p>
        </w:tc>
        <w:tc>
          <w:tcPr>
            <w:tcW w:w="1931" w:type="pct"/>
            <w:vAlign w:val="center"/>
          </w:tcPr>
          <w:p w14:paraId="28962EC6">
            <w:pPr>
              <w:jc w:val="center"/>
              <w:rPr>
                <w:rFonts w:ascii="宋体" w:hAnsi="宋体" w:cs="宋体"/>
                <w:b/>
                <w:lang w:bidi="en-US"/>
              </w:rPr>
            </w:pPr>
            <w:r>
              <w:rPr>
                <w:rFonts w:hint="eastAsia" w:ascii="宋体" w:hAnsi="宋体" w:cs="宋体"/>
                <w:b/>
                <w:lang w:bidi="en-US"/>
              </w:rPr>
              <w:t>在响应文件中的页码位置</w:t>
            </w:r>
          </w:p>
        </w:tc>
      </w:tr>
      <w:tr w14:paraId="6DB0A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068" w:type="pct"/>
            <w:vAlign w:val="center"/>
          </w:tcPr>
          <w:p w14:paraId="5785D9E5">
            <w:pPr>
              <w:rPr>
                <w:rFonts w:ascii="宋体" w:hAnsi="宋体" w:cs="宋体"/>
                <w:b/>
                <w:lang w:bidi="en-US"/>
              </w:rPr>
            </w:pPr>
          </w:p>
        </w:tc>
        <w:tc>
          <w:tcPr>
            <w:tcW w:w="1931" w:type="pct"/>
            <w:vAlign w:val="center"/>
          </w:tcPr>
          <w:p w14:paraId="45050C2B">
            <w:pPr>
              <w:rPr>
                <w:rFonts w:ascii="宋体" w:hAnsi="宋体" w:cs="宋体"/>
                <w:b/>
                <w:lang w:bidi="en-US"/>
              </w:rPr>
            </w:pPr>
          </w:p>
        </w:tc>
      </w:tr>
      <w:tr w14:paraId="142F3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5000" w:type="pct"/>
            <w:gridSpan w:val="2"/>
            <w:vAlign w:val="center"/>
          </w:tcPr>
          <w:p w14:paraId="2E4E7D72">
            <w:pPr>
              <w:rPr>
                <w:rFonts w:ascii="宋体" w:hAnsi="宋体" w:cs="宋体"/>
                <w:b/>
                <w:lang w:bidi="en-US"/>
              </w:rPr>
            </w:pPr>
          </w:p>
        </w:tc>
      </w:tr>
      <w:tr w14:paraId="43EC7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068" w:type="pct"/>
            <w:vAlign w:val="center"/>
          </w:tcPr>
          <w:p w14:paraId="7337B6E0">
            <w:pPr>
              <w:rPr>
                <w:rFonts w:ascii="宋体" w:hAnsi="宋体" w:cs="宋体"/>
                <w:b/>
                <w:lang w:bidi="en-US"/>
              </w:rPr>
            </w:pPr>
          </w:p>
        </w:tc>
        <w:tc>
          <w:tcPr>
            <w:tcW w:w="1931" w:type="pct"/>
            <w:vAlign w:val="center"/>
          </w:tcPr>
          <w:p w14:paraId="3B6F9D25">
            <w:pPr>
              <w:rPr>
                <w:rFonts w:ascii="宋体" w:hAnsi="宋体" w:cs="宋体"/>
                <w:b/>
                <w:lang w:bidi="en-US"/>
              </w:rPr>
            </w:pPr>
          </w:p>
        </w:tc>
      </w:tr>
      <w:tr w14:paraId="57648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068" w:type="pct"/>
            <w:vAlign w:val="center"/>
          </w:tcPr>
          <w:p w14:paraId="60EACAD8">
            <w:pPr>
              <w:rPr>
                <w:rFonts w:ascii="宋体" w:hAnsi="宋体" w:cs="宋体"/>
                <w:b/>
                <w:lang w:bidi="en-US"/>
              </w:rPr>
            </w:pPr>
          </w:p>
        </w:tc>
        <w:tc>
          <w:tcPr>
            <w:tcW w:w="1931" w:type="pct"/>
            <w:vAlign w:val="center"/>
          </w:tcPr>
          <w:p w14:paraId="2A74A181">
            <w:pPr>
              <w:rPr>
                <w:rFonts w:ascii="宋体" w:hAnsi="宋体" w:cs="宋体"/>
                <w:b/>
                <w:lang w:bidi="en-US"/>
              </w:rPr>
            </w:pPr>
          </w:p>
        </w:tc>
      </w:tr>
      <w:tr w14:paraId="094CD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068" w:type="pct"/>
            <w:vAlign w:val="center"/>
          </w:tcPr>
          <w:p w14:paraId="47A6BD68">
            <w:pPr>
              <w:rPr>
                <w:rFonts w:ascii="宋体" w:hAnsi="宋体" w:cs="宋体"/>
                <w:b/>
                <w:lang w:bidi="en-US"/>
              </w:rPr>
            </w:pPr>
          </w:p>
        </w:tc>
        <w:tc>
          <w:tcPr>
            <w:tcW w:w="1931" w:type="pct"/>
            <w:vAlign w:val="center"/>
          </w:tcPr>
          <w:p w14:paraId="62BD0A9B">
            <w:pPr>
              <w:rPr>
                <w:rFonts w:ascii="宋体" w:hAnsi="宋体" w:cs="宋体"/>
                <w:b/>
                <w:lang w:bidi="en-US"/>
              </w:rPr>
            </w:pPr>
          </w:p>
        </w:tc>
      </w:tr>
      <w:tr w14:paraId="45800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068" w:type="pct"/>
            <w:vAlign w:val="center"/>
          </w:tcPr>
          <w:p w14:paraId="63ABEB28">
            <w:pPr>
              <w:rPr>
                <w:rFonts w:ascii="宋体" w:hAnsi="宋体" w:cs="宋体"/>
                <w:b/>
                <w:lang w:bidi="en-US"/>
              </w:rPr>
            </w:pPr>
          </w:p>
        </w:tc>
        <w:tc>
          <w:tcPr>
            <w:tcW w:w="1931" w:type="pct"/>
            <w:vAlign w:val="center"/>
          </w:tcPr>
          <w:p w14:paraId="556958CA">
            <w:pPr>
              <w:rPr>
                <w:rFonts w:ascii="宋体" w:hAnsi="宋体" w:cs="宋体"/>
                <w:b/>
                <w:lang w:bidi="en-US"/>
              </w:rPr>
            </w:pPr>
          </w:p>
        </w:tc>
      </w:tr>
      <w:tr w14:paraId="4018F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068" w:type="pct"/>
            <w:vAlign w:val="center"/>
          </w:tcPr>
          <w:p w14:paraId="5CDFA4B3">
            <w:pPr>
              <w:rPr>
                <w:rFonts w:ascii="宋体" w:hAnsi="宋体" w:cs="宋体"/>
                <w:b/>
                <w:lang w:bidi="en-US"/>
              </w:rPr>
            </w:pPr>
          </w:p>
        </w:tc>
        <w:tc>
          <w:tcPr>
            <w:tcW w:w="1931" w:type="pct"/>
            <w:vAlign w:val="center"/>
          </w:tcPr>
          <w:p w14:paraId="0ABE42E5">
            <w:pPr>
              <w:rPr>
                <w:rFonts w:ascii="宋体" w:hAnsi="宋体" w:cs="宋体"/>
                <w:b/>
                <w:lang w:bidi="en-US"/>
              </w:rPr>
            </w:pPr>
          </w:p>
        </w:tc>
      </w:tr>
      <w:tr w14:paraId="66986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5000" w:type="pct"/>
            <w:gridSpan w:val="2"/>
            <w:vAlign w:val="center"/>
          </w:tcPr>
          <w:p w14:paraId="18288C3B">
            <w:pPr>
              <w:rPr>
                <w:rFonts w:ascii="宋体" w:hAnsi="宋体" w:cs="宋体"/>
                <w:b/>
                <w:lang w:bidi="en-US"/>
              </w:rPr>
            </w:pPr>
          </w:p>
        </w:tc>
      </w:tr>
      <w:tr w14:paraId="63A20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068" w:type="pct"/>
            <w:vAlign w:val="center"/>
          </w:tcPr>
          <w:p w14:paraId="7F774CE6">
            <w:pPr>
              <w:rPr>
                <w:rFonts w:ascii="宋体" w:hAnsi="宋体" w:cs="宋体"/>
                <w:b/>
                <w:lang w:bidi="en-US"/>
              </w:rPr>
            </w:pPr>
          </w:p>
        </w:tc>
        <w:tc>
          <w:tcPr>
            <w:tcW w:w="1931" w:type="pct"/>
            <w:vAlign w:val="center"/>
          </w:tcPr>
          <w:p w14:paraId="1ECE1901">
            <w:pPr>
              <w:rPr>
                <w:rFonts w:ascii="宋体" w:hAnsi="宋体" w:cs="宋体"/>
                <w:b/>
                <w:lang w:bidi="en-US"/>
              </w:rPr>
            </w:pPr>
          </w:p>
        </w:tc>
      </w:tr>
      <w:tr w14:paraId="0D0CB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068" w:type="pct"/>
            <w:vAlign w:val="center"/>
          </w:tcPr>
          <w:p w14:paraId="593A1E69">
            <w:pPr>
              <w:rPr>
                <w:rFonts w:ascii="宋体" w:hAnsi="宋体" w:cs="宋体"/>
                <w:b/>
                <w:lang w:bidi="en-US"/>
              </w:rPr>
            </w:pPr>
          </w:p>
        </w:tc>
        <w:tc>
          <w:tcPr>
            <w:tcW w:w="1931" w:type="pct"/>
            <w:vAlign w:val="center"/>
          </w:tcPr>
          <w:p w14:paraId="25AD867A">
            <w:pPr>
              <w:rPr>
                <w:rFonts w:ascii="宋体" w:hAnsi="宋体" w:cs="宋体"/>
                <w:b/>
                <w:lang w:bidi="en-US"/>
              </w:rPr>
            </w:pPr>
          </w:p>
        </w:tc>
      </w:tr>
      <w:tr w14:paraId="6D4EB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068" w:type="pct"/>
            <w:vAlign w:val="center"/>
          </w:tcPr>
          <w:p w14:paraId="3B19DA6D">
            <w:pPr>
              <w:rPr>
                <w:rFonts w:ascii="宋体" w:hAnsi="宋体" w:cs="宋体"/>
                <w:b/>
                <w:lang w:bidi="en-US"/>
              </w:rPr>
            </w:pPr>
          </w:p>
        </w:tc>
        <w:tc>
          <w:tcPr>
            <w:tcW w:w="1931" w:type="pct"/>
            <w:vAlign w:val="center"/>
          </w:tcPr>
          <w:p w14:paraId="69DD63E8">
            <w:pPr>
              <w:rPr>
                <w:rFonts w:ascii="宋体" w:hAnsi="宋体" w:cs="宋体"/>
                <w:b/>
                <w:lang w:bidi="en-US"/>
              </w:rPr>
            </w:pPr>
          </w:p>
        </w:tc>
      </w:tr>
      <w:tr w14:paraId="61066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068" w:type="pct"/>
            <w:vAlign w:val="center"/>
          </w:tcPr>
          <w:p w14:paraId="7F396433">
            <w:pPr>
              <w:rPr>
                <w:rFonts w:ascii="宋体" w:hAnsi="宋体" w:cs="宋体"/>
                <w:b/>
                <w:lang w:bidi="en-US"/>
              </w:rPr>
            </w:pPr>
          </w:p>
        </w:tc>
        <w:tc>
          <w:tcPr>
            <w:tcW w:w="1931" w:type="pct"/>
            <w:vAlign w:val="center"/>
          </w:tcPr>
          <w:p w14:paraId="57C5F9A1">
            <w:pPr>
              <w:rPr>
                <w:rFonts w:ascii="宋体" w:hAnsi="宋体" w:cs="宋体"/>
                <w:b/>
                <w:lang w:bidi="en-US"/>
              </w:rPr>
            </w:pPr>
          </w:p>
        </w:tc>
      </w:tr>
      <w:tr w14:paraId="3FBE0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068" w:type="pct"/>
            <w:vAlign w:val="center"/>
          </w:tcPr>
          <w:p w14:paraId="4EBBBD42">
            <w:pPr>
              <w:rPr>
                <w:rFonts w:ascii="宋体" w:hAnsi="宋体" w:cs="宋体"/>
                <w:b/>
                <w:lang w:bidi="en-US"/>
              </w:rPr>
            </w:pPr>
          </w:p>
        </w:tc>
        <w:tc>
          <w:tcPr>
            <w:tcW w:w="1931" w:type="pct"/>
            <w:vAlign w:val="center"/>
          </w:tcPr>
          <w:p w14:paraId="13585B94">
            <w:pPr>
              <w:rPr>
                <w:rFonts w:ascii="宋体" w:hAnsi="宋体" w:cs="宋体"/>
                <w:b/>
                <w:lang w:bidi="en-US"/>
              </w:rPr>
            </w:pPr>
          </w:p>
        </w:tc>
      </w:tr>
      <w:tr w14:paraId="62C68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5000" w:type="pct"/>
            <w:gridSpan w:val="2"/>
            <w:vAlign w:val="center"/>
          </w:tcPr>
          <w:p w14:paraId="77D2885E">
            <w:pPr>
              <w:rPr>
                <w:rFonts w:ascii="宋体" w:hAnsi="宋体" w:cs="宋体"/>
                <w:b/>
                <w:lang w:bidi="en-US"/>
              </w:rPr>
            </w:pPr>
          </w:p>
        </w:tc>
      </w:tr>
      <w:tr w14:paraId="17F81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068" w:type="pct"/>
            <w:vAlign w:val="center"/>
          </w:tcPr>
          <w:p w14:paraId="75402520">
            <w:pPr>
              <w:rPr>
                <w:rFonts w:ascii="宋体" w:hAnsi="宋体" w:cs="宋体"/>
                <w:b/>
                <w:lang w:bidi="en-US"/>
              </w:rPr>
            </w:pPr>
          </w:p>
        </w:tc>
        <w:tc>
          <w:tcPr>
            <w:tcW w:w="1931" w:type="pct"/>
            <w:vAlign w:val="center"/>
          </w:tcPr>
          <w:p w14:paraId="38DD2C45">
            <w:pPr>
              <w:rPr>
                <w:rFonts w:ascii="宋体" w:hAnsi="宋体" w:cs="宋体"/>
                <w:b/>
                <w:lang w:bidi="en-US"/>
              </w:rPr>
            </w:pPr>
          </w:p>
        </w:tc>
      </w:tr>
      <w:tr w14:paraId="42AAF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068" w:type="pct"/>
            <w:vAlign w:val="center"/>
          </w:tcPr>
          <w:p w14:paraId="24DA293C">
            <w:pPr>
              <w:rPr>
                <w:rFonts w:ascii="宋体" w:hAnsi="宋体" w:cs="宋体"/>
                <w:b/>
                <w:lang w:bidi="en-US"/>
              </w:rPr>
            </w:pPr>
          </w:p>
        </w:tc>
        <w:tc>
          <w:tcPr>
            <w:tcW w:w="1931" w:type="pct"/>
            <w:vAlign w:val="center"/>
          </w:tcPr>
          <w:p w14:paraId="606CA2B6">
            <w:pPr>
              <w:rPr>
                <w:rFonts w:ascii="宋体" w:hAnsi="宋体" w:cs="宋体"/>
                <w:b/>
                <w:lang w:bidi="en-US"/>
              </w:rPr>
            </w:pPr>
          </w:p>
        </w:tc>
      </w:tr>
      <w:tr w14:paraId="517CC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068" w:type="pct"/>
            <w:vAlign w:val="center"/>
          </w:tcPr>
          <w:p w14:paraId="33EAE1B0">
            <w:pPr>
              <w:rPr>
                <w:rFonts w:ascii="宋体" w:hAnsi="宋体" w:cs="宋体"/>
                <w:b/>
                <w:lang w:bidi="en-US"/>
              </w:rPr>
            </w:pPr>
          </w:p>
        </w:tc>
        <w:tc>
          <w:tcPr>
            <w:tcW w:w="1931" w:type="pct"/>
            <w:vAlign w:val="center"/>
          </w:tcPr>
          <w:p w14:paraId="54E0DCA0">
            <w:pPr>
              <w:rPr>
                <w:rFonts w:ascii="宋体" w:hAnsi="宋体" w:cs="宋体"/>
                <w:b/>
                <w:lang w:bidi="en-US"/>
              </w:rPr>
            </w:pPr>
          </w:p>
        </w:tc>
      </w:tr>
      <w:tr w14:paraId="7A592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5000" w:type="pct"/>
            <w:gridSpan w:val="2"/>
            <w:vAlign w:val="center"/>
          </w:tcPr>
          <w:p w14:paraId="3C21DE47">
            <w:pPr>
              <w:rPr>
                <w:rFonts w:ascii="宋体" w:hAnsi="宋体" w:cs="宋体"/>
                <w:b/>
                <w:lang w:bidi="en-US"/>
              </w:rPr>
            </w:pPr>
          </w:p>
        </w:tc>
      </w:tr>
      <w:tr w14:paraId="3C6B9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4" w:hRule="atLeast"/>
          <w:jc w:val="center"/>
        </w:trPr>
        <w:tc>
          <w:tcPr>
            <w:tcW w:w="3068" w:type="pct"/>
            <w:vAlign w:val="center"/>
          </w:tcPr>
          <w:p w14:paraId="4A623C62">
            <w:pPr>
              <w:rPr>
                <w:rFonts w:ascii="宋体" w:hAnsi="宋体" w:cs="宋体"/>
                <w:b/>
                <w:lang w:bidi="en-US"/>
              </w:rPr>
            </w:pPr>
          </w:p>
        </w:tc>
        <w:tc>
          <w:tcPr>
            <w:tcW w:w="1931" w:type="pct"/>
            <w:vAlign w:val="center"/>
          </w:tcPr>
          <w:p w14:paraId="35B3590A">
            <w:pPr>
              <w:rPr>
                <w:rFonts w:ascii="宋体" w:hAnsi="宋体" w:cs="宋体"/>
                <w:b/>
                <w:lang w:bidi="en-US"/>
              </w:rPr>
            </w:pPr>
          </w:p>
        </w:tc>
      </w:tr>
      <w:tr w14:paraId="5BE5E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068" w:type="pct"/>
            <w:tcBorders>
              <w:bottom w:val="single" w:color="auto" w:sz="4" w:space="0"/>
            </w:tcBorders>
            <w:vAlign w:val="center"/>
          </w:tcPr>
          <w:p w14:paraId="0739EA5A">
            <w:pPr>
              <w:rPr>
                <w:rFonts w:ascii="宋体" w:hAnsi="宋体" w:cs="宋体"/>
                <w:b/>
                <w:lang w:bidi="en-US"/>
              </w:rPr>
            </w:pPr>
          </w:p>
        </w:tc>
        <w:tc>
          <w:tcPr>
            <w:tcW w:w="1931" w:type="pct"/>
            <w:tcBorders>
              <w:bottom w:val="single" w:color="auto" w:sz="4" w:space="0"/>
            </w:tcBorders>
            <w:vAlign w:val="center"/>
          </w:tcPr>
          <w:p w14:paraId="53E0388A">
            <w:pPr>
              <w:rPr>
                <w:rFonts w:ascii="宋体" w:hAnsi="宋体" w:cs="宋体"/>
                <w:b/>
                <w:lang w:bidi="en-US"/>
              </w:rPr>
            </w:pPr>
          </w:p>
        </w:tc>
      </w:tr>
    </w:tbl>
    <w:p w14:paraId="1E1B9621">
      <w:pPr>
        <w:spacing w:line="360" w:lineRule="auto"/>
        <w:jc w:val="center"/>
        <w:rPr>
          <w:rFonts w:ascii="宋体" w:hAnsi="宋体" w:cs="宋体"/>
          <w:b/>
          <w:bCs/>
          <w:szCs w:val="21"/>
        </w:rPr>
      </w:pPr>
      <w:r>
        <w:rPr>
          <w:rFonts w:hint="eastAsia" w:ascii="宋体" w:hAnsi="宋体" w:cs="宋体"/>
          <w:b/>
          <w:bCs/>
          <w:sz w:val="36"/>
        </w:rPr>
        <w:br w:type="page" w:clear="all"/>
      </w:r>
      <w:bookmarkStart w:id="5" w:name="_Toc489655320"/>
      <w:r>
        <w:rPr>
          <w:rFonts w:hint="eastAsia" w:ascii="宋体" w:hAnsi="宋体" w:cs="宋体"/>
          <w:b/>
          <w:bCs/>
          <w:szCs w:val="21"/>
        </w:rPr>
        <w:t>响应文件主要目录</w:t>
      </w:r>
      <w:bookmarkEnd w:id="4"/>
      <w:bookmarkEnd w:id="5"/>
      <w:r>
        <w:rPr>
          <w:rFonts w:hint="eastAsia" w:ascii="宋体" w:hAnsi="宋体" w:cs="宋体"/>
          <w:b/>
          <w:bCs/>
          <w:szCs w:val="21"/>
        </w:rPr>
        <w:t>及相关证明材料格式、附件</w:t>
      </w:r>
    </w:p>
    <w:p w14:paraId="235B37B2">
      <w:pPr>
        <w:spacing w:line="360" w:lineRule="auto"/>
        <w:rPr>
          <w:rFonts w:ascii="宋体" w:hAnsi="宋体" w:cs="宋体"/>
          <w:szCs w:val="21"/>
        </w:rPr>
      </w:pPr>
    </w:p>
    <w:p w14:paraId="7D747AFB">
      <w:pPr>
        <w:spacing w:line="360" w:lineRule="auto"/>
        <w:jc w:val="center"/>
        <w:rPr>
          <w:rFonts w:ascii="宋体" w:hAnsi="宋体" w:cs="宋体"/>
          <w:szCs w:val="21"/>
        </w:rPr>
      </w:pPr>
      <w:r>
        <w:rPr>
          <w:rFonts w:hint="eastAsia" w:ascii="宋体" w:hAnsi="宋体" w:cs="宋体"/>
          <w:szCs w:val="21"/>
        </w:rPr>
        <w:t>（注：供应商根据附件编制响应文件并制作目录（须生成页码））</w:t>
      </w:r>
    </w:p>
    <w:p w14:paraId="789EEEC9">
      <w:pPr>
        <w:spacing w:line="360" w:lineRule="auto"/>
        <w:rPr>
          <w:rFonts w:ascii="宋体" w:hAnsi="宋体" w:cs="宋体"/>
          <w:szCs w:val="21"/>
        </w:rPr>
      </w:pPr>
    </w:p>
    <w:p w14:paraId="043B7BC0">
      <w:pPr>
        <w:spacing w:line="360" w:lineRule="auto"/>
        <w:rPr>
          <w:rFonts w:ascii="宋体" w:hAnsi="宋体" w:cs="宋体"/>
          <w:bCs/>
          <w:szCs w:val="21"/>
          <w:lang w:val="zh-CN"/>
        </w:rPr>
      </w:pPr>
      <w:r>
        <w:rPr>
          <w:rFonts w:hint="eastAsia" w:ascii="宋体" w:hAnsi="宋体" w:cs="宋体"/>
          <w:bCs/>
          <w:szCs w:val="21"/>
          <w:lang w:val="zh-CN"/>
        </w:rPr>
        <w:t>目录一、投标申请及声明</w:t>
      </w:r>
    </w:p>
    <w:p w14:paraId="7907296C">
      <w:pPr>
        <w:spacing w:line="360" w:lineRule="auto"/>
        <w:rPr>
          <w:rFonts w:ascii="宋体" w:hAnsi="宋体" w:cs="宋体"/>
          <w:bCs/>
          <w:szCs w:val="21"/>
          <w:lang w:val="zh-CN"/>
        </w:rPr>
      </w:pPr>
      <w:r>
        <w:rPr>
          <w:rFonts w:hint="eastAsia" w:ascii="宋体" w:hAnsi="宋体" w:cs="宋体"/>
          <w:bCs/>
          <w:szCs w:val="21"/>
          <w:lang w:val="zh-CN"/>
        </w:rPr>
        <w:t>目录二、法定代表人授权书</w:t>
      </w:r>
    </w:p>
    <w:p w14:paraId="22CD08AD">
      <w:pPr>
        <w:spacing w:line="360" w:lineRule="auto"/>
        <w:rPr>
          <w:rFonts w:ascii="宋体" w:hAnsi="宋体" w:cs="宋体"/>
          <w:bCs/>
          <w:szCs w:val="21"/>
          <w:lang w:val="zh-CN"/>
        </w:rPr>
      </w:pPr>
      <w:r>
        <w:rPr>
          <w:rFonts w:hint="eastAsia" w:ascii="宋体" w:hAnsi="宋体" w:cs="宋体"/>
          <w:bCs/>
          <w:szCs w:val="21"/>
          <w:lang w:val="zh-CN"/>
        </w:rPr>
        <w:t>目录三、开标一览表</w:t>
      </w:r>
    </w:p>
    <w:p w14:paraId="2ED292D1">
      <w:pPr>
        <w:spacing w:line="360" w:lineRule="auto"/>
        <w:rPr>
          <w:rFonts w:ascii="宋体" w:hAnsi="宋体" w:cs="宋体"/>
          <w:bCs/>
          <w:szCs w:val="21"/>
          <w:lang w:val="zh-CN"/>
        </w:rPr>
      </w:pPr>
      <w:r>
        <w:rPr>
          <w:rFonts w:hint="eastAsia" w:ascii="宋体" w:hAnsi="宋体" w:cs="宋体"/>
          <w:bCs/>
          <w:szCs w:val="21"/>
          <w:lang w:val="zh-CN"/>
        </w:rPr>
        <w:t>目录四、资格证明文件  资格性和符合性审查响应对照表</w:t>
      </w:r>
    </w:p>
    <w:p w14:paraId="5F5717B8">
      <w:pPr>
        <w:spacing w:line="360" w:lineRule="auto"/>
        <w:rPr>
          <w:rFonts w:ascii="宋体" w:hAnsi="宋体" w:cs="宋体"/>
          <w:bCs/>
          <w:szCs w:val="21"/>
          <w:lang w:val="zh-CN"/>
        </w:rPr>
      </w:pPr>
      <w:r>
        <w:rPr>
          <w:rFonts w:hint="eastAsia" w:ascii="宋体" w:hAnsi="宋体" w:cs="宋体"/>
          <w:bCs/>
          <w:szCs w:val="21"/>
          <w:lang w:val="zh-CN"/>
        </w:rPr>
        <w:t>目录五、分项报价表</w:t>
      </w:r>
    </w:p>
    <w:p w14:paraId="2B35C5BC">
      <w:pPr>
        <w:spacing w:line="360" w:lineRule="auto"/>
        <w:rPr>
          <w:rFonts w:ascii="宋体" w:hAnsi="宋体" w:cs="宋体"/>
          <w:bCs/>
          <w:szCs w:val="21"/>
          <w:lang w:val="zh-CN"/>
        </w:rPr>
      </w:pPr>
      <w:r>
        <w:rPr>
          <w:rFonts w:hint="eastAsia" w:ascii="宋体" w:hAnsi="宋体" w:cs="宋体"/>
          <w:bCs/>
          <w:szCs w:val="21"/>
          <w:lang w:val="zh-CN"/>
        </w:rPr>
        <w:t>目录六、技术条款偏离表</w:t>
      </w:r>
    </w:p>
    <w:p w14:paraId="48EF999C">
      <w:pPr>
        <w:spacing w:line="360" w:lineRule="auto"/>
        <w:rPr>
          <w:rFonts w:ascii="宋体" w:hAnsi="宋体" w:cs="宋体"/>
          <w:bCs/>
          <w:szCs w:val="21"/>
          <w:lang w:val="zh-CN"/>
        </w:rPr>
      </w:pPr>
      <w:r>
        <w:rPr>
          <w:rFonts w:hint="eastAsia" w:ascii="宋体" w:hAnsi="宋体" w:cs="宋体"/>
          <w:bCs/>
          <w:szCs w:val="21"/>
          <w:lang w:val="zh-CN"/>
        </w:rPr>
        <w:t>目录七、商务条款偏离表</w:t>
      </w:r>
    </w:p>
    <w:p w14:paraId="2AE4C71F">
      <w:pPr>
        <w:spacing w:line="360" w:lineRule="auto"/>
        <w:rPr>
          <w:rFonts w:ascii="宋体" w:hAnsi="宋体" w:cs="宋体"/>
          <w:bCs/>
          <w:szCs w:val="21"/>
          <w:lang w:val="zh-CN"/>
        </w:rPr>
      </w:pPr>
      <w:r>
        <w:rPr>
          <w:rFonts w:hint="eastAsia" w:ascii="宋体" w:hAnsi="宋体" w:cs="宋体"/>
          <w:bCs/>
          <w:szCs w:val="21"/>
          <w:lang w:val="zh-CN"/>
        </w:rPr>
        <w:t>目录八、技术及施工组织方案</w:t>
      </w:r>
    </w:p>
    <w:p w14:paraId="25B7B4C0">
      <w:pPr>
        <w:spacing w:line="360" w:lineRule="auto"/>
        <w:rPr>
          <w:rFonts w:ascii="宋体" w:hAnsi="宋体" w:cs="宋体"/>
          <w:bCs/>
          <w:szCs w:val="21"/>
          <w:lang w:val="zh-CN"/>
        </w:rPr>
      </w:pPr>
      <w:r>
        <w:rPr>
          <w:rFonts w:hint="eastAsia" w:ascii="宋体" w:hAnsi="宋体" w:cs="宋体"/>
          <w:bCs/>
          <w:szCs w:val="21"/>
          <w:lang w:val="zh-CN"/>
        </w:rPr>
        <w:t>目录九、服务与承诺</w:t>
      </w:r>
    </w:p>
    <w:p w14:paraId="139DDDFA">
      <w:pPr>
        <w:spacing w:line="360" w:lineRule="auto"/>
        <w:rPr>
          <w:rFonts w:ascii="宋体" w:hAnsi="宋体" w:cs="宋体"/>
          <w:bCs/>
          <w:szCs w:val="21"/>
          <w:lang w:val="zh-CN"/>
        </w:rPr>
      </w:pPr>
      <w:r>
        <w:rPr>
          <w:rFonts w:hint="eastAsia" w:ascii="宋体" w:hAnsi="宋体" w:cs="宋体"/>
          <w:bCs/>
          <w:szCs w:val="21"/>
          <w:lang w:val="zh-CN"/>
        </w:rPr>
        <w:t>目录十、投标需要的其他证明文件及材料</w:t>
      </w:r>
    </w:p>
    <w:p w14:paraId="2A598A73">
      <w:pPr>
        <w:rPr>
          <w:rFonts w:ascii="宋体" w:hAnsi="宋体" w:cs="宋体"/>
          <w:b/>
          <w:szCs w:val="21"/>
          <w:lang w:val="zh-CN"/>
        </w:rPr>
      </w:pPr>
      <w:r>
        <w:rPr>
          <w:rFonts w:hint="eastAsia" w:ascii="宋体" w:hAnsi="宋体" w:cs="宋体"/>
          <w:b/>
          <w:szCs w:val="21"/>
          <w:lang w:val="zh-CN"/>
        </w:rPr>
        <w:br w:type="page"/>
      </w:r>
    </w:p>
    <w:p w14:paraId="48213452">
      <w:pPr>
        <w:spacing w:line="360" w:lineRule="auto"/>
        <w:jc w:val="left"/>
        <w:outlineLvl w:val="1"/>
        <w:rPr>
          <w:rFonts w:ascii="宋体" w:hAnsi="宋体" w:cs="宋体"/>
          <w:b/>
          <w:szCs w:val="21"/>
          <w:lang w:val="zh-CN"/>
        </w:rPr>
      </w:pPr>
      <w:r>
        <w:rPr>
          <w:rFonts w:hint="eastAsia" w:ascii="宋体" w:hAnsi="宋体" w:cs="宋体"/>
          <w:b/>
          <w:szCs w:val="21"/>
          <w:lang w:val="zh-CN"/>
        </w:rPr>
        <w:t>目录一、投标申请及声明格式</w:t>
      </w:r>
    </w:p>
    <w:p w14:paraId="3CE0FFC3">
      <w:pPr>
        <w:spacing w:line="360" w:lineRule="auto"/>
        <w:ind w:firstLine="420" w:firstLineChars="200"/>
        <w:jc w:val="center"/>
        <w:rPr>
          <w:rFonts w:ascii="宋体" w:hAnsi="宋体" w:cs="宋体"/>
          <w:szCs w:val="21"/>
          <w:lang w:val="zh-CN"/>
        </w:rPr>
      </w:pPr>
      <w:r>
        <w:rPr>
          <w:rFonts w:hint="eastAsia" w:ascii="宋体" w:hAnsi="宋体" w:cs="宋体"/>
          <w:szCs w:val="21"/>
          <w:lang w:val="zh-CN"/>
        </w:rPr>
        <w:t>投标申请及声明</w:t>
      </w:r>
    </w:p>
    <w:p w14:paraId="1EC0AABE">
      <w:pPr>
        <w:spacing w:line="360" w:lineRule="auto"/>
        <w:rPr>
          <w:rFonts w:ascii="宋体" w:hAnsi="宋体" w:cs="宋体"/>
          <w:szCs w:val="21"/>
          <w:lang w:val="zh-CN"/>
        </w:rPr>
      </w:pPr>
      <w:r>
        <w:rPr>
          <w:rFonts w:hint="eastAsia" w:ascii="宋体" w:hAnsi="宋体" w:cs="宋体"/>
          <w:szCs w:val="21"/>
          <w:lang w:val="zh-CN"/>
        </w:rPr>
        <w:t>致：南京邮电大学通达学院</w:t>
      </w:r>
    </w:p>
    <w:p w14:paraId="6062F8C3">
      <w:pPr>
        <w:spacing w:line="360" w:lineRule="auto"/>
        <w:ind w:firstLine="420" w:firstLineChars="200"/>
        <w:jc w:val="left"/>
        <w:rPr>
          <w:rFonts w:ascii="宋体" w:hAnsi="宋体" w:cs="宋体"/>
          <w:szCs w:val="21"/>
        </w:rPr>
      </w:pPr>
      <w:r>
        <w:rPr>
          <w:rFonts w:hint="eastAsia" w:ascii="宋体" w:hAnsi="宋体" w:cs="宋体"/>
          <w:szCs w:val="21"/>
        </w:rPr>
        <w:t>根据贵方（项目名称）（项目编号）投标邀请，正式授权下述签字人（姓名和职务）代表供应商（供应商名称），提交响应文件。</w:t>
      </w:r>
    </w:p>
    <w:p w14:paraId="4FEE4474">
      <w:pPr>
        <w:spacing w:line="360" w:lineRule="auto"/>
        <w:ind w:firstLine="420" w:firstLineChars="200"/>
        <w:jc w:val="left"/>
        <w:rPr>
          <w:rFonts w:ascii="宋体" w:hAnsi="宋体" w:cs="宋体"/>
          <w:szCs w:val="21"/>
        </w:rPr>
      </w:pPr>
      <w:r>
        <w:rPr>
          <w:rFonts w:hint="eastAsia" w:ascii="宋体" w:hAnsi="宋体" w:cs="宋体"/>
          <w:szCs w:val="21"/>
        </w:rPr>
        <w:t>据此函，签字人兹宣布声明和承诺如下：</w:t>
      </w:r>
    </w:p>
    <w:p w14:paraId="02C4FA66">
      <w:pPr>
        <w:spacing w:line="360" w:lineRule="auto"/>
        <w:ind w:firstLine="420" w:firstLineChars="200"/>
        <w:jc w:val="left"/>
        <w:rPr>
          <w:rFonts w:ascii="宋体" w:hAnsi="宋体" w:cs="宋体"/>
          <w:szCs w:val="21"/>
        </w:rPr>
      </w:pPr>
      <w:r>
        <w:rPr>
          <w:rFonts w:hint="eastAsia" w:ascii="宋体" w:hAnsi="宋体" w:cs="宋体"/>
          <w:szCs w:val="21"/>
          <w:lang w:val="zh-CN"/>
        </w:rPr>
        <w:t>1.我方的资格条件符合本次采购要求，</w:t>
      </w:r>
      <w:r>
        <w:rPr>
          <w:rFonts w:hint="eastAsia" w:ascii="宋体" w:hAnsi="宋体" w:cs="宋体"/>
          <w:szCs w:val="21"/>
        </w:rPr>
        <w:t>我方</w:t>
      </w:r>
      <w:r>
        <w:rPr>
          <w:rFonts w:hint="eastAsia" w:ascii="宋体" w:hAnsi="宋体" w:cs="宋体"/>
          <w:szCs w:val="21"/>
          <w:lang w:val="zh-CN"/>
        </w:rPr>
        <w:t>同意并向贵方提供了与投标有关的所有证据和资料。</w:t>
      </w:r>
    </w:p>
    <w:p w14:paraId="59C6CFE1">
      <w:pPr>
        <w:spacing w:line="360" w:lineRule="auto"/>
        <w:ind w:firstLine="420" w:firstLineChars="200"/>
        <w:jc w:val="left"/>
        <w:rPr>
          <w:rFonts w:ascii="宋体" w:hAnsi="宋体" w:cs="宋体"/>
          <w:szCs w:val="21"/>
          <w:u w:val="single"/>
        </w:rPr>
      </w:pPr>
      <w:r>
        <w:rPr>
          <w:rFonts w:hint="eastAsia" w:ascii="宋体" w:hAnsi="宋体" w:cs="宋体"/>
          <w:szCs w:val="21"/>
        </w:rPr>
        <w:t>2.按采购要求，我方投标的报价为人民币（小写）</w:t>
      </w:r>
      <w:r>
        <w:rPr>
          <w:rFonts w:hint="eastAsia" w:ascii="宋体" w:hAnsi="宋体" w:cs="宋体"/>
          <w:szCs w:val="21"/>
          <w:u w:val="single"/>
        </w:rPr>
        <w:t xml:space="preserve">         </w:t>
      </w:r>
      <w:r>
        <w:rPr>
          <w:rFonts w:hint="eastAsia" w:ascii="宋体" w:hAnsi="宋体" w:cs="宋体"/>
          <w:szCs w:val="21"/>
        </w:rPr>
        <w:t>元，（大写）</w:t>
      </w:r>
      <w:r>
        <w:rPr>
          <w:rFonts w:hint="eastAsia" w:ascii="宋体" w:hAnsi="宋体" w:cs="宋体"/>
          <w:szCs w:val="21"/>
          <w:u w:val="single"/>
        </w:rPr>
        <w:t xml:space="preserve">         </w:t>
      </w:r>
      <w:r>
        <w:rPr>
          <w:rFonts w:hint="eastAsia" w:ascii="宋体" w:hAnsi="宋体" w:cs="宋体"/>
          <w:szCs w:val="21"/>
        </w:rPr>
        <w:t>元。</w:t>
      </w:r>
    </w:p>
    <w:p w14:paraId="3B21C6C1">
      <w:pPr>
        <w:spacing w:line="360" w:lineRule="auto"/>
        <w:ind w:firstLine="420" w:firstLineChars="200"/>
        <w:rPr>
          <w:rFonts w:ascii="宋体" w:hAnsi="宋体" w:cs="宋体"/>
          <w:szCs w:val="21"/>
          <w:lang w:val="zh-CN"/>
        </w:rPr>
      </w:pPr>
      <w:r>
        <w:rPr>
          <w:rFonts w:hint="eastAsia" w:ascii="宋体" w:hAnsi="宋体" w:cs="宋体"/>
          <w:szCs w:val="21"/>
          <w:lang w:val="zh-CN"/>
        </w:rPr>
        <w:t>3.我方参加本次采购活动前三年内，在经营活动中没有重大违法记录。</w:t>
      </w:r>
    </w:p>
    <w:p w14:paraId="19D2A6B1">
      <w:pPr>
        <w:spacing w:line="360" w:lineRule="auto"/>
        <w:ind w:firstLine="420" w:firstLineChars="200"/>
        <w:rPr>
          <w:rFonts w:ascii="宋体" w:hAnsi="宋体" w:cs="宋体"/>
          <w:szCs w:val="21"/>
          <w:lang w:val="zh-CN"/>
        </w:rPr>
      </w:pPr>
      <w:r>
        <w:rPr>
          <w:rFonts w:hint="eastAsia" w:ascii="宋体" w:hAnsi="宋体" w:cs="宋体"/>
          <w:szCs w:val="21"/>
          <w:lang w:val="zh-CN"/>
        </w:rPr>
        <w:t>4.我方参加本次采购活动前，没有被信用中国网站、中国政府采购网站列入失信被执行人名单、重大税收违法失信主体、政府采购严重违法失信行为记录名单。</w:t>
      </w:r>
    </w:p>
    <w:p w14:paraId="4151A034">
      <w:pPr>
        <w:spacing w:line="360" w:lineRule="auto"/>
        <w:ind w:firstLine="420" w:firstLineChars="200"/>
        <w:rPr>
          <w:rFonts w:ascii="宋体" w:hAnsi="宋体" w:cs="宋体"/>
          <w:szCs w:val="21"/>
          <w:lang w:val="zh-CN"/>
        </w:rPr>
      </w:pPr>
      <w:r>
        <w:rPr>
          <w:rFonts w:hint="eastAsia" w:ascii="宋体" w:hAnsi="宋体" w:cs="宋体"/>
          <w:szCs w:val="21"/>
          <w:lang w:val="zh-CN"/>
        </w:rPr>
        <w:t>5.我方在全国范围内未受过财政部门禁止参加政府采购活动的处罚，或禁止参加政府采购活动的处罚期限已满。</w:t>
      </w:r>
    </w:p>
    <w:p w14:paraId="737BC4CD">
      <w:pPr>
        <w:spacing w:line="360" w:lineRule="auto"/>
        <w:ind w:firstLine="420" w:firstLineChars="200"/>
        <w:rPr>
          <w:rFonts w:ascii="宋体" w:hAnsi="宋体" w:cs="宋体"/>
          <w:szCs w:val="21"/>
          <w:lang w:val="zh-CN"/>
        </w:rPr>
      </w:pPr>
      <w:r>
        <w:rPr>
          <w:rFonts w:hint="eastAsia" w:ascii="宋体" w:hAnsi="宋体" w:cs="宋体"/>
          <w:szCs w:val="21"/>
          <w:lang w:val="zh-CN"/>
        </w:rPr>
        <w:t>6.我方没有为本采购项目提供整体设计、规范编制，以及项目管理、监理、检测等服务。</w:t>
      </w:r>
    </w:p>
    <w:p w14:paraId="6E39EB79">
      <w:pPr>
        <w:spacing w:line="360" w:lineRule="auto"/>
        <w:ind w:firstLine="420" w:firstLineChars="200"/>
        <w:rPr>
          <w:rFonts w:ascii="宋体" w:hAnsi="宋体" w:cs="宋体"/>
          <w:szCs w:val="21"/>
          <w:lang w:val="zh-CN"/>
        </w:rPr>
      </w:pPr>
      <w:r>
        <w:rPr>
          <w:rFonts w:hint="eastAsia" w:ascii="宋体" w:hAnsi="宋体" w:cs="宋体"/>
          <w:szCs w:val="21"/>
          <w:lang w:val="zh-CN"/>
        </w:rPr>
        <w:t>7.我方与参与本次采购活动的其他供应商的负责人不是同一人，也不存在直接控股、管理关系。</w:t>
      </w:r>
    </w:p>
    <w:p w14:paraId="3F0B7CAA">
      <w:pPr>
        <w:spacing w:line="360" w:lineRule="auto"/>
        <w:ind w:firstLine="420" w:firstLineChars="200"/>
        <w:rPr>
          <w:rFonts w:ascii="宋体" w:hAnsi="宋体" w:cs="宋体"/>
          <w:szCs w:val="21"/>
          <w:lang w:val="zh-CN"/>
        </w:rPr>
      </w:pPr>
      <w:r>
        <w:rPr>
          <w:rFonts w:hint="eastAsia" w:ascii="宋体" w:hAnsi="宋体" w:cs="宋体"/>
          <w:szCs w:val="21"/>
        </w:rPr>
        <w:t>8</w:t>
      </w:r>
      <w:r>
        <w:rPr>
          <w:rFonts w:hint="eastAsia" w:ascii="宋体" w:hAnsi="宋体" w:cs="宋体"/>
          <w:szCs w:val="21"/>
          <w:lang w:val="zh-CN"/>
        </w:rPr>
        <w:t>.我方已详细审阅全部采购文件及其有效补充文件，放弃对采购文件任何误解的权利，提交响应文件后，不对采购文件本身提出质疑。否则，属于不诚信和故意扰乱采购活动行为，我们将无条件接受处罚。</w:t>
      </w:r>
    </w:p>
    <w:p w14:paraId="36BA5B67">
      <w:pPr>
        <w:spacing w:line="360" w:lineRule="auto"/>
        <w:ind w:firstLine="420" w:firstLineChars="200"/>
        <w:rPr>
          <w:rFonts w:ascii="宋体" w:hAnsi="宋体" w:cs="宋体"/>
          <w:szCs w:val="21"/>
          <w:lang w:val="zh-CN"/>
        </w:rPr>
      </w:pPr>
      <w:r>
        <w:rPr>
          <w:rFonts w:hint="eastAsia" w:ascii="宋体" w:hAnsi="宋体" w:cs="宋体"/>
          <w:szCs w:val="21"/>
        </w:rPr>
        <w:t>9</w:t>
      </w:r>
      <w:r>
        <w:rPr>
          <w:rFonts w:hint="eastAsia" w:ascii="宋体" w:hAnsi="宋体" w:cs="宋体"/>
          <w:szCs w:val="21"/>
          <w:lang w:val="zh-CN"/>
        </w:rPr>
        <w:t>.我方同意从规定的开标日期起遵循本响应文件，并在规定的投标有效期期满之前均具有约束力。</w:t>
      </w:r>
    </w:p>
    <w:p w14:paraId="2651497F">
      <w:pPr>
        <w:spacing w:line="360" w:lineRule="auto"/>
        <w:ind w:firstLine="420" w:firstLineChars="200"/>
        <w:rPr>
          <w:rFonts w:ascii="宋体" w:hAnsi="宋体" w:cs="宋体"/>
          <w:szCs w:val="21"/>
          <w:lang w:val="zh-CN"/>
        </w:rPr>
      </w:pPr>
      <w:r>
        <w:rPr>
          <w:rFonts w:hint="eastAsia" w:ascii="宋体" w:hAnsi="宋体" w:cs="宋体"/>
          <w:szCs w:val="21"/>
          <w:lang w:val="zh-CN"/>
        </w:rPr>
        <w:t>1</w:t>
      </w:r>
      <w:r>
        <w:rPr>
          <w:rFonts w:hint="eastAsia" w:ascii="宋体" w:hAnsi="宋体" w:cs="宋体"/>
          <w:szCs w:val="21"/>
        </w:rPr>
        <w:t>0</w:t>
      </w:r>
      <w:r>
        <w:rPr>
          <w:rFonts w:hint="eastAsia" w:ascii="宋体" w:hAnsi="宋体" w:cs="宋体"/>
          <w:szCs w:val="21"/>
          <w:lang w:val="zh-CN"/>
        </w:rPr>
        <w:t>.一旦我方中标，将根据采购文件的规定严格履行合同，并保证按承诺的时间完成</w:t>
      </w:r>
      <w:r>
        <w:rPr>
          <w:rFonts w:hint="eastAsia" w:ascii="宋体" w:hAnsi="宋体" w:cs="宋体"/>
          <w:szCs w:val="21"/>
        </w:rPr>
        <w:t>工程</w:t>
      </w:r>
      <w:r>
        <w:rPr>
          <w:rFonts w:hint="eastAsia" w:ascii="宋体" w:hAnsi="宋体" w:cs="宋体"/>
          <w:szCs w:val="21"/>
          <w:lang w:val="zh-CN"/>
        </w:rPr>
        <w:t>的</w:t>
      </w:r>
      <w:r>
        <w:rPr>
          <w:rFonts w:hint="eastAsia" w:ascii="宋体" w:hAnsi="宋体" w:cs="宋体"/>
          <w:szCs w:val="21"/>
        </w:rPr>
        <w:t>施工</w:t>
      </w:r>
      <w:r>
        <w:rPr>
          <w:rFonts w:hint="eastAsia" w:ascii="宋体" w:hAnsi="宋体" w:cs="宋体"/>
          <w:szCs w:val="21"/>
          <w:lang w:val="zh-CN"/>
        </w:rPr>
        <w:t>，交付采购人验收、使用。</w:t>
      </w:r>
    </w:p>
    <w:p w14:paraId="177D6721">
      <w:pPr>
        <w:spacing w:line="360" w:lineRule="auto"/>
        <w:ind w:firstLine="420" w:firstLineChars="200"/>
        <w:jc w:val="left"/>
        <w:rPr>
          <w:rFonts w:ascii="宋体" w:hAnsi="宋体" w:cs="宋体"/>
          <w:szCs w:val="21"/>
        </w:rPr>
      </w:pPr>
      <w:r>
        <w:rPr>
          <w:rFonts w:hint="eastAsia" w:ascii="宋体" w:hAnsi="宋体" w:cs="宋体"/>
          <w:szCs w:val="21"/>
          <w:lang w:val="zh-CN"/>
        </w:rPr>
        <w:t>1</w:t>
      </w:r>
      <w:r>
        <w:rPr>
          <w:rFonts w:hint="eastAsia" w:ascii="宋体" w:hAnsi="宋体" w:cs="宋体"/>
          <w:szCs w:val="21"/>
        </w:rPr>
        <w:t>1</w:t>
      </w:r>
      <w:r>
        <w:rPr>
          <w:rFonts w:hint="eastAsia" w:ascii="宋体" w:hAnsi="宋体" w:cs="宋体"/>
          <w:szCs w:val="21"/>
          <w:lang w:val="zh-CN"/>
        </w:rPr>
        <w:t>.我方决不提供虚假材料谋取中标、决不采取不正当手段诋毁、排挤其他供应商、决不与采购人、其它供应商或者代理机构恶意串通、决不向采购人、代理机构工作人员和评委进行商业贿赂、决不在采购过程中与采购人进行协商谈判、决不拒绝有关部门监督检查或提供虚假情况，如有违反，无条件接受贵方及相关管理部门的处罚。</w:t>
      </w:r>
    </w:p>
    <w:p w14:paraId="40EA163C">
      <w:pPr>
        <w:spacing w:line="360" w:lineRule="auto"/>
        <w:ind w:firstLine="420" w:firstLineChars="200"/>
        <w:jc w:val="left"/>
        <w:rPr>
          <w:rFonts w:ascii="宋体" w:hAnsi="宋体" w:cs="宋体"/>
          <w:szCs w:val="21"/>
        </w:rPr>
      </w:pPr>
      <w:r>
        <w:rPr>
          <w:rFonts w:hint="eastAsia" w:ascii="宋体" w:hAnsi="宋体" w:cs="宋体"/>
          <w:szCs w:val="21"/>
        </w:rPr>
        <w:t>12.与本投标有关的正式联系方式为：</w:t>
      </w:r>
    </w:p>
    <w:p w14:paraId="6F63CCF1">
      <w:pPr>
        <w:spacing w:line="360" w:lineRule="auto"/>
        <w:ind w:firstLine="420" w:firstLineChars="200"/>
        <w:jc w:val="left"/>
        <w:rPr>
          <w:rFonts w:ascii="宋体" w:hAnsi="宋体" w:cs="宋体"/>
          <w:szCs w:val="21"/>
          <w:u w:val="single"/>
        </w:rPr>
      </w:pPr>
      <w:r>
        <w:rPr>
          <w:rFonts w:hint="eastAsia" w:ascii="宋体" w:hAnsi="宋体" w:cs="宋体"/>
          <w:szCs w:val="21"/>
        </w:rPr>
        <w:t>地址：</w:t>
      </w:r>
    </w:p>
    <w:p w14:paraId="62BA2EE3">
      <w:pPr>
        <w:spacing w:line="360" w:lineRule="auto"/>
        <w:ind w:firstLine="420" w:firstLineChars="200"/>
        <w:jc w:val="left"/>
        <w:rPr>
          <w:rFonts w:ascii="宋体" w:hAnsi="宋体" w:cs="宋体"/>
          <w:szCs w:val="21"/>
          <w:u w:val="single"/>
        </w:rPr>
      </w:pPr>
      <w:r>
        <w:rPr>
          <w:rFonts w:hint="eastAsia" w:ascii="宋体" w:hAnsi="宋体" w:cs="宋体"/>
          <w:szCs w:val="21"/>
        </w:rPr>
        <w:t>电话：</w:t>
      </w:r>
    </w:p>
    <w:p w14:paraId="1BA5A5B1">
      <w:pPr>
        <w:spacing w:line="360" w:lineRule="auto"/>
        <w:ind w:firstLine="420" w:firstLineChars="200"/>
        <w:jc w:val="left"/>
        <w:rPr>
          <w:rFonts w:ascii="宋体" w:hAnsi="宋体" w:cs="宋体"/>
          <w:szCs w:val="21"/>
          <w:u w:val="single"/>
        </w:rPr>
      </w:pPr>
      <w:r>
        <w:rPr>
          <w:rFonts w:hint="eastAsia" w:ascii="宋体" w:hAnsi="宋体" w:cs="宋体"/>
          <w:szCs w:val="21"/>
        </w:rPr>
        <w:t>传真：</w:t>
      </w:r>
    </w:p>
    <w:p w14:paraId="3CD22801">
      <w:pPr>
        <w:spacing w:line="360" w:lineRule="auto"/>
        <w:ind w:firstLine="420" w:firstLineChars="200"/>
        <w:jc w:val="left"/>
        <w:rPr>
          <w:rFonts w:ascii="宋体" w:hAnsi="宋体" w:cs="宋体"/>
          <w:szCs w:val="21"/>
        </w:rPr>
      </w:pPr>
      <w:r>
        <w:rPr>
          <w:rFonts w:hint="eastAsia" w:ascii="宋体" w:hAnsi="宋体" w:cs="宋体"/>
          <w:szCs w:val="21"/>
        </w:rPr>
        <w:t>开户银行：</w:t>
      </w:r>
    </w:p>
    <w:p w14:paraId="65558ABF">
      <w:pPr>
        <w:spacing w:line="360" w:lineRule="auto"/>
        <w:ind w:firstLine="420" w:firstLineChars="200"/>
        <w:jc w:val="left"/>
        <w:rPr>
          <w:rFonts w:ascii="宋体" w:hAnsi="宋体" w:cs="宋体"/>
          <w:szCs w:val="21"/>
        </w:rPr>
      </w:pPr>
      <w:r>
        <w:rPr>
          <w:rFonts w:hint="eastAsia" w:ascii="宋体" w:hAnsi="宋体" w:cs="宋体"/>
          <w:szCs w:val="21"/>
        </w:rPr>
        <w:t>银行账号：</w:t>
      </w:r>
    </w:p>
    <w:p w14:paraId="1DB8C02B">
      <w:pPr>
        <w:spacing w:line="360" w:lineRule="auto"/>
        <w:ind w:firstLine="420" w:firstLineChars="200"/>
        <w:jc w:val="left"/>
        <w:rPr>
          <w:rFonts w:ascii="宋体" w:hAnsi="宋体" w:cs="宋体"/>
          <w:szCs w:val="21"/>
          <w:u w:val="single"/>
        </w:rPr>
      </w:pPr>
      <w:r>
        <w:rPr>
          <w:rFonts w:hint="eastAsia" w:ascii="宋体" w:hAnsi="宋体" w:cs="宋体"/>
          <w:szCs w:val="21"/>
        </w:rPr>
        <w:t>供应商授权代表姓名</w:t>
      </w:r>
      <w:r>
        <w:rPr>
          <w:rFonts w:hint="eastAsia" w:ascii="宋体" w:hAnsi="宋体" w:cs="宋体"/>
          <w:b/>
          <w:bCs/>
          <w:szCs w:val="21"/>
        </w:rPr>
        <w:t>（签字）</w:t>
      </w:r>
      <w:r>
        <w:rPr>
          <w:rFonts w:hint="eastAsia" w:ascii="宋体" w:hAnsi="宋体" w:cs="宋体"/>
          <w:szCs w:val="21"/>
        </w:rPr>
        <w:t>：</w:t>
      </w:r>
    </w:p>
    <w:p w14:paraId="53B0F1FC">
      <w:pPr>
        <w:spacing w:line="360" w:lineRule="auto"/>
        <w:ind w:firstLine="420" w:firstLineChars="200"/>
        <w:jc w:val="left"/>
        <w:rPr>
          <w:rFonts w:ascii="宋体" w:hAnsi="宋体" w:cs="宋体"/>
          <w:szCs w:val="21"/>
        </w:rPr>
      </w:pPr>
      <w:r>
        <w:rPr>
          <w:rFonts w:hint="eastAsia" w:ascii="宋体" w:hAnsi="宋体" w:cs="宋体"/>
          <w:szCs w:val="21"/>
        </w:rPr>
        <w:t>供应商名称（盖章）：</w:t>
      </w:r>
    </w:p>
    <w:p w14:paraId="46402B82">
      <w:pPr>
        <w:spacing w:line="360" w:lineRule="auto"/>
        <w:ind w:firstLine="420" w:firstLineChars="200"/>
        <w:jc w:val="left"/>
        <w:rPr>
          <w:rFonts w:ascii="宋体" w:hAnsi="宋体" w:cs="宋体"/>
          <w:szCs w:val="21"/>
        </w:rPr>
      </w:pPr>
      <w:r>
        <w:rPr>
          <w:rFonts w:hint="eastAsia" w:ascii="宋体" w:hAnsi="宋体" w:cs="宋体"/>
          <w:szCs w:val="21"/>
        </w:rPr>
        <w:t>日期：年月日</w:t>
      </w:r>
    </w:p>
    <w:p w14:paraId="26D207B3">
      <w:pPr>
        <w:rPr>
          <w:rFonts w:ascii="宋体" w:hAnsi="宋体" w:cs="宋体"/>
          <w:b/>
          <w:szCs w:val="21"/>
          <w:lang w:val="zh-CN"/>
        </w:rPr>
      </w:pPr>
      <w:r>
        <w:rPr>
          <w:rFonts w:hint="eastAsia" w:ascii="宋体" w:hAnsi="宋体" w:cs="宋体"/>
          <w:b/>
          <w:szCs w:val="21"/>
          <w:lang w:val="zh-CN"/>
        </w:rPr>
        <w:br w:type="page"/>
      </w:r>
    </w:p>
    <w:p w14:paraId="627E1FF6">
      <w:pPr>
        <w:widowControl/>
        <w:spacing w:line="360" w:lineRule="auto"/>
        <w:jc w:val="left"/>
        <w:outlineLvl w:val="1"/>
        <w:rPr>
          <w:rFonts w:ascii="宋体" w:hAnsi="宋体" w:cs="宋体"/>
          <w:b/>
          <w:szCs w:val="21"/>
          <w:lang w:val="zh-CN"/>
        </w:rPr>
      </w:pPr>
      <w:r>
        <w:rPr>
          <w:rFonts w:hint="eastAsia" w:ascii="宋体" w:hAnsi="宋体" w:cs="宋体"/>
          <w:b/>
          <w:szCs w:val="21"/>
          <w:lang w:val="zh-CN"/>
        </w:rPr>
        <w:t>目录二、法定代表人授权书格式</w:t>
      </w:r>
    </w:p>
    <w:p w14:paraId="1B9D1A94">
      <w:pPr>
        <w:widowControl/>
        <w:spacing w:line="360" w:lineRule="auto"/>
        <w:ind w:firstLine="720"/>
        <w:jc w:val="center"/>
        <w:rPr>
          <w:rFonts w:ascii="宋体" w:hAnsi="宋体" w:cs="宋体"/>
          <w:szCs w:val="21"/>
          <w:lang w:val="zh-CN"/>
        </w:rPr>
      </w:pPr>
      <w:r>
        <w:rPr>
          <w:rFonts w:hint="eastAsia" w:ascii="宋体" w:hAnsi="宋体" w:cs="宋体"/>
          <w:szCs w:val="21"/>
          <w:lang w:val="zh-CN"/>
        </w:rPr>
        <w:t>法定代表人授权委托书</w:t>
      </w:r>
    </w:p>
    <w:p w14:paraId="75115D0E">
      <w:pPr>
        <w:widowControl/>
        <w:spacing w:line="360" w:lineRule="auto"/>
        <w:jc w:val="left"/>
        <w:rPr>
          <w:rFonts w:ascii="宋体" w:hAnsi="宋体" w:cs="宋体"/>
          <w:szCs w:val="21"/>
          <w:lang w:val="zh-CN"/>
        </w:rPr>
      </w:pPr>
      <w:r>
        <w:rPr>
          <w:rFonts w:hint="eastAsia" w:ascii="宋体" w:hAnsi="宋体" w:cs="宋体"/>
          <w:szCs w:val="21"/>
          <w:lang w:val="zh-CN"/>
        </w:rPr>
        <w:t>南京邮电大学通达学院：</w:t>
      </w:r>
    </w:p>
    <w:p w14:paraId="362BD241">
      <w:pPr>
        <w:widowControl/>
        <w:spacing w:line="360" w:lineRule="auto"/>
        <w:ind w:firstLine="420"/>
        <w:jc w:val="left"/>
        <w:rPr>
          <w:rFonts w:ascii="宋体" w:hAnsi="宋体" w:cs="宋体"/>
          <w:szCs w:val="21"/>
          <w:lang w:val="zh-CN"/>
        </w:rPr>
      </w:pPr>
      <w:r>
        <w:rPr>
          <w:rFonts w:hint="eastAsia" w:ascii="宋体" w:hAnsi="宋体" w:cs="宋体"/>
          <w:szCs w:val="21"/>
          <w:lang w:val="zh-CN"/>
        </w:rPr>
        <w:t>本授权书声明：注册于（供应商住址）的（供应商名称）法定代表人（法定代表人姓名、职务）代表本公司授权在下面签字的（供应商代表姓名、职务）为本公司的合法代理人，就贵方组织的（项目名称），（项目编号）投标，以本公司名义处理一切与之有关的事务。</w:t>
      </w:r>
    </w:p>
    <w:p w14:paraId="4A2DDE4E">
      <w:pPr>
        <w:widowControl/>
        <w:spacing w:line="360" w:lineRule="auto"/>
        <w:ind w:firstLine="408"/>
        <w:jc w:val="left"/>
        <w:rPr>
          <w:rFonts w:ascii="宋体" w:hAnsi="宋体" w:cs="宋体"/>
          <w:szCs w:val="21"/>
          <w:lang w:val="zh-CN"/>
        </w:rPr>
      </w:pPr>
      <w:r>
        <w:rPr>
          <w:rFonts w:hint="eastAsia" w:ascii="宋体" w:hAnsi="宋体" w:cs="宋体"/>
          <w:szCs w:val="21"/>
          <w:lang w:val="zh-CN"/>
        </w:rPr>
        <w:t>本授权书于</w:t>
      </w:r>
      <w:r>
        <w:rPr>
          <w:rFonts w:hint="eastAsia" w:ascii="宋体" w:hAnsi="宋体" w:cs="宋体"/>
          <w:szCs w:val="21"/>
        </w:rPr>
        <w:t xml:space="preserve">      </w:t>
      </w:r>
      <w:r>
        <w:rPr>
          <w:rFonts w:hint="eastAsia" w:ascii="宋体" w:hAnsi="宋体" w:cs="宋体"/>
          <w:szCs w:val="21"/>
          <w:lang w:val="zh-CN"/>
        </w:rPr>
        <w:t>年</w:t>
      </w:r>
      <w:r>
        <w:rPr>
          <w:rFonts w:hint="eastAsia" w:ascii="宋体" w:hAnsi="宋体" w:cs="宋体"/>
          <w:szCs w:val="21"/>
        </w:rPr>
        <w:t xml:space="preserve">    </w:t>
      </w:r>
      <w:r>
        <w:rPr>
          <w:rFonts w:hint="eastAsia" w:ascii="宋体" w:hAnsi="宋体" w:cs="宋体"/>
          <w:szCs w:val="21"/>
          <w:lang w:val="zh-CN"/>
        </w:rPr>
        <w:t>月</w:t>
      </w:r>
      <w:r>
        <w:rPr>
          <w:rFonts w:hint="eastAsia" w:ascii="宋体" w:hAnsi="宋体" w:cs="宋体"/>
          <w:szCs w:val="21"/>
        </w:rPr>
        <w:t xml:space="preserve">    </w:t>
      </w:r>
      <w:r>
        <w:rPr>
          <w:rFonts w:hint="eastAsia" w:ascii="宋体" w:hAnsi="宋体" w:cs="宋体"/>
          <w:szCs w:val="21"/>
          <w:lang w:val="zh-CN"/>
        </w:rPr>
        <w:t>日签字生效，特此声明。</w:t>
      </w:r>
    </w:p>
    <w:p w14:paraId="5CB6363E">
      <w:pPr>
        <w:widowControl/>
        <w:spacing w:line="360" w:lineRule="auto"/>
        <w:ind w:firstLine="408"/>
        <w:jc w:val="left"/>
        <w:rPr>
          <w:rFonts w:ascii="宋体" w:hAnsi="宋体" w:cs="宋体"/>
          <w:szCs w:val="21"/>
          <w:lang w:val="zh-CN"/>
        </w:rPr>
      </w:pPr>
    </w:p>
    <w:p w14:paraId="554BD58B">
      <w:pPr>
        <w:widowControl/>
        <w:spacing w:line="360" w:lineRule="auto"/>
        <w:ind w:firstLine="420"/>
        <w:jc w:val="left"/>
        <w:rPr>
          <w:rFonts w:ascii="宋体" w:hAnsi="宋体" w:cs="宋体"/>
          <w:szCs w:val="21"/>
          <w:lang w:val="zh-CN"/>
        </w:rPr>
      </w:pPr>
      <w:r>
        <w:rPr>
          <w:rFonts w:hint="eastAsia" w:ascii="宋体" w:hAnsi="宋体" w:cs="宋体"/>
          <w:szCs w:val="21"/>
          <w:lang w:val="zh-CN"/>
        </w:rPr>
        <w:t>法定代表人</w:t>
      </w:r>
      <w:r>
        <w:rPr>
          <w:rFonts w:hint="eastAsia" w:ascii="宋体" w:hAnsi="宋体" w:cs="宋体"/>
          <w:b/>
          <w:bCs/>
          <w:szCs w:val="21"/>
          <w:lang w:val="zh-CN"/>
        </w:rPr>
        <w:t>（签字</w:t>
      </w:r>
      <w:r>
        <w:rPr>
          <w:rFonts w:hint="eastAsia" w:ascii="宋体" w:hAnsi="宋体" w:cs="宋体"/>
          <w:b/>
          <w:bCs/>
          <w:szCs w:val="21"/>
        </w:rPr>
        <w:t>或盖章</w:t>
      </w:r>
      <w:r>
        <w:rPr>
          <w:rFonts w:hint="eastAsia" w:ascii="宋体" w:hAnsi="宋体" w:cs="宋体"/>
          <w:b/>
          <w:bCs/>
          <w:szCs w:val="21"/>
          <w:lang w:val="zh-CN"/>
        </w:rPr>
        <w:t>）</w:t>
      </w:r>
      <w:r>
        <w:rPr>
          <w:rFonts w:hint="eastAsia" w:ascii="宋体" w:hAnsi="宋体" w:cs="宋体"/>
          <w:szCs w:val="21"/>
          <w:lang w:val="zh-CN"/>
        </w:rPr>
        <w:t>：</w:t>
      </w:r>
    </w:p>
    <w:p w14:paraId="594C1A59">
      <w:pPr>
        <w:widowControl/>
        <w:spacing w:line="360" w:lineRule="auto"/>
        <w:ind w:firstLine="420"/>
        <w:jc w:val="left"/>
        <w:rPr>
          <w:rFonts w:ascii="宋体" w:hAnsi="宋体" w:cs="宋体"/>
          <w:szCs w:val="21"/>
          <w:lang w:val="zh-CN"/>
        </w:rPr>
      </w:pPr>
      <w:r>
        <w:rPr>
          <w:rFonts w:hint="eastAsia" w:ascii="宋体" w:hAnsi="宋体" w:cs="宋体"/>
          <w:szCs w:val="21"/>
          <w:lang w:val="zh-CN"/>
        </w:rPr>
        <w:t>授权委托人</w:t>
      </w:r>
      <w:r>
        <w:rPr>
          <w:rFonts w:hint="eastAsia" w:ascii="宋体" w:hAnsi="宋体" w:cs="宋体"/>
          <w:b/>
          <w:bCs/>
          <w:szCs w:val="21"/>
          <w:lang w:val="zh-CN"/>
        </w:rPr>
        <w:t>（签字）</w:t>
      </w:r>
      <w:r>
        <w:rPr>
          <w:rFonts w:hint="eastAsia" w:ascii="宋体" w:hAnsi="宋体" w:cs="宋体"/>
          <w:szCs w:val="21"/>
          <w:lang w:val="zh-CN"/>
        </w:rPr>
        <w:t>：</w:t>
      </w:r>
    </w:p>
    <w:p w14:paraId="579BB4E7">
      <w:pPr>
        <w:widowControl/>
        <w:tabs>
          <w:tab w:val="left" w:pos="1440"/>
        </w:tabs>
        <w:spacing w:line="360" w:lineRule="auto"/>
        <w:ind w:firstLine="420"/>
        <w:jc w:val="left"/>
        <w:rPr>
          <w:rFonts w:ascii="宋体" w:hAnsi="宋体" w:cs="宋体"/>
          <w:szCs w:val="21"/>
        </w:rPr>
      </w:pPr>
      <w:r>
        <w:rPr>
          <w:rFonts w:hint="eastAsia" w:ascii="宋体" w:hAnsi="宋体" w:cs="宋体"/>
          <w:szCs w:val="21"/>
        </w:rPr>
        <w:t>供应商：（盖章）</w:t>
      </w:r>
    </w:p>
    <w:p w14:paraId="0B77E354">
      <w:pPr>
        <w:widowControl/>
        <w:tabs>
          <w:tab w:val="left" w:pos="1440"/>
        </w:tabs>
        <w:spacing w:line="360" w:lineRule="auto"/>
        <w:ind w:firstLine="420"/>
        <w:jc w:val="left"/>
        <w:rPr>
          <w:rFonts w:ascii="宋体" w:hAnsi="宋体" w:cs="宋体"/>
          <w:szCs w:val="21"/>
          <w:lang w:val="zh-CN"/>
        </w:rPr>
      </w:pPr>
      <w:r>
        <w:rPr>
          <w:rFonts w:hint="eastAsia" w:ascii="宋体" w:hAnsi="宋体" w:cs="宋体"/>
          <w:szCs w:val="21"/>
          <w:lang w:val="zh-CN"/>
        </w:rPr>
        <w:t>日期：</w:t>
      </w:r>
      <w:r>
        <w:rPr>
          <w:rFonts w:hint="eastAsia" w:ascii="宋体" w:hAnsi="宋体" w:cs="宋体"/>
          <w:szCs w:val="21"/>
        </w:rPr>
        <w:t xml:space="preserve">      </w:t>
      </w:r>
      <w:r>
        <w:rPr>
          <w:rFonts w:hint="eastAsia" w:ascii="宋体" w:hAnsi="宋体" w:cs="宋体"/>
          <w:szCs w:val="21"/>
          <w:lang w:val="zh-CN"/>
        </w:rPr>
        <w:t>年</w:t>
      </w:r>
      <w:r>
        <w:rPr>
          <w:rFonts w:hint="eastAsia" w:ascii="宋体" w:hAnsi="宋体" w:cs="宋体"/>
          <w:szCs w:val="21"/>
        </w:rPr>
        <w:t xml:space="preserve">    </w:t>
      </w:r>
      <w:r>
        <w:rPr>
          <w:rFonts w:hint="eastAsia" w:ascii="宋体" w:hAnsi="宋体" w:cs="宋体"/>
          <w:szCs w:val="21"/>
          <w:lang w:val="zh-CN"/>
        </w:rPr>
        <w:t>月</w:t>
      </w:r>
      <w:r>
        <w:rPr>
          <w:rFonts w:hint="eastAsia" w:ascii="宋体" w:hAnsi="宋体" w:cs="宋体"/>
          <w:szCs w:val="21"/>
        </w:rPr>
        <w:t xml:space="preserve">    </w:t>
      </w:r>
      <w:r>
        <w:rPr>
          <w:rFonts w:hint="eastAsia" w:ascii="宋体" w:hAnsi="宋体" w:cs="宋体"/>
          <w:szCs w:val="21"/>
          <w:lang w:val="zh-CN"/>
        </w:rPr>
        <w:t>日</w:t>
      </w:r>
    </w:p>
    <w:p w14:paraId="1158C617">
      <w:pPr>
        <w:widowControl/>
        <w:tabs>
          <w:tab w:val="left" w:pos="1440"/>
        </w:tabs>
        <w:spacing w:line="360" w:lineRule="auto"/>
        <w:ind w:firstLine="420"/>
        <w:jc w:val="left"/>
        <w:rPr>
          <w:rFonts w:ascii="宋体" w:hAnsi="宋体" w:cs="宋体"/>
          <w:szCs w:val="21"/>
          <w:lang w:val="zh-CN"/>
        </w:rPr>
      </w:pPr>
    </w:p>
    <w:p w14:paraId="15B41927">
      <w:pPr>
        <w:widowControl/>
        <w:tabs>
          <w:tab w:val="left" w:pos="1440"/>
        </w:tabs>
        <w:spacing w:line="360" w:lineRule="auto"/>
        <w:ind w:firstLine="420"/>
        <w:jc w:val="left"/>
        <w:rPr>
          <w:rFonts w:ascii="宋体" w:hAnsi="宋体" w:cs="宋体"/>
          <w:szCs w:val="21"/>
          <w:lang w:val="zh-CN"/>
        </w:rPr>
      </w:pPr>
    </w:p>
    <w:p w14:paraId="3935BADF">
      <w:pPr>
        <w:rPr>
          <w:rFonts w:ascii="宋体" w:hAnsi="宋体" w:cs="宋体"/>
          <w:b/>
          <w:szCs w:val="21"/>
          <w:lang w:val="zh-CN"/>
        </w:rPr>
      </w:pPr>
      <w:r>
        <w:rPr>
          <w:rFonts w:hint="eastAsia" w:ascii="宋体" w:hAnsi="宋体" w:cs="宋体"/>
          <w:b/>
          <w:szCs w:val="21"/>
          <w:lang w:val="zh-CN"/>
        </w:rPr>
        <w:br w:type="page"/>
      </w:r>
    </w:p>
    <w:p w14:paraId="5D4EBE59">
      <w:pPr>
        <w:widowControl/>
        <w:spacing w:line="360" w:lineRule="auto"/>
        <w:jc w:val="left"/>
        <w:outlineLvl w:val="1"/>
        <w:rPr>
          <w:rFonts w:ascii="宋体" w:hAnsi="宋体" w:cs="宋体"/>
          <w:b/>
          <w:szCs w:val="21"/>
          <w:lang w:val="zh-CN"/>
        </w:rPr>
      </w:pPr>
      <w:r>
        <w:rPr>
          <w:rFonts w:hint="eastAsia" w:ascii="宋体" w:hAnsi="宋体" w:cs="宋体"/>
          <w:b/>
          <w:szCs w:val="21"/>
          <w:lang w:val="zh-CN"/>
        </w:rPr>
        <w:t>目录三、开标一览表格式</w:t>
      </w:r>
    </w:p>
    <w:p w14:paraId="30E94528">
      <w:pPr>
        <w:widowControl/>
        <w:spacing w:line="360" w:lineRule="auto"/>
        <w:jc w:val="center"/>
        <w:rPr>
          <w:rFonts w:ascii="宋体" w:hAnsi="宋体" w:cs="宋体"/>
          <w:b/>
          <w:szCs w:val="21"/>
          <w:lang w:val="zh-CN"/>
        </w:rPr>
      </w:pPr>
      <w:r>
        <w:rPr>
          <w:rFonts w:hint="eastAsia" w:ascii="宋体" w:hAnsi="宋体" w:cs="宋体"/>
          <w:b/>
          <w:szCs w:val="21"/>
          <w:lang w:val="zh-CN"/>
        </w:rPr>
        <w:t>开标一览表</w:t>
      </w:r>
    </w:p>
    <w:p w14:paraId="000EEDCC">
      <w:pPr>
        <w:widowControl/>
        <w:spacing w:line="360" w:lineRule="auto"/>
        <w:jc w:val="center"/>
        <w:rPr>
          <w:rFonts w:ascii="宋体" w:hAnsi="宋体" w:cs="宋体"/>
          <w:b/>
          <w:szCs w:val="21"/>
          <w:lang w:val="zh-CN"/>
        </w:rPr>
      </w:pPr>
      <w:r>
        <w:rPr>
          <w:rFonts w:hint="eastAsia" w:ascii="宋体" w:hAnsi="宋体" w:cs="宋体"/>
          <w:b/>
          <w:szCs w:val="21"/>
          <w:lang w:val="zh-CN"/>
        </w:rPr>
        <w:t>（</w:t>
      </w:r>
      <w:r>
        <w:rPr>
          <w:rFonts w:hint="eastAsia" w:ascii="宋体" w:hAnsi="宋体" w:cs="宋体"/>
          <w:b/>
          <w:szCs w:val="21"/>
        </w:rPr>
        <w:t>请将开标一览表放置于响应文件首页</w:t>
      </w:r>
      <w:r>
        <w:rPr>
          <w:rFonts w:hint="eastAsia" w:ascii="宋体" w:hAnsi="宋体" w:cs="宋体"/>
          <w:b/>
          <w:szCs w:val="21"/>
          <w:lang w:val="zh-CN"/>
        </w:rPr>
        <w:t>）</w:t>
      </w:r>
    </w:p>
    <w:tbl>
      <w:tblPr>
        <w:tblStyle w:val="47"/>
        <w:tblW w:w="9385" w:type="dxa"/>
        <w:tblInd w:w="83"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826"/>
        <w:gridCol w:w="5559"/>
      </w:tblGrid>
      <w:tr w14:paraId="0CAD8C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37" w:hRule="atLeast"/>
        </w:trPr>
        <w:tc>
          <w:tcPr>
            <w:tcW w:w="3826" w:type="dxa"/>
            <w:tcBorders>
              <w:top w:val="single" w:color="auto" w:sz="4" w:space="0"/>
              <w:left w:val="single" w:color="auto" w:sz="4" w:space="0"/>
              <w:bottom w:val="single" w:color="auto" w:sz="4" w:space="0"/>
              <w:right w:val="single" w:color="auto" w:sz="4" w:space="0"/>
            </w:tcBorders>
            <w:vAlign w:val="center"/>
          </w:tcPr>
          <w:p w14:paraId="57C54B8D">
            <w:pPr>
              <w:jc w:val="left"/>
              <w:rPr>
                <w:rFonts w:ascii="宋体" w:hAnsi="宋体" w:cs="宋体"/>
                <w:b/>
                <w:bCs/>
                <w:szCs w:val="21"/>
                <w:u w:val="single"/>
              </w:rPr>
            </w:pPr>
            <w:r>
              <w:rPr>
                <w:rFonts w:hint="eastAsia" w:ascii="宋体" w:hAnsi="宋体" w:cs="宋体"/>
                <w:szCs w:val="21"/>
              </w:rPr>
              <w:t>项目名称：</w:t>
            </w:r>
          </w:p>
        </w:tc>
        <w:tc>
          <w:tcPr>
            <w:tcW w:w="5559" w:type="dxa"/>
            <w:tcBorders>
              <w:top w:val="single" w:color="auto" w:sz="4" w:space="0"/>
              <w:left w:val="single" w:color="auto" w:sz="4" w:space="0"/>
              <w:bottom w:val="single" w:color="auto" w:sz="4" w:space="0"/>
              <w:right w:val="single" w:color="auto" w:sz="4" w:space="0"/>
            </w:tcBorders>
            <w:vAlign w:val="center"/>
          </w:tcPr>
          <w:p w14:paraId="46F05304">
            <w:pPr>
              <w:widowControl/>
              <w:spacing w:line="480" w:lineRule="auto"/>
              <w:jc w:val="left"/>
              <w:rPr>
                <w:rFonts w:ascii="宋体" w:hAnsi="宋体" w:cs="宋体"/>
                <w:szCs w:val="21"/>
              </w:rPr>
            </w:pPr>
            <w:r>
              <w:rPr>
                <w:rFonts w:hint="eastAsia" w:ascii="宋体" w:hAnsi="宋体" w:cs="宋体"/>
                <w:szCs w:val="21"/>
              </w:rPr>
              <w:t>项目编号：</w:t>
            </w:r>
          </w:p>
        </w:tc>
      </w:tr>
      <w:tr w14:paraId="5EA67A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37" w:hRule="atLeast"/>
        </w:trPr>
        <w:tc>
          <w:tcPr>
            <w:tcW w:w="3826" w:type="dxa"/>
            <w:tcBorders>
              <w:top w:val="single" w:color="auto" w:sz="4" w:space="0"/>
              <w:left w:val="single" w:color="auto" w:sz="4" w:space="0"/>
              <w:bottom w:val="single" w:color="auto" w:sz="4" w:space="0"/>
              <w:right w:val="single" w:color="auto" w:sz="4" w:space="0"/>
            </w:tcBorders>
            <w:vAlign w:val="center"/>
          </w:tcPr>
          <w:p w14:paraId="78E2D97D">
            <w:pPr>
              <w:jc w:val="left"/>
              <w:rPr>
                <w:rFonts w:ascii="宋体" w:hAnsi="宋体" w:cs="宋体"/>
                <w:szCs w:val="21"/>
              </w:rPr>
            </w:pPr>
            <w:r>
              <w:rPr>
                <w:rFonts w:hint="eastAsia" w:ascii="宋体" w:hAnsi="宋体" w:cs="宋体"/>
                <w:szCs w:val="21"/>
              </w:rPr>
              <w:t>项目负责人</w:t>
            </w:r>
          </w:p>
        </w:tc>
        <w:tc>
          <w:tcPr>
            <w:tcW w:w="5559" w:type="dxa"/>
            <w:tcBorders>
              <w:top w:val="single" w:color="auto" w:sz="4" w:space="0"/>
              <w:left w:val="single" w:color="auto" w:sz="4" w:space="0"/>
              <w:bottom w:val="single" w:color="auto" w:sz="4" w:space="0"/>
              <w:right w:val="single" w:color="auto" w:sz="4" w:space="0"/>
            </w:tcBorders>
            <w:vAlign w:val="center"/>
          </w:tcPr>
          <w:p w14:paraId="31BE7989">
            <w:pPr>
              <w:spacing w:line="480" w:lineRule="auto"/>
              <w:rPr>
                <w:rFonts w:ascii="宋体" w:hAnsi="宋体" w:cs="宋体"/>
                <w:szCs w:val="21"/>
              </w:rPr>
            </w:pPr>
            <w:r>
              <w:rPr>
                <w:rFonts w:hint="eastAsia" w:ascii="宋体" w:hAnsi="宋体" w:cs="宋体"/>
                <w:szCs w:val="21"/>
              </w:rPr>
              <w:t>姓名：</w:t>
            </w:r>
          </w:p>
          <w:p w14:paraId="7349509D">
            <w:pPr>
              <w:pStyle w:val="25"/>
              <w:numPr>
                <w:ilvl w:val="0"/>
                <w:numId w:val="0"/>
              </w:numPr>
              <w:spacing w:line="480" w:lineRule="auto"/>
            </w:pPr>
            <w:r>
              <w:rPr>
                <w:rFonts w:hint="eastAsia"/>
              </w:rPr>
              <w:t>证书编号：</w:t>
            </w:r>
          </w:p>
        </w:tc>
      </w:tr>
      <w:tr w14:paraId="54876B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37" w:hRule="atLeast"/>
        </w:trPr>
        <w:tc>
          <w:tcPr>
            <w:tcW w:w="3826" w:type="dxa"/>
            <w:tcBorders>
              <w:top w:val="single" w:color="auto" w:sz="4" w:space="0"/>
              <w:left w:val="single" w:color="auto" w:sz="4" w:space="0"/>
              <w:bottom w:val="single" w:color="auto" w:sz="4" w:space="0"/>
              <w:right w:val="single" w:color="auto" w:sz="4" w:space="0"/>
            </w:tcBorders>
            <w:vAlign w:val="center"/>
          </w:tcPr>
          <w:p w14:paraId="33BDA242">
            <w:pPr>
              <w:widowControl/>
              <w:jc w:val="left"/>
              <w:rPr>
                <w:rFonts w:ascii="宋体" w:hAnsi="宋体" w:cs="宋体"/>
                <w:szCs w:val="21"/>
                <w:lang w:val="zh-CN"/>
              </w:rPr>
            </w:pPr>
            <w:r>
              <w:rPr>
                <w:rFonts w:hint="eastAsia" w:ascii="宋体" w:hAnsi="宋体" w:cs="宋体"/>
                <w:szCs w:val="21"/>
                <w:lang w:val="zh-CN"/>
              </w:rPr>
              <w:t>投标报价（人民币）</w:t>
            </w:r>
          </w:p>
        </w:tc>
        <w:tc>
          <w:tcPr>
            <w:tcW w:w="5559" w:type="dxa"/>
            <w:tcBorders>
              <w:top w:val="single" w:color="auto" w:sz="4" w:space="0"/>
              <w:left w:val="single" w:color="auto" w:sz="4" w:space="0"/>
              <w:bottom w:val="single" w:color="auto" w:sz="4" w:space="0"/>
              <w:right w:val="single" w:color="auto" w:sz="4" w:space="0"/>
            </w:tcBorders>
            <w:vAlign w:val="center"/>
          </w:tcPr>
          <w:p w14:paraId="0D067C2C">
            <w:pPr>
              <w:pStyle w:val="14"/>
              <w:spacing w:line="480" w:lineRule="auto"/>
              <w:ind w:firstLine="0"/>
              <w:jc w:val="left"/>
              <w:rPr>
                <w:rFonts w:ascii="宋体" w:hAnsi="宋体" w:cs="宋体"/>
                <w:b/>
                <w:szCs w:val="21"/>
              </w:rPr>
            </w:pPr>
            <w:r>
              <w:rPr>
                <w:rFonts w:hint="eastAsia" w:ascii="宋体" w:hAnsi="宋体" w:cs="宋体"/>
                <w:b/>
                <w:szCs w:val="21"/>
              </w:rPr>
              <w:t>小写：人民币                元</w:t>
            </w:r>
          </w:p>
          <w:p w14:paraId="4CD64E52">
            <w:pPr>
              <w:pStyle w:val="14"/>
              <w:spacing w:line="480" w:lineRule="auto"/>
              <w:ind w:firstLine="0"/>
              <w:jc w:val="left"/>
              <w:rPr>
                <w:rFonts w:ascii="宋体" w:hAnsi="宋体" w:cs="宋体"/>
                <w:szCs w:val="21"/>
              </w:rPr>
            </w:pPr>
            <w:r>
              <w:rPr>
                <w:rFonts w:hint="eastAsia" w:ascii="宋体" w:hAnsi="宋体" w:cs="宋体"/>
                <w:b/>
                <w:szCs w:val="21"/>
              </w:rPr>
              <w:t>大写：人民币               元</w:t>
            </w:r>
          </w:p>
        </w:tc>
      </w:tr>
      <w:tr w14:paraId="299B8D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37" w:hRule="atLeast"/>
        </w:trPr>
        <w:tc>
          <w:tcPr>
            <w:tcW w:w="3826" w:type="dxa"/>
            <w:tcBorders>
              <w:top w:val="single" w:color="auto" w:sz="4" w:space="0"/>
              <w:left w:val="single" w:color="auto" w:sz="4" w:space="0"/>
              <w:bottom w:val="single" w:color="auto" w:sz="4" w:space="0"/>
              <w:right w:val="single" w:color="auto" w:sz="4" w:space="0"/>
            </w:tcBorders>
            <w:vAlign w:val="center"/>
          </w:tcPr>
          <w:p w14:paraId="6A2CDFDC">
            <w:pPr>
              <w:widowControl/>
              <w:jc w:val="left"/>
              <w:rPr>
                <w:rFonts w:ascii="宋体" w:hAnsi="宋体" w:cs="宋体"/>
                <w:szCs w:val="21"/>
              </w:rPr>
            </w:pPr>
            <w:r>
              <w:rPr>
                <w:rFonts w:hint="eastAsia" w:ascii="宋体" w:hAnsi="宋体" w:cs="宋体"/>
                <w:szCs w:val="21"/>
              </w:rPr>
              <w:t>工期</w:t>
            </w:r>
          </w:p>
        </w:tc>
        <w:tc>
          <w:tcPr>
            <w:tcW w:w="5559" w:type="dxa"/>
            <w:tcBorders>
              <w:top w:val="single" w:color="auto" w:sz="4" w:space="0"/>
              <w:left w:val="single" w:color="auto" w:sz="4" w:space="0"/>
              <w:bottom w:val="single" w:color="auto" w:sz="4" w:space="0"/>
              <w:right w:val="single" w:color="auto" w:sz="4" w:space="0"/>
            </w:tcBorders>
            <w:vAlign w:val="center"/>
          </w:tcPr>
          <w:p w14:paraId="5694E82B">
            <w:pPr>
              <w:pStyle w:val="14"/>
              <w:spacing w:line="480" w:lineRule="auto"/>
              <w:ind w:firstLine="0"/>
              <w:jc w:val="left"/>
              <w:rPr>
                <w:rFonts w:ascii="宋体" w:hAnsi="宋体" w:cs="宋体"/>
                <w:b/>
                <w:szCs w:val="21"/>
              </w:rPr>
            </w:pPr>
            <w:r>
              <w:rPr>
                <w:rFonts w:hint="eastAsia" w:ascii="宋体" w:hAnsi="宋体" w:cs="宋体"/>
                <w:b/>
                <w:szCs w:val="21"/>
              </w:rPr>
              <w:t xml:space="preserve">   天</w:t>
            </w:r>
          </w:p>
        </w:tc>
      </w:tr>
    </w:tbl>
    <w:p w14:paraId="4F7DB2A9">
      <w:pPr>
        <w:widowControl/>
        <w:spacing w:line="360" w:lineRule="auto"/>
        <w:jc w:val="left"/>
        <w:rPr>
          <w:rFonts w:ascii="宋体" w:hAnsi="宋体" w:cs="宋体"/>
          <w:szCs w:val="21"/>
          <w:lang w:val="zh-CN"/>
        </w:rPr>
      </w:pPr>
    </w:p>
    <w:p w14:paraId="243BDFED">
      <w:pPr>
        <w:widowControl/>
        <w:spacing w:line="360" w:lineRule="auto"/>
        <w:jc w:val="left"/>
        <w:rPr>
          <w:rFonts w:ascii="宋体" w:hAnsi="宋体" w:cs="宋体"/>
          <w:szCs w:val="21"/>
          <w:lang w:val="zh-CN"/>
        </w:rPr>
      </w:pPr>
      <w:r>
        <w:rPr>
          <w:rFonts w:hint="eastAsia" w:ascii="宋体" w:hAnsi="宋体" w:cs="宋体"/>
          <w:szCs w:val="21"/>
          <w:lang w:val="zh-CN"/>
        </w:rPr>
        <w:t>供应商名称：</w:t>
      </w:r>
      <w:r>
        <w:rPr>
          <w:rFonts w:hint="eastAsia" w:ascii="宋体" w:hAnsi="宋体" w:cs="宋体"/>
          <w:szCs w:val="21"/>
          <w:u w:val="single"/>
          <w:lang w:val="zh-CN"/>
        </w:rPr>
        <w:t xml:space="preserve">                                                  </w:t>
      </w:r>
      <w:r>
        <w:rPr>
          <w:rFonts w:hint="eastAsia" w:ascii="宋体" w:hAnsi="宋体" w:cs="宋体"/>
          <w:szCs w:val="21"/>
          <w:lang w:val="zh-CN"/>
        </w:rPr>
        <w:t>（盖章）</w:t>
      </w:r>
    </w:p>
    <w:p w14:paraId="280A5B78">
      <w:pPr>
        <w:widowControl/>
        <w:spacing w:line="360" w:lineRule="auto"/>
        <w:jc w:val="left"/>
        <w:rPr>
          <w:rFonts w:ascii="宋体" w:hAnsi="宋体" w:cs="宋体"/>
          <w:szCs w:val="21"/>
          <w:lang w:val="zh-CN"/>
        </w:rPr>
      </w:pPr>
    </w:p>
    <w:p w14:paraId="3063D24D">
      <w:pPr>
        <w:rPr>
          <w:rFonts w:ascii="宋体" w:hAnsi="宋体" w:cs="宋体"/>
          <w:b/>
          <w:szCs w:val="21"/>
          <w:lang w:val="zh-CN"/>
        </w:rPr>
      </w:pPr>
      <w:r>
        <w:rPr>
          <w:rFonts w:hint="eastAsia" w:ascii="宋体" w:hAnsi="宋体" w:cs="宋体"/>
          <w:b/>
          <w:szCs w:val="21"/>
          <w:lang w:val="zh-CN"/>
        </w:rPr>
        <w:br w:type="page"/>
      </w:r>
    </w:p>
    <w:p w14:paraId="0087A74C">
      <w:pPr>
        <w:widowControl/>
        <w:spacing w:line="360" w:lineRule="auto"/>
        <w:jc w:val="left"/>
        <w:outlineLvl w:val="1"/>
        <w:rPr>
          <w:rFonts w:ascii="宋体" w:hAnsi="宋体" w:cs="宋体"/>
          <w:b/>
          <w:szCs w:val="21"/>
          <w:lang w:val="zh-CN"/>
        </w:rPr>
      </w:pPr>
      <w:r>
        <w:rPr>
          <w:rFonts w:hint="eastAsia" w:ascii="宋体" w:hAnsi="宋体" w:cs="宋体"/>
          <w:b/>
          <w:szCs w:val="21"/>
          <w:lang w:val="zh-CN"/>
        </w:rPr>
        <w:t>目录四、资格证明文件</w:t>
      </w:r>
    </w:p>
    <w:p w14:paraId="6F29C17C">
      <w:pPr>
        <w:spacing w:line="360" w:lineRule="auto"/>
        <w:jc w:val="center"/>
        <w:rPr>
          <w:rFonts w:ascii="宋体" w:hAnsi="宋体" w:cs="宋体"/>
          <w:b/>
          <w:szCs w:val="21"/>
        </w:rPr>
      </w:pPr>
      <w:bookmarkStart w:id="6" w:name="_Toc489655335"/>
      <w:r>
        <w:rPr>
          <w:rFonts w:hint="eastAsia" w:ascii="宋体" w:hAnsi="宋体" w:cs="宋体"/>
          <w:b/>
          <w:szCs w:val="21"/>
        </w:rPr>
        <w:t>资格证明文件</w:t>
      </w:r>
      <w:bookmarkEnd w:id="6"/>
    </w:p>
    <w:p w14:paraId="2FF098B3">
      <w:pPr>
        <w:tabs>
          <w:tab w:val="left" w:pos="1487"/>
        </w:tabs>
        <w:spacing w:line="360" w:lineRule="auto"/>
        <w:ind w:firstLine="420" w:firstLineChars="200"/>
        <w:rPr>
          <w:rFonts w:ascii="宋体" w:hAnsi="宋体" w:cs="宋体"/>
          <w:szCs w:val="21"/>
        </w:rPr>
      </w:pPr>
    </w:p>
    <w:p w14:paraId="3C1EEA90">
      <w:pPr>
        <w:spacing w:before="50" w:after="50" w:line="360" w:lineRule="auto"/>
        <w:jc w:val="center"/>
        <w:rPr>
          <w:rFonts w:ascii="宋体" w:hAnsi="宋体" w:cs="宋体"/>
          <w:szCs w:val="21"/>
        </w:rPr>
      </w:pPr>
    </w:p>
    <w:p w14:paraId="0919607F">
      <w:pPr>
        <w:rPr>
          <w:rFonts w:ascii="宋体" w:hAnsi="宋体" w:cs="宋体"/>
          <w:szCs w:val="21"/>
        </w:rPr>
      </w:pPr>
      <w:r>
        <w:rPr>
          <w:rFonts w:hint="eastAsia" w:ascii="宋体" w:hAnsi="宋体" w:cs="宋体"/>
          <w:szCs w:val="21"/>
        </w:rPr>
        <w:br w:type="page"/>
      </w:r>
    </w:p>
    <w:p w14:paraId="2D9794DF">
      <w:pPr>
        <w:pStyle w:val="61"/>
      </w:pPr>
    </w:p>
    <w:p w14:paraId="2B36F359">
      <w:pPr>
        <w:widowControl/>
        <w:spacing w:line="360" w:lineRule="auto"/>
        <w:jc w:val="left"/>
        <w:outlineLvl w:val="1"/>
        <w:rPr>
          <w:rFonts w:ascii="宋体" w:hAnsi="宋体" w:cs="宋体"/>
          <w:szCs w:val="21"/>
        </w:rPr>
      </w:pPr>
      <w:r>
        <w:rPr>
          <w:rFonts w:hint="eastAsia" w:ascii="宋体" w:hAnsi="宋体" w:cs="宋体"/>
          <w:b/>
          <w:szCs w:val="21"/>
          <w:lang w:val="zh-CN"/>
        </w:rPr>
        <w:t>目录五、分项报价表</w:t>
      </w:r>
    </w:p>
    <w:p w14:paraId="762269FB">
      <w:pPr>
        <w:widowControl/>
        <w:spacing w:line="360" w:lineRule="auto"/>
        <w:jc w:val="center"/>
        <w:rPr>
          <w:rFonts w:ascii="宋体" w:hAnsi="宋体" w:cs="宋体"/>
          <w:b/>
          <w:szCs w:val="21"/>
          <w:lang w:val="zh-CN"/>
        </w:rPr>
      </w:pPr>
      <w:r>
        <w:rPr>
          <w:rFonts w:hint="eastAsia" w:ascii="宋体" w:hAnsi="宋体" w:cs="宋体"/>
          <w:b/>
          <w:szCs w:val="21"/>
          <w:lang w:val="zh-CN"/>
        </w:rPr>
        <w:t>分项报价表</w:t>
      </w:r>
    </w:p>
    <w:p w14:paraId="2148BB6B">
      <w:pPr>
        <w:widowControl/>
        <w:spacing w:line="360" w:lineRule="auto"/>
        <w:jc w:val="center"/>
        <w:rPr>
          <w:rFonts w:ascii="宋体" w:hAnsi="宋体" w:cs="宋体"/>
          <w:bCs/>
          <w:szCs w:val="21"/>
        </w:rPr>
      </w:pPr>
      <w:r>
        <w:rPr>
          <w:rFonts w:hint="eastAsia" w:ascii="宋体" w:hAnsi="宋体" w:cs="宋体"/>
          <w:b/>
          <w:bCs/>
          <w:szCs w:val="21"/>
        </w:rPr>
        <w:t>本项目为建设工程项目且</w:t>
      </w:r>
      <w:r>
        <w:rPr>
          <w:rFonts w:hint="eastAsia" w:ascii="宋体" w:hAnsi="宋体" w:cs="宋体"/>
          <w:b/>
          <w:szCs w:val="21"/>
        </w:rPr>
        <w:t>采购文件</w:t>
      </w:r>
      <w:r>
        <w:rPr>
          <w:rFonts w:hint="eastAsia" w:ascii="宋体" w:hAnsi="宋体" w:cs="宋体"/>
          <w:b/>
          <w:bCs/>
          <w:szCs w:val="21"/>
        </w:rPr>
        <w:t>提供工程量清单，供应商按最新工程量清单计价规范要求进行报价，要求表格齐全，数据详实。否则按无效处理。</w:t>
      </w:r>
    </w:p>
    <w:p w14:paraId="7E4ACDCF">
      <w:pPr>
        <w:widowControl/>
        <w:spacing w:line="360" w:lineRule="auto"/>
        <w:jc w:val="left"/>
        <w:rPr>
          <w:rFonts w:ascii="宋体" w:hAnsi="宋体" w:cs="宋体"/>
          <w:bCs/>
          <w:szCs w:val="21"/>
          <w:lang w:val="zh-CN"/>
        </w:rPr>
      </w:pPr>
    </w:p>
    <w:p w14:paraId="16C68B84">
      <w:pPr>
        <w:rPr>
          <w:rFonts w:ascii="宋体" w:hAnsi="宋体" w:cs="宋体"/>
          <w:b/>
          <w:szCs w:val="21"/>
          <w:lang w:val="zh-CN"/>
        </w:rPr>
      </w:pPr>
      <w:r>
        <w:rPr>
          <w:rFonts w:hint="eastAsia" w:ascii="宋体" w:hAnsi="宋体" w:cs="宋体"/>
          <w:b/>
          <w:szCs w:val="21"/>
          <w:lang w:val="zh-CN"/>
        </w:rPr>
        <w:br w:type="page"/>
      </w:r>
    </w:p>
    <w:p w14:paraId="59E3109B">
      <w:pPr>
        <w:widowControl/>
        <w:spacing w:line="360" w:lineRule="auto"/>
        <w:jc w:val="left"/>
        <w:outlineLvl w:val="1"/>
        <w:rPr>
          <w:rFonts w:ascii="宋体" w:hAnsi="宋体" w:cs="宋体"/>
          <w:b/>
          <w:szCs w:val="21"/>
          <w:lang w:val="zh-CN"/>
        </w:rPr>
      </w:pPr>
      <w:r>
        <w:rPr>
          <w:rFonts w:hint="eastAsia" w:ascii="宋体" w:hAnsi="宋体" w:cs="宋体"/>
          <w:b/>
          <w:szCs w:val="21"/>
          <w:lang w:val="zh-CN"/>
        </w:rPr>
        <w:t>目录六、资格性和符合性审查响应对照表</w:t>
      </w:r>
    </w:p>
    <w:p w14:paraId="7700F959">
      <w:pPr>
        <w:spacing w:before="50" w:after="50" w:line="360" w:lineRule="auto"/>
        <w:jc w:val="center"/>
        <w:rPr>
          <w:rFonts w:ascii="宋体" w:hAnsi="宋体" w:cs="宋体"/>
          <w:szCs w:val="21"/>
        </w:rPr>
      </w:pPr>
      <w:r>
        <w:rPr>
          <w:rFonts w:hint="eastAsia" w:ascii="宋体" w:hAnsi="宋体" w:cs="宋体"/>
          <w:szCs w:val="21"/>
        </w:rPr>
        <w:t>资格性和符合性审查响应对照表</w:t>
      </w:r>
    </w:p>
    <w:p w14:paraId="7B6AD2E0">
      <w:pPr>
        <w:spacing w:before="50" w:after="50"/>
        <w:rPr>
          <w:rFonts w:ascii="宋体" w:hAnsi="宋体" w:cs="宋体"/>
          <w:szCs w:val="21"/>
          <w:u w:val="single"/>
        </w:rPr>
      </w:pPr>
      <w:r>
        <w:rPr>
          <w:rFonts w:hint="eastAsia" w:ascii="宋体" w:hAnsi="宋体" w:cs="宋体"/>
          <w:szCs w:val="21"/>
        </w:rPr>
        <w:t>项目名称：                                                 项目编号：</w:t>
      </w:r>
    </w:p>
    <w:tbl>
      <w:tblPr>
        <w:tblStyle w:val="47"/>
        <w:tblW w:w="96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7"/>
        <w:gridCol w:w="5355"/>
        <w:gridCol w:w="1772"/>
        <w:gridCol w:w="1785"/>
      </w:tblGrid>
      <w:tr w14:paraId="237D5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67" w:type="dxa"/>
            <w:vAlign w:val="center"/>
          </w:tcPr>
          <w:p w14:paraId="4C28CBD8">
            <w:pPr>
              <w:jc w:val="center"/>
              <w:rPr>
                <w:rFonts w:ascii="宋体" w:hAnsi="宋体" w:cs="宋体"/>
                <w:szCs w:val="21"/>
              </w:rPr>
            </w:pPr>
            <w:r>
              <w:rPr>
                <w:rFonts w:hint="eastAsia" w:ascii="宋体" w:hAnsi="宋体" w:cs="宋体"/>
                <w:szCs w:val="21"/>
              </w:rPr>
              <w:t>序号</w:t>
            </w:r>
          </w:p>
        </w:tc>
        <w:tc>
          <w:tcPr>
            <w:tcW w:w="5355" w:type="dxa"/>
            <w:vAlign w:val="center"/>
          </w:tcPr>
          <w:p w14:paraId="5420E9AB">
            <w:pPr>
              <w:jc w:val="center"/>
              <w:rPr>
                <w:rFonts w:ascii="宋体" w:hAnsi="宋体" w:cs="宋体"/>
                <w:b/>
                <w:szCs w:val="21"/>
              </w:rPr>
            </w:pPr>
            <w:r>
              <w:rPr>
                <w:rFonts w:hint="eastAsia" w:ascii="宋体" w:hAnsi="宋体" w:cs="宋体"/>
                <w:b/>
                <w:szCs w:val="21"/>
              </w:rPr>
              <w:t>资格性审查响应内容</w:t>
            </w:r>
          </w:p>
        </w:tc>
        <w:tc>
          <w:tcPr>
            <w:tcW w:w="1772" w:type="dxa"/>
            <w:vAlign w:val="center"/>
          </w:tcPr>
          <w:p w14:paraId="0DB13AE9">
            <w:pPr>
              <w:jc w:val="center"/>
              <w:rPr>
                <w:rFonts w:ascii="宋体" w:hAnsi="宋体" w:cs="宋体"/>
                <w:szCs w:val="21"/>
              </w:rPr>
            </w:pPr>
            <w:r>
              <w:rPr>
                <w:rFonts w:hint="eastAsia" w:ascii="宋体" w:hAnsi="宋体" w:cs="宋体"/>
                <w:szCs w:val="21"/>
              </w:rPr>
              <w:t>是否响应</w:t>
            </w:r>
          </w:p>
          <w:p w14:paraId="632DC4CC">
            <w:pPr>
              <w:jc w:val="center"/>
              <w:rPr>
                <w:rFonts w:ascii="宋体" w:hAnsi="宋体" w:cs="宋体"/>
                <w:szCs w:val="21"/>
              </w:rPr>
            </w:pPr>
            <w:r>
              <w:rPr>
                <w:rFonts w:hint="eastAsia" w:ascii="宋体" w:hAnsi="宋体" w:cs="宋体"/>
                <w:szCs w:val="21"/>
              </w:rPr>
              <w:t>（填是或者否）</w:t>
            </w:r>
          </w:p>
        </w:tc>
        <w:tc>
          <w:tcPr>
            <w:tcW w:w="1785" w:type="dxa"/>
            <w:vAlign w:val="center"/>
          </w:tcPr>
          <w:p w14:paraId="6DE3C33D">
            <w:pPr>
              <w:jc w:val="center"/>
              <w:rPr>
                <w:rFonts w:ascii="宋体" w:hAnsi="宋体" w:cs="宋体"/>
                <w:szCs w:val="21"/>
              </w:rPr>
            </w:pPr>
            <w:r>
              <w:rPr>
                <w:rFonts w:hint="eastAsia" w:ascii="宋体" w:hAnsi="宋体" w:cs="宋体"/>
                <w:szCs w:val="21"/>
              </w:rPr>
              <w:t>响应文件中的</w:t>
            </w:r>
          </w:p>
          <w:p w14:paraId="55C5E209">
            <w:pPr>
              <w:jc w:val="center"/>
              <w:rPr>
                <w:rFonts w:ascii="宋体" w:hAnsi="宋体" w:cs="宋体"/>
                <w:szCs w:val="21"/>
              </w:rPr>
            </w:pPr>
            <w:r>
              <w:rPr>
                <w:rFonts w:hint="eastAsia" w:ascii="宋体" w:hAnsi="宋体" w:cs="宋体"/>
                <w:szCs w:val="21"/>
              </w:rPr>
              <w:t>页码位置</w:t>
            </w:r>
          </w:p>
        </w:tc>
      </w:tr>
      <w:tr w14:paraId="62B5B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67" w:type="dxa"/>
            <w:vAlign w:val="center"/>
          </w:tcPr>
          <w:p w14:paraId="1B48A2B9">
            <w:pPr>
              <w:jc w:val="center"/>
              <w:rPr>
                <w:rFonts w:ascii="宋体" w:hAnsi="宋体" w:cs="宋体"/>
                <w:szCs w:val="21"/>
              </w:rPr>
            </w:pPr>
            <w:r>
              <w:rPr>
                <w:rFonts w:hint="eastAsia" w:ascii="宋体" w:hAnsi="宋体" w:cs="宋体"/>
                <w:szCs w:val="21"/>
              </w:rPr>
              <w:t>1</w:t>
            </w:r>
          </w:p>
        </w:tc>
        <w:tc>
          <w:tcPr>
            <w:tcW w:w="5355" w:type="dxa"/>
            <w:vAlign w:val="center"/>
          </w:tcPr>
          <w:p w14:paraId="4C9751C6">
            <w:pPr>
              <w:rPr>
                <w:rFonts w:ascii="宋体" w:hAnsi="宋体" w:cs="宋体"/>
                <w:szCs w:val="21"/>
              </w:rPr>
            </w:pPr>
          </w:p>
        </w:tc>
        <w:tc>
          <w:tcPr>
            <w:tcW w:w="1772" w:type="dxa"/>
            <w:vAlign w:val="center"/>
          </w:tcPr>
          <w:p w14:paraId="6428E61B">
            <w:pPr>
              <w:rPr>
                <w:rFonts w:ascii="宋体" w:hAnsi="宋体" w:cs="宋体"/>
                <w:szCs w:val="21"/>
              </w:rPr>
            </w:pPr>
          </w:p>
        </w:tc>
        <w:tc>
          <w:tcPr>
            <w:tcW w:w="1785" w:type="dxa"/>
            <w:vAlign w:val="center"/>
          </w:tcPr>
          <w:p w14:paraId="10107719">
            <w:pPr>
              <w:rPr>
                <w:rFonts w:ascii="宋体" w:hAnsi="宋体" w:cs="宋体"/>
                <w:szCs w:val="21"/>
              </w:rPr>
            </w:pPr>
          </w:p>
        </w:tc>
      </w:tr>
      <w:tr w14:paraId="72EA8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67" w:type="dxa"/>
            <w:vAlign w:val="center"/>
          </w:tcPr>
          <w:p w14:paraId="6FA1EF2D">
            <w:pPr>
              <w:jc w:val="center"/>
              <w:rPr>
                <w:rFonts w:ascii="宋体" w:hAnsi="宋体" w:cs="宋体"/>
                <w:szCs w:val="21"/>
              </w:rPr>
            </w:pPr>
            <w:r>
              <w:rPr>
                <w:rFonts w:hint="eastAsia" w:ascii="宋体" w:hAnsi="宋体" w:cs="宋体"/>
                <w:szCs w:val="21"/>
              </w:rPr>
              <w:t>2</w:t>
            </w:r>
          </w:p>
        </w:tc>
        <w:tc>
          <w:tcPr>
            <w:tcW w:w="5355" w:type="dxa"/>
            <w:vAlign w:val="center"/>
          </w:tcPr>
          <w:p w14:paraId="3261972C">
            <w:pPr>
              <w:rPr>
                <w:rFonts w:ascii="宋体" w:hAnsi="宋体" w:cs="宋体"/>
                <w:szCs w:val="21"/>
              </w:rPr>
            </w:pPr>
          </w:p>
        </w:tc>
        <w:tc>
          <w:tcPr>
            <w:tcW w:w="1772" w:type="dxa"/>
            <w:vAlign w:val="center"/>
          </w:tcPr>
          <w:p w14:paraId="64F13658">
            <w:pPr>
              <w:rPr>
                <w:rFonts w:ascii="宋体" w:hAnsi="宋体" w:cs="宋体"/>
                <w:szCs w:val="21"/>
              </w:rPr>
            </w:pPr>
          </w:p>
        </w:tc>
        <w:tc>
          <w:tcPr>
            <w:tcW w:w="1785" w:type="dxa"/>
            <w:vAlign w:val="center"/>
          </w:tcPr>
          <w:p w14:paraId="14BEB320">
            <w:pPr>
              <w:rPr>
                <w:rFonts w:ascii="宋体" w:hAnsi="宋体" w:cs="宋体"/>
                <w:szCs w:val="21"/>
              </w:rPr>
            </w:pPr>
          </w:p>
        </w:tc>
      </w:tr>
      <w:tr w14:paraId="5691F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67" w:type="dxa"/>
            <w:vAlign w:val="center"/>
          </w:tcPr>
          <w:p w14:paraId="2B6396E5">
            <w:pPr>
              <w:jc w:val="center"/>
              <w:rPr>
                <w:rFonts w:ascii="宋体" w:hAnsi="宋体" w:cs="宋体"/>
                <w:szCs w:val="21"/>
              </w:rPr>
            </w:pPr>
            <w:r>
              <w:rPr>
                <w:rFonts w:hint="eastAsia" w:ascii="宋体" w:hAnsi="宋体" w:cs="宋体"/>
                <w:szCs w:val="21"/>
              </w:rPr>
              <w:t>3</w:t>
            </w:r>
          </w:p>
        </w:tc>
        <w:tc>
          <w:tcPr>
            <w:tcW w:w="5355" w:type="dxa"/>
            <w:vAlign w:val="center"/>
          </w:tcPr>
          <w:p w14:paraId="26A08943">
            <w:pPr>
              <w:rPr>
                <w:rFonts w:ascii="宋体" w:hAnsi="宋体" w:cs="宋体"/>
                <w:szCs w:val="21"/>
              </w:rPr>
            </w:pPr>
          </w:p>
        </w:tc>
        <w:tc>
          <w:tcPr>
            <w:tcW w:w="1772" w:type="dxa"/>
            <w:vAlign w:val="center"/>
          </w:tcPr>
          <w:p w14:paraId="77BEA069">
            <w:pPr>
              <w:rPr>
                <w:rFonts w:ascii="宋体" w:hAnsi="宋体" w:cs="宋体"/>
                <w:szCs w:val="21"/>
              </w:rPr>
            </w:pPr>
          </w:p>
        </w:tc>
        <w:tc>
          <w:tcPr>
            <w:tcW w:w="1785" w:type="dxa"/>
            <w:vAlign w:val="center"/>
          </w:tcPr>
          <w:p w14:paraId="671CCA83">
            <w:pPr>
              <w:rPr>
                <w:rFonts w:ascii="宋体" w:hAnsi="宋体" w:cs="宋体"/>
                <w:szCs w:val="21"/>
              </w:rPr>
            </w:pPr>
          </w:p>
        </w:tc>
      </w:tr>
      <w:tr w14:paraId="72057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67" w:type="dxa"/>
            <w:vAlign w:val="center"/>
          </w:tcPr>
          <w:p w14:paraId="381EB1A5">
            <w:pPr>
              <w:jc w:val="center"/>
              <w:rPr>
                <w:rFonts w:ascii="宋体" w:hAnsi="宋体" w:cs="宋体"/>
                <w:szCs w:val="21"/>
              </w:rPr>
            </w:pPr>
            <w:r>
              <w:rPr>
                <w:rFonts w:hint="eastAsia" w:ascii="宋体" w:hAnsi="宋体" w:cs="宋体"/>
                <w:szCs w:val="21"/>
              </w:rPr>
              <w:t>.</w:t>
            </w:r>
          </w:p>
        </w:tc>
        <w:tc>
          <w:tcPr>
            <w:tcW w:w="5355" w:type="dxa"/>
            <w:vAlign w:val="center"/>
          </w:tcPr>
          <w:p w14:paraId="0C91EAF9">
            <w:pPr>
              <w:rPr>
                <w:rFonts w:ascii="宋体" w:hAnsi="宋体" w:cs="宋体"/>
                <w:szCs w:val="21"/>
              </w:rPr>
            </w:pPr>
          </w:p>
        </w:tc>
        <w:tc>
          <w:tcPr>
            <w:tcW w:w="1772" w:type="dxa"/>
            <w:vAlign w:val="center"/>
          </w:tcPr>
          <w:p w14:paraId="54F018BD">
            <w:pPr>
              <w:rPr>
                <w:rFonts w:ascii="宋体" w:hAnsi="宋体" w:cs="宋体"/>
                <w:szCs w:val="21"/>
              </w:rPr>
            </w:pPr>
          </w:p>
        </w:tc>
        <w:tc>
          <w:tcPr>
            <w:tcW w:w="1785" w:type="dxa"/>
            <w:vAlign w:val="center"/>
          </w:tcPr>
          <w:p w14:paraId="19F1F30A">
            <w:pPr>
              <w:rPr>
                <w:rFonts w:ascii="宋体" w:hAnsi="宋体" w:cs="宋体"/>
                <w:szCs w:val="21"/>
              </w:rPr>
            </w:pPr>
          </w:p>
        </w:tc>
      </w:tr>
      <w:tr w14:paraId="3DA04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67" w:type="dxa"/>
            <w:vAlign w:val="center"/>
          </w:tcPr>
          <w:p w14:paraId="574FB429">
            <w:pPr>
              <w:jc w:val="center"/>
              <w:rPr>
                <w:rFonts w:ascii="宋体" w:hAnsi="宋体" w:cs="宋体"/>
                <w:szCs w:val="21"/>
              </w:rPr>
            </w:pPr>
            <w:r>
              <w:rPr>
                <w:rFonts w:hint="eastAsia" w:ascii="宋体" w:hAnsi="宋体" w:cs="宋体"/>
                <w:szCs w:val="21"/>
              </w:rPr>
              <w:t>.</w:t>
            </w:r>
          </w:p>
        </w:tc>
        <w:tc>
          <w:tcPr>
            <w:tcW w:w="5355" w:type="dxa"/>
            <w:vAlign w:val="center"/>
          </w:tcPr>
          <w:p w14:paraId="27BF7983">
            <w:pPr>
              <w:rPr>
                <w:rFonts w:ascii="宋体" w:hAnsi="宋体" w:cs="宋体"/>
                <w:szCs w:val="21"/>
              </w:rPr>
            </w:pPr>
          </w:p>
        </w:tc>
        <w:tc>
          <w:tcPr>
            <w:tcW w:w="1772" w:type="dxa"/>
            <w:vAlign w:val="center"/>
          </w:tcPr>
          <w:p w14:paraId="77A570A7">
            <w:pPr>
              <w:rPr>
                <w:rFonts w:ascii="宋体" w:hAnsi="宋体" w:cs="宋体"/>
                <w:szCs w:val="21"/>
              </w:rPr>
            </w:pPr>
          </w:p>
        </w:tc>
        <w:tc>
          <w:tcPr>
            <w:tcW w:w="1785" w:type="dxa"/>
            <w:vAlign w:val="center"/>
          </w:tcPr>
          <w:p w14:paraId="20DF9D3F">
            <w:pPr>
              <w:rPr>
                <w:rFonts w:ascii="宋体" w:hAnsi="宋体" w:cs="宋体"/>
                <w:szCs w:val="21"/>
              </w:rPr>
            </w:pPr>
          </w:p>
        </w:tc>
      </w:tr>
      <w:tr w14:paraId="371D3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67" w:type="dxa"/>
            <w:vAlign w:val="center"/>
          </w:tcPr>
          <w:p w14:paraId="48D02E3A">
            <w:pPr>
              <w:jc w:val="center"/>
              <w:rPr>
                <w:rFonts w:ascii="宋体" w:hAnsi="宋体" w:cs="宋体"/>
                <w:szCs w:val="21"/>
              </w:rPr>
            </w:pPr>
            <w:r>
              <w:rPr>
                <w:rFonts w:hint="eastAsia" w:ascii="宋体" w:hAnsi="宋体" w:cs="宋体"/>
                <w:szCs w:val="21"/>
              </w:rPr>
              <w:t>序号</w:t>
            </w:r>
          </w:p>
        </w:tc>
        <w:tc>
          <w:tcPr>
            <w:tcW w:w="5355" w:type="dxa"/>
            <w:vAlign w:val="center"/>
          </w:tcPr>
          <w:p w14:paraId="758A4A7F">
            <w:pPr>
              <w:jc w:val="center"/>
              <w:rPr>
                <w:rFonts w:ascii="宋体" w:hAnsi="宋体" w:cs="宋体"/>
                <w:b/>
                <w:szCs w:val="21"/>
              </w:rPr>
            </w:pPr>
            <w:r>
              <w:rPr>
                <w:rFonts w:hint="eastAsia" w:ascii="宋体" w:hAnsi="宋体" w:cs="宋体"/>
                <w:b/>
                <w:szCs w:val="21"/>
              </w:rPr>
              <w:t>符合性审查响应内容</w:t>
            </w:r>
          </w:p>
        </w:tc>
        <w:tc>
          <w:tcPr>
            <w:tcW w:w="1772" w:type="dxa"/>
            <w:vAlign w:val="center"/>
          </w:tcPr>
          <w:p w14:paraId="5558EBC3">
            <w:pPr>
              <w:jc w:val="center"/>
              <w:rPr>
                <w:rFonts w:ascii="宋体" w:hAnsi="宋体" w:cs="宋体"/>
                <w:szCs w:val="21"/>
              </w:rPr>
            </w:pPr>
            <w:r>
              <w:rPr>
                <w:rFonts w:hint="eastAsia" w:ascii="宋体" w:hAnsi="宋体" w:cs="宋体"/>
                <w:szCs w:val="21"/>
              </w:rPr>
              <w:t>是否响应</w:t>
            </w:r>
          </w:p>
          <w:p w14:paraId="4F597AF8">
            <w:pPr>
              <w:jc w:val="center"/>
              <w:rPr>
                <w:rFonts w:ascii="宋体" w:hAnsi="宋体" w:cs="宋体"/>
                <w:szCs w:val="21"/>
              </w:rPr>
            </w:pPr>
            <w:r>
              <w:rPr>
                <w:rFonts w:hint="eastAsia" w:ascii="宋体" w:hAnsi="宋体" w:cs="宋体"/>
                <w:szCs w:val="21"/>
              </w:rPr>
              <w:t>（填是或者否）</w:t>
            </w:r>
          </w:p>
        </w:tc>
        <w:tc>
          <w:tcPr>
            <w:tcW w:w="1785" w:type="dxa"/>
            <w:vAlign w:val="center"/>
          </w:tcPr>
          <w:p w14:paraId="36CF61D9">
            <w:pPr>
              <w:jc w:val="center"/>
              <w:rPr>
                <w:rFonts w:ascii="宋体" w:hAnsi="宋体" w:cs="宋体"/>
                <w:szCs w:val="21"/>
              </w:rPr>
            </w:pPr>
            <w:r>
              <w:rPr>
                <w:rFonts w:hint="eastAsia" w:ascii="宋体" w:hAnsi="宋体" w:cs="宋体"/>
                <w:szCs w:val="21"/>
              </w:rPr>
              <w:t>响应文件中的</w:t>
            </w:r>
          </w:p>
          <w:p w14:paraId="4CE98EEF">
            <w:pPr>
              <w:jc w:val="center"/>
              <w:rPr>
                <w:rFonts w:ascii="宋体" w:hAnsi="宋体" w:cs="宋体"/>
                <w:szCs w:val="21"/>
              </w:rPr>
            </w:pPr>
            <w:r>
              <w:rPr>
                <w:rFonts w:hint="eastAsia" w:ascii="宋体" w:hAnsi="宋体" w:cs="宋体"/>
                <w:szCs w:val="21"/>
              </w:rPr>
              <w:t>页码位置</w:t>
            </w:r>
          </w:p>
        </w:tc>
      </w:tr>
      <w:tr w14:paraId="0E403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67" w:type="dxa"/>
            <w:vAlign w:val="center"/>
          </w:tcPr>
          <w:p w14:paraId="77BF7181">
            <w:pPr>
              <w:jc w:val="center"/>
              <w:rPr>
                <w:rFonts w:ascii="宋体" w:hAnsi="宋体" w:cs="宋体"/>
                <w:szCs w:val="21"/>
              </w:rPr>
            </w:pPr>
            <w:r>
              <w:rPr>
                <w:rFonts w:hint="eastAsia" w:ascii="宋体" w:hAnsi="宋体" w:cs="宋体"/>
                <w:szCs w:val="21"/>
              </w:rPr>
              <w:t>.</w:t>
            </w:r>
          </w:p>
        </w:tc>
        <w:tc>
          <w:tcPr>
            <w:tcW w:w="5355" w:type="dxa"/>
            <w:vAlign w:val="center"/>
          </w:tcPr>
          <w:p w14:paraId="0672637E">
            <w:pPr>
              <w:rPr>
                <w:rFonts w:ascii="宋体" w:hAnsi="宋体" w:cs="宋体"/>
                <w:szCs w:val="21"/>
              </w:rPr>
            </w:pPr>
          </w:p>
        </w:tc>
        <w:tc>
          <w:tcPr>
            <w:tcW w:w="1772" w:type="dxa"/>
            <w:vAlign w:val="center"/>
          </w:tcPr>
          <w:p w14:paraId="6D5F958A">
            <w:pPr>
              <w:rPr>
                <w:rFonts w:ascii="宋体" w:hAnsi="宋体" w:cs="宋体"/>
                <w:szCs w:val="21"/>
              </w:rPr>
            </w:pPr>
          </w:p>
        </w:tc>
        <w:tc>
          <w:tcPr>
            <w:tcW w:w="1785" w:type="dxa"/>
            <w:vAlign w:val="center"/>
          </w:tcPr>
          <w:p w14:paraId="06F8B4E4">
            <w:pPr>
              <w:rPr>
                <w:rFonts w:ascii="宋体" w:hAnsi="宋体" w:cs="宋体"/>
                <w:szCs w:val="21"/>
              </w:rPr>
            </w:pPr>
          </w:p>
        </w:tc>
      </w:tr>
      <w:tr w14:paraId="1B72B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67" w:type="dxa"/>
            <w:vAlign w:val="center"/>
          </w:tcPr>
          <w:p w14:paraId="505991BC">
            <w:pPr>
              <w:jc w:val="center"/>
              <w:rPr>
                <w:rFonts w:ascii="宋体" w:hAnsi="宋体" w:cs="宋体"/>
                <w:szCs w:val="21"/>
              </w:rPr>
            </w:pPr>
            <w:r>
              <w:rPr>
                <w:rFonts w:hint="eastAsia" w:ascii="宋体" w:hAnsi="宋体" w:cs="宋体"/>
                <w:szCs w:val="21"/>
              </w:rPr>
              <w:t>.</w:t>
            </w:r>
          </w:p>
        </w:tc>
        <w:tc>
          <w:tcPr>
            <w:tcW w:w="5355" w:type="dxa"/>
            <w:vAlign w:val="center"/>
          </w:tcPr>
          <w:p w14:paraId="1738B47D">
            <w:pPr>
              <w:rPr>
                <w:rFonts w:ascii="宋体" w:hAnsi="宋体" w:cs="宋体"/>
                <w:szCs w:val="21"/>
              </w:rPr>
            </w:pPr>
          </w:p>
        </w:tc>
        <w:tc>
          <w:tcPr>
            <w:tcW w:w="1772" w:type="dxa"/>
            <w:vAlign w:val="center"/>
          </w:tcPr>
          <w:p w14:paraId="7570D50E">
            <w:pPr>
              <w:rPr>
                <w:rFonts w:ascii="宋体" w:hAnsi="宋体" w:cs="宋体"/>
                <w:szCs w:val="21"/>
              </w:rPr>
            </w:pPr>
          </w:p>
        </w:tc>
        <w:tc>
          <w:tcPr>
            <w:tcW w:w="1785" w:type="dxa"/>
            <w:vAlign w:val="center"/>
          </w:tcPr>
          <w:p w14:paraId="04AA7C64">
            <w:pPr>
              <w:rPr>
                <w:rFonts w:ascii="宋体" w:hAnsi="宋体" w:cs="宋体"/>
                <w:szCs w:val="21"/>
              </w:rPr>
            </w:pPr>
          </w:p>
        </w:tc>
      </w:tr>
      <w:tr w14:paraId="62F26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67" w:type="dxa"/>
            <w:vAlign w:val="center"/>
          </w:tcPr>
          <w:p w14:paraId="1AE3A7CA">
            <w:pPr>
              <w:jc w:val="center"/>
              <w:rPr>
                <w:rFonts w:ascii="宋体" w:hAnsi="宋体" w:cs="宋体"/>
                <w:szCs w:val="21"/>
              </w:rPr>
            </w:pPr>
            <w:r>
              <w:rPr>
                <w:rFonts w:hint="eastAsia" w:ascii="宋体" w:hAnsi="宋体" w:cs="宋体"/>
                <w:szCs w:val="21"/>
              </w:rPr>
              <w:t>.</w:t>
            </w:r>
          </w:p>
        </w:tc>
        <w:tc>
          <w:tcPr>
            <w:tcW w:w="5355" w:type="dxa"/>
            <w:vAlign w:val="center"/>
          </w:tcPr>
          <w:p w14:paraId="2AA89E9D">
            <w:pPr>
              <w:rPr>
                <w:rFonts w:ascii="宋体" w:hAnsi="宋体" w:cs="宋体"/>
                <w:szCs w:val="21"/>
              </w:rPr>
            </w:pPr>
          </w:p>
        </w:tc>
        <w:tc>
          <w:tcPr>
            <w:tcW w:w="1772" w:type="dxa"/>
            <w:vAlign w:val="center"/>
          </w:tcPr>
          <w:p w14:paraId="21D9C9A6">
            <w:pPr>
              <w:rPr>
                <w:rFonts w:ascii="宋体" w:hAnsi="宋体" w:cs="宋体"/>
                <w:szCs w:val="21"/>
              </w:rPr>
            </w:pPr>
          </w:p>
        </w:tc>
        <w:tc>
          <w:tcPr>
            <w:tcW w:w="1785" w:type="dxa"/>
            <w:vAlign w:val="center"/>
          </w:tcPr>
          <w:p w14:paraId="3B19AC43">
            <w:pPr>
              <w:rPr>
                <w:rFonts w:ascii="宋体" w:hAnsi="宋体" w:cs="宋体"/>
                <w:szCs w:val="21"/>
              </w:rPr>
            </w:pPr>
          </w:p>
        </w:tc>
      </w:tr>
      <w:tr w14:paraId="7E709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67" w:type="dxa"/>
            <w:vAlign w:val="center"/>
          </w:tcPr>
          <w:p w14:paraId="0774B57B">
            <w:pPr>
              <w:jc w:val="center"/>
              <w:rPr>
                <w:rFonts w:ascii="宋体" w:hAnsi="宋体" w:cs="宋体"/>
                <w:szCs w:val="21"/>
              </w:rPr>
            </w:pPr>
            <w:r>
              <w:rPr>
                <w:rFonts w:hint="eastAsia" w:ascii="宋体" w:hAnsi="宋体" w:cs="宋体"/>
                <w:szCs w:val="21"/>
              </w:rPr>
              <w:t>.</w:t>
            </w:r>
          </w:p>
        </w:tc>
        <w:tc>
          <w:tcPr>
            <w:tcW w:w="5355" w:type="dxa"/>
            <w:vAlign w:val="center"/>
          </w:tcPr>
          <w:p w14:paraId="2362EC3A">
            <w:pPr>
              <w:rPr>
                <w:rFonts w:ascii="宋体" w:hAnsi="宋体" w:cs="宋体"/>
                <w:szCs w:val="21"/>
              </w:rPr>
            </w:pPr>
          </w:p>
        </w:tc>
        <w:tc>
          <w:tcPr>
            <w:tcW w:w="1772" w:type="dxa"/>
            <w:vAlign w:val="center"/>
          </w:tcPr>
          <w:p w14:paraId="250D3DEB">
            <w:pPr>
              <w:rPr>
                <w:rFonts w:ascii="宋体" w:hAnsi="宋体" w:cs="宋体"/>
                <w:szCs w:val="21"/>
              </w:rPr>
            </w:pPr>
          </w:p>
        </w:tc>
        <w:tc>
          <w:tcPr>
            <w:tcW w:w="1785" w:type="dxa"/>
            <w:vAlign w:val="center"/>
          </w:tcPr>
          <w:p w14:paraId="080D39D7">
            <w:pPr>
              <w:rPr>
                <w:rFonts w:ascii="宋体" w:hAnsi="宋体" w:cs="宋体"/>
                <w:szCs w:val="21"/>
              </w:rPr>
            </w:pPr>
          </w:p>
        </w:tc>
      </w:tr>
      <w:tr w14:paraId="130FD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67" w:type="dxa"/>
            <w:vAlign w:val="center"/>
          </w:tcPr>
          <w:p w14:paraId="411B0DD2">
            <w:pPr>
              <w:jc w:val="center"/>
              <w:rPr>
                <w:rFonts w:ascii="宋体" w:hAnsi="宋体" w:cs="宋体"/>
                <w:szCs w:val="21"/>
              </w:rPr>
            </w:pPr>
            <w:r>
              <w:rPr>
                <w:rFonts w:hint="eastAsia" w:ascii="宋体" w:hAnsi="宋体" w:cs="宋体"/>
                <w:szCs w:val="21"/>
              </w:rPr>
              <w:t>.</w:t>
            </w:r>
          </w:p>
        </w:tc>
        <w:tc>
          <w:tcPr>
            <w:tcW w:w="5355" w:type="dxa"/>
            <w:vAlign w:val="center"/>
          </w:tcPr>
          <w:p w14:paraId="45EDFDA4">
            <w:pPr>
              <w:rPr>
                <w:rFonts w:ascii="宋体" w:hAnsi="宋体" w:cs="宋体"/>
                <w:szCs w:val="21"/>
              </w:rPr>
            </w:pPr>
            <w:r>
              <w:rPr>
                <w:rFonts w:hint="eastAsia" w:ascii="宋体" w:hAnsi="宋体" w:cs="宋体"/>
                <w:szCs w:val="21"/>
              </w:rPr>
              <w:t>采购文件中的其他实质性要求</w:t>
            </w:r>
          </w:p>
        </w:tc>
        <w:tc>
          <w:tcPr>
            <w:tcW w:w="1772" w:type="dxa"/>
            <w:vAlign w:val="center"/>
          </w:tcPr>
          <w:p w14:paraId="562859F0">
            <w:pPr>
              <w:rPr>
                <w:rFonts w:ascii="宋体" w:hAnsi="宋体" w:cs="宋体"/>
                <w:szCs w:val="21"/>
              </w:rPr>
            </w:pPr>
          </w:p>
        </w:tc>
        <w:tc>
          <w:tcPr>
            <w:tcW w:w="1785" w:type="dxa"/>
            <w:vAlign w:val="center"/>
          </w:tcPr>
          <w:p w14:paraId="650F3276">
            <w:pPr>
              <w:rPr>
                <w:rFonts w:ascii="宋体" w:hAnsi="宋体" w:cs="宋体"/>
                <w:szCs w:val="21"/>
              </w:rPr>
            </w:pPr>
          </w:p>
        </w:tc>
      </w:tr>
    </w:tbl>
    <w:p w14:paraId="61AE3D38">
      <w:pPr>
        <w:widowControl/>
        <w:spacing w:line="360" w:lineRule="auto"/>
        <w:jc w:val="left"/>
        <w:rPr>
          <w:rFonts w:ascii="宋体" w:hAnsi="宋体" w:cs="宋体"/>
          <w:szCs w:val="21"/>
          <w:lang w:val="zh-CN"/>
        </w:rPr>
      </w:pPr>
    </w:p>
    <w:p w14:paraId="746F7365">
      <w:pPr>
        <w:widowControl/>
        <w:spacing w:line="360" w:lineRule="auto"/>
        <w:jc w:val="left"/>
        <w:rPr>
          <w:rFonts w:ascii="宋体" w:hAnsi="宋体" w:cs="宋体"/>
          <w:szCs w:val="21"/>
          <w:lang w:val="zh-CN"/>
        </w:rPr>
      </w:pPr>
      <w:r>
        <w:rPr>
          <w:rFonts w:hint="eastAsia" w:ascii="宋体" w:hAnsi="宋体" w:cs="宋体"/>
          <w:szCs w:val="21"/>
          <w:lang w:val="zh-CN"/>
        </w:rPr>
        <w:t>供应商名称：（盖章）</w:t>
      </w:r>
    </w:p>
    <w:p w14:paraId="72AAD2AA">
      <w:pPr>
        <w:widowControl/>
        <w:spacing w:line="360" w:lineRule="auto"/>
        <w:jc w:val="left"/>
        <w:rPr>
          <w:rFonts w:ascii="宋体" w:hAnsi="宋体" w:cs="宋体"/>
          <w:szCs w:val="21"/>
          <w:lang w:val="zh-CN"/>
        </w:rPr>
      </w:pPr>
      <w:r>
        <w:rPr>
          <w:rFonts w:hint="eastAsia" w:ascii="宋体" w:hAnsi="宋体" w:cs="宋体"/>
          <w:szCs w:val="21"/>
          <w:lang w:val="zh-CN"/>
        </w:rPr>
        <w:t>说明：如果行数不够，请自行增加。</w:t>
      </w:r>
    </w:p>
    <w:p w14:paraId="1E60B008">
      <w:pPr>
        <w:rPr>
          <w:rFonts w:ascii="宋体" w:hAnsi="宋体" w:cs="宋体"/>
          <w:b/>
          <w:szCs w:val="21"/>
          <w:lang w:val="zh-CN"/>
        </w:rPr>
      </w:pPr>
      <w:r>
        <w:rPr>
          <w:rFonts w:hint="eastAsia" w:ascii="宋体" w:hAnsi="宋体" w:cs="宋体"/>
          <w:b/>
          <w:szCs w:val="21"/>
          <w:lang w:val="zh-CN"/>
        </w:rPr>
        <w:br w:type="page"/>
      </w:r>
    </w:p>
    <w:p w14:paraId="7E4DE883">
      <w:pPr>
        <w:widowControl/>
        <w:spacing w:line="360" w:lineRule="auto"/>
        <w:jc w:val="left"/>
        <w:outlineLvl w:val="1"/>
        <w:rPr>
          <w:rFonts w:ascii="宋体" w:hAnsi="宋体" w:cs="宋体"/>
          <w:b/>
          <w:szCs w:val="21"/>
          <w:lang w:val="zh-CN"/>
        </w:rPr>
      </w:pPr>
      <w:r>
        <w:rPr>
          <w:rFonts w:hint="eastAsia" w:ascii="宋体" w:hAnsi="宋体" w:cs="宋体"/>
          <w:b/>
          <w:szCs w:val="21"/>
          <w:lang w:val="zh-CN"/>
        </w:rPr>
        <w:t>目录</w:t>
      </w:r>
      <w:r>
        <w:rPr>
          <w:rFonts w:hint="eastAsia" w:ascii="宋体" w:hAnsi="宋体" w:cs="宋体"/>
          <w:b/>
          <w:szCs w:val="21"/>
        </w:rPr>
        <w:t>七</w:t>
      </w:r>
      <w:r>
        <w:rPr>
          <w:rFonts w:hint="eastAsia" w:ascii="宋体" w:hAnsi="宋体" w:cs="宋体"/>
          <w:b/>
          <w:szCs w:val="21"/>
          <w:lang w:val="zh-CN"/>
        </w:rPr>
        <w:t>、技术条款偏离表格式</w:t>
      </w:r>
    </w:p>
    <w:p w14:paraId="0DDDDFFB">
      <w:pPr>
        <w:widowControl/>
        <w:spacing w:line="360" w:lineRule="auto"/>
        <w:ind w:left="420"/>
        <w:jc w:val="center"/>
        <w:rPr>
          <w:rFonts w:ascii="宋体" w:hAnsi="宋体" w:cs="宋体"/>
          <w:szCs w:val="21"/>
          <w:lang w:val="zh-CN"/>
        </w:rPr>
      </w:pPr>
      <w:r>
        <w:rPr>
          <w:rFonts w:hint="eastAsia" w:ascii="宋体" w:hAnsi="宋体" w:cs="宋体"/>
          <w:szCs w:val="21"/>
          <w:lang w:val="zh-CN"/>
        </w:rPr>
        <w:t>技术条款偏离表</w:t>
      </w:r>
    </w:p>
    <w:tbl>
      <w:tblPr>
        <w:tblStyle w:val="47"/>
        <w:tblW w:w="9594" w:type="dxa"/>
        <w:jc w:val="center"/>
        <w:tblLayout w:type="fixed"/>
        <w:tblCellMar>
          <w:top w:w="0" w:type="dxa"/>
          <w:left w:w="0" w:type="dxa"/>
          <w:bottom w:w="0" w:type="dxa"/>
          <w:right w:w="0" w:type="dxa"/>
        </w:tblCellMar>
      </w:tblPr>
      <w:tblGrid>
        <w:gridCol w:w="924"/>
        <w:gridCol w:w="1620"/>
        <w:gridCol w:w="2700"/>
        <w:gridCol w:w="2432"/>
        <w:gridCol w:w="975"/>
        <w:gridCol w:w="943"/>
      </w:tblGrid>
      <w:tr w14:paraId="006D5A02">
        <w:tblPrEx>
          <w:tblCellMar>
            <w:top w:w="0" w:type="dxa"/>
            <w:left w:w="0" w:type="dxa"/>
            <w:bottom w:w="0" w:type="dxa"/>
            <w:right w:w="0" w:type="dxa"/>
          </w:tblCellMar>
        </w:tblPrEx>
        <w:trPr>
          <w:trHeight w:val="227" w:hRule="atLeast"/>
          <w:jc w:val="center"/>
        </w:trPr>
        <w:tc>
          <w:tcPr>
            <w:tcW w:w="5244" w:type="dxa"/>
            <w:gridSpan w:val="3"/>
            <w:tcBorders>
              <w:top w:val="single" w:color="auto" w:sz="4" w:space="0"/>
              <w:left w:val="single" w:color="auto" w:sz="4" w:space="0"/>
              <w:bottom w:val="single" w:color="auto" w:sz="4" w:space="0"/>
              <w:right w:val="single" w:color="auto" w:sz="4" w:space="0"/>
            </w:tcBorders>
            <w:vAlign w:val="center"/>
          </w:tcPr>
          <w:p w14:paraId="13E6535D">
            <w:pPr>
              <w:widowControl/>
              <w:spacing w:line="360" w:lineRule="auto"/>
              <w:jc w:val="left"/>
              <w:rPr>
                <w:rFonts w:ascii="宋体" w:hAnsi="宋体" w:cs="宋体"/>
                <w:szCs w:val="21"/>
                <w:lang w:val="zh-CN"/>
              </w:rPr>
            </w:pPr>
            <w:r>
              <w:rPr>
                <w:rFonts w:hint="eastAsia" w:ascii="宋体" w:hAnsi="宋体" w:cs="宋体"/>
                <w:szCs w:val="21"/>
                <w:lang w:val="zh-CN"/>
              </w:rPr>
              <w:t>项目名称：</w:t>
            </w:r>
          </w:p>
        </w:tc>
        <w:tc>
          <w:tcPr>
            <w:tcW w:w="4350" w:type="dxa"/>
            <w:gridSpan w:val="3"/>
            <w:tcBorders>
              <w:top w:val="single" w:color="auto" w:sz="4" w:space="0"/>
              <w:left w:val="single" w:color="auto" w:sz="4" w:space="0"/>
              <w:bottom w:val="single" w:color="auto" w:sz="4" w:space="0"/>
              <w:right w:val="single" w:color="auto" w:sz="4" w:space="0"/>
            </w:tcBorders>
            <w:vAlign w:val="center"/>
          </w:tcPr>
          <w:p w14:paraId="0618CC96">
            <w:pPr>
              <w:widowControl/>
              <w:spacing w:line="360" w:lineRule="auto"/>
              <w:jc w:val="left"/>
              <w:rPr>
                <w:rFonts w:ascii="宋体" w:hAnsi="宋体" w:cs="宋体"/>
                <w:szCs w:val="21"/>
                <w:lang w:val="zh-CN"/>
              </w:rPr>
            </w:pPr>
            <w:r>
              <w:rPr>
                <w:rFonts w:hint="eastAsia" w:ascii="宋体" w:hAnsi="宋体" w:cs="宋体"/>
                <w:szCs w:val="21"/>
                <w:lang w:val="zh-CN"/>
              </w:rPr>
              <w:t>项目编号：</w:t>
            </w:r>
          </w:p>
        </w:tc>
      </w:tr>
      <w:tr w14:paraId="133A9A5D">
        <w:tblPrEx>
          <w:tblCellMar>
            <w:top w:w="0" w:type="dxa"/>
            <w:left w:w="0" w:type="dxa"/>
            <w:bottom w:w="0" w:type="dxa"/>
            <w:right w:w="0" w:type="dxa"/>
          </w:tblCellMar>
        </w:tblPrEx>
        <w:trPr>
          <w:trHeight w:val="227" w:hRule="atLeast"/>
          <w:jc w:val="center"/>
        </w:trPr>
        <w:tc>
          <w:tcPr>
            <w:tcW w:w="924" w:type="dxa"/>
            <w:tcBorders>
              <w:top w:val="single" w:color="auto" w:sz="4" w:space="0"/>
              <w:left w:val="single" w:color="auto" w:sz="4" w:space="0"/>
              <w:bottom w:val="single" w:color="auto" w:sz="4" w:space="0"/>
              <w:right w:val="single" w:color="auto" w:sz="4" w:space="0"/>
            </w:tcBorders>
            <w:vAlign w:val="center"/>
          </w:tcPr>
          <w:p w14:paraId="7E22A516">
            <w:pPr>
              <w:widowControl/>
              <w:spacing w:line="360" w:lineRule="auto"/>
              <w:jc w:val="center"/>
              <w:rPr>
                <w:rFonts w:ascii="宋体" w:hAnsi="宋体" w:cs="宋体"/>
                <w:szCs w:val="21"/>
                <w:lang w:val="zh-CN"/>
              </w:rPr>
            </w:pPr>
            <w:r>
              <w:rPr>
                <w:rFonts w:hint="eastAsia" w:ascii="宋体" w:hAnsi="宋体" w:cs="宋体"/>
                <w:szCs w:val="21"/>
                <w:lang w:val="zh-CN"/>
              </w:rPr>
              <w:t>序号</w:t>
            </w:r>
          </w:p>
        </w:tc>
        <w:tc>
          <w:tcPr>
            <w:tcW w:w="1620" w:type="dxa"/>
            <w:tcBorders>
              <w:top w:val="single" w:color="auto" w:sz="4" w:space="0"/>
              <w:left w:val="single" w:color="auto" w:sz="4" w:space="0"/>
              <w:bottom w:val="single" w:color="auto" w:sz="4" w:space="0"/>
              <w:right w:val="single" w:color="auto" w:sz="4" w:space="0"/>
            </w:tcBorders>
            <w:vAlign w:val="center"/>
          </w:tcPr>
          <w:p w14:paraId="12243D33">
            <w:pPr>
              <w:widowControl/>
              <w:spacing w:line="360" w:lineRule="auto"/>
              <w:jc w:val="center"/>
              <w:rPr>
                <w:rFonts w:ascii="宋体" w:hAnsi="宋体" w:cs="宋体"/>
                <w:szCs w:val="21"/>
                <w:lang w:val="zh-CN"/>
              </w:rPr>
            </w:pPr>
            <w:r>
              <w:rPr>
                <w:rFonts w:hint="eastAsia" w:ascii="宋体" w:hAnsi="宋体" w:cs="宋体"/>
                <w:szCs w:val="21"/>
                <w:lang w:val="zh-CN"/>
              </w:rPr>
              <w:t>采购文件条目号</w:t>
            </w:r>
          </w:p>
        </w:tc>
        <w:tc>
          <w:tcPr>
            <w:tcW w:w="2700" w:type="dxa"/>
            <w:tcBorders>
              <w:top w:val="single" w:color="auto" w:sz="4" w:space="0"/>
              <w:left w:val="single" w:color="auto" w:sz="4" w:space="0"/>
              <w:bottom w:val="single" w:color="auto" w:sz="4" w:space="0"/>
              <w:right w:val="single" w:color="auto" w:sz="4" w:space="0"/>
            </w:tcBorders>
            <w:vAlign w:val="center"/>
          </w:tcPr>
          <w:p w14:paraId="134C8474">
            <w:pPr>
              <w:widowControl/>
              <w:spacing w:line="360" w:lineRule="auto"/>
              <w:jc w:val="center"/>
              <w:rPr>
                <w:rFonts w:ascii="宋体" w:hAnsi="宋体" w:cs="宋体"/>
                <w:szCs w:val="21"/>
                <w:lang w:val="zh-CN"/>
              </w:rPr>
            </w:pPr>
            <w:r>
              <w:rPr>
                <w:rFonts w:hint="eastAsia" w:ascii="宋体" w:hAnsi="宋体" w:cs="宋体"/>
                <w:szCs w:val="21"/>
                <w:lang w:val="zh-CN"/>
              </w:rPr>
              <w:t>采购要求规格</w:t>
            </w:r>
          </w:p>
        </w:tc>
        <w:tc>
          <w:tcPr>
            <w:tcW w:w="2432" w:type="dxa"/>
            <w:tcBorders>
              <w:top w:val="single" w:color="auto" w:sz="4" w:space="0"/>
              <w:left w:val="single" w:color="auto" w:sz="4" w:space="0"/>
              <w:bottom w:val="single" w:color="auto" w:sz="4" w:space="0"/>
              <w:right w:val="single" w:color="auto" w:sz="4" w:space="0"/>
            </w:tcBorders>
            <w:vAlign w:val="center"/>
          </w:tcPr>
          <w:p w14:paraId="79820F15">
            <w:pPr>
              <w:widowControl/>
              <w:spacing w:line="360" w:lineRule="auto"/>
              <w:jc w:val="center"/>
              <w:rPr>
                <w:rFonts w:ascii="宋体" w:hAnsi="宋体" w:cs="宋体"/>
                <w:szCs w:val="21"/>
                <w:lang w:val="zh-CN"/>
              </w:rPr>
            </w:pPr>
            <w:r>
              <w:rPr>
                <w:rFonts w:hint="eastAsia" w:ascii="宋体" w:hAnsi="宋体" w:cs="宋体"/>
                <w:szCs w:val="21"/>
                <w:lang w:val="zh-CN"/>
              </w:rPr>
              <w:t>投标响应</w:t>
            </w:r>
          </w:p>
        </w:tc>
        <w:tc>
          <w:tcPr>
            <w:tcW w:w="975" w:type="dxa"/>
            <w:tcBorders>
              <w:top w:val="single" w:color="auto" w:sz="4" w:space="0"/>
              <w:left w:val="single" w:color="auto" w:sz="4" w:space="0"/>
              <w:bottom w:val="single" w:color="auto" w:sz="4" w:space="0"/>
              <w:right w:val="single" w:color="auto" w:sz="4" w:space="0"/>
            </w:tcBorders>
            <w:vAlign w:val="center"/>
          </w:tcPr>
          <w:p w14:paraId="0D899AA2">
            <w:pPr>
              <w:widowControl/>
              <w:spacing w:line="360" w:lineRule="auto"/>
              <w:jc w:val="center"/>
              <w:rPr>
                <w:rFonts w:ascii="宋体" w:hAnsi="宋体" w:cs="宋体"/>
                <w:szCs w:val="21"/>
                <w:lang w:val="zh-CN"/>
              </w:rPr>
            </w:pPr>
            <w:r>
              <w:rPr>
                <w:rFonts w:hint="eastAsia" w:ascii="宋体" w:hAnsi="宋体" w:cs="宋体"/>
                <w:szCs w:val="21"/>
                <w:lang w:val="zh-CN"/>
              </w:rPr>
              <w:t>偏离</w:t>
            </w:r>
          </w:p>
        </w:tc>
        <w:tc>
          <w:tcPr>
            <w:tcW w:w="943" w:type="dxa"/>
            <w:tcBorders>
              <w:top w:val="single" w:color="auto" w:sz="4" w:space="0"/>
              <w:left w:val="single" w:color="auto" w:sz="4" w:space="0"/>
              <w:bottom w:val="single" w:color="auto" w:sz="4" w:space="0"/>
              <w:right w:val="single" w:color="auto" w:sz="4" w:space="0"/>
            </w:tcBorders>
            <w:vAlign w:val="center"/>
          </w:tcPr>
          <w:p w14:paraId="72FDF205">
            <w:pPr>
              <w:widowControl/>
              <w:spacing w:line="360" w:lineRule="auto"/>
              <w:jc w:val="center"/>
              <w:rPr>
                <w:rFonts w:ascii="宋体" w:hAnsi="宋体" w:cs="宋体"/>
                <w:szCs w:val="21"/>
              </w:rPr>
            </w:pPr>
            <w:r>
              <w:rPr>
                <w:rFonts w:hint="eastAsia" w:ascii="宋体" w:hAnsi="宋体" w:cs="宋体"/>
                <w:szCs w:val="21"/>
              </w:rPr>
              <w:t>页码</w:t>
            </w:r>
          </w:p>
        </w:tc>
      </w:tr>
      <w:tr w14:paraId="0614FE33">
        <w:tblPrEx>
          <w:tblCellMar>
            <w:top w:w="0" w:type="dxa"/>
            <w:left w:w="0" w:type="dxa"/>
            <w:bottom w:w="0" w:type="dxa"/>
            <w:right w:w="0" w:type="dxa"/>
          </w:tblCellMar>
        </w:tblPrEx>
        <w:trPr>
          <w:trHeight w:val="227" w:hRule="atLeast"/>
          <w:jc w:val="center"/>
        </w:trPr>
        <w:tc>
          <w:tcPr>
            <w:tcW w:w="924" w:type="dxa"/>
            <w:tcBorders>
              <w:top w:val="single" w:color="auto" w:sz="4" w:space="0"/>
              <w:left w:val="single" w:color="auto" w:sz="4" w:space="0"/>
              <w:bottom w:val="single" w:color="auto" w:sz="4" w:space="0"/>
              <w:right w:val="single" w:color="auto" w:sz="4" w:space="0"/>
            </w:tcBorders>
            <w:vAlign w:val="center"/>
          </w:tcPr>
          <w:p w14:paraId="4A408EAB">
            <w:pPr>
              <w:widowControl/>
              <w:spacing w:line="360" w:lineRule="auto"/>
              <w:jc w:val="center"/>
              <w:rPr>
                <w:rFonts w:ascii="宋体" w:hAnsi="宋体" w:cs="宋体"/>
                <w:szCs w:val="21"/>
                <w:lang w:val="zh-CN"/>
              </w:rPr>
            </w:pPr>
          </w:p>
        </w:tc>
        <w:tc>
          <w:tcPr>
            <w:tcW w:w="1620" w:type="dxa"/>
            <w:tcBorders>
              <w:top w:val="single" w:color="auto" w:sz="4" w:space="0"/>
              <w:left w:val="single" w:color="auto" w:sz="4" w:space="0"/>
              <w:bottom w:val="single" w:color="auto" w:sz="4" w:space="0"/>
              <w:right w:val="single" w:color="auto" w:sz="4" w:space="0"/>
            </w:tcBorders>
            <w:vAlign w:val="center"/>
          </w:tcPr>
          <w:p w14:paraId="29AE0865">
            <w:pPr>
              <w:widowControl/>
              <w:spacing w:line="360" w:lineRule="auto"/>
              <w:jc w:val="center"/>
              <w:rPr>
                <w:rFonts w:ascii="宋体" w:hAnsi="宋体" w:cs="宋体"/>
                <w:szCs w:val="21"/>
                <w:lang w:val="zh-CN"/>
              </w:rPr>
            </w:pPr>
          </w:p>
        </w:tc>
        <w:tc>
          <w:tcPr>
            <w:tcW w:w="2700" w:type="dxa"/>
            <w:tcBorders>
              <w:top w:val="single" w:color="auto" w:sz="4" w:space="0"/>
              <w:left w:val="single" w:color="auto" w:sz="4" w:space="0"/>
              <w:bottom w:val="single" w:color="auto" w:sz="4" w:space="0"/>
              <w:right w:val="single" w:color="auto" w:sz="4" w:space="0"/>
            </w:tcBorders>
            <w:vAlign w:val="center"/>
          </w:tcPr>
          <w:p w14:paraId="1484CF1B">
            <w:pPr>
              <w:widowControl/>
              <w:spacing w:line="360" w:lineRule="auto"/>
              <w:jc w:val="center"/>
              <w:rPr>
                <w:rFonts w:ascii="宋体" w:hAnsi="宋体" w:cs="宋体"/>
                <w:szCs w:val="21"/>
                <w:lang w:val="zh-CN"/>
              </w:rPr>
            </w:pPr>
          </w:p>
        </w:tc>
        <w:tc>
          <w:tcPr>
            <w:tcW w:w="2432" w:type="dxa"/>
            <w:tcBorders>
              <w:top w:val="single" w:color="auto" w:sz="4" w:space="0"/>
              <w:left w:val="single" w:color="auto" w:sz="4" w:space="0"/>
              <w:bottom w:val="single" w:color="auto" w:sz="4" w:space="0"/>
              <w:right w:val="single" w:color="auto" w:sz="4" w:space="0"/>
            </w:tcBorders>
            <w:vAlign w:val="center"/>
          </w:tcPr>
          <w:p w14:paraId="4609EC11">
            <w:pPr>
              <w:widowControl/>
              <w:spacing w:line="360" w:lineRule="auto"/>
              <w:jc w:val="center"/>
              <w:rPr>
                <w:rFonts w:ascii="宋体" w:hAnsi="宋体" w:cs="宋体"/>
                <w:szCs w:val="21"/>
                <w:lang w:val="zh-CN"/>
              </w:rPr>
            </w:pPr>
          </w:p>
        </w:tc>
        <w:tc>
          <w:tcPr>
            <w:tcW w:w="975" w:type="dxa"/>
            <w:tcBorders>
              <w:top w:val="single" w:color="auto" w:sz="4" w:space="0"/>
              <w:left w:val="single" w:color="auto" w:sz="4" w:space="0"/>
              <w:bottom w:val="single" w:color="auto" w:sz="4" w:space="0"/>
              <w:right w:val="single" w:color="auto" w:sz="4" w:space="0"/>
            </w:tcBorders>
            <w:vAlign w:val="center"/>
          </w:tcPr>
          <w:p w14:paraId="05B216EE">
            <w:pPr>
              <w:widowControl/>
              <w:spacing w:line="360" w:lineRule="auto"/>
              <w:jc w:val="center"/>
              <w:rPr>
                <w:rFonts w:ascii="宋体" w:hAnsi="宋体" w:cs="宋体"/>
                <w:szCs w:val="21"/>
                <w:lang w:val="zh-CN"/>
              </w:rPr>
            </w:pPr>
          </w:p>
        </w:tc>
        <w:tc>
          <w:tcPr>
            <w:tcW w:w="943" w:type="dxa"/>
            <w:tcBorders>
              <w:top w:val="single" w:color="auto" w:sz="4" w:space="0"/>
              <w:left w:val="single" w:color="auto" w:sz="4" w:space="0"/>
              <w:bottom w:val="single" w:color="auto" w:sz="4" w:space="0"/>
              <w:right w:val="single" w:color="auto" w:sz="4" w:space="0"/>
            </w:tcBorders>
            <w:vAlign w:val="center"/>
          </w:tcPr>
          <w:p w14:paraId="1C265845">
            <w:pPr>
              <w:widowControl/>
              <w:spacing w:line="360" w:lineRule="auto"/>
              <w:jc w:val="center"/>
              <w:rPr>
                <w:rFonts w:ascii="宋体" w:hAnsi="宋体" w:cs="宋体"/>
                <w:szCs w:val="21"/>
                <w:lang w:val="zh-CN"/>
              </w:rPr>
            </w:pPr>
          </w:p>
        </w:tc>
      </w:tr>
      <w:tr w14:paraId="6305F1A3">
        <w:tblPrEx>
          <w:tblCellMar>
            <w:top w:w="0" w:type="dxa"/>
            <w:left w:w="0" w:type="dxa"/>
            <w:bottom w:w="0" w:type="dxa"/>
            <w:right w:w="0" w:type="dxa"/>
          </w:tblCellMar>
        </w:tblPrEx>
        <w:trPr>
          <w:trHeight w:val="227" w:hRule="atLeast"/>
          <w:jc w:val="center"/>
        </w:trPr>
        <w:tc>
          <w:tcPr>
            <w:tcW w:w="924" w:type="dxa"/>
            <w:tcBorders>
              <w:top w:val="single" w:color="auto" w:sz="4" w:space="0"/>
              <w:left w:val="single" w:color="auto" w:sz="4" w:space="0"/>
              <w:bottom w:val="single" w:color="auto" w:sz="4" w:space="0"/>
              <w:right w:val="single" w:color="auto" w:sz="4" w:space="0"/>
            </w:tcBorders>
            <w:vAlign w:val="center"/>
          </w:tcPr>
          <w:p w14:paraId="6E68A7AB">
            <w:pPr>
              <w:widowControl/>
              <w:spacing w:line="360" w:lineRule="auto"/>
              <w:jc w:val="center"/>
              <w:rPr>
                <w:rFonts w:ascii="宋体" w:hAnsi="宋体" w:cs="宋体"/>
                <w:szCs w:val="21"/>
                <w:lang w:val="zh-CN"/>
              </w:rPr>
            </w:pPr>
          </w:p>
        </w:tc>
        <w:tc>
          <w:tcPr>
            <w:tcW w:w="1620" w:type="dxa"/>
            <w:tcBorders>
              <w:top w:val="single" w:color="auto" w:sz="4" w:space="0"/>
              <w:left w:val="single" w:color="auto" w:sz="4" w:space="0"/>
              <w:bottom w:val="single" w:color="auto" w:sz="4" w:space="0"/>
              <w:right w:val="single" w:color="auto" w:sz="4" w:space="0"/>
            </w:tcBorders>
            <w:vAlign w:val="center"/>
          </w:tcPr>
          <w:p w14:paraId="3FF52D5A">
            <w:pPr>
              <w:widowControl/>
              <w:spacing w:line="360" w:lineRule="auto"/>
              <w:jc w:val="center"/>
              <w:rPr>
                <w:rFonts w:ascii="宋体" w:hAnsi="宋体" w:cs="宋体"/>
                <w:szCs w:val="21"/>
                <w:lang w:val="zh-CN"/>
              </w:rPr>
            </w:pPr>
          </w:p>
        </w:tc>
        <w:tc>
          <w:tcPr>
            <w:tcW w:w="2700" w:type="dxa"/>
            <w:tcBorders>
              <w:top w:val="single" w:color="auto" w:sz="4" w:space="0"/>
              <w:left w:val="single" w:color="auto" w:sz="4" w:space="0"/>
              <w:bottom w:val="single" w:color="auto" w:sz="4" w:space="0"/>
              <w:right w:val="single" w:color="auto" w:sz="4" w:space="0"/>
            </w:tcBorders>
            <w:vAlign w:val="center"/>
          </w:tcPr>
          <w:p w14:paraId="3BD9B4A1">
            <w:pPr>
              <w:widowControl/>
              <w:spacing w:line="360" w:lineRule="auto"/>
              <w:jc w:val="center"/>
              <w:rPr>
                <w:rFonts w:ascii="宋体" w:hAnsi="宋体" w:cs="宋体"/>
                <w:szCs w:val="21"/>
                <w:lang w:val="zh-CN"/>
              </w:rPr>
            </w:pPr>
          </w:p>
        </w:tc>
        <w:tc>
          <w:tcPr>
            <w:tcW w:w="2432" w:type="dxa"/>
            <w:tcBorders>
              <w:top w:val="single" w:color="auto" w:sz="4" w:space="0"/>
              <w:left w:val="single" w:color="auto" w:sz="4" w:space="0"/>
              <w:bottom w:val="single" w:color="auto" w:sz="4" w:space="0"/>
              <w:right w:val="single" w:color="auto" w:sz="4" w:space="0"/>
            </w:tcBorders>
            <w:vAlign w:val="center"/>
          </w:tcPr>
          <w:p w14:paraId="29F363A6">
            <w:pPr>
              <w:widowControl/>
              <w:spacing w:line="360" w:lineRule="auto"/>
              <w:jc w:val="center"/>
              <w:rPr>
                <w:rFonts w:ascii="宋体" w:hAnsi="宋体" w:cs="宋体"/>
                <w:szCs w:val="21"/>
                <w:lang w:val="zh-CN"/>
              </w:rPr>
            </w:pPr>
          </w:p>
        </w:tc>
        <w:tc>
          <w:tcPr>
            <w:tcW w:w="975" w:type="dxa"/>
            <w:tcBorders>
              <w:top w:val="single" w:color="auto" w:sz="4" w:space="0"/>
              <w:left w:val="single" w:color="auto" w:sz="4" w:space="0"/>
              <w:bottom w:val="single" w:color="auto" w:sz="4" w:space="0"/>
              <w:right w:val="single" w:color="auto" w:sz="4" w:space="0"/>
            </w:tcBorders>
            <w:vAlign w:val="center"/>
          </w:tcPr>
          <w:p w14:paraId="7942A501">
            <w:pPr>
              <w:widowControl/>
              <w:spacing w:line="360" w:lineRule="auto"/>
              <w:jc w:val="center"/>
              <w:rPr>
                <w:rFonts w:ascii="宋体" w:hAnsi="宋体" w:cs="宋体"/>
                <w:szCs w:val="21"/>
                <w:lang w:val="zh-CN"/>
              </w:rPr>
            </w:pPr>
          </w:p>
        </w:tc>
        <w:tc>
          <w:tcPr>
            <w:tcW w:w="943" w:type="dxa"/>
            <w:tcBorders>
              <w:top w:val="single" w:color="auto" w:sz="4" w:space="0"/>
              <w:left w:val="single" w:color="auto" w:sz="4" w:space="0"/>
              <w:bottom w:val="single" w:color="auto" w:sz="4" w:space="0"/>
              <w:right w:val="single" w:color="auto" w:sz="4" w:space="0"/>
            </w:tcBorders>
            <w:vAlign w:val="center"/>
          </w:tcPr>
          <w:p w14:paraId="0CC0FF11">
            <w:pPr>
              <w:widowControl/>
              <w:spacing w:line="360" w:lineRule="auto"/>
              <w:jc w:val="center"/>
              <w:rPr>
                <w:rFonts w:ascii="宋体" w:hAnsi="宋体" w:cs="宋体"/>
                <w:szCs w:val="21"/>
                <w:lang w:val="zh-CN"/>
              </w:rPr>
            </w:pPr>
          </w:p>
        </w:tc>
      </w:tr>
      <w:tr w14:paraId="0B098E4D">
        <w:tblPrEx>
          <w:tblCellMar>
            <w:top w:w="0" w:type="dxa"/>
            <w:left w:w="0" w:type="dxa"/>
            <w:bottom w:w="0" w:type="dxa"/>
            <w:right w:w="0" w:type="dxa"/>
          </w:tblCellMar>
        </w:tblPrEx>
        <w:trPr>
          <w:trHeight w:val="227" w:hRule="atLeast"/>
          <w:jc w:val="center"/>
        </w:trPr>
        <w:tc>
          <w:tcPr>
            <w:tcW w:w="924" w:type="dxa"/>
            <w:tcBorders>
              <w:top w:val="single" w:color="auto" w:sz="4" w:space="0"/>
              <w:left w:val="single" w:color="auto" w:sz="4" w:space="0"/>
              <w:bottom w:val="single" w:color="auto" w:sz="4" w:space="0"/>
              <w:right w:val="single" w:color="auto" w:sz="4" w:space="0"/>
            </w:tcBorders>
            <w:vAlign w:val="center"/>
          </w:tcPr>
          <w:p w14:paraId="7613D879">
            <w:pPr>
              <w:widowControl/>
              <w:spacing w:line="360" w:lineRule="auto"/>
              <w:jc w:val="center"/>
              <w:rPr>
                <w:rFonts w:ascii="宋体" w:hAnsi="宋体" w:cs="宋体"/>
                <w:szCs w:val="21"/>
                <w:lang w:val="zh-CN"/>
              </w:rPr>
            </w:pPr>
          </w:p>
        </w:tc>
        <w:tc>
          <w:tcPr>
            <w:tcW w:w="1620" w:type="dxa"/>
            <w:tcBorders>
              <w:top w:val="single" w:color="auto" w:sz="4" w:space="0"/>
              <w:left w:val="single" w:color="auto" w:sz="4" w:space="0"/>
              <w:bottom w:val="single" w:color="auto" w:sz="4" w:space="0"/>
              <w:right w:val="single" w:color="auto" w:sz="4" w:space="0"/>
            </w:tcBorders>
            <w:vAlign w:val="center"/>
          </w:tcPr>
          <w:p w14:paraId="72648720">
            <w:pPr>
              <w:widowControl/>
              <w:spacing w:line="360" w:lineRule="auto"/>
              <w:jc w:val="center"/>
              <w:rPr>
                <w:rFonts w:ascii="宋体" w:hAnsi="宋体" w:cs="宋体"/>
                <w:szCs w:val="21"/>
                <w:lang w:val="zh-CN"/>
              </w:rPr>
            </w:pPr>
          </w:p>
        </w:tc>
        <w:tc>
          <w:tcPr>
            <w:tcW w:w="2700" w:type="dxa"/>
            <w:tcBorders>
              <w:top w:val="single" w:color="auto" w:sz="4" w:space="0"/>
              <w:left w:val="single" w:color="auto" w:sz="4" w:space="0"/>
              <w:bottom w:val="single" w:color="auto" w:sz="4" w:space="0"/>
              <w:right w:val="single" w:color="auto" w:sz="4" w:space="0"/>
            </w:tcBorders>
            <w:vAlign w:val="center"/>
          </w:tcPr>
          <w:p w14:paraId="15A0C97E">
            <w:pPr>
              <w:widowControl/>
              <w:spacing w:line="360" w:lineRule="auto"/>
              <w:jc w:val="center"/>
              <w:rPr>
                <w:rFonts w:ascii="宋体" w:hAnsi="宋体" w:cs="宋体"/>
                <w:szCs w:val="21"/>
                <w:lang w:val="zh-CN"/>
              </w:rPr>
            </w:pPr>
          </w:p>
        </w:tc>
        <w:tc>
          <w:tcPr>
            <w:tcW w:w="2432" w:type="dxa"/>
            <w:tcBorders>
              <w:top w:val="single" w:color="auto" w:sz="4" w:space="0"/>
              <w:left w:val="single" w:color="auto" w:sz="4" w:space="0"/>
              <w:bottom w:val="single" w:color="auto" w:sz="4" w:space="0"/>
              <w:right w:val="single" w:color="auto" w:sz="4" w:space="0"/>
            </w:tcBorders>
            <w:vAlign w:val="center"/>
          </w:tcPr>
          <w:p w14:paraId="545EABC8">
            <w:pPr>
              <w:widowControl/>
              <w:spacing w:line="360" w:lineRule="auto"/>
              <w:jc w:val="center"/>
              <w:rPr>
                <w:rFonts w:ascii="宋体" w:hAnsi="宋体" w:cs="宋体"/>
                <w:szCs w:val="21"/>
                <w:lang w:val="zh-CN"/>
              </w:rPr>
            </w:pPr>
          </w:p>
        </w:tc>
        <w:tc>
          <w:tcPr>
            <w:tcW w:w="975" w:type="dxa"/>
            <w:tcBorders>
              <w:top w:val="single" w:color="auto" w:sz="4" w:space="0"/>
              <w:left w:val="single" w:color="auto" w:sz="4" w:space="0"/>
              <w:bottom w:val="single" w:color="auto" w:sz="4" w:space="0"/>
              <w:right w:val="single" w:color="auto" w:sz="4" w:space="0"/>
            </w:tcBorders>
            <w:vAlign w:val="center"/>
          </w:tcPr>
          <w:p w14:paraId="4EF0FCA9">
            <w:pPr>
              <w:widowControl/>
              <w:spacing w:line="360" w:lineRule="auto"/>
              <w:jc w:val="center"/>
              <w:rPr>
                <w:rFonts w:ascii="宋体" w:hAnsi="宋体" w:cs="宋体"/>
                <w:szCs w:val="21"/>
                <w:lang w:val="zh-CN"/>
              </w:rPr>
            </w:pPr>
          </w:p>
        </w:tc>
        <w:tc>
          <w:tcPr>
            <w:tcW w:w="943" w:type="dxa"/>
            <w:tcBorders>
              <w:top w:val="single" w:color="auto" w:sz="4" w:space="0"/>
              <w:left w:val="single" w:color="auto" w:sz="4" w:space="0"/>
              <w:bottom w:val="single" w:color="auto" w:sz="4" w:space="0"/>
              <w:right w:val="single" w:color="auto" w:sz="4" w:space="0"/>
            </w:tcBorders>
            <w:vAlign w:val="center"/>
          </w:tcPr>
          <w:p w14:paraId="0E19B38B">
            <w:pPr>
              <w:widowControl/>
              <w:spacing w:line="360" w:lineRule="auto"/>
              <w:jc w:val="center"/>
              <w:rPr>
                <w:rFonts w:ascii="宋体" w:hAnsi="宋体" w:cs="宋体"/>
                <w:szCs w:val="21"/>
                <w:lang w:val="zh-CN"/>
              </w:rPr>
            </w:pPr>
          </w:p>
        </w:tc>
      </w:tr>
    </w:tbl>
    <w:p w14:paraId="08A4D94C">
      <w:pPr>
        <w:widowControl/>
        <w:spacing w:line="360" w:lineRule="auto"/>
        <w:jc w:val="left"/>
        <w:rPr>
          <w:rFonts w:ascii="宋体" w:hAnsi="宋体" w:cs="宋体"/>
          <w:szCs w:val="21"/>
          <w:lang w:val="zh-CN"/>
        </w:rPr>
      </w:pPr>
    </w:p>
    <w:p w14:paraId="3730EA5D">
      <w:pPr>
        <w:widowControl/>
        <w:spacing w:line="360" w:lineRule="auto"/>
        <w:jc w:val="left"/>
        <w:rPr>
          <w:rFonts w:ascii="宋体" w:hAnsi="宋体" w:cs="宋体"/>
          <w:szCs w:val="21"/>
          <w:lang w:val="zh-CN"/>
        </w:rPr>
      </w:pPr>
      <w:r>
        <w:rPr>
          <w:rFonts w:hint="eastAsia" w:ascii="宋体" w:hAnsi="宋体" w:cs="宋体"/>
          <w:szCs w:val="21"/>
          <w:lang w:val="zh-CN"/>
        </w:rPr>
        <w:t>供应商名称：（盖章）</w:t>
      </w:r>
    </w:p>
    <w:p w14:paraId="6A9BBCA3">
      <w:pPr>
        <w:widowControl/>
        <w:spacing w:line="360" w:lineRule="auto"/>
        <w:jc w:val="left"/>
        <w:rPr>
          <w:rFonts w:ascii="宋体" w:hAnsi="宋体" w:cs="宋体"/>
          <w:szCs w:val="21"/>
          <w:lang w:val="zh-CN"/>
        </w:rPr>
      </w:pPr>
      <w:r>
        <w:rPr>
          <w:rFonts w:hint="eastAsia" w:ascii="宋体" w:hAnsi="宋体" w:cs="宋体"/>
          <w:szCs w:val="21"/>
          <w:lang w:val="zh-CN"/>
        </w:rPr>
        <w:t>说明：</w:t>
      </w:r>
      <w:r>
        <w:rPr>
          <w:rFonts w:hint="eastAsia" w:ascii="宋体" w:hAnsi="宋体" w:cs="宋体"/>
          <w:szCs w:val="21"/>
        </w:rPr>
        <w:t>1</w:t>
      </w:r>
      <w:r>
        <w:rPr>
          <w:rFonts w:hint="eastAsia" w:ascii="宋体" w:hAnsi="宋体" w:cs="宋体"/>
          <w:szCs w:val="21"/>
          <w:lang w:val="zh-CN"/>
        </w:rPr>
        <w:t>、如果行数不够，请自行增加；</w:t>
      </w:r>
    </w:p>
    <w:p w14:paraId="73A0A4A9">
      <w:pPr>
        <w:widowControl/>
        <w:spacing w:line="360" w:lineRule="auto"/>
        <w:ind w:firstLine="420"/>
        <w:jc w:val="left"/>
        <w:rPr>
          <w:rFonts w:ascii="宋体" w:hAnsi="宋体" w:cs="宋体"/>
          <w:szCs w:val="21"/>
        </w:rPr>
      </w:pPr>
      <w:r>
        <w:rPr>
          <w:rFonts w:hint="eastAsia" w:ascii="宋体" w:hAnsi="宋体" w:cs="宋体"/>
          <w:szCs w:val="21"/>
        </w:rPr>
        <w:t>2、偏离包括正负偏离、负偏离、无偏离，正偏离指供应商的响应高于采购文件要求，负偏离指供应商的响应低于采购文件要求，无偏离指供应商的响应满足采购文件要求。</w:t>
      </w:r>
    </w:p>
    <w:p w14:paraId="74D9D35D">
      <w:pPr>
        <w:pStyle w:val="46"/>
        <w:rPr>
          <w:rFonts w:cs="宋体"/>
          <w:sz w:val="21"/>
          <w:szCs w:val="21"/>
        </w:rPr>
      </w:pPr>
      <w:r>
        <w:rPr>
          <w:rFonts w:hint="eastAsia" w:cs="宋体"/>
          <w:sz w:val="21"/>
          <w:szCs w:val="21"/>
        </w:rPr>
        <w:t>3、投标响应作为响应文件重要的组成部分，不应通过简单拷贝或简单标注“符合”“满足”。</w:t>
      </w:r>
    </w:p>
    <w:p w14:paraId="638E8D3F">
      <w:pPr>
        <w:pStyle w:val="46"/>
        <w:rPr>
          <w:rFonts w:cs="宋体"/>
          <w:sz w:val="21"/>
          <w:szCs w:val="21"/>
        </w:rPr>
      </w:pPr>
      <w:r>
        <w:rPr>
          <w:rFonts w:hint="eastAsia" w:cs="宋体"/>
          <w:sz w:val="21"/>
          <w:szCs w:val="21"/>
        </w:rPr>
        <w:t>4、如采购文件要求提供相应证明材料的，应在偏离表中注明证明材料所在响应文件的页码位置，否则评标委员会有权做负偏离处理。</w:t>
      </w:r>
    </w:p>
    <w:p w14:paraId="6ECD8A77">
      <w:pPr>
        <w:widowControl/>
        <w:spacing w:line="360" w:lineRule="auto"/>
        <w:jc w:val="left"/>
        <w:rPr>
          <w:rFonts w:ascii="宋体" w:hAnsi="宋体" w:cs="宋体"/>
          <w:b/>
          <w:szCs w:val="21"/>
          <w:lang w:val="zh-CN"/>
        </w:rPr>
      </w:pPr>
    </w:p>
    <w:p w14:paraId="5E45FC9A">
      <w:pPr>
        <w:rPr>
          <w:rFonts w:ascii="宋体" w:hAnsi="宋体" w:cs="宋体"/>
          <w:b/>
          <w:szCs w:val="21"/>
          <w:lang w:val="zh-CN"/>
        </w:rPr>
      </w:pPr>
      <w:r>
        <w:rPr>
          <w:rFonts w:hint="eastAsia" w:ascii="宋体" w:hAnsi="宋体" w:cs="宋体"/>
          <w:b/>
          <w:szCs w:val="21"/>
          <w:lang w:val="zh-CN"/>
        </w:rPr>
        <w:br w:type="page"/>
      </w:r>
    </w:p>
    <w:p w14:paraId="3DF88613">
      <w:pPr>
        <w:widowControl/>
        <w:spacing w:line="360" w:lineRule="auto"/>
        <w:jc w:val="left"/>
        <w:outlineLvl w:val="1"/>
        <w:rPr>
          <w:rFonts w:ascii="宋体" w:hAnsi="宋体" w:cs="宋体"/>
          <w:b/>
          <w:szCs w:val="21"/>
          <w:lang w:val="zh-CN"/>
        </w:rPr>
      </w:pPr>
      <w:r>
        <w:rPr>
          <w:rFonts w:hint="eastAsia" w:ascii="宋体" w:hAnsi="宋体" w:cs="宋体"/>
          <w:b/>
          <w:szCs w:val="21"/>
          <w:lang w:val="zh-CN"/>
        </w:rPr>
        <w:t>目录</w:t>
      </w:r>
      <w:r>
        <w:rPr>
          <w:rFonts w:hint="eastAsia" w:ascii="宋体" w:hAnsi="宋体" w:cs="宋体"/>
          <w:b/>
          <w:szCs w:val="21"/>
        </w:rPr>
        <w:t>八</w:t>
      </w:r>
      <w:r>
        <w:rPr>
          <w:rFonts w:hint="eastAsia" w:ascii="宋体" w:hAnsi="宋体" w:cs="宋体"/>
          <w:b/>
          <w:szCs w:val="21"/>
          <w:lang w:val="zh-CN"/>
        </w:rPr>
        <w:t>、商务条款偏离表格式</w:t>
      </w:r>
    </w:p>
    <w:p w14:paraId="023C507C">
      <w:pPr>
        <w:widowControl/>
        <w:spacing w:line="360" w:lineRule="auto"/>
        <w:ind w:left="420"/>
        <w:jc w:val="center"/>
        <w:rPr>
          <w:rFonts w:ascii="宋体" w:hAnsi="宋体" w:cs="宋体"/>
          <w:szCs w:val="21"/>
          <w:lang w:val="zh-CN"/>
        </w:rPr>
      </w:pPr>
      <w:r>
        <w:rPr>
          <w:rFonts w:hint="eastAsia" w:ascii="宋体" w:hAnsi="宋体" w:cs="宋体"/>
          <w:szCs w:val="21"/>
          <w:lang w:val="zh-CN"/>
        </w:rPr>
        <w:t>商务条款偏离表</w:t>
      </w:r>
    </w:p>
    <w:tbl>
      <w:tblPr>
        <w:tblStyle w:val="47"/>
        <w:tblW w:w="9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91"/>
        <w:gridCol w:w="1620"/>
        <w:gridCol w:w="2700"/>
        <w:gridCol w:w="2331"/>
        <w:gridCol w:w="1065"/>
        <w:gridCol w:w="849"/>
      </w:tblGrid>
      <w:tr w14:paraId="65D9A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blHeader/>
          <w:jc w:val="center"/>
        </w:trPr>
        <w:tc>
          <w:tcPr>
            <w:tcW w:w="5311" w:type="dxa"/>
            <w:gridSpan w:val="3"/>
            <w:tcBorders>
              <w:top w:val="single" w:color="auto" w:sz="4" w:space="0"/>
              <w:left w:val="single" w:color="auto" w:sz="4" w:space="0"/>
              <w:right w:val="single" w:color="auto" w:sz="4" w:space="0"/>
            </w:tcBorders>
            <w:vAlign w:val="center"/>
          </w:tcPr>
          <w:p w14:paraId="5EE866C2">
            <w:pPr>
              <w:widowControl/>
              <w:spacing w:line="360" w:lineRule="auto"/>
              <w:jc w:val="left"/>
              <w:rPr>
                <w:rFonts w:ascii="宋体" w:hAnsi="宋体" w:cs="宋体"/>
                <w:szCs w:val="21"/>
                <w:lang w:val="zh-CN"/>
              </w:rPr>
            </w:pPr>
            <w:r>
              <w:rPr>
                <w:rFonts w:hint="eastAsia" w:ascii="宋体" w:hAnsi="宋体" w:cs="宋体"/>
                <w:szCs w:val="21"/>
                <w:lang w:val="zh-CN"/>
              </w:rPr>
              <w:t>项目名称：</w:t>
            </w:r>
          </w:p>
        </w:tc>
        <w:tc>
          <w:tcPr>
            <w:tcW w:w="4245" w:type="dxa"/>
            <w:gridSpan w:val="3"/>
            <w:tcBorders>
              <w:top w:val="single" w:color="auto" w:sz="4" w:space="0"/>
              <w:left w:val="single" w:color="auto" w:sz="4" w:space="0"/>
              <w:right w:val="single" w:color="auto" w:sz="4" w:space="0"/>
            </w:tcBorders>
            <w:vAlign w:val="center"/>
          </w:tcPr>
          <w:p w14:paraId="14BB05C9">
            <w:pPr>
              <w:widowControl/>
              <w:spacing w:line="360" w:lineRule="auto"/>
              <w:jc w:val="left"/>
              <w:rPr>
                <w:rFonts w:ascii="宋体" w:hAnsi="宋体" w:cs="宋体"/>
                <w:szCs w:val="21"/>
                <w:lang w:val="zh-CN"/>
              </w:rPr>
            </w:pPr>
            <w:r>
              <w:rPr>
                <w:rFonts w:hint="eastAsia" w:ascii="宋体" w:hAnsi="宋体" w:cs="宋体"/>
                <w:szCs w:val="21"/>
                <w:lang w:val="zh-CN"/>
              </w:rPr>
              <w:t>项目编号：</w:t>
            </w:r>
          </w:p>
        </w:tc>
      </w:tr>
      <w:tr w14:paraId="23513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991" w:type="dxa"/>
            <w:tcBorders>
              <w:left w:val="single" w:color="auto" w:sz="4" w:space="0"/>
              <w:right w:val="single" w:color="auto" w:sz="4" w:space="0"/>
            </w:tcBorders>
            <w:vAlign w:val="center"/>
          </w:tcPr>
          <w:p w14:paraId="6A67A50A">
            <w:pPr>
              <w:widowControl/>
              <w:spacing w:line="360" w:lineRule="auto"/>
              <w:jc w:val="center"/>
              <w:rPr>
                <w:rFonts w:ascii="宋体" w:hAnsi="宋体" w:cs="宋体"/>
                <w:szCs w:val="21"/>
                <w:lang w:val="zh-CN"/>
              </w:rPr>
            </w:pPr>
            <w:r>
              <w:rPr>
                <w:rFonts w:hint="eastAsia" w:ascii="宋体" w:hAnsi="宋体" w:cs="宋体"/>
                <w:szCs w:val="21"/>
                <w:lang w:val="zh-CN"/>
              </w:rPr>
              <w:t>序号</w:t>
            </w:r>
          </w:p>
        </w:tc>
        <w:tc>
          <w:tcPr>
            <w:tcW w:w="1620" w:type="dxa"/>
            <w:tcBorders>
              <w:left w:val="single" w:color="auto" w:sz="4" w:space="0"/>
              <w:right w:val="single" w:color="auto" w:sz="4" w:space="0"/>
            </w:tcBorders>
            <w:vAlign w:val="center"/>
          </w:tcPr>
          <w:p w14:paraId="253352A4">
            <w:pPr>
              <w:widowControl/>
              <w:spacing w:line="360" w:lineRule="auto"/>
              <w:jc w:val="center"/>
              <w:rPr>
                <w:rFonts w:ascii="宋体" w:hAnsi="宋体" w:cs="宋体"/>
                <w:szCs w:val="21"/>
                <w:lang w:val="zh-CN"/>
              </w:rPr>
            </w:pPr>
            <w:r>
              <w:rPr>
                <w:rFonts w:hint="eastAsia" w:ascii="宋体" w:hAnsi="宋体" w:cs="宋体"/>
                <w:szCs w:val="21"/>
                <w:lang w:val="zh-CN"/>
              </w:rPr>
              <w:t>采购文件条目号</w:t>
            </w:r>
          </w:p>
        </w:tc>
        <w:tc>
          <w:tcPr>
            <w:tcW w:w="2700" w:type="dxa"/>
            <w:tcBorders>
              <w:left w:val="single" w:color="auto" w:sz="4" w:space="0"/>
              <w:right w:val="single" w:color="auto" w:sz="4" w:space="0"/>
            </w:tcBorders>
            <w:vAlign w:val="center"/>
          </w:tcPr>
          <w:p w14:paraId="3CF62788">
            <w:pPr>
              <w:widowControl/>
              <w:spacing w:line="360" w:lineRule="auto"/>
              <w:jc w:val="center"/>
              <w:rPr>
                <w:rFonts w:ascii="宋体" w:hAnsi="宋体" w:cs="宋体"/>
                <w:szCs w:val="21"/>
                <w:lang w:val="zh-CN"/>
              </w:rPr>
            </w:pPr>
            <w:r>
              <w:rPr>
                <w:rFonts w:hint="eastAsia" w:ascii="宋体" w:hAnsi="宋体" w:cs="宋体"/>
                <w:szCs w:val="21"/>
                <w:lang w:val="zh-CN"/>
              </w:rPr>
              <w:t>采购文件要求的商务条款</w:t>
            </w:r>
          </w:p>
        </w:tc>
        <w:tc>
          <w:tcPr>
            <w:tcW w:w="2331" w:type="dxa"/>
            <w:tcBorders>
              <w:left w:val="single" w:color="auto" w:sz="4" w:space="0"/>
              <w:right w:val="single" w:color="auto" w:sz="4" w:space="0"/>
            </w:tcBorders>
            <w:vAlign w:val="center"/>
          </w:tcPr>
          <w:p w14:paraId="4A5770F6">
            <w:pPr>
              <w:widowControl/>
              <w:spacing w:line="360" w:lineRule="auto"/>
              <w:jc w:val="center"/>
              <w:rPr>
                <w:rFonts w:ascii="宋体" w:hAnsi="宋体" w:cs="宋体"/>
                <w:szCs w:val="21"/>
                <w:lang w:val="zh-CN"/>
              </w:rPr>
            </w:pPr>
            <w:r>
              <w:rPr>
                <w:rFonts w:hint="eastAsia" w:ascii="宋体" w:hAnsi="宋体" w:cs="宋体"/>
                <w:szCs w:val="21"/>
                <w:lang w:val="zh-CN"/>
              </w:rPr>
              <w:t>投标响应</w:t>
            </w:r>
          </w:p>
        </w:tc>
        <w:tc>
          <w:tcPr>
            <w:tcW w:w="1065" w:type="dxa"/>
            <w:tcBorders>
              <w:left w:val="single" w:color="auto" w:sz="4" w:space="0"/>
              <w:right w:val="single" w:color="auto" w:sz="4" w:space="0"/>
            </w:tcBorders>
            <w:vAlign w:val="center"/>
          </w:tcPr>
          <w:p w14:paraId="17955E11">
            <w:pPr>
              <w:widowControl/>
              <w:spacing w:line="360" w:lineRule="auto"/>
              <w:jc w:val="center"/>
              <w:rPr>
                <w:rFonts w:ascii="宋体" w:hAnsi="宋体" w:cs="宋体"/>
                <w:szCs w:val="21"/>
                <w:lang w:val="zh-CN"/>
              </w:rPr>
            </w:pPr>
            <w:r>
              <w:rPr>
                <w:rFonts w:hint="eastAsia" w:ascii="宋体" w:hAnsi="宋体" w:cs="宋体"/>
                <w:szCs w:val="21"/>
                <w:lang w:val="zh-CN"/>
              </w:rPr>
              <w:t>偏离</w:t>
            </w:r>
          </w:p>
        </w:tc>
        <w:tc>
          <w:tcPr>
            <w:tcW w:w="849" w:type="dxa"/>
            <w:tcBorders>
              <w:left w:val="single" w:color="auto" w:sz="4" w:space="0"/>
              <w:right w:val="single" w:color="auto" w:sz="4" w:space="0"/>
            </w:tcBorders>
            <w:vAlign w:val="center"/>
          </w:tcPr>
          <w:p w14:paraId="58467DB4">
            <w:pPr>
              <w:widowControl/>
              <w:spacing w:line="360" w:lineRule="auto"/>
              <w:jc w:val="center"/>
              <w:rPr>
                <w:rFonts w:ascii="宋体" w:hAnsi="宋体" w:cs="宋体"/>
                <w:szCs w:val="21"/>
                <w:lang w:val="zh-CN"/>
              </w:rPr>
            </w:pPr>
            <w:r>
              <w:rPr>
                <w:rFonts w:hint="eastAsia" w:ascii="宋体" w:hAnsi="宋体" w:cs="宋体"/>
                <w:szCs w:val="21"/>
              </w:rPr>
              <w:t>页码</w:t>
            </w:r>
          </w:p>
        </w:tc>
      </w:tr>
      <w:tr w14:paraId="7B419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991" w:type="dxa"/>
            <w:tcBorders>
              <w:left w:val="single" w:color="auto" w:sz="4" w:space="0"/>
              <w:right w:val="single" w:color="auto" w:sz="4" w:space="0"/>
            </w:tcBorders>
            <w:vAlign w:val="center"/>
          </w:tcPr>
          <w:p w14:paraId="7F0A6EE5">
            <w:pPr>
              <w:widowControl/>
              <w:spacing w:line="360" w:lineRule="auto"/>
              <w:jc w:val="center"/>
              <w:rPr>
                <w:rFonts w:ascii="宋体" w:hAnsi="宋体" w:cs="宋体"/>
                <w:szCs w:val="21"/>
                <w:lang w:val="zh-CN"/>
              </w:rPr>
            </w:pPr>
          </w:p>
        </w:tc>
        <w:tc>
          <w:tcPr>
            <w:tcW w:w="1620" w:type="dxa"/>
            <w:tcBorders>
              <w:left w:val="single" w:color="auto" w:sz="4" w:space="0"/>
              <w:right w:val="single" w:color="auto" w:sz="4" w:space="0"/>
            </w:tcBorders>
            <w:vAlign w:val="center"/>
          </w:tcPr>
          <w:p w14:paraId="4E4D40F3">
            <w:pPr>
              <w:widowControl/>
              <w:spacing w:line="360" w:lineRule="auto"/>
              <w:jc w:val="center"/>
              <w:rPr>
                <w:rFonts w:ascii="宋体" w:hAnsi="宋体" w:cs="宋体"/>
                <w:szCs w:val="21"/>
                <w:lang w:val="zh-CN"/>
              </w:rPr>
            </w:pPr>
          </w:p>
        </w:tc>
        <w:tc>
          <w:tcPr>
            <w:tcW w:w="2700" w:type="dxa"/>
            <w:tcBorders>
              <w:left w:val="single" w:color="auto" w:sz="4" w:space="0"/>
              <w:right w:val="single" w:color="auto" w:sz="4" w:space="0"/>
            </w:tcBorders>
            <w:vAlign w:val="center"/>
          </w:tcPr>
          <w:p w14:paraId="04C18A90">
            <w:pPr>
              <w:widowControl/>
              <w:spacing w:line="360" w:lineRule="auto"/>
              <w:jc w:val="center"/>
              <w:rPr>
                <w:rFonts w:ascii="宋体" w:hAnsi="宋体" w:cs="宋体"/>
                <w:szCs w:val="21"/>
                <w:lang w:val="zh-CN"/>
              </w:rPr>
            </w:pPr>
          </w:p>
        </w:tc>
        <w:tc>
          <w:tcPr>
            <w:tcW w:w="2331" w:type="dxa"/>
            <w:tcBorders>
              <w:left w:val="single" w:color="auto" w:sz="4" w:space="0"/>
              <w:right w:val="single" w:color="auto" w:sz="4" w:space="0"/>
            </w:tcBorders>
            <w:vAlign w:val="center"/>
          </w:tcPr>
          <w:p w14:paraId="0FED7974">
            <w:pPr>
              <w:widowControl/>
              <w:spacing w:line="360" w:lineRule="auto"/>
              <w:jc w:val="center"/>
              <w:rPr>
                <w:rFonts w:ascii="宋体" w:hAnsi="宋体" w:cs="宋体"/>
                <w:szCs w:val="21"/>
                <w:lang w:val="zh-CN"/>
              </w:rPr>
            </w:pPr>
          </w:p>
        </w:tc>
        <w:tc>
          <w:tcPr>
            <w:tcW w:w="1065" w:type="dxa"/>
            <w:tcBorders>
              <w:left w:val="single" w:color="auto" w:sz="4" w:space="0"/>
              <w:right w:val="single" w:color="auto" w:sz="4" w:space="0"/>
            </w:tcBorders>
            <w:vAlign w:val="center"/>
          </w:tcPr>
          <w:p w14:paraId="24590107">
            <w:pPr>
              <w:widowControl/>
              <w:spacing w:line="360" w:lineRule="auto"/>
              <w:jc w:val="center"/>
              <w:rPr>
                <w:rFonts w:ascii="宋体" w:hAnsi="宋体" w:cs="宋体"/>
                <w:szCs w:val="21"/>
                <w:lang w:val="zh-CN"/>
              </w:rPr>
            </w:pPr>
          </w:p>
        </w:tc>
        <w:tc>
          <w:tcPr>
            <w:tcW w:w="849" w:type="dxa"/>
            <w:tcBorders>
              <w:left w:val="single" w:color="auto" w:sz="4" w:space="0"/>
              <w:right w:val="single" w:color="auto" w:sz="4" w:space="0"/>
            </w:tcBorders>
            <w:vAlign w:val="center"/>
          </w:tcPr>
          <w:p w14:paraId="058931A1">
            <w:pPr>
              <w:widowControl/>
              <w:spacing w:line="360" w:lineRule="auto"/>
              <w:jc w:val="center"/>
              <w:rPr>
                <w:rFonts w:ascii="宋体" w:hAnsi="宋体" w:cs="宋体"/>
                <w:szCs w:val="21"/>
                <w:lang w:val="zh-CN"/>
              </w:rPr>
            </w:pPr>
          </w:p>
        </w:tc>
      </w:tr>
      <w:tr w14:paraId="774A1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991" w:type="dxa"/>
            <w:tcBorders>
              <w:left w:val="single" w:color="auto" w:sz="4" w:space="0"/>
              <w:right w:val="single" w:color="auto" w:sz="4" w:space="0"/>
            </w:tcBorders>
            <w:vAlign w:val="center"/>
          </w:tcPr>
          <w:p w14:paraId="1E47C6BC">
            <w:pPr>
              <w:widowControl/>
              <w:spacing w:line="360" w:lineRule="auto"/>
              <w:jc w:val="center"/>
              <w:rPr>
                <w:rFonts w:ascii="宋体" w:hAnsi="宋体" w:cs="宋体"/>
                <w:szCs w:val="21"/>
                <w:lang w:val="zh-CN"/>
              </w:rPr>
            </w:pPr>
          </w:p>
        </w:tc>
        <w:tc>
          <w:tcPr>
            <w:tcW w:w="1620" w:type="dxa"/>
            <w:tcBorders>
              <w:left w:val="single" w:color="auto" w:sz="4" w:space="0"/>
              <w:right w:val="single" w:color="auto" w:sz="4" w:space="0"/>
            </w:tcBorders>
            <w:vAlign w:val="center"/>
          </w:tcPr>
          <w:p w14:paraId="429FDC75">
            <w:pPr>
              <w:widowControl/>
              <w:spacing w:line="360" w:lineRule="auto"/>
              <w:jc w:val="center"/>
              <w:rPr>
                <w:rFonts w:ascii="宋体" w:hAnsi="宋体" w:cs="宋体"/>
                <w:szCs w:val="21"/>
                <w:lang w:val="zh-CN"/>
              </w:rPr>
            </w:pPr>
          </w:p>
        </w:tc>
        <w:tc>
          <w:tcPr>
            <w:tcW w:w="2700" w:type="dxa"/>
            <w:tcBorders>
              <w:left w:val="single" w:color="auto" w:sz="4" w:space="0"/>
              <w:right w:val="single" w:color="auto" w:sz="4" w:space="0"/>
            </w:tcBorders>
            <w:vAlign w:val="center"/>
          </w:tcPr>
          <w:p w14:paraId="09D95D42">
            <w:pPr>
              <w:widowControl/>
              <w:spacing w:line="360" w:lineRule="auto"/>
              <w:jc w:val="center"/>
              <w:rPr>
                <w:rFonts w:ascii="宋体" w:hAnsi="宋体" w:cs="宋体"/>
                <w:szCs w:val="21"/>
                <w:lang w:val="zh-CN"/>
              </w:rPr>
            </w:pPr>
          </w:p>
        </w:tc>
        <w:tc>
          <w:tcPr>
            <w:tcW w:w="2331" w:type="dxa"/>
            <w:tcBorders>
              <w:left w:val="single" w:color="auto" w:sz="4" w:space="0"/>
              <w:right w:val="single" w:color="auto" w:sz="4" w:space="0"/>
            </w:tcBorders>
            <w:vAlign w:val="center"/>
          </w:tcPr>
          <w:p w14:paraId="72DB5DE7">
            <w:pPr>
              <w:widowControl/>
              <w:spacing w:line="360" w:lineRule="auto"/>
              <w:jc w:val="center"/>
              <w:rPr>
                <w:rFonts w:ascii="宋体" w:hAnsi="宋体" w:cs="宋体"/>
                <w:szCs w:val="21"/>
                <w:lang w:val="zh-CN"/>
              </w:rPr>
            </w:pPr>
          </w:p>
        </w:tc>
        <w:tc>
          <w:tcPr>
            <w:tcW w:w="1065" w:type="dxa"/>
            <w:tcBorders>
              <w:left w:val="single" w:color="auto" w:sz="4" w:space="0"/>
              <w:right w:val="single" w:color="auto" w:sz="4" w:space="0"/>
            </w:tcBorders>
            <w:vAlign w:val="center"/>
          </w:tcPr>
          <w:p w14:paraId="64AE5835">
            <w:pPr>
              <w:widowControl/>
              <w:spacing w:line="360" w:lineRule="auto"/>
              <w:jc w:val="center"/>
              <w:rPr>
                <w:rFonts w:ascii="宋体" w:hAnsi="宋体" w:cs="宋体"/>
                <w:szCs w:val="21"/>
                <w:lang w:val="zh-CN"/>
              </w:rPr>
            </w:pPr>
          </w:p>
        </w:tc>
        <w:tc>
          <w:tcPr>
            <w:tcW w:w="849" w:type="dxa"/>
            <w:tcBorders>
              <w:left w:val="single" w:color="auto" w:sz="4" w:space="0"/>
              <w:right w:val="single" w:color="auto" w:sz="4" w:space="0"/>
            </w:tcBorders>
            <w:vAlign w:val="center"/>
          </w:tcPr>
          <w:p w14:paraId="0F7ADBAC">
            <w:pPr>
              <w:widowControl/>
              <w:spacing w:line="360" w:lineRule="auto"/>
              <w:jc w:val="center"/>
              <w:rPr>
                <w:rFonts w:ascii="宋体" w:hAnsi="宋体" w:cs="宋体"/>
                <w:szCs w:val="21"/>
                <w:lang w:val="zh-CN"/>
              </w:rPr>
            </w:pPr>
          </w:p>
        </w:tc>
      </w:tr>
      <w:tr w14:paraId="00413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991" w:type="dxa"/>
            <w:tcBorders>
              <w:left w:val="single" w:color="auto" w:sz="4" w:space="0"/>
              <w:right w:val="single" w:color="auto" w:sz="4" w:space="0"/>
            </w:tcBorders>
            <w:vAlign w:val="center"/>
          </w:tcPr>
          <w:p w14:paraId="70601EDA">
            <w:pPr>
              <w:widowControl/>
              <w:spacing w:line="360" w:lineRule="auto"/>
              <w:jc w:val="center"/>
              <w:rPr>
                <w:rFonts w:ascii="宋体" w:hAnsi="宋体" w:cs="宋体"/>
                <w:szCs w:val="21"/>
                <w:lang w:val="zh-CN"/>
              </w:rPr>
            </w:pPr>
          </w:p>
        </w:tc>
        <w:tc>
          <w:tcPr>
            <w:tcW w:w="1620" w:type="dxa"/>
            <w:tcBorders>
              <w:left w:val="single" w:color="auto" w:sz="4" w:space="0"/>
              <w:right w:val="single" w:color="auto" w:sz="4" w:space="0"/>
            </w:tcBorders>
            <w:vAlign w:val="center"/>
          </w:tcPr>
          <w:p w14:paraId="328C8DA7">
            <w:pPr>
              <w:widowControl/>
              <w:spacing w:line="360" w:lineRule="auto"/>
              <w:jc w:val="center"/>
              <w:rPr>
                <w:rFonts w:ascii="宋体" w:hAnsi="宋体" w:cs="宋体"/>
                <w:szCs w:val="21"/>
                <w:lang w:val="zh-CN"/>
              </w:rPr>
            </w:pPr>
          </w:p>
        </w:tc>
        <w:tc>
          <w:tcPr>
            <w:tcW w:w="2700" w:type="dxa"/>
            <w:tcBorders>
              <w:left w:val="single" w:color="auto" w:sz="4" w:space="0"/>
              <w:right w:val="single" w:color="auto" w:sz="4" w:space="0"/>
            </w:tcBorders>
            <w:vAlign w:val="center"/>
          </w:tcPr>
          <w:p w14:paraId="55230E44">
            <w:pPr>
              <w:widowControl/>
              <w:spacing w:line="360" w:lineRule="auto"/>
              <w:jc w:val="center"/>
              <w:rPr>
                <w:rFonts w:ascii="宋体" w:hAnsi="宋体" w:cs="宋体"/>
                <w:szCs w:val="21"/>
                <w:lang w:val="zh-CN"/>
              </w:rPr>
            </w:pPr>
          </w:p>
        </w:tc>
        <w:tc>
          <w:tcPr>
            <w:tcW w:w="2331" w:type="dxa"/>
            <w:tcBorders>
              <w:left w:val="single" w:color="auto" w:sz="4" w:space="0"/>
              <w:right w:val="single" w:color="auto" w:sz="4" w:space="0"/>
            </w:tcBorders>
            <w:vAlign w:val="center"/>
          </w:tcPr>
          <w:p w14:paraId="3CE7354C">
            <w:pPr>
              <w:widowControl/>
              <w:spacing w:line="360" w:lineRule="auto"/>
              <w:jc w:val="center"/>
              <w:rPr>
                <w:rFonts w:ascii="宋体" w:hAnsi="宋体" w:cs="宋体"/>
                <w:szCs w:val="21"/>
                <w:lang w:val="zh-CN"/>
              </w:rPr>
            </w:pPr>
          </w:p>
        </w:tc>
        <w:tc>
          <w:tcPr>
            <w:tcW w:w="1065" w:type="dxa"/>
            <w:tcBorders>
              <w:left w:val="single" w:color="auto" w:sz="4" w:space="0"/>
              <w:right w:val="single" w:color="auto" w:sz="4" w:space="0"/>
            </w:tcBorders>
            <w:vAlign w:val="center"/>
          </w:tcPr>
          <w:p w14:paraId="0CF48259">
            <w:pPr>
              <w:widowControl/>
              <w:spacing w:line="360" w:lineRule="auto"/>
              <w:jc w:val="center"/>
              <w:rPr>
                <w:rFonts w:ascii="宋体" w:hAnsi="宋体" w:cs="宋体"/>
                <w:szCs w:val="21"/>
                <w:lang w:val="zh-CN"/>
              </w:rPr>
            </w:pPr>
          </w:p>
        </w:tc>
        <w:tc>
          <w:tcPr>
            <w:tcW w:w="849" w:type="dxa"/>
            <w:tcBorders>
              <w:left w:val="single" w:color="auto" w:sz="4" w:space="0"/>
              <w:right w:val="single" w:color="auto" w:sz="4" w:space="0"/>
            </w:tcBorders>
            <w:vAlign w:val="center"/>
          </w:tcPr>
          <w:p w14:paraId="1B394CBA">
            <w:pPr>
              <w:widowControl/>
              <w:spacing w:line="360" w:lineRule="auto"/>
              <w:jc w:val="center"/>
              <w:rPr>
                <w:rFonts w:ascii="宋体" w:hAnsi="宋体" w:cs="宋体"/>
                <w:szCs w:val="21"/>
                <w:lang w:val="zh-CN"/>
              </w:rPr>
            </w:pPr>
          </w:p>
        </w:tc>
      </w:tr>
    </w:tbl>
    <w:p w14:paraId="6206D663">
      <w:pPr>
        <w:widowControl/>
        <w:spacing w:line="360" w:lineRule="auto"/>
        <w:jc w:val="left"/>
        <w:rPr>
          <w:rFonts w:ascii="宋体" w:hAnsi="宋体" w:cs="宋体"/>
          <w:szCs w:val="21"/>
          <w:lang w:val="zh-CN"/>
        </w:rPr>
      </w:pPr>
    </w:p>
    <w:p w14:paraId="3B5B8EC6">
      <w:pPr>
        <w:widowControl/>
        <w:spacing w:line="360" w:lineRule="auto"/>
        <w:jc w:val="left"/>
        <w:rPr>
          <w:rFonts w:ascii="宋体" w:hAnsi="宋体" w:cs="宋体"/>
          <w:szCs w:val="21"/>
          <w:lang w:val="zh-CN"/>
        </w:rPr>
      </w:pPr>
      <w:r>
        <w:rPr>
          <w:rFonts w:hint="eastAsia" w:ascii="宋体" w:hAnsi="宋体" w:cs="宋体"/>
          <w:szCs w:val="21"/>
          <w:lang w:val="zh-CN"/>
        </w:rPr>
        <w:t>供应商名称：（盖章）</w:t>
      </w:r>
    </w:p>
    <w:p w14:paraId="42811EFE">
      <w:pPr>
        <w:widowControl/>
        <w:spacing w:line="360" w:lineRule="auto"/>
        <w:jc w:val="left"/>
        <w:rPr>
          <w:rFonts w:ascii="宋体" w:hAnsi="宋体" w:cs="宋体"/>
          <w:szCs w:val="21"/>
          <w:lang w:val="zh-CN"/>
        </w:rPr>
      </w:pPr>
      <w:r>
        <w:rPr>
          <w:rFonts w:hint="eastAsia" w:ascii="宋体" w:hAnsi="宋体" w:cs="宋体"/>
          <w:szCs w:val="21"/>
          <w:lang w:val="zh-CN"/>
        </w:rPr>
        <w:t>说明：1、如果行数不够，请自行增加。</w:t>
      </w:r>
    </w:p>
    <w:p w14:paraId="6E8EC0AD">
      <w:pPr>
        <w:pStyle w:val="46"/>
        <w:rPr>
          <w:rFonts w:cs="宋体"/>
          <w:sz w:val="21"/>
          <w:szCs w:val="21"/>
          <w:lang w:val="zh-CN"/>
        </w:rPr>
      </w:pPr>
      <w:r>
        <w:rPr>
          <w:rFonts w:hint="eastAsia" w:cs="宋体"/>
          <w:sz w:val="21"/>
          <w:szCs w:val="21"/>
        </w:rPr>
        <w:t>2、偏离包括正负偏离、负偏离、无偏离，正偏离指供应商的响应高于采购文件要求，负偏离指供应商的响应低于采购文件要求，无偏离指供应商的响应满足采购文件要求。</w:t>
      </w:r>
    </w:p>
    <w:p w14:paraId="758294D8">
      <w:pPr>
        <w:pStyle w:val="46"/>
        <w:rPr>
          <w:rFonts w:cs="宋体"/>
          <w:sz w:val="21"/>
          <w:szCs w:val="21"/>
        </w:rPr>
      </w:pPr>
      <w:r>
        <w:rPr>
          <w:rFonts w:hint="eastAsia" w:cs="宋体"/>
          <w:sz w:val="21"/>
          <w:szCs w:val="21"/>
        </w:rPr>
        <w:t>3</w:t>
      </w:r>
      <w:r>
        <w:rPr>
          <w:rFonts w:hint="eastAsia" w:cs="宋体"/>
          <w:sz w:val="21"/>
          <w:szCs w:val="21"/>
          <w:lang w:val="zh-CN"/>
        </w:rPr>
        <w:t>、投标响应作为响应文件重要的组成部分，不应通过简单拷贝或简单标注“符合”“满足”。</w:t>
      </w:r>
    </w:p>
    <w:p w14:paraId="2D95272B">
      <w:pPr>
        <w:pStyle w:val="46"/>
        <w:rPr>
          <w:rFonts w:cs="宋体"/>
          <w:sz w:val="21"/>
          <w:szCs w:val="21"/>
        </w:rPr>
      </w:pPr>
      <w:r>
        <w:rPr>
          <w:rFonts w:hint="eastAsia" w:cs="宋体"/>
          <w:sz w:val="21"/>
          <w:szCs w:val="21"/>
        </w:rPr>
        <w:t>4、</w:t>
      </w:r>
      <w:r>
        <w:rPr>
          <w:rFonts w:hint="eastAsia" w:cs="宋体"/>
          <w:sz w:val="21"/>
          <w:szCs w:val="21"/>
          <w:lang w:val="zh-CN"/>
        </w:rPr>
        <w:t>如采购文件要求提供相应证明材料的，应在偏离表中注明证明材料所在响应文件的页码位置，否则评标委员会有权做负偏离处理。</w:t>
      </w:r>
    </w:p>
    <w:p w14:paraId="4E0C6A79">
      <w:pPr>
        <w:rPr>
          <w:rFonts w:ascii="宋体" w:hAnsi="宋体" w:cs="宋体"/>
          <w:b/>
          <w:szCs w:val="21"/>
        </w:rPr>
      </w:pPr>
      <w:r>
        <w:rPr>
          <w:rFonts w:hint="eastAsia" w:ascii="宋体" w:hAnsi="宋体" w:cs="宋体"/>
          <w:b/>
          <w:szCs w:val="21"/>
        </w:rPr>
        <w:br w:type="page"/>
      </w:r>
    </w:p>
    <w:p w14:paraId="4D5D733B">
      <w:pPr>
        <w:spacing w:line="360" w:lineRule="auto"/>
        <w:outlineLvl w:val="1"/>
        <w:rPr>
          <w:rFonts w:ascii="宋体" w:hAnsi="宋体" w:cs="宋体"/>
          <w:b/>
          <w:szCs w:val="21"/>
        </w:rPr>
      </w:pPr>
      <w:r>
        <w:rPr>
          <w:rFonts w:hint="eastAsia" w:ascii="宋体" w:hAnsi="宋体" w:cs="宋体"/>
          <w:b/>
          <w:szCs w:val="21"/>
        </w:rPr>
        <w:t>目录九、技术及施工组织方案</w:t>
      </w:r>
    </w:p>
    <w:p w14:paraId="151A7F05">
      <w:pPr>
        <w:spacing w:line="360" w:lineRule="auto"/>
        <w:jc w:val="center"/>
        <w:rPr>
          <w:rFonts w:ascii="宋体" w:hAnsi="宋体" w:cs="宋体"/>
          <w:szCs w:val="21"/>
        </w:rPr>
      </w:pPr>
      <w:r>
        <w:rPr>
          <w:rFonts w:hint="eastAsia" w:ascii="宋体" w:hAnsi="宋体" w:cs="宋体"/>
          <w:szCs w:val="21"/>
          <w:lang w:val="zh-CN"/>
        </w:rPr>
        <w:t>技术及施工组织方案（若有）</w:t>
      </w:r>
    </w:p>
    <w:p w14:paraId="34879B77">
      <w:pPr>
        <w:spacing w:line="360" w:lineRule="auto"/>
        <w:rPr>
          <w:rFonts w:ascii="宋体" w:hAnsi="宋体" w:cs="宋体"/>
          <w:b/>
          <w:szCs w:val="21"/>
        </w:rPr>
      </w:pPr>
    </w:p>
    <w:p w14:paraId="5163E3FE">
      <w:pPr>
        <w:spacing w:line="360" w:lineRule="auto"/>
        <w:rPr>
          <w:rFonts w:ascii="宋体" w:hAnsi="宋体" w:cs="宋体"/>
          <w:b/>
          <w:szCs w:val="21"/>
        </w:rPr>
      </w:pPr>
    </w:p>
    <w:p w14:paraId="002E7738">
      <w:pPr>
        <w:spacing w:line="360" w:lineRule="auto"/>
        <w:rPr>
          <w:rFonts w:ascii="宋体" w:hAnsi="宋体" w:cs="宋体"/>
          <w:b/>
          <w:szCs w:val="21"/>
        </w:rPr>
      </w:pPr>
    </w:p>
    <w:p w14:paraId="11A0610F">
      <w:pPr>
        <w:spacing w:line="360" w:lineRule="auto"/>
        <w:rPr>
          <w:rFonts w:ascii="宋体" w:hAnsi="宋体" w:cs="宋体"/>
          <w:b/>
          <w:szCs w:val="21"/>
        </w:rPr>
      </w:pPr>
    </w:p>
    <w:p w14:paraId="50B83B64">
      <w:pPr>
        <w:spacing w:line="360" w:lineRule="auto"/>
        <w:outlineLvl w:val="1"/>
        <w:rPr>
          <w:rFonts w:ascii="宋体" w:hAnsi="宋体" w:cs="宋体"/>
          <w:b/>
          <w:szCs w:val="21"/>
        </w:rPr>
      </w:pPr>
      <w:r>
        <w:rPr>
          <w:rFonts w:hint="eastAsia" w:ascii="宋体" w:hAnsi="宋体" w:cs="宋体"/>
          <w:b/>
          <w:szCs w:val="21"/>
        </w:rPr>
        <w:t>目录十、服务与承诺</w:t>
      </w:r>
    </w:p>
    <w:p w14:paraId="46CB435A">
      <w:pPr>
        <w:spacing w:line="360" w:lineRule="auto"/>
        <w:jc w:val="center"/>
        <w:rPr>
          <w:rFonts w:ascii="宋体" w:hAnsi="宋体" w:cs="宋体"/>
          <w:szCs w:val="21"/>
          <w:lang w:val="zh-CN"/>
        </w:rPr>
      </w:pPr>
      <w:r>
        <w:rPr>
          <w:rFonts w:hint="eastAsia" w:ascii="宋体" w:hAnsi="宋体" w:cs="宋体"/>
          <w:szCs w:val="21"/>
          <w:lang w:val="zh-CN"/>
        </w:rPr>
        <w:t>服务与承诺</w:t>
      </w:r>
    </w:p>
    <w:p w14:paraId="7EE39F72">
      <w:pPr>
        <w:spacing w:line="360" w:lineRule="auto"/>
        <w:rPr>
          <w:rFonts w:ascii="宋体" w:hAnsi="宋体" w:cs="宋体"/>
          <w:b/>
          <w:szCs w:val="21"/>
        </w:rPr>
      </w:pPr>
    </w:p>
    <w:p w14:paraId="7D68CAC0">
      <w:pPr>
        <w:spacing w:line="360" w:lineRule="auto"/>
        <w:rPr>
          <w:rFonts w:ascii="宋体" w:hAnsi="宋体" w:cs="宋体"/>
          <w:b/>
          <w:szCs w:val="21"/>
        </w:rPr>
      </w:pPr>
    </w:p>
    <w:p w14:paraId="38372F25">
      <w:pPr>
        <w:spacing w:line="360" w:lineRule="auto"/>
        <w:rPr>
          <w:rFonts w:ascii="宋体" w:hAnsi="宋体" w:cs="宋体"/>
          <w:b/>
          <w:szCs w:val="21"/>
        </w:rPr>
      </w:pPr>
    </w:p>
    <w:p w14:paraId="381880F9">
      <w:pPr>
        <w:spacing w:line="360" w:lineRule="auto"/>
        <w:rPr>
          <w:rFonts w:ascii="宋体" w:hAnsi="宋体" w:cs="宋体"/>
          <w:b/>
          <w:szCs w:val="21"/>
        </w:rPr>
      </w:pPr>
    </w:p>
    <w:p w14:paraId="1F18A4D4">
      <w:pPr>
        <w:spacing w:line="360" w:lineRule="auto"/>
        <w:outlineLvl w:val="1"/>
        <w:rPr>
          <w:rFonts w:ascii="宋体" w:hAnsi="宋体" w:cs="宋体"/>
          <w:b/>
          <w:szCs w:val="21"/>
        </w:rPr>
      </w:pPr>
      <w:r>
        <w:rPr>
          <w:rFonts w:hint="eastAsia" w:ascii="宋体" w:hAnsi="宋体" w:cs="宋体"/>
          <w:b/>
          <w:szCs w:val="21"/>
        </w:rPr>
        <w:t>目录十一、投标需要的其他证明文件及材料</w:t>
      </w:r>
    </w:p>
    <w:p w14:paraId="0F7820BA">
      <w:pPr>
        <w:spacing w:line="360" w:lineRule="auto"/>
        <w:jc w:val="center"/>
        <w:rPr>
          <w:rFonts w:ascii="宋体" w:hAnsi="宋体" w:cs="宋体"/>
          <w:szCs w:val="21"/>
          <w:lang w:val="zh-CN"/>
        </w:rPr>
      </w:pPr>
      <w:r>
        <w:rPr>
          <w:rFonts w:hint="eastAsia" w:ascii="宋体" w:hAnsi="宋体" w:cs="宋体"/>
          <w:szCs w:val="21"/>
          <w:lang w:val="zh-CN"/>
        </w:rPr>
        <w:t>投标需要的其他证明文件及材料（若有）</w:t>
      </w:r>
    </w:p>
    <w:p w14:paraId="0E8C2C88">
      <w:pPr>
        <w:rPr>
          <w:rFonts w:ascii="宋体" w:hAnsi="宋体" w:cs="宋体"/>
          <w:szCs w:val="21"/>
          <w:lang w:val="zh-CN"/>
        </w:rPr>
      </w:pPr>
      <w:r>
        <w:rPr>
          <w:rFonts w:hint="eastAsia" w:ascii="宋体" w:hAnsi="宋体" w:cs="宋体"/>
          <w:szCs w:val="21"/>
          <w:lang w:val="zh-CN"/>
        </w:rPr>
        <w:br w:type="page"/>
      </w:r>
    </w:p>
    <w:p w14:paraId="32951049">
      <w:pPr>
        <w:pStyle w:val="25"/>
        <w:numPr>
          <w:ilvl w:val="0"/>
          <w:numId w:val="0"/>
        </w:numPr>
        <w:ind w:left="420"/>
        <w:rPr>
          <w:lang w:val="zh-CN"/>
        </w:rPr>
      </w:pPr>
    </w:p>
    <w:p w14:paraId="1B9E80D0">
      <w:pPr>
        <w:widowControl/>
        <w:spacing w:line="240" w:lineRule="atLeast"/>
        <w:outlineLvl w:val="1"/>
        <w:rPr>
          <w:rFonts w:ascii="宋体" w:hAnsi="宋体" w:cs="宋体"/>
          <w:b/>
          <w:szCs w:val="21"/>
        </w:rPr>
      </w:pPr>
      <w:r>
        <w:rPr>
          <w:rFonts w:hint="eastAsia" w:ascii="宋体" w:hAnsi="宋体" w:cs="宋体"/>
          <w:b/>
          <w:szCs w:val="21"/>
        </w:rPr>
        <w:t>附件一、无重大违法记录声明格式</w:t>
      </w:r>
    </w:p>
    <w:p w14:paraId="2AC05932">
      <w:pPr>
        <w:widowControl/>
        <w:spacing w:line="240" w:lineRule="atLeast"/>
        <w:rPr>
          <w:rFonts w:ascii="宋体" w:hAnsi="宋体" w:cs="宋体"/>
          <w:b/>
          <w:szCs w:val="21"/>
        </w:rPr>
      </w:pPr>
    </w:p>
    <w:p w14:paraId="302A9E65">
      <w:pPr>
        <w:jc w:val="center"/>
        <w:rPr>
          <w:rFonts w:ascii="宋体" w:hAnsi="宋体" w:cs="宋体"/>
          <w:szCs w:val="21"/>
        </w:rPr>
      </w:pPr>
      <w:r>
        <w:rPr>
          <w:rFonts w:hint="eastAsia" w:ascii="宋体" w:hAnsi="宋体" w:cs="宋体"/>
          <w:szCs w:val="21"/>
        </w:rPr>
        <w:t>无重大违法记录声明</w:t>
      </w:r>
    </w:p>
    <w:p w14:paraId="6E0B4A40">
      <w:pPr>
        <w:spacing w:line="360" w:lineRule="auto"/>
        <w:rPr>
          <w:rFonts w:ascii="宋体" w:hAnsi="宋体" w:cs="宋体"/>
          <w:szCs w:val="21"/>
        </w:rPr>
      </w:pPr>
      <w:r>
        <w:rPr>
          <w:rFonts w:hint="eastAsia" w:ascii="宋体" w:hAnsi="宋体" w:cs="宋体"/>
          <w:szCs w:val="21"/>
          <w:lang w:val="zh-CN"/>
        </w:rPr>
        <w:t>南京邮电大学通达学院</w:t>
      </w:r>
      <w:r>
        <w:rPr>
          <w:rFonts w:hint="eastAsia" w:ascii="宋体" w:hAnsi="宋体" w:cs="宋体"/>
          <w:szCs w:val="21"/>
        </w:rPr>
        <w:t>：</w:t>
      </w:r>
    </w:p>
    <w:p w14:paraId="422C76FB">
      <w:pPr>
        <w:spacing w:line="360" w:lineRule="auto"/>
        <w:ind w:firstLine="420"/>
        <w:rPr>
          <w:rFonts w:ascii="宋体" w:hAnsi="宋体" w:cs="宋体"/>
          <w:szCs w:val="21"/>
        </w:rPr>
      </w:pPr>
      <w:r>
        <w:rPr>
          <w:rFonts w:hint="eastAsia" w:ascii="宋体" w:hAnsi="宋体" w:cs="宋体"/>
          <w:szCs w:val="21"/>
        </w:rPr>
        <w:t xml:space="preserve">我单位 </w:t>
      </w:r>
      <w:r>
        <w:rPr>
          <w:rFonts w:hint="eastAsia" w:ascii="宋体" w:hAnsi="宋体" w:cs="宋体"/>
          <w:szCs w:val="21"/>
          <w:u w:val="single"/>
        </w:rPr>
        <w:t xml:space="preserve">           </w:t>
      </w:r>
      <w:r>
        <w:rPr>
          <w:rFonts w:hint="eastAsia" w:ascii="宋体" w:hAnsi="宋体" w:cs="宋体"/>
          <w:szCs w:val="21"/>
        </w:rPr>
        <w:t>（供应商名称）郑重声明：</w:t>
      </w:r>
    </w:p>
    <w:p w14:paraId="3EDD4D3B">
      <w:pPr>
        <w:spacing w:line="360" w:lineRule="auto"/>
        <w:ind w:firstLine="420"/>
        <w:rPr>
          <w:rFonts w:ascii="宋体" w:hAnsi="宋体" w:cs="宋体"/>
          <w:szCs w:val="21"/>
        </w:rPr>
      </w:pPr>
      <w:r>
        <w:rPr>
          <w:rFonts w:hint="eastAsia" w:ascii="宋体" w:hAnsi="宋体" w:cs="宋体"/>
          <w:szCs w:val="21"/>
        </w:rPr>
        <w:t>参加采购活动前3年内在经营活动中</w:t>
      </w:r>
      <w:r>
        <w:rPr>
          <w:rFonts w:hint="eastAsia" w:ascii="宋体" w:hAnsi="宋体" w:cs="宋体"/>
          <w:szCs w:val="21"/>
          <w:u w:val="single"/>
        </w:rPr>
        <w:t xml:space="preserve">     </w:t>
      </w:r>
      <w:r>
        <w:rPr>
          <w:rFonts w:hint="eastAsia" w:ascii="宋体" w:hAnsi="宋体" w:cs="宋体"/>
          <w:szCs w:val="21"/>
        </w:rPr>
        <w:t>（在下划线上如实填写：有或没有）重大违法记录。</w:t>
      </w:r>
    </w:p>
    <w:p w14:paraId="4AE8A64D">
      <w:pPr>
        <w:spacing w:line="360" w:lineRule="auto"/>
        <w:ind w:firstLine="420"/>
        <w:rPr>
          <w:rFonts w:ascii="宋体" w:hAnsi="宋体" w:cs="宋体"/>
          <w:szCs w:val="21"/>
        </w:rPr>
      </w:pPr>
      <w:r>
        <w:rPr>
          <w:rFonts w:hint="eastAsia" w:ascii="宋体" w:hAnsi="宋体" w:cs="宋体"/>
          <w:szCs w:val="21"/>
        </w:rPr>
        <w:t>（说明：重大违法记录，是指供应商因违法经营受到刑事处罚或者责令停产停业、吊销许可证或者执照、较大数额罚款等行政处罚。）</w:t>
      </w:r>
    </w:p>
    <w:p w14:paraId="5A40B7F4">
      <w:pPr>
        <w:spacing w:line="360" w:lineRule="auto"/>
        <w:rPr>
          <w:rFonts w:ascii="宋体" w:hAnsi="宋体" w:cs="宋体"/>
          <w:szCs w:val="21"/>
        </w:rPr>
      </w:pPr>
    </w:p>
    <w:p w14:paraId="7FDDFFA0">
      <w:pPr>
        <w:spacing w:line="360" w:lineRule="auto"/>
        <w:ind w:firstLine="4620"/>
        <w:jc w:val="right"/>
        <w:rPr>
          <w:rFonts w:ascii="宋体" w:hAnsi="宋体" w:cs="宋体"/>
          <w:szCs w:val="21"/>
        </w:rPr>
      </w:pPr>
      <w:r>
        <w:rPr>
          <w:rFonts w:hint="eastAsia" w:ascii="宋体" w:hAnsi="宋体" w:cs="宋体"/>
          <w:szCs w:val="21"/>
        </w:rPr>
        <w:t>声明人（公章）：</w:t>
      </w:r>
    </w:p>
    <w:p w14:paraId="02A4A43A">
      <w:pPr>
        <w:spacing w:line="360" w:lineRule="auto"/>
        <w:ind w:firstLine="4620"/>
        <w:jc w:val="right"/>
        <w:rPr>
          <w:rFonts w:ascii="宋体" w:hAnsi="宋体" w:cs="宋体"/>
          <w:szCs w:val="21"/>
        </w:rPr>
      </w:pPr>
      <w:r>
        <w:rPr>
          <w:rFonts w:hint="eastAsia" w:ascii="宋体" w:hAnsi="宋体" w:cs="宋体"/>
          <w:szCs w:val="21"/>
        </w:rPr>
        <w:t>日　　　　期：          年     月    日</w:t>
      </w:r>
    </w:p>
    <w:p w14:paraId="013CE55E">
      <w:pPr>
        <w:spacing w:line="360" w:lineRule="auto"/>
        <w:rPr>
          <w:rFonts w:ascii="宋体" w:hAnsi="宋体" w:cs="宋体"/>
          <w:b/>
          <w:szCs w:val="21"/>
        </w:rPr>
      </w:pPr>
    </w:p>
    <w:p w14:paraId="183805A5">
      <w:pPr>
        <w:spacing w:line="360" w:lineRule="auto"/>
        <w:rPr>
          <w:rFonts w:ascii="宋体" w:hAnsi="宋体" w:cs="宋体"/>
          <w:b/>
          <w:szCs w:val="21"/>
        </w:rPr>
      </w:pPr>
    </w:p>
    <w:p w14:paraId="383D41C9">
      <w:pPr>
        <w:spacing w:line="360" w:lineRule="auto"/>
        <w:outlineLvl w:val="1"/>
        <w:rPr>
          <w:rFonts w:ascii="宋体" w:hAnsi="宋体" w:cs="宋体"/>
          <w:b/>
          <w:szCs w:val="21"/>
        </w:rPr>
      </w:pPr>
      <w:r>
        <w:rPr>
          <w:rFonts w:hint="eastAsia" w:ascii="宋体" w:hAnsi="宋体" w:cs="宋体"/>
          <w:b/>
          <w:szCs w:val="21"/>
        </w:rPr>
        <w:t>附件二、具备履行合同所必需的设备和专业技术能力的声明格式</w:t>
      </w:r>
    </w:p>
    <w:p w14:paraId="2111813D">
      <w:pPr>
        <w:spacing w:line="360" w:lineRule="auto"/>
        <w:jc w:val="center"/>
        <w:rPr>
          <w:rFonts w:ascii="宋体" w:hAnsi="宋体" w:cs="宋体"/>
          <w:szCs w:val="21"/>
        </w:rPr>
      </w:pPr>
      <w:r>
        <w:rPr>
          <w:rFonts w:hint="eastAsia" w:ascii="宋体" w:hAnsi="宋体" w:cs="宋体"/>
          <w:szCs w:val="21"/>
        </w:rPr>
        <w:t>具备履行合同所必需的设备和专业技术能力的声明格式</w:t>
      </w:r>
    </w:p>
    <w:p w14:paraId="3797B636">
      <w:pPr>
        <w:spacing w:line="360" w:lineRule="auto"/>
        <w:rPr>
          <w:rFonts w:ascii="宋体" w:hAnsi="宋体" w:cs="宋体"/>
          <w:szCs w:val="21"/>
        </w:rPr>
      </w:pPr>
      <w:r>
        <w:rPr>
          <w:rFonts w:hint="eastAsia" w:ascii="宋体" w:hAnsi="宋体" w:cs="宋体"/>
          <w:szCs w:val="21"/>
          <w:lang w:val="zh-CN"/>
        </w:rPr>
        <w:t>南京邮电大学通达学院</w:t>
      </w:r>
      <w:r>
        <w:rPr>
          <w:rFonts w:hint="eastAsia" w:ascii="宋体" w:hAnsi="宋体" w:cs="宋体"/>
          <w:szCs w:val="21"/>
        </w:rPr>
        <w:t>：</w:t>
      </w:r>
    </w:p>
    <w:p w14:paraId="5236002C">
      <w:pPr>
        <w:spacing w:line="460" w:lineRule="exact"/>
        <w:ind w:firstLine="492"/>
        <w:rPr>
          <w:rFonts w:ascii="宋体" w:hAnsi="宋体" w:cs="宋体"/>
          <w:szCs w:val="21"/>
        </w:rPr>
      </w:pPr>
      <w:r>
        <w:rPr>
          <w:rFonts w:hint="eastAsia" w:ascii="宋体" w:hAnsi="宋体" w:cs="宋体"/>
          <w:szCs w:val="21"/>
        </w:rPr>
        <w:t>我单位</w:t>
      </w:r>
      <w:r>
        <w:rPr>
          <w:rFonts w:hint="eastAsia" w:ascii="宋体" w:hAnsi="宋体" w:cs="宋体"/>
          <w:szCs w:val="21"/>
          <w:u w:val="single"/>
        </w:rPr>
        <w:t xml:space="preserve">     </w:t>
      </w:r>
      <w:r>
        <w:rPr>
          <w:rFonts w:hint="eastAsia" w:ascii="宋体" w:hAnsi="宋体" w:cs="宋体"/>
          <w:szCs w:val="21"/>
        </w:rPr>
        <w:t>（供应商名称）郑重声明：我公司具备履行本项采购合同所必需的设备和专业技术能力，为履行本项采购合同我单位具备如下主要设备和主要专业技术能力：</w:t>
      </w:r>
    </w:p>
    <w:p w14:paraId="7CB1678E">
      <w:pPr>
        <w:spacing w:line="460" w:lineRule="exact"/>
        <w:ind w:firstLine="492"/>
        <w:rPr>
          <w:rFonts w:ascii="宋体" w:hAnsi="宋体" w:cs="宋体"/>
          <w:szCs w:val="21"/>
        </w:rPr>
      </w:pPr>
      <w:r>
        <w:rPr>
          <w:rFonts w:hint="eastAsia" w:ascii="宋体" w:hAnsi="宋体" w:cs="宋体"/>
          <w:szCs w:val="21"/>
        </w:rPr>
        <w:t>主要设备有：</w:t>
      </w:r>
      <w:r>
        <w:rPr>
          <w:rFonts w:hint="eastAsia" w:ascii="宋体" w:hAnsi="宋体" w:cs="宋体"/>
          <w:szCs w:val="21"/>
          <w:u w:val="single"/>
        </w:rPr>
        <w:t xml:space="preserve">                          </w:t>
      </w:r>
      <w:r>
        <w:rPr>
          <w:rFonts w:hint="eastAsia" w:ascii="宋体" w:hAnsi="宋体" w:cs="宋体"/>
          <w:szCs w:val="21"/>
        </w:rPr>
        <w:t>。（若有）</w:t>
      </w:r>
    </w:p>
    <w:p w14:paraId="3CDEAF0B">
      <w:pPr>
        <w:spacing w:line="460" w:lineRule="exact"/>
        <w:ind w:firstLine="492"/>
        <w:rPr>
          <w:rFonts w:ascii="宋体" w:hAnsi="宋体" w:cs="宋体"/>
          <w:szCs w:val="21"/>
        </w:rPr>
      </w:pPr>
      <w:r>
        <w:rPr>
          <w:rFonts w:hint="eastAsia" w:ascii="宋体" w:hAnsi="宋体" w:cs="宋体"/>
          <w:szCs w:val="21"/>
        </w:rPr>
        <w:t>主要专业技术能力有：</w:t>
      </w:r>
      <w:r>
        <w:rPr>
          <w:rFonts w:hint="eastAsia" w:ascii="宋体" w:hAnsi="宋体" w:cs="宋体"/>
          <w:szCs w:val="21"/>
          <w:u w:val="single"/>
        </w:rPr>
        <w:t xml:space="preserve">                  </w:t>
      </w:r>
      <w:r>
        <w:rPr>
          <w:rFonts w:hint="eastAsia" w:ascii="宋体" w:hAnsi="宋体" w:cs="宋体"/>
          <w:szCs w:val="21"/>
        </w:rPr>
        <w:t>。（若有）</w:t>
      </w:r>
    </w:p>
    <w:p w14:paraId="45EE0799">
      <w:pPr>
        <w:spacing w:line="360" w:lineRule="auto"/>
        <w:rPr>
          <w:rFonts w:ascii="宋体" w:hAnsi="宋体" w:cs="宋体"/>
          <w:szCs w:val="21"/>
        </w:rPr>
      </w:pPr>
    </w:p>
    <w:p w14:paraId="57A640D0">
      <w:pPr>
        <w:spacing w:line="360" w:lineRule="auto"/>
        <w:ind w:firstLine="4200"/>
        <w:jc w:val="right"/>
        <w:rPr>
          <w:rFonts w:ascii="宋体" w:hAnsi="宋体" w:cs="宋体"/>
          <w:szCs w:val="21"/>
        </w:rPr>
      </w:pPr>
      <w:r>
        <w:rPr>
          <w:rFonts w:hint="eastAsia" w:ascii="宋体" w:hAnsi="宋体" w:cs="宋体"/>
          <w:szCs w:val="21"/>
        </w:rPr>
        <w:t>声明人：（公章）</w:t>
      </w:r>
    </w:p>
    <w:p w14:paraId="2011494D">
      <w:pPr>
        <w:spacing w:line="360" w:lineRule="auto"/>
        <w:ind w:firstLine="4200"/>
        <w:jc w:val="right"/>
        <w:rPr>
          <w:rFonts w:ascii="宋体" w:hAnsi="宋体" w:cs="宋体"/>
          <w:szCs w:val="21"/>
        </w:rPr>
      </w:pPr>
      <w:r>
        <w:rPr>
          <w:rFonts w:hint="eastAsia" w:ascii="宋体" w:hAnsi="宋体" w:cs="宋体"/>
          <w:szCs w:val="21"/>
        </w:rPr>
        <w:t>日期：年月日</w:t>
      </w:r>
    </w:p>
    <w:p w14:paraId="5235CB5D">
      <w:pPr>
        <w:spacing w:line="460" w:lineRule="exact"/>
        <w:rPr>
          <w:rFonts w:ascii="宋体" w:hAnsi="宋体" w:cs="宋体"/>
          <w:szCs w:val="21"/>
          <w:lang w:val="zh-CN"/>
        </w:rPr>
      </w:pPr>
      <w:r>
        <w:rPr>
          <w:rFonts w:hint="eastAsia" w:ascii="宋体" w:hAnsi="宋体" w:cs="宋体"/>
          <w:szCs w:val="21"/>
        </w:rPr>
        <w:t>其他证明材料及文件：（如果供应商认为需要提供的话）</w:t>
      </w:r>
    </w:p>
    <w:p w14:paraId="74C7980E">
      <w:pPr>
        <w:tabs>
          <w:tab w:val="left" w:pos="1487"/>
        </w:tabs>
        <w:spacing w:line="360" w:lineRule="auto"/>
        <w:ind w:firstLine="420" w:firstLineChars="200"/>
        <w:rPr>
          <w:rFonts w:ascii="宋体" w:hAnsi="宋体" w:cs="宋体"/>
          <w:szCs w:val="21"/>
        </w:rPr>
      </w:pPr>
    </w:p>
    <w:p w14:paraId="28215928">
      <w:pPr>
        <w:rPr>
          <w:lang w:val="zh-CN"/>
        </w:rPr>
      </w:pPr>
    </w:p>
    <w:p w14:paraId="226627FA">
      <w:pPr>
        <w:pStyle w:val="464"/>
        <w:outlineLvl w:val="1"/>
        <w:rPr>
          <w:rFonts w:ascii="宋体" w:hAnsi="宋体" w:cs="宋体"/>
          <w:sz w:val="21"/>
          <w:szCs w:val="21"/>
        </w:rPr>
      </w:pPr>
      <w:r>
        <w:rPr>
          <w:rFonts w:hint="eastAsia" w:ascii="宋体" w:hAnsi="宋体" w:cs="宋体"/>
          <w:sz w:val="21"/>
          <w:szCs w:val="21"/>
        </w:rPr>
        <w:br w:type="page"/>
      </w:r>
      <w:r>
        <w:rPr>
          <w:rFonts w:hint="eastAsia" w:ascii="宋体" w:hAnsi="宋体" w:cs="宋体"/>
          <w:sz w:val="21"/>
          <w:szCs w:val="21"/>
        </w:rPr>
        <w:t>附件三、承诺函（格式）</w:t>
      </w:r>
    </w:p>
    <w:p w14:paraId="4418707F">
      <w:pPr>
        <w:jc w:val="center"/>
        <w:rPr>
          <w:rFonts w:ascii="宋体" w:hAnsi="宋体" w:cs="宋体"/>
          <w:szCs w:val="21"/>
        </w:rPr>
      </w:pPr>
      <w:r>
        <w:rPr>
          <w:rFonts w:hint="eastAsia" w:ascii="宋体" w:hAnsi="宋体" w:cs="宋体"/>
          <w:b/>
          <w:szCs w:val="21"/>
        </w:rPr>
        <w:t>承诺函</w:t>
      </w:r>
    </w:p>
    <w:p w14:paraId="78A08755">
      <w:pPr>
        <w:pBdr>
          <w:top w:val="none" w:color="000000" w:sz="0" w:space="0"/>
          <w:left w:val="none" w:color="000000" w:sz="0" w:space="0"/>
          <w:bottom w:val="none" w:color="000000" w:sz="0" w:space="0"/>
          <w:right w:val="none" w:color="000000" w:sz="0" w:space="0"/>
        </w:pBdr>
        <w:spacing w:line="360" w:lineRule="auto"/>
        <w:ind w:firstLine="420" w:firstLineChars="200"/>
        <w:rPr>
          <w:rFonts w:ascii="宋体" w:hAnsi="宋体" w:cs="宋体"/>
          <w:szCs w:val="21"/>
        </w:rPr>
      </w:pPr>
      <w:r>
        <w:rPr>
          <w:rFonts w:hint="eastAsia" w:ascii="宋体" w:hAnsi="宋体" w:cs="宋体"/>
          <w:szCs w:val="21"/>
        </w:rPr>
        <w:t>致：南京邮电大学通达学院</w:t>
      </w:r>
    </w:p>
    <w:p w14:paraId="4174C7DB">
      <w:pPr>
        <w:pBdr>
          <w:top w:val="none" w:color="000000" w:sz="0" w:space="0"/>
          <w:left w:val="none" w:color="000000" w:sz="0" w:space="0"/>
          <w:bottom w:val="none" w:color="000000" w:sz="0" w:space="0"/>
          <w:right w:val="none" w:color="000000" w:sz="0" w:space="0"/>
        </w:pBdr>
        <w:spacing w:line="360" w:lineRule="auto"/>
        <w:ind w:firstLine="420" w:firstLineChars="200"/>
        <w:rPr>
          <w:rFonts w:ascii="宋体" w:hAnsi="宋体" w:cs="宋体"/>
          <w:szCs w:val="21"/>
        </w:rPr>
      </w:pPr>
      <w:r>
        <w:rPr>
          <w:rFonts w:hint="eastAsia" w:ascii="宋体" w:hAnsi="宋体" w:cs="宋体"/>
          <w:szCs w:val="21"/>
        </w:rPr>
        <w:t>我公司郑重承诺，我司参加贵方</w:t>
      </w:r>
      <w:r>
        <w:rPr>
          <w:rFonts w:hint="eastAsia" w:ascii="宋体" w:hAnsi="宋体" w:cs="宋体"/>
          <w:szCs w:val="21"/>
          <w:u w:val="single"/>
        </w:rPr>
        <w:t>（项目名称）（项目编号）</w:t>
      </w:r>
      <w:r>
        <w:rPr>
          <w:rFonts w:hint="eastAsia" w:ascii="宋体" w:hAnsi="宋体" w:cs="宋体"/>
          <w:szCs w:val="21"/>
        </w:rPr>
        <w:t>采购：</w:t>
      </w:r>
    </w:p>
    <w:p w14:paraId="3823FFB1">
      <w:pPr>
        <w:pBdr>
          <w:top w:val="none" w:color="000000" w:sz="0" w:space="0"/>
          <w:left w:val="none" w:color="000000" w:sz="0" w:space="0"/>
          <w:bottom w:val="none" w:color="000000" w:sz="0" w:space="0"/>
          <w:right w:val="none" w:color="000000" w:sz="0" w:space="0"/>
        </w:pBdr>
        <w:spacing w:line="360" w:lineRule="auto"/>
        <w:ind w:firstLine="420" w:firstLineChars="200"/>
        <w:rPr>
          <w:rFonts w:hint="eastAsia" w:ascii="宋体" w:hAnsi="宋体" w:cs="宋体"/>
          <w:szCs w:val="21"/>
        </w:rPr>
      </w:pPr>
      <w:r>
        <w:rPr>
          <w:rFonts w:hint="eastAsia" w:ascii="宋体" w:hAnsi="宋体" w:cs="宋体"/>
          <w:szCs w:val="21"/>
        </w:rPr>
        <w:t>1、单位负责人为同一人或者存在直接控股、管理关系的不同供应商，未参加同一合同项下的政府采购活动。</w:t>
      </w:r>
    </w:p>
    <w:p w14:paraId="5814E8B0">
      <w:pPr>
        <w:pBdr>
          <w:top w:val="none" w:color="000000" w:sz="0" w:space="0"/>
          <w:left w:val="none" w:color="000000" w:sz="0" w:space="0"/>
          <w:bottom w:val="none" w:color="000000" w:sz="0" w:space="0"/>
          <w:right w:val="none" w:color="000000" w:sz="0" w:space="0"/>
        </w:pBdr>
        <w:spacing w:line="360" w:lineRule="auto"/>
        <w:ind w:firstLine="420" w:firstLineChars="200"/>
        <w:rPr>
          <w:rFonts w:hint="eastAsia" w:ascii="宋体" w:hAnsi="宋体" w:cs="宋体"/>
          <w:szCs w:val="21"/>
        </w:rPr>
      </w:pPr>
      <w:r>
        <w:rPr>
          <w:rFonts w:hint="eastAsia" w:ascii="宋体" w:hAnsi="宋体" w:cs="宋体"/>
          <w:szCs w:val="21"/>
        </w:rPr>
        <w:t>2、为采购项目提供整体设计、规范编制或者项目管理、监理、检测等服务的供应商，未参加该采购项目的其他采购活动。</w:t>
      </w:r>
    </w:p>
    <w:p w14:paraId="352F9B67">
      <w:pPr>
        <w:pBdr>
          <w:top w:val="none" w:color="000000" w:sz="0" w:space="0"/>
          <w:left w:val="none" w:color="000000" w:sz="0" w:space="0"/>
          <w:bottom w:val="none" w:color="000000" w:sz="0" w:space="0"/>
          <w:right w:val="none" w:color="000000" w:sz="0" w:space="0"/>
        </w:pBdr>
        <w:spacing w:line="360" w:lineRule="auto"/>
        <w:ind w:firstLine="420" w:firstLineChars="200"/>
        <w:rPr>
          <w:rFonts w:hint="eastAsia" w:ascii="宋体" w:hAnsi="宋体" w:cs="宋体"/>
          <w:szCs w:val="21"/>
        </w:rPr>
      </w:pPr>
      <w:r>
        <w:rPr>
          <w:rFonts w:hint="eastAsia" w:ascii="宋体" w:hAnsi="宋体" w:cs="宋体"/>
          <w:szCs w:val="21"/>
        </w:rPr>
        <w:t>3、承担的工程项目在合同期内全部验收合格。</w:t>
      </w:r>
    </w:p>
    <w:p w14:paraId="7E6994BB">
      <w:pPr>
        <w:pBdr>
          <w:top w:val="none" w:color="000000" w:sz="0" w:space="0"/>
          <w:left w:val="none" w:color="000000" w:sz="0" w:space="0"/>
          <w:bottom w:val="none" w:color="000000" w:sz="0" w:space="0"/>
          <w:right w:val="none" w:color="000000" w:sz="0" w:space="0"/>
        </w:pBdr>
        <w:spacing w:line="360" w:lineRule="auto"/>
        <w:ind w:firstLine="420" w:firstLineChars="200"/>
        <w:rPr>
          <w:rFonts w:hint="eastAsia" w:ascii="宋体" w:hAnsi="宋体" w:cs="宋体"/>
          <w:szCs w:val="21"/>
        </w:rPr>
      </w:pPr>
      <w:r>
        <w:rPr>
          <w:rFonts w:hint="eastAsia" w:ascii="宋体" w:hAnsi="宋体" w:cs="宋体"/>
          <w:szCs w:val="21"/>
        </w:rPr>
        <w:t>4、不出现将成交项目转包及其它违规行为，一经发现立即取消我方施工资格，并接受按相关法律法规上报处理。</w:t>
      </w:r>
    </w:p>
    <w:p w14:paraId="337BD3BA">
      <w:pPr>
        <w:pBdr>
          <w:top w:val="none" w:color="000000" w:sz="0" w:space="0"/>
          <w:left w:val="none" w:color="000000" w:sz="0" w:space="0"/>
          <w:bottom w:val="none" w:color="000000" w:sz="0" w:space="0"/>
          <w:right w:val="none" w:color="000000" w:sz="0" w:space="0"/>
        </w:pBdr>
        <w:spacing w:line="360" w:lineRule="auto"/>
        <w:ind w:firstLine="420" w:firstLineChars="200"/>
        <w:rPr>
          <w:rFonts w:hint="eastAsia" w:ascii="宋体" w:hAnsi="宋体" w:cs="宋体"/>
          <w:szCs w:val="21"/>
        </w:rPr>
      </w:pPr>
      <w:r>
        <w:rPr>
          <w:rFonts w:hint="eastAsia" w:ascii="宋体" w:hAnsi="宋体" w:cs="宋体"/>
          <w:szCs w:val="21"/>
        </w:rPr>
        <w:t>5、我方拟派项目负责人满足下列条件：</w:t>
      </w:r>
    </w:p>
    <w:p w14:paraId="307661E9">
      <w:pPr>
        <w:pBdr>
          <w:top w:val="none" w:color="000000" w:sz="0" w:space="0"/>
          <w:left w:val="none" w:color="000000" w:sz="0" w:space="0"/>
          <w:bottom w:val="none" w:color="000000" w:sz="0" w:space="0"/>
          <w:right w:val="none" w:color="000000" w:sz="0" w:space="0"/>
        </w:pBdr>
        <w:spacing w:line="360" w:lineRule="auto"/>
        <w:ind w:firstLine="420" w:firstLineChars="200"/>
        <w:rPr>
          <w:rFonts w:hint="eastAsia" w:ascii="宋体" w:hAnsi="宋体" w:cs="宋体"/>
          <w:szCs w:val="21"/>
        </w:rPr>
      </w:pPr>
      <w:r>
        <w:rPr>
          <w:rFonts w:hint="eastAsia" w:ascii="宋体" w:hAnsi="宋体" w:cs="宋体"/>
          <w:szCs w:val="21"/>
        </w:rPr>
        <w:t>（1）项目负责人不得同时在两个或者两个以上单位受聘或者执业。</w:t>
      </w:r>
    </w:p>
    <w:p w14:paraId="4896EB3B">
      <w:pPr>
        <w:pBdr>
          <w:top w:val="none" w:color="000000" w:sz="0" w:space="0"/>
          <w:left w:val="none" w:color="000000" w:sz="0" w:space="0"/>
          <w:bottom w:val="none" w:color="000000" w:sz="0" w:space="0"/>
          <w:right w:val="none" w:color="000000" w:sz="0" w:space="0"/>
        </w:pBdr>
        <w:spacing w:line="360" w:lineRule="auto"/>
        <w:ind w:firstLine="420" w:firstLineChars="200"/>
        <w:rPr>
          <w:rFonts w:hint="eastAsia" w:ascii="宋体" w:hAnsi="宋体" w:cs="宋体"/>
          <w:szCs w:val="21"/>
        </w:rPr>
      </w:pPr>
      <w:r>
        <w:rPr>
          <w:rFonts w:hint="eastAsia" w:ascii="宋体" w:hAnsi="宋体" w:cs="宋体"/>
          <w:szCs w:val="21"/>
        </w:rPr>
        <w:t>（2）项目负责人无行贿犯罪行为记录；或有行贿犯罪行为记录，但自记录之日起已超过5年的。</w:t>
      </w:r>
    </w:p>
    <w:p w14:paraId="60CB0A20">
      <w:pPr>
        <w:pBdr>
          <w:top w:val="none" w:color="000000" w:sz="0" w:space="0"/>
          <w:left w:val="none" w:color="000000" w:sz="0" w:space="0"/>
          <w:bottom w:val="none" w:color="000000" w:sz="0" w:space="0"/>
          <w:right w:val="none" w:color="000000" w:sz="0" w:space="0"/>
        </w:pBdr>
        <w:spacing w:line="360" w:lineRule="auto"/>
        <w:ind w:firstLine="420" w:firstLineChars="200"/>
        <w:rPr>
          <w:rFonts w:hint="eastAsia" w:ascii="宋体" w:hAnsi="宋体" w:cs="宋体"/>
          <w:szCs w:val="21"/>
        </w:rPr>
      </w:pPr>
      <w:r>
        <w:rPr>
          <w:rFonts w:hint="eastAsia" w:ascii="宋体" w:hAnsi="宋体" w:cs="宋体"/>
          <w:szCs w:val="21"/>
        </w:rPr>
        <w:t>6、我方没有因拖欠工人工资或者发生质量安全事故被有关部门限制在项目所在地承接工程的。</w:t>
      </w:r>
    </w:p>
    <w:p w14:paraId="685069B4">
      <w:pPr>
        <w:pBdr>
          <w:top w:val="none" w:color="000000" w:sz="0" w:space="0"/>
          <w:left w:val="none" w:color="000000" w:sz="0" w:space="0"/>
          <w:bottom w:val="none" w:color="000000" w:sz="0" w:space="0"/>
          <w:right w:val="none" w:color="000000" w:sz="0" w:space="0"/>
        </w:pBdr>
        <w:spacing w:line="360" w:lineRule="auto"/>
        <w:ind w:firstLine="420" w:firstLineChars="200"/>
        <w:rPr>
          <w:rFonts w:hint="eastAsia" w:ascii="宋体" w:hAnsi="宋体" w:cs="宋体"/>
          <w:szCs w:val="21"/>
        </w:rPr>
      </w:pPr>
      <w:r>
        <w:rPr>
          <w:rFonts w:hint="eastAsia" w:ascii="宋体" w:hAnsi="宋体" w:cs="宋体"/>
          <w:szCs w:val="21"/>
        </w:rPr>
        <w:t>7、不转包、分包本项目。</w:t>
      </w:r>
    </w:p>
    <w:p w14:paraId="7CB64220">
      <w:pPr>
        <w:pBdr>
          <w:top w:val="none" w:color="000000" w:sz="0" w:space="0"/>
          <w:left w:val="none" w:color="000000" w:sz="0" w:space="0"/>
          <w:bottom w:val="none" w:color="000000" w:sz="0" w:space="0"/>
          <w:right w:val="none" w:color="000000" w:sz="0" w:space="0"/>
        </w:pBdr>
        <w:spacing w:line="360" w:lineRule="auto"/>
        <w:ind w:firstLine="420" w:firstLineChars="200"/>
        <w:rPr>
          <w:rFonts w:hint="eastAsia" w:ascii="宋体" w:hAnsi="宋体" w:cs="宋体"/>
          <w:szCs w:val="21"/>
        </w:rPr>
      </w:pPr>
      <w:r>
        <w:rPr>
          <w:rFonts w:hint="eastAsia" w:ascii="宋体" w:hAnsi="宋体" w:cs="宋体"/>
          <w:szCs w:val="21"/>
          <w:lang w:val="en-US" w:eastAsia="zh-CN"/>
        </w:rPr>
        <w:t>8、</w:t>
      </w:r>
      <w:r>
        <w:rPr>
          <w:rFonts w:hint="eastAsia" w:ascii="宋体" w:hAnsi="宋体" w:cs="宋体"/>
          <w:szCs w:val="21"/>
        </w:rPr>
        <w:t>为保证系统兼容性及平台统一管理，本项目内</w:t>
      </w:r>
      <w:r>
        <w:rPr>
          <w:rFonts w:hint="eastAsia" w:ascii="宋体" w:hAnsi="宋体" w:cs="宋体"/>
          <w:szCs w:val="21"/>
          <w:lang w:val="en-US" w:eastAsia="zh-CN"/>
        </w:rPr>
        <w:t>我单位</w:t>
      </w:r>
      <w:r>
        <w:rPr>
          <w:rFonts w:hint="eastAsia" w:ascii="宋体" w:hAnsi="宋体" w:cs="宋体"/>
          <w:szCs w:val="21"/>
        </w:rPr>
        <w:t>所提供产品应对任何第三方平台免费开放接口，无条件与学校智慧校园综合管理平台对接；所需费用包含在投标报价中。</w:t>
      </w:r>
    </w:p>
    <w:p w14:paraId="57EBBF3F">
      <w:pPr>
        <w:pBdr>
          <w:top w:val="none" w:color="000000" w:sz="0" w:space="0"/>
          <w:left w:val="none" w:color="000000" w:sz="0" w:space="0"/>
          <w:bottom w:val="none" w:color="000000" w:sz="0" w:space="0"/>
          <w:right w:val="none" w:color="000000" w:sz="0" w:space="0"/>
        </w:pBdr>
        <w:spacing w:line="360" w:lineRule="auto"/>
        <w:ind w:firstLine="420" w:firstLineChars="200"/>
        <w:rPr>
          <w:rFonts w:hint="eastAsia" w:ascii="宋体" w:hAnsi="宋体" w:cs="宋体"/>
          <w:szCs w:val="21"/>
        </w:rPr>
      </w:pPr>
      <w:r>
        <w:rPr>
          <w:rFonts w:hint="eastAsia" w:ascii="宋体" w:hAnsi="宋体" w:cs="宋体"/>
          <w:szCs w:val="21"/>
          <w:lang w:val="en-US" w:eastAsia="zh-CN"/>
        </w:rPr>
        <w:t>9、我单位</w:t>
      </w:r>
      <w:r>
        <w:rPr>
          <w:rFonts w:hint="eastAsia" w:ascii="宋体" w:hAnsi="宋体" w:cs="宋体"/>
          <w:szCs w:val="21"/>
        </w:rPr>
        <w:t>为本项目所有建设的软硬件提供不低于两年免费质保期(质保期自验收合格之日算起)。质保期内，供应商须配备专业技术人员提供7×24小时远程技术支持，及时处置系统运行、软硬件故障等常见问题。如设备发生软、硬件故障，维保人员必须在接到报修后1小时(工作时间)或4小时(非工作时间)内响应，8小时内解决问题。维保人员必须具备足够的专业技术水平，能够处理系统运维过程中遇到的常见问题。节假日或学校重大活动期间应按校方要求安排驻场人员值班保障。因产品质量、施工工艺问题产生的所有维修、更换、差旅等费用，均由供应商全额承担。</w:t>
      </w:r>
      <w:bookmarkStart w:id="7" w:name="_GoBack"/>
      <w:bookmarkEnd w:id="7"/>
    </w:p>
    <w:p w14:paraId="75E3C5BC">
      <w:pPr>
        <w:pBdr>
          <w:top w:val="none" w:color="000000" w:sz="0" w:space="0"/>
          <w:left w:val="none" w:color="000000" w:sz="0" w:space="0"/>
          <w:bottom w:val="none" w:color="000000" w:sz="0" w:space="0"/>
          <w:right w:val="none" w:color="000000" w:sz="0" w:space="0"/>
        </w:pBdr>
        <w:spacing w:line="360" w:lineRule="auto"/>
        <w:ind w:firstLine="420" w:firstLineChars="200"/>
        <w:rPr>
          <w:rFonts w:ascii="宋体" w:hAnsi="宋体" w:cs="宋体"/>
          <w:szCs w:val="21"/>
        </w:rPr>
      </w:pPr>
      <w:r>
        <w:rPr>
          <w:rFonts w:hint="eastAsia" w:ascii="宋体" w:hAnsi="宋体" w:cs="宋体"/>
          <w:szCs w:val="21"/>
        </w:rPr>
        <w:t>特此承诺！</w:t>
      </w:r>
    </w:p>
    <w:p w14:paraId="3E25BF3A">
      <w:pPr>
        <w:pStyle w:val="19"/>
        <w:tabs>
          <w:tab w:val="left" w:pos="7098"/>
        </w:tabs>
        <w:spacing w:after="0" w:line="360" w:lineRule="auto"/>
        <w:ind w:firstLine="420" w:firstLineChars="200"/>
        <w:jc w:val="right"/>
        <w:rPr>
          <w:rFonts w:ascii="宋体" w:hAnsi="宋体" w:cs="宋体"/>
          <w:sz w:val="21"/>
          <w:szCs w:val="21"/>
        </w:rPr>
      </w:pPr>
      <w:r>
        <w:rPr>
          <w:rFonts w:hint="eastAsia" w:ascii="宋体" w:hAnsi="宋体" w:cs="宋体"/>
          <w:sz w:val="21"/>
          <w:szCs w:val="21"/>
        </w:rPr>
        <w:t>供应商名称：（盖章）</w:t>
      </w:r>
    </w:p>
    <w:p w14:paraId="4925DD46">
      <w:pPr>
        <w:pStyle w:val="19"/>
        <w:tabs>
          <w:tab w:val="left" w:pos="7098"/>
        </w:tabs>
        <w:spacing w:after="0" w:line="360" w:lineRule="auto"/>
        <w:ind w:firstLine="420" w:firstLineChars="200"/>
        <w:jc w:val="right"/>
        <w:rPr>
          <w:rFonts w:ascii="宋体" w:hAnsi="宋体" w:cs="宋体"/>
          <w:sz w:val="21"/>
          <w:szCs w:val="21"/>
        </w:rPr>
      </w:pPr>
      <w:r>
        <w:rPr>
          <w:rFonts w:hint="eastAsia" w:ascii="宋体" w:hAnsi="宋体" w:cs="宋体"/>
          <w:sz w:val="21"/>
          <w:szCs w:val="21"/>
        </w:rPr>
        <w:t>日期：</w:t>
      </w:r>
    </w:p>
    <w:p w14:paraId="4CA6B207">
      <w:pPr>
        <w:pBdr>
          <w:top w:val="none" w:color="000000" w:sz="0" w:space="0"/>
          <w:left w:val="none" w:color="000000" w:sz="0" w:space="0"/>
          <w:bottom w:val="none" w:color="000000" w:sz="0" w:space="0"/>
          <w:right w:val="none" w:color="000000" w:sz="0" w:space="0"/>
        </w:pBdr>
        <w:rPr>
          <w:rFonts w:ascii="宋体" w:hAnsi="宋体" w:cs="宋体"/>
          <w:szCs w:val="21"/>
        </w:rPr>
      </w:pPr>
    </w:p>
    <w:p w14:paraId="32088A17">
      <w:pPr>
        <w:rPr>
          <w:rFonts w:ascii="宋体" w:hAnsi="宋体" w:cs="宋体"/>
          <w:b/>
          <w:szCs w:val="21"/>
        </w:rPr>
      </w:pPr>
      <w:r>
        <w:rPr>
          <w:rFonts w:hint="eastAsia" w:ascii="宋体" w:hAnsi="宋体" w:cs="宋体"/>
          <w:b/>
          <w:szCs w:val="21"/>
        </w:rPr>
        <w:br w:type="page"/>
      </w:r>
    </w:p>
    <w:p w14:paraId="0CA65C24">
      <w:pPr>
        <w:autoSpaceDE w:val="0"/>
        <w:autoSpaceDN w:val="0"/>
        <w:adjustRightInd w:val="0"/>
        <w:spacing w:line="440" w:lineRule="exact"/>
        <w:outlineLvl w:val="1"/>
        <w:rPr>
          <w:rFonts w:ascii="宋体" w:hAnsi="宋体" w:cs="宋体"/>
          <w:b/>
          <w:szCs w:val="21"/>
        </w:rPr>
      </w:pPr>
      <w:r>
        <w:rPr>
          <w:rFonts w:hint="eastAsia" w:ascii="宋体" w:hAnsi="宋体" w:cs="宋体"/>
          <w:b/>
          <w:szCs w:val="21"/>
        </w:rPr>
        <w:t>附件四、主要材料品牌响应承诺书</w:t>
      </w:r>
    </w:p>
    <w:p w14:paraId="65298500">
      <w:pPr>
        <w:autoSpaceDE w:val="0"/>
        <w:autoSpaceDN w:val="0"/>
        <w:adjustRightInd w:val="0"/>
        <w:spacing w:line="440" w:lineRule="exact"/>
        <w:rPr>
          <w:rFonts w:ascii="宋体" w:hAnsi="宋体" w:cs="宋体"/>
          <w:b/>
          <w:szCs w:val="21"/>
        </w:rPr>
      </w:pPr>
    </w:p>
    <w:p w14:paraId="04E04C7C">
      <w:pPr>
        <w:adjustRightInd w:val="0"/>
        <w:snapToGrid w:val="0"/>
        <w:spacing w:line="360" w:lineRule="auto"/>
        <w:rPr>
          <w:rFonts w:ascii="宋体" w:hAnsi="宋体" w:cs="宋体"/>
          <w:bCs/>
          <w:szCs w:val="21"/>
        </w:rPr>
      </w:pPr>
      <w:r>
        <w:rPr>
          <w:rFonts w:hint="eastAsia" w:ascii="宋体" w:hAnsi="宋体" w:cs="宋体"/>
          <w:bCs/>
          <w:szCs w:val="21"/>
          <w:u w:val="single"/>
        </w:rPr>
        <w:t>（采购人名称）</w:t>
      </w:r>
      <w:r>
        <w:rPr>
          <w:rFonts w:hint="eastAsia" w:ascii="宋体" w:hAnsi="宋体" w:cs="宋体"/>
          <w:bCs/>
          <w:szCs w:val="21"/>
        </w:rPr>
        <w:t>：</w:t>
      </w:r>
    </w:p>
    <w:p w14:paraId="2BE2F1B6">
      <w:pPr>
        <w:spacing w:line="360" w:lineRule="auto"/>
        <w:ind w:firstLine="630" w:firstLineChars="300"/>
        <w:jc w:val="left"/>
        <w:rPr>
          <w:rFonts w:ascii="宋体" w:hAnsi="宋体" w:cs="宋体"/>
          <w:szCs w:val="21"/>
        </w:rPr>
      </w:pPr>
      <w:r>
        <w:rPr>
          <w:rFonts w:hint="eastAsia" w:ascii="宋体" w:hAnsi="宋体" w:cs="宋体"/>
          <w:szCs w:val="21"/>
        </w:rPr>
        <w:t>我单位在参加</w:t>
      </w:r>
      <w:r>
        <w:rPr>
          <w:rFonts w:hint="eastAsia" w:ascii="宋体" w:hAnsi="宋体" w:cs="宋体"/>
          <w:szCs w:val="21"/>
          <w:u w:val="single"/>
        </w:rPr>
        <w:t>（项目名称）、（项目编号）</w:t>
      </w:r>
      <w:r>
        <w:rPr>
          <w:rFonts w:hint="eastAsia" w:ascii="宋体" w:hAnsi="宋体" w:cs="宋体"/>
          <w:szCs w:val="21"/>
        </w:rPr>
        <w:t>的采购活动中，已对磋商文件（含清单）仔细阅读，充分考虑了允许我方选择推荐的品牌或推荐品牌以外的产品进行响应的情况我方承诺如下：</w:t>
      </w:r>
    </w:p>
    <w:p w14:paraId="3C5FA397">
      <w:pPr>
        <w:rPr>
          <w:rFonts w:ascii="宋体" w:hAnsi="宋体" w:cs="宋体"/>
          <w:sz w:val="24"/>
        </w:rPr>
      </w:pPr>
    </w:p>
    <w:p w14:paraId="3C13B4D8">
      <w:pPr>
        <w:pStyle w:val="40"/>
        <w:rPr>
          <w:rFonts w:ascii="宋体" w:hAnsi="宋体" w:cs="宋体"/>
          <w:sz w:val="24"/>
        </w:rPr>
      </w:pPr>
    </w:p>
    <w:tbl>
      <w:tblPr>
        <w:tblStyle w:val="47"/>
        <w:tblW w:w="7469" w:type="dxa"/>
        <w:tblInd w:w="3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1512"/>
        <w:gridCol w:w="5269"/>
      </w:tblGrid>
      <w:tr w14:paraId="4E9EB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688" w:type="dxa"/>
            <w:noWrap/>
            <w:vAlign w:val="center"/>
          </w:tcPr>
          <w:p w14:paraId="08C2487E">
            <w:pPr>
              <w:pageBreakBefore w:val="0"/>
              <w:bidi w:val="0"/>
              <w:spacing w:before="181" w:beforeLines="50" w:after="181" w:afterLines="50" w:line="360" w:lineRule="auto"/>
              <w:jc w:val="center"/>
              <w:rPr>
                <w:rFonts w:hint="eastAsia"/>
                <w:b/>
                <w:bCs/>
                <w:color w:val="000000"/>
                <w:sz w:val="21"/>
                <w:szCs w:val="21"/>
                <w:highlight w:val="none"/>
              </w:rPr>
            </w:pPr>
            <w:r>
              <w:rPr>
                <w:rFonts w:hint="eastAsia"/>
                <w:b/>
                <w:bCs/>
                <w:color w:val="000000"/>
                <w:sz w:val="21"/>
                <w:szCs w:val="21"/>
                <w:highlight w:val="none"/>
              </w:rPr>
              <w:t>序号</w:t>
            </w:r>
          </w:p>
        </w:tc>
        <w:tc>
          <w:tcPr>
            <w:tcW w:w="1512" w:type="dxa"/>
            <w:noWrap w:val="0"/>
            <w:vAlign w:val="center"/>
          </w:tcPr>
          <w:p w14:paraId="013C30BE">
            <w:pPr>
              <w:pageBreakBefore w:val="0"/>
              <w:bidi w:val="0"/>
              <w:spacing w:before="181" w:beforeLines="50" w:after="181" w:afterLines="50" w:line="360" w:lineRule="auto"/>
              <w:jc w:val="center"/>
              <w:rPr>
                <w:rFonts w:hint="eastAsia"/>
                <w:b/>
                <w:bCs/>
                <w:color w:val="000000"/>
                <w:sz w:val="21"/>
                <w:szCs w:val="21"/>
                <w:highlight w:val="none"/>
              </w:rPr>
            </w:pPr>
            <w:r>
              <w:rPr>
                <w:rFonts w:hint="eastAsia"/>
                <w:b/>
                <w:bCs/>
                <w:color w:val="000000"/>
                <w:sz w:val="21"/>
                <w:szCs w:val="21"/>
                <w:highlight w:val="none"/>
              </w:rPr>
              <w:t>材料名称</w:t>
            </w:r>
          </w:p>
        </w:tc>
        <w:tc>
          <w:tcPr>
            <w:tcW w:w="5269" w:type="dxa"/>
            <w:noWrap w:val="0"/>
            <w:vAlign w:val="center"/>
          </w:tcPr>
          <w:p w14:paraId="45D34492">
            <w:pPr>
              <w:pageBreakBefore w:val="0"/>
              <w:bidi w:val="0"/>
              <w:spacing w:before="181" w:beforeLines="50" w:after="181" w:afterLines="50" w:line="360" w:lineRule="auto"/>
              <w:jc w:val="center"/>
              <w:rPr>
                <w:rFonts w:hint="eastAsia"/>
                <w:b/>
                <w:bCs/>
                <w:color w:val="000000"/>
                <w:sz w:val="21"/>
                <w:szCs w:val="21"/>
                <w:highlight w:val="none"/>
              </w:rPr>
            </w:pPr>
            <w:r>
              <w:rPr>
                <w:rFonts w:hint="eastAsia"/>
                <w:b/>
                <w:bCs/>
                <w:color w:val="000000"/>
                <w:sz w:val="21"/>
                <w:szCs w:val="21"/>
                <w:highlight w:val="none"/>
              </w:rPr>
              <w:t>推荐品牌</w:t>
            </w:r>
          </w:p>
        </w:tc>
      </w:tr>
      <w:tr w14:paraId="4EE56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88" w:type="dxa"/>
            <w:noWrap/>
            <w:vAlign w:val="center"/>
          </w:tcPr>
          <w:p w14:paraId="2F0C2258">
            <w:pPr>
              <w:pageBreakBefore w:val="0"/>
              <w:bidi w:val="0"/>
              <w:spacing w:before="181" w:beforeLines="50" w:after="181" w:afterLines="50"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p>
        </w:tc>
        <w:tc>
          <w:tcPr>
            <w:tcW w:w="1512" w:type="dxa"/>
            <w:noWrap w:val="0"/>
            <w:vAlign w:val="center"/>
          </w:tcPr>
          <w:p w14:paraId="3E0DCC1C">
            <w:pPr>
              <w:pageBreakBefore w:val="0"/>
              <w:bidi w:val="0"/>
              <w:spacing w:before="181" w:beforeLines="50" w:after="181" w:afterLines="50" w:line="360" w:lineRule="auto"/>
              <w:jc w:val="center"/>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塑料管</w:t>
            </w:r>
          </w:p>
        </w:tc>
        <w:tc>
          <w:tcPr>
            <w:tcW w:w="5269" w:type="dxa"/>
            <w:noWrap w:val="0"/>
            <w:vAlign w:val="center"/>
          </w:tcPr>
          <w:p w14:paraId="64755626">
            <w:pPr>
              <w:pageBreakBefore w:val="0"/>
              <w:bidi w:val="0"/>
              <w:spacing w:before="181" w:beforeLines="50" w:after="181" w:afterLines="50" w:line="360" w:lineRule="auto"/>
              <w:jc w:val="center"/>
              <w:rPr>
                <w:rFonts w:hint="eastAsia" w:ascii="宋体" w:hAnsi="宋体" w:eastAsia="宋体" w:cs="宋体"/>
                <w:color w:val="000000"/>
                <w:sz w:val="21"/>
                <w:szCs w:val="21"/>
                <w:highlight w:val="none"/>
              </w:rPr>
            </w:pPr>
          </w:p>
        </w:tc>
      </w:tr>
      <w:tr w14:paraId="2FC9D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88" w:type="dxa"/>
            <w:noWrap/>
            <w:vAlign w:val="center"/>
          </w:tcPr>
          <w:p w14:paraId="47B22832">
            <w:pPr>
              <w:pageBreakBefore w:val="0"/>
              <w:bidi w:val="0"/>
              <w:spacing w:before="181" w:beforeLines="50" w:after="181" w:afterLines="50" w:line="360" w:lineRule="auto"/>
              <w:jc w:val="center"/>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2</w:t>
            </w:r>
          </w:p>
        </w:tc>
        <w:tc>
          <w:tcPr>
            <w:tcW w:w="1512" w:type="dxa"/>
            <w:noWrap w:val="0"/>
            <w:vAlign w:val="center"/>
          </w:tcPr>
          <w:p w14:paraId="1252E6D0">
            <w:pPr>
              <w:pageBreakBefore w:val="0"/>
              <w:bidi w:val="0"/>
              <w:spacing w:before="181" w:beforeLines="50" w:after="181" w:afterLines="50" w:line="360" w:lineRule="auto"/>
              <w:jc w:val="center"/>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控制箱</w:t>
            </w:r>
          </w:p>
        </w:tc>
        <w:tc>
          <w:tcPr>
            <w:tcW w:w="5269" w:type="dxa"/>
            <w:noWrap w:val="0"/>
            <w:vAlign w:val="center"/>
          </w:tcPr>
          <w:p w14:paraId="7D35EDBF">
            <w:pPr>
              <w:pageBreakBefore w:val="0"/>
              <w:bidi w:val="0"/>
              <w:spacing w:before="181" w:beforeLines="50" w:after="181" w:afterLines="50" w:line="360" w:lineRule="auto"/>
              <w:jc w:val="center"/>
              <w:rPr>
                <w:rFonts w:hint="eastAsia" w:ascii="宋体" w:hAnsi="宋体" w:eastAsia="宋体" w:cs="宋体"/>
                <w:color w:val="000000"/>
                <w:sz w:val="21"/>
                <w:szCs w:val="21"/>
                <w:highlight w:val="none"/>
                <w:lang w:val="en-US" w:eastAsia="zh-CN" w:bidi="ar-SA"/>
              </w:rPr>
            </w:pPr>
          </w:p>
        </w:tc>
      </w:tr>
      <w:tr w14:paraId="19A0C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88" w:type="dxa"/>
            <w:noWrap/>
            <w:vAlign w:val="center"/>
          </w:tcPr>
          <w:p w14:paraId="5C35C855">
            <w:pPr>
              <w:pageBreakBefore w:val="0"/>
              <w:bidi w:val="0"/>
              <w:spacing w:before="181" w:beforeLines="50" w:after="181" w:afterLines="50" w:line="360" w:lineRule="auto"/>
              <w:jc w:val="center"/>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w:t>
            </w:r>
          </w:p>
        </w:tc>
        <w:tc>
          <w:tcPr>
            <w:tcW w:w="1512" w:type="dxa"/>
            <w:noWrap w:val="0"/>
            <w:vAlign w:val="center"/>
          </w:tcPr>
          <w:p w14:paraId="3B020D42">
            <w:pPr>
              <w:pageBreakBefore w:val="0"/>
              <w:bidi w:val="0"/>
              <w:spacing w:before="181" w:beforeLines="50" w:after="181" w:afterLines="50"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电缆、电线</w:t>
            </w:r>
          </w:p>
        </w:tc>
        <w:tc>
          <w:tcPr>
            <w:tcW w:w="5269" w:type="dxa"/>
            <w:noWrap w:val="0"/>
            <w:vAlign w:val="center"/>
          </w:tcPr>
          <w:p w14:paraId="4BEC304E">
            <w:pPr>
              <w:pageBreakBefore w:val="0"/>
              <w:bidi w:val="0"/>
              <w:spacing w:before="181" w:beforeLines="50" w:after="181" w:afterLines="50" w:line="360" w:lineRule="auto"/>
              <w:jc w:val="center"/>
              <w:rPr>
                <w:rFonts w:hint="eastAsia" w:ascii="宋体" w:hAnsi="宋体" w:eastAsia="宋体" w:cs="宋体"/>
                <w:color w:val="000000"/>
                <w:sz w:val="21"/>
                <w:szCs w:val="21"/>
                <w:highlight w:val="none"/>
                <w:lang w:val="en-US" w:eastAsia="zh-CN"/>
              </w:rPr>
            </w:pPr>
          </w:p>
        </w:tc>
      </w:tr>
    </w:tbl>
    <w:p w14:paraId="359FFD26">
      <w:pPr>
        <w:pStyle w:val="40"/>
        <w:jc w:val="both"/>
        <w:rPr>
          <w:rFonts w:ascii="宋体" w:hAnsi="宋体" w:cs="宋体"/>
          <w:sz w:val="24"/>
        </w:rPr>
      </w:pPr>
    </w:p>
    <w:p w14:paraId="30D6DB0A">
      <w:pPr>
        <w:pStyle w:val="40"/>
        <w:jc w:val="right"/>
        <w:rPr>
          <w:rFonts w:ascii="宋体" w:hAnsi="宋体" w:cs="宋体"/>
          <w:sz w:val="24"/>
        </w:rPr>
      </w:pPr>
    </w:p>
    <w:p w14:paraId="3D9DEC98">
      <w:pPr>
        <w:widowControl/>
        <w:spacing w:line="360" w:lineRule="auto"/>
        <w:ind w:firstLine="720" w:firstLineChars="300"/>
        <w:jc w:val="center"/>
        <w:rPr>
          <w:rFonts w:ascii="宋体" w:hAnsi="宋体" w:cs="宋体"/>
          <w:sz w:val="24"/>
        </w:rPr>
      </w:pPr>
      <w:r>
        <w:rPr>
          <w:rFonts w:hint="eastAsia" w:ascii="宋体" w:hAnsi="宋体" w:cs="宋体"/>
          <w:sz w:val="24"/>
        </w:rPr>
        <w:t xml:space="preserve">                                     供应商名称（公章）：</w:t>
      </w:r>
    </w:p>
    <w:p w14:paraId="6E8A5483">
      <w:pPr>
        <w:widowControl/>
        <w:spacing w:line="360" w:lineRule="auto"/>
        <w:ind w:firstLine="720" w:firstLineChars="300"/>
        <w:jc w:val="center"/>
        <w:rPr>
          <w:rFonts w:ascii="宋体" w:hAnsi="宋体" w:cs="宋体"/>
          <w:sz w:val="24"/>
        </w:rPr>
      </w:pPr>
      <w:r>
        <w:rPr>
          <w:rFonts w:hint="eastAsia" w:ascii="宋体" w:hAnsi="宋体" w:cs="宋体"/>
          <w:sz w:val="24"/>
        </w:rPr>
        <w:t xml:space="preserve">                                           日  期：______年___月___日</w:t>
      </w:r>
    </w:p>
    <w:p w14:paraId="59FB8FCB">
      <w:pPr>
        <w:widowControl/>
        <w:spacing w:line="360" w:lineRule="auto"/>
        <w:ind w:firstLine="630" w:firstLineChars="300"/>
        <w:jc w:val="both"/>
        <w:rPr>
          <w:rFonts w:hint="eastAsia" w:ascii="宋体" w:hAnsi="宋体" w:eastAsia="宋体" w:cs="宋体"/>
          <w:lang w:val="en-US" w:eastAsia="zh-CN"/>
        </w:rPr>
      </w:pPr>
      <w:r>
        <w:rPr>
          <w:rFonts w:hint="eastAsia" w:ascii="宋体" w:hAnsi="宋体" w:cs="宋体"/>
          <w:lang w:val="en-US" w:eastAsia="zh-CN"/>
        </w:rPr>
        <w:t>注：投标人在投标时必须注明主要材料规格、品牌，如进场材料与投标时不符，招标人可另行采购，中标人承担相应的材料及采购费用；工程中所用材料必须符合国家质量验收标准。</w:t>
      </w:r>
    </w:p>
    <w:p w14:paraId="6501891D">
      <w:pPr>
        <w:rPr>
          <w:lang w:val="zh-CN"/>
        </w:rPr>
      </w:pPr>
      <w:r>
        <w:rPr>
          <w:lang w:val="zh-CN"/>
        </w:rPr>
        <w:br w:type="page"/>
      </w:r>
    </w:p>
    <w:p w14:paraId="4574FEDA">
      <w:pPr>
        <w:pStyle w:val="464"/>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附件三、进校报备</w:t>
      </w:r>
    </w:p>
    <w:p w14:paraId="698DE584">
      <w:pPr>
        <w:spacing w:line="400" w:lineRule="exact"/>
        <w:ind w:firstLine="480"/>
        <w:rPr>
          <w:rFonts w:hint="eastAsia" w:ascii="宋体" w:hAnsi="宋体" w:cs="宋体"/>
          <w:b/>
          <w:bCs/>
          <w:kern w:val="2"/>
          <w:szCs w:val="21"/>
        </w:rPr>
      </w:pPr>
      <w:r>
        <w:rPr>
          <w:rFonts w:hint="eastAsia" w:ascii="宋体" w:hAnsi="宋体" w:cs="宋体"/>
          <w:b/>
          <w:bCs/>
          <w:kern w:val="2"/>
          <w:szCs w:val="21"/>
        </w:rPr>
        <w:t>进校参加</w:t>
      </w:r>
      <w:r>
        <w:rPr>
          <w:rFonts w:hint="eastAsia" w:ascii="宋体" w:hAnsi="宋体" w:cs="宋体"/>
          <w:b/>
          <w:bCs/>
          <w:kern w:val="2"/>
          <w:szCs w:val="21"/>
          <w:lang w:val="en-US" w:eastAsia="zh-CN"/>
        </w:rPr>
        <w:t>投标响应</w:t>
      </w:r>
      <w:r>
        <w:rPr>
          <w:rFonts w:hint="eastAsia" w:ascii="宋体" w:hAnsi="宋体" w:cs="宋体"/>
          <w:b/>
          <w:bCs/>
          <w:kern w:val="2"/>
          <w:szCs w:val="21"/>
        </w:rPr>
        <w:t>活动的</w:t>
      </w:r>
      <w:r>
        <w:rPr>
          <w:rFonts w:hint="eastAsia" w:ascii="宋体" w:hAnsi="宋体" w:cs="宋体"/>
          <w:b/>
          <w:bCs/>
          <w:kern w:val="2"/>
          <w:szCs w:val="21"/>
          <w:lang w:val="en-US" w:eastAsia="zh-CN"/>
        </w:rPr>
        <w:t>授权代表</w:t>
      </w:r>
      <w:r>
        <w:rPr>
          <w:rFonts w:hint="eastAsia" w:ascii="宋体" w:hAnsi="宋体" w:cs="宋体"/>
          <w:b/>
          <w:bCs/>
          <w:kern w:val="2"/>
          <w:szCs w:val="21"/>
        </w:rPr>
        <w:t>，应</w:t>
      </w:r>
      <w:r>
        <w:rPr>
          <w:rFonts w:hint="eastAsia" w:ascii="宋体" w:hAnsi="宋体" w:cs="宋体"/>
          <w:b/>
          <w:bCs/>
          <w:kern w:val="2"/>
          <w:szCs w:val="21"/>
          <w:lang w:val="en-US" w:eastAsia="zh-CN"/>
        </w:rPr>
        <w:t>至少</w:t>
      </w:r>
      <w:r>
        <w:rPr>
          <w:rFonts w:hint="eastAsia" w:ascii="宋体" w:hAnsi="宋体" w:cs="宋体"/>
          <w:b/>
          <w:bCs/>
          <w:kern w:val="2"/>
          <w:szCs w:val="21"/>
        </w:rPr>
        <w:t>提前2小时扫描下方二维码填写入校预约，审核通过后从南邮仙林校区南门（文苑路9号）入校。（进校二维码见下）</w:t>
      </w:r>
    </w:p>
    <w:p w14:paraId="5E2CDCDB">
      <w:pPr>
        <w:spacing w:line="400" w:lineRule="exact"/>
        <w:ind w:firstLine="480"/>
        <w:rPr>
          <w:rFonts w:hint="eastAsia" w:ascii="宋体" w:hAnsi="宋体" w:cs="宋体"/>
          <w:b w:val="0"/>
          <w:bCs w:val="0"/>
          <w:kern w:val="2"/>
          <w:szCs w:val="21"/>
          <w:lang w:val="en-US" w:eastAsia="zh-CN"/>
        </w:rPr>
      </w:pPr>
      <w:r>
        <w:rPr>
          <w:rFonts w:hint="eastAsia" w:ascii="宋体" w:hAnsi="宋体" w:cs="宋体"/>
          <w:b w:val="0"/>
          <w:bCs w:val="0"/>
          <w:kern w:val="2"/>
          <w:szCs w:val="21"/>
          <w:lang w:val="en-US" w:eastAsia="zh-CN"/>
        </w:rPr>
        <w:t>到访校区勾选：仙林</w:t>
      </w:r>
    </w:p>
    <w:p w14:paraId="28D1DFA1">
      <w:pPr>
        <w:spacing w:line="400" w:lineRule="exact"/>
        <w:ind w:firstLine="480"/>
        <w:rPr>
          <w:rFonts w:hint="eastAsia" w:ascii="宋体" w:hAnsi="宋体" w:cs="宋体"/>
          <w:b w:val="0"/>
          <w:bCs w:val="0"/>
          <w:kern w:val="2"/>
          <w:szCs w:val="21"/>
          <w:lang w:val="en-US" w:eastAsia="zh-CN"/>
        </w:rPr>
      </w:pPr>
      <w:r>
        <w:rPr>
          <w:rFonts w:hint="eastAsia" w:ascii="宋体" w:hAnsi="宋体" w:cs="宋体"/>
          <w:b w:val="0"/>
          <w:bCs w:val="0"/>
          <w:kern w:val="2"/>
          <w:szCs w:val="21"/>
          <w:lang w:val="en-US" w:eastAsia="zh-CN"/>
        </w:rPr>
        <w:t>到访事宜填写：单位名称+投标项目简称</w:t>
      </w:r>
    </w:p>
    <w:p w14:paraId="141B3751">
      <w:pPr>
        <w:spacing w:line="400" w:lineRule="exact"/>
        <w:ind w:firstLine="480"/>
        <w:rPr>
          <w:rFonts w:hint="eastAsia" w:ascii="宋体" w:hAnsi="宋体" w:cs="宋体"/>
          <w:b w:val="0"/>
          <w:bCs w:val="0"/>
          <w:kern w:val="2"/>
          <w:szCs w:val="21"/>
          <w:lang w:val="en-US" w:eastAsia="zh-CN"/>
        </w:rPr>
      </w:pPr>
      <w:r>
        <w:rPr>
          <w:rFonts w:hint="eastAsia" w:ascii="宋体" w:hAnsi="宋体" w:cs="宋体"/>
          <w:b w:val="0"/>
          <w:bCs w:val="0"/>
          <w:kern w:val="2"/>
          <w:szCs w:val="21"/>
          <w:lang w:val="en-US" w:eastAsia="zh-CN"/>
        </w:rPr>
        <w:t>到访人员：根据响应文件内授权代表真实信息填写</w:t>
      </w:r>
    </w:p>
    <w:p w14:paraId="49B7A2EE">
      <w:pPr>
        <w:spacing w:line="400" w:lineRule="exact"/>
        <w:ind w:firstLine="480"/>
        <w:rPr>
          <w:rFonts w:hint="eastAsia" w:ascii="宋体" w:hAnsi="宋体" w:cs="宋体"/>
          <w:b w:val="0"/>
          <w:bCs w:val="0"/>
          <w:kern w:val="2"/>
          <w:szCs w:val="21"/>
          <w:lang w:val="en-US" w:eastAsia="zh-CN"/>
        </w:rPr>
      </w:pPr>
      <w:r>
        <w:rPr>
          <w:rFonts w:hint="eastAsia" w:ascii="宋体" w:hAnsi="宋体" w:cs="宋体"/>
          <w:b w:val="0"/>
          <w:bCs w:val="0"/>
          <w:kern w:val="2"/>
          <w:szCs w:val="21"/>
          <w:lang w:val="en-US" w:eastAsia="zh-CN"/>
        </w:rPr>
        <w:t>车辆信息：根据实际情况填写</w:t>
      </w:r>
    </w:p>
    <w:p w14:paraId="4C5FEC85">
      <w:pPr>
        <w:spacing w:line="400" w:lineRule="exact"/>
        <w:ind w:firstLine="480"/>
        <w:rPr>
          <w:rFonts w:hint="eastAsia" w:ascii="宋体" w:hAnsi="宋体" w:cs="宋体"/>
          <w:b/>
          <w:bCs/>
          <w:kern w:val="2"/>
          <w:szCs w:val="21"/>
          <w:lang w:val="en-US" w:eastAsia="zh-CN"/>
        </w:rPr>
      </w:pPr>
      <w:r>
        <w:rPr>
          <w:rFonts w:hint="eastAsia" w:ascii="宋体" w:hAnsi="宋体" w:cs="宋体"/>
          <w:b/>
          <w:bCs/>
          <w:kern w:val="2"/>
          <w:szCs w:val="21"/>
          <w:lang w:val="en-US" w:eastAsia="zh-CN"/>
        </w:rPr>
        <w:t>备注：</w:t>
      </w:r>
    </w:p>
    <w:p w14:paraId="3D34B843">
      <w:pPr>
        <w:numPr>
          <w:ilvl w:val="0"/>
          <w:numId w:val="5"/>
        </w:numPr>
        <w:spacing w:line="400" w:lineRule="exact"/>
        <w:ind w:firstLine="480"/>
        <w:rPr>
          <w:rFonts w:hint="eastAsia" w:ascii="宋体" w:hAnsi="宋体" w:cs="宋体"/>
          <w:b/>
          <w:bCs/>
          <w:kern w:val="2"/>
          <w:szCs w:val="21"/>
          <w:lang w:val="en-US" w:eastAsia="zh-CN"/>
        </w:rPr>
      </w:pPr>
      <w:r>
        <w:rPr>
          <w:rFonts w:hint="eastAsia" w:ascii="宋体" w:hAnsi="宋体" w:cs="宋体"/>
          <w:b/>
          <w:bCs/>
          <w:kern w:val="2"/>
          <w:szCs w:val="21"/>
          <w:lang w:val="en-US" w:eastAsia="zh-CN"/>
        </w:rPr>
        <w:t>请务必预留充足时间，如未能在投标截止时间前在指定地点递交响应文件的，后果由供应商自行承担。</w:t>
      </w:r>
    </w:p>
    <w:p w14:paraId="6690371C">
      <w:pPr>
        <w:numPr>
          <w:ilvl w:val="0"/>
          <w:numId w:val="5"/>
        </w:numPr>
        <w:spacing w:line="400" w:lineRule="exact"/>
        <w:ind w:firstLine="480"/>
        <w:rPr>
          <w:rFonts w:hint="default" w:ascii="宋体" w:hAnsi="宋体" w:cs="宋体"/>
          <w:b/>
          <w:bCs/>
          <w:kern w:val="2"/>
          <w:szCs w:val="21"/>
          <w:lang w:val="en-US" w:eastAsia="zh-CN"/>
        </w:rPr>
      </w:pPr>
      <w:r>
        <w:rPr>
          <w:rFonts w:hint="eastAsia" w:ascii="宋体" w:hAnsi="宋体" w:cs="宋体"/>
          <w:b/>
          <w:bCs/>
          <w:kern w:val="2"/>
          <w:szCs w:val="21"/>
          <w:lang w:val="en-US" w:eastAsia="zh-CN"/>
        </w:rPr>
        <w:t>此页无须放入响应文件中。</w:t>
      </w:r>
    </w:p>
    <w:p w14:paraId="53BACCF7">
      <w:pPr>
        <w:spacing w:line="400" w:lineRule="exact"/>
        <w:ind w:firstLine="480"/>
        <w:rPr>
          <w:rFonts w:hint="default" w:ascii="宋体" w:hAnsi="宋体" w:cs="宋体"/>
          <w:b w:val="0"/>
          <w:bCs w:val="0"/>
          <w:kern w:val="2"/>
          <w:szCs w:val="21"/>
          <w:lang w:val="en-US" w:eastAsia="zh-CN"/>
        </w:rPr>
      </w:pPr>
    </w:p>
    <w:p w14:paraId="27538293">
      <w:pPr>
        <w:ind w:firstLine="480"/>
        <w:jc w:val="center"/>
        <w:rPr>
          <w:rFonts w:hint="eastAsia" w:ascii="宋体" w:hAnsi="宋体" w:cs="宋体"/>
          <w:kern w:val="2"/>
          <w:szCs w:val="21"/>
        </w:rPr>
      </w:pPr>
      <w:r>
        <w:rPr>
          <w:rFonts w:hint="eastAsia" w:ascii="宋体" w:hAnsi="宋体" w:cs="宋体"/>
          <w:kern w:val="2"/>
          <w:szCs w:val="21"/>
        </w:rPr>
        <w:drawing>
          <wp:inline distT="0" distB="0" distL="114300" distR="114300">
            <wp:extent cx="3429000" cy="3429000"/>
            <wp:effectExtent l="0" t="0" r="0" b="0"/>
            <wp:docPr id="10" name="图片 1" descr="a717b41da7b082a13a8f877bef24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a717b41da7b082a13a8f877bef24136"/>
                    <pic:cNvPicPr>
                      <a:picLocks noChangeAspect="1"/>
                    </pic:cNvPicPr>
                  </pic:nvPicPr>
                  <pic:blipFill>
                    <a:blip r:embed="rId7"/>
                    <a:stretch>
                      <a:fillRect/>
                    </a:stretch>
                  </pic:blipFill>
                  <pic:spPr>
                    <a:xfrm>
                      <a:off x="0" y="0"/>
                      <a:ext cx="3429000" cy="3429000"/>
                    </a:xfrm>
                    <a:prstGeom prst="rect">
                      <a:avLst/>
                    </a:prstGeom>
                    <a:noFill/>
                    <a:ln>
                      <a:noFill/>
                    </a:ln>
                  </pic:spPr>
                </pic:pic>
              </a:graphicData>
            </a:graphic>
          </wp:inline>
        </w:drawing>
      </w:r>
    </w:p>
    <w:p w14:paraId="7FEBEBCF">
      <w:pPr>
        <w:pStyle w:val="25"/>
        <w:rPr>
          <w:lang w:val="zh-CN"/>
        </w:rPr>
      </w:pPr>
    </w:p>
    <w:sectPr>
      <w:headerReference r:id="rId3" w:type="default"/>
      <w:footerReference r:id="rId4" w:type="default"/>
      <w:endnotePr>
        <w:numFmt w:val="decimal"/>
      </w:endnotePr>
      <w:pgSz w:w="11906" w:h="16838"/>
      <w:pgMar w:top="850" w:right="850" w:bottom="850" w:left="1417" w:header="340" w:footer="567"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汉仪大黑简">
    <w:altName w:val="黑体"/>
    <w:panose1 w:val="02010600000101010101"/>
    <w:charset w:val="86"/>
    <w:family w:val="auto"/>
    <w:pitch w:val="default"/>
    <w:sig w:usb0="00000000" w:usb1="00000000" w:usb2="00000002" w:usb3="00000000" w:csb0="00040000" w:csb1="00000000"/>
  </w:font>
  <w:font w:name="Verdana">
    <w:panose1 w:val="020B0604030504040204"/>
    <w:charset w:val="00"/>
    <w:family w:val="swiss"/>
    <w:pitch w:val="default"/>
    <w:sig w:usb0="A00006FF" w:usb1="4000205B" w:usb2="00000010" w:usb3="00000000" w:csb0="2000019F" w:csb1="00000000"/>
  </w:font>
  <w:font w:name="华文楷体">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方正小标宋_GBK">
    <w:panose1 w:val="02000000000000000000"/>
    <w:charset w:val="86"/>
    <w:family w:val="script"/>
    <w:pitch w:val="default"/>
    <w:sig w:usb0="A00002BF" w:usb1="38CF7CFA" w:usb2="00082016" w:usb3="00000000" w:csb0="00040001" w:csb1="00000000"/>
  </w:font>
  <w:font w:name="Georgia">
    <w:panose1 w:val="02040502050405020303"/>
    <w:charset w:val="00"/>
    <w:family w:val="roman"/>
    <w:pitch w:val="default"/>
    <w:sig w:usb0="00000287" w:usb1="00000000" w:usb2="00000000" w:usb3="00000000" w:csb0="2000009F" w:csb1="00000000"/>
  </w:font>
  <w:font w:name="??">
    <w:altName w:val="DejaVu Math TeX Gyre"/>
    <w:panose1 w:val="00000000000000000000"/>
    <w:charset w:val="00"/>
    <w:family w:val="auto"/>
    <w:pitch w:val="default"/>
    <w:sig w:usb0="00000000" w:usb1="00000000" w:usb2="00000000" w:usb3="00000000" w:csb0="00000000" w:csb1="00000000"/>
  </w:font>
  <w:font w:name="DejaVu Math TeX Gyre">
    <w:panose1 w:val="02000503000000000000"/>
    <w:charset w:val="00"/>
    <w:family w:val="auto"/>
    <w:pitch w:val="default"/>
    <w:sig w:usb0="A10000EF" w:usb1="4201F9EE" w:usb2="02000000" w:usb3="00000000" w:csb0="60000193" w:csb1="0DD40000"/>
  </w:font>
  <w:font w:name="方正大黑简体">
    <w:altName w:val="黑体"/>
    <w:panose1 w:val="00000000000000000000"/>
    <w:charset w:val="00"/>
    <w:family w:val="auto"/>
    <w:pitch w:val="default"/>
    <w:sig w:usb0="00000000" w:usb1="00000000" w:usb2="00000000" w:usb3="00000000" w:csb0="00000000" w:csb1="00000000"/>
  </w:font>
  <w:font w:name="Arial Unicode MS">
    <w:altName w:val="宋体"/>
    <w:panose1 w:val="020B0604020202020204"/>
    <w:charset w:val="86"/>
    <w:family w:val="swiss"/>
    <w:pitch w:val="default"/>
    <w:sig w:usb0="00000000" w:usb1="00000000" w:usb2="0000007F" w:usb3="00000000" w:csb0="203F01FF" w:csb1="DFFF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9F1D9">
    <w:pPr>
      <w:pStyle w:val="31"/>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086485" cy="147955"/>
              <wp:effectExtent l="0" t="0" r="0" b="0"/>
              <wp:wrapNone/>
              <wp:docPr id="3" name="文本框 1025"/>
              <wp:cNvGraphicFramePr/>
              <a:graphic xmlns:a="http://schemas.openxmlformats.org/drawingml/2006/main">
                <a:graphicData uri="http://schemas.microsoft.com/office/word/2010/wordprocessingShape">
                  <wps:wsp>
                    <wps:cNvSpPr txBox="1"/>
                    <wps:spPr bwMode="auto">
                      <a:xfrm>
                        <a:off x="0" y="0"/>
                        <a:ext cx="1086485" cy="147955"/>
                      </a:xfrm>
                      <a:prstGeom prst="rect">
                        <a:avLst/>
                      </a:prstGeom>
                      <a:noFill/>
                      <a:ln>
                        <a:noFill/>
                      </a:ln>
                    </wps:spPr>
                    <wps:txbx>
                      <w:txbxContent>
                        <w:p w14:paraId="45963FFF">
                          <w:pPr>
                            <w:pStyle w:val="31"/>
                          </w:pPr>
                          <w:r>
                            <w:rPr>
                              <w:rFonts w:hint="eastAsia"/>
                            </w:rPr>
                            <w:t xml:space="preserve">第 </w:t>
                          </w:r>
                          <w:r>
                            <w:fldChar w:fldCharType="begin"/>
                          </w:r>
                          <w:r>
                            <w:instrText xml:space="preserve"> PAGE  \* MERGEFORMAT </w:instrText>
                          </w:r>
                          <w:r>
                            <w:fldChar w:fldCharType="separate"/>
                          </w:r>
                          <w:r>
                            <w:t>24</w:t>
                          </w:r>
                          <w:r>
                            <w:fldChar w:fldCharType="end"/>
                          </w:r>
                          <w:r>
                            <w:rPr>
                              <w:rFonts w:hint="eastAsia"/>
                            </w:rPr>
                            <w:t xml:space="preserve"> 页 共 </w:t>
                          </w:r>
                          <w:r>
                            <w:fldChar w:fldCharType="begin"/>
                          </w:r>
                          <w:r>
                            <w:instrText xml:space="preserve"> NUMPAGES  \* MERGEFORMAT </w:instrText>
                          </w:r>
                          <w:r>
                            <w:fldChar w:fldCharType="separate"/>
                          </w:r>
                          <w:r>
                            <w:t>41</w:t>
                          </w:r>
                          <w:r>
                            <w:fldChar w:fldCharType="end"/>
                          </w:r>
                          <w:r>
                            <w:rPr>
                              <w:rFonts w:hint="eastAsia"/>
                            </w:rPr>
                            <w:t xml:space="preserve"> 页</w:t>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1.65pt;width:85.55pt;mso-position-horizontal:center;mso-position-horizontal-relative:margin;mso-wrap-style:none;z-index:251659264;mso-width-relative:page;mso-height-relative:page;" filled="f" stroked="f" coordsize="21600,21600" o:gfxdata="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G1cAV0QAAAAQBAAAPAAAAAAAAAAEA&#10;IAAAACIAAABkcnMvZG93bnJldi54bWxQSwECFAAUAAAACACHTuJAKrRxbd0BAACpAwAADgAAAAAA&#10;AAABACAAAAAgAQAAZHJzL2Uyb0RvYy54bWxQSwUGAAAAAAYABgBZAQAAbwUAAAAA&#10;">
              <v:fill on="f" focussize="0,0"/>
              <v:stroke on="f"/>
              <v:imagedata o:title=""/>
              <o:lock v:ext="edit" aspectratio="f"/>
              <v:textbox inset="0mm,0mm,0mm,0mm" style="mso-fit-shape-to-text:t;">
                <w:txbxContent>
                  <w:p w14:paraId="45963FFF">
                    <w:pPr>
                      <w:pStyle w:val="31"/>
                    </w:pPr>
                    <w:r>
                      <w:rPr>
                        <w:rFonts w:hint="eastAsia"/>
                      </w:rPr>
                      <w:t xml:space="preserve">第 </w:t>
                    </w:r>
                    <w:r>
                      <w:fldChar w:fldCharType="begin"/>
                    </w:r>
                    <w:r>
                      <w:instrText xml:space="preserve"> PAGE  \* MERGEFORMAT </w:instrText>
                    </w:r>
                    <w:r>
                      <w:fldChar w:fldCharType="separate"/>
                    </w:r>
                    <w:r>
                      <w:t>24</w:t>
                    </w:r>
                    <w:r>
                      <w:fldChar w:fldCharType="end"/>
                    </w:r>
                    <w:r>
                      <w:rPr>
                        <w:rFonts w:hint="eastAsia"/>
                      </w:rPr>
                      <w:t xml:space="preserve"> 页 共 </w:t>
                    </w:r>
                    <w:r>
                      <w:fldChar w:fldCharType="begin"/>
                    </w:r>
                    <w:r>
                      <w:instrText xml:space="preserve"> NUMPAGES  \* MERGEFORMAT </w:instrText>
                    </w:r>
                    <w:r>
                      <w:fldChar w:fldCharType="separate"/>
                    </w:r>
                    <w:r>
                      <w:t>41</w:t>
                    </w:r>
                    <w:r>
                      <w:fldChar w:fldCharType="end"/>
                    </w:r>
                    <w:r>
                      <w:rPr>
                        <w:rFonts w:hint="eastAsia"/>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7DD242">
    <w:pPr>
      <w:pStyle w:val="33"/>
      <w:jc w:val="left"/>
    </w:pPr>
    <w:r>
      <w:drawing>
        <wp:inline distT="0" distB="0" distL="0" distR="0">
          <wp:extent cx="1377315" cy="238760"/>
          <wp:effectExtent l="0" t="0" r="9525" b="5080"/>
          <wp:docPr id="1" name="图片 1" descr="c826bae80687e3a7b3b8bc243736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826bae80687e3a7b3b8bc243736336"/>
                  <pic:cNvPicPr>
                    <a:picLocks noChangeAspect="1"/>
                  </pic:cNvPicPr>
                </pic:nvPicPr>
                <pic:blipFill>
                  <a:blip r:embed="rId1"/>
                  <a:stretch>
                    <a:fillRect/>
                  </a:stretch>
                </pic:blipFill>
                <pic:spPr>
                  <a:xfrm>
                    <a:off x="0" y="0"/>
                    <a:ext cx="1377315" cy="238760"/>
                  </a:xfrm>
                  <a:prstGeom prst="rect">
                    <a:avLst/>
                  </a:prstGeom>
                  <a:noFill/>
                  <a:ln>
                    <a:noFill/>
                  </a:ln>
                </pic:spPr>
              </pic:pic>
            </a:graphicData>
          </a:graphic>
        </wp:inline>
      </w:drawing>
    </w:r>
    <w:r>
      <w:rPr>
        <w:rFonts w:hint="eastAsia"/>
      </w:rPr>
      <w:t xml:space="preserve">                                                             </w:t>
    </w:r>
    <w:r>
      <w:rPr>
        <w:rFonts w:hint="eastAsia" w:ascii="微软雅黑" w:hAnsi="微软雅黑" w:eastAsia="微软雅黑"/>
        <w:b/>
        <w:bCs/>
        <w:sz w:val="21"/>
        <w:szCs w:val="21"/>
      </w:rPr>
      <w:t>认真 高效 廉洁</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CAD258"/>
    <w:multiLevelType w:val="singleLevel"/>
    <w:tmpl w:val="8DCAD258"/>
    <w:lvl w:ilvl="0" w:tentative="0">
      <w:start w:val="1"/>
      <w:numFmt w:val="bullet"/>
      <w:pStyle w:val="25"/>
      <w:lvlText w:val=""/>
      <w:lvlJc w:val="left"/>
      <w:pPr>
        <w:tabs>
          <w:tab w:val="left" w:pos="780"/>
        </w:tabs>
        <w:ind w:left="780" w:hanging="360"/>
      </w:pPr>
      <w:rPr>
        <w:rFonts w:hint="default" w:ascii="Wingdings" w:hAnsi="Wingdings"/>
      </w:rPr>
    </w:lvl>
  </w:abstractNum>
  <w:abstractNum w:abstractNumId="1">
    <w:nsid w:val="E5E85B0D"/>
    <w:multiLevelType w:val="singleLevel"/>
    <w:tmpl w:val="E5E85B0D"/>
    <w:lvl w:ilvl="0" w:tentative="0">
      <w:start w:val="5"/>
      <w:numFmt w:val="chineseCounting"/>
      <w:suff w:val="nothing"/>
      <w:lvlText w:val="%1、"/>
      <w:lvlJc w:val="left"/>
      <w:rPr>
        <w:rFonts w:hint="eastAsia"/>
      </w:rPr>
    </w:lvl>
  </w:abstractNum>
  <w:abstractNum w:abstractNumId="2">
    <w:nsid w:val="0B5960D0"/>
    <w:multiLevelType w:val="singleLevel"/>
    <w:tmpl w:val="0B5960D0"/>
    <w:lvl w:ilvl="0" w:tentative="0">
      <w:start w:val="1"/>
      <w:numFmt w:val="decimal"/>
      <w:suff w:val="nothing"/>
      <w:lvlText w:val="%1、"/>
      <w:lvlJc w:val="left"/>
    </w:lvl>
  </w:abstractNum>
  <w:abstractNum w:abstractNumId="3">
    <w:nsid w:val="23F2415E"/>
    <w:multiLevelType w:val="singleLevel"/>
    <w:tmpl w:val="23F2415E"/>
    <w:lvl w:ilvl="0" w:tentative="0">
      <w:start w:val="14"/>
      <w:numFmt w:val="decimal"/>
      <w:suff w:val="nothing"/>
      <w:lvlText w:val="%1、"/>
      <w:lvlJc w:val="left"/>
    </w:lvl>
  </w:abstractNum>
  <w:abstractNum w:abstractNumId="4">
    <w:nsid w:val="49999D6C"/>
    <w:multiLevelType w:val="multilevel"/>
    <w:tmpl w:val="49999D6C"/>
    <w:lvl w:ilvl="0" w:tentative="0">
      <w:start w:val="1"/>
      <w:numFmt w:val="decimal"/>
      <w:suff w:val="nothing"/>
      <w:lvlText w:val="%1、"/>
      <w:lvlJc w:val="left"/>
      <w:pPr>
        <w:ind w:left="354" w:hanging="360"/>
      </w:pPr>
      <w:rPr>
        <w:rFonts w:hint="default" w:ascii="宋体" w:hAnsi="宋体" w:eastAsia="宋体" w:cs="宋体"/>
        <w:b w:val="0"/>
        <w:bCs w:val="0"/>
      </w:rPr>
    </w:lvl>
    <w:lvl w:ilvl="1" w:tentative="0">
      <w:start w:val="1"/>
      <w:numFmt w:val="lowerLetter"/>
      <w:lvlText w:val="%2)"/>
      <w:lvlJc w:val="left"/>
      <w:pPr>
        <w:ind w:left="1260" w:hanging="420"/>
      </w:pPr>
      <w:rPr>
        <w:rFonts w:hint="eastAsia" w:cs="Times New Roman"/>
      </w:rPr>
    </w:lvl>
    <w:lvl w:ilvl="2" w:tentative="0">
      <w:start w:val="1"/>
      <w:numFmt w:val="lowerRoman"/>
      <w:lvlText w:val="%3."/>
      <w:lvlJc w:val="right"/>
      <w:pPr>
        <w:ind w:left="1680" w:hanging="420"/>
      </w:pPr>
      <w:rPr>
        <w:rFonts w:hint="eastAsia" w:cs="Times New Roman"/>
      </w:rPr>
    </w:lvl>
    <w:lvl w:ilvl="3" w:tentative="0">
      <w:start w:val="1"/>
      <w:numFmt w:val="decimal"/>
      <w:lvlText w:val="%4."/>
      <w:lvlJc w:val="left"/>
      <w:pPr>
        <w:ind w:left="2100" w:hanging="420"/>
      </w:pPr>
      <w:rPr>
        <w:rFonts w:hint="eastAsia" w:cs="Times New Roman"/>
      </w:rPr>
    </w:lvl>
    <w:lvl w:ilvl="4" w:tentative="0">
      <w:start w:val="1"/>
      <w:numFmt w:val="lowerLetter"/>
      <w:lvlText w:val="%5)"/>
      <w:lvlJc w:val="left"/>
      <w:pPr>
        <w:ind w:left="2520" w:hanging="420"/>
      </w:pPr>
      <w:rPr>
        <w:rFonts w:hint="eastAsia" w:cs="Times New Roman"/>
      </w:rPr>
    </w:lvl>
    <w:lvl w:ilvl="5" w:tentative="0">
      <w:start w:val="1"/>
      <w:numFmt w:val="lowerRoman"/>
      <w:lvlText w:val="%6."/>
      <w:lvlJc w:val="right"/>
      <w:pPr>
        <w:ind w:left="2940" w:hanging="420"/>
      </w:pPr>
      <w:rPr>
        <w:rFonts w:hint="eastAsia" w:cs="Times New Roman"/>
      </w:rPr>
    </w:lvl>
    <w:lvl w:ilvl="6" w:tentative="0">
      <w:start w:val="1"/>
      <w:numFmt w:val="decimal"/>
      <w:lvlText w:val="%7."/>
      <w:lvlJc w:val="left"/>
      <w:pPr>
        <w:ind w:left="3360" w:hanging="420"/>
      </w:pPr>
      <w:rPr>
        <w:rFonts w:hint="eastAsia" w:cs="Times New Roman"/>
      </w:rPr>
    </w:lvl>
    <w:lvl w:ilvl="7" w:tentative="0">
      <w:start w:val="1"/>
      <w:numFmt w:val="lowerLetter"/>
      <w:lvlText w:val="%8)"/>
      <w:lvlJc w:val="left"/>
      <w:pPr>
        <w:ind w:left="3780" w:hanging="420"/>
      </w:pPr>
      <w:rPr>
        <w:rFonts w:hint="eastAsia" w:cs="Times New Roman"/>
      </w:rPr>
    </w:lvl>
    <w:lvl w:ilvl="8" w:tentative="0">
      <w:start w:val="1"/>
      <w:numFmt w:val="lowerRoman"/>
      <w:lvlText w:val="%9."/>
      <w:lvlJc w:val="right"/>
      <w:pPr>
        <w:ind w:left="4200" w:hanging="420"/>
      </w:pPr>
      <w:rPr>
        <w:rFonts w:hint="eastAsia" w:cs="Times New Roman"/>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ie [2]">
    <w15:presenceInfo w15:providerId="WPS Office" w15:userId="21519859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endnotePr>
    <w:numFmt w:val="decimal"/>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k5YjI5ZWEwN2FlODIyMGNiNWE1NThlNDRmZGViNDEifQ=="/>
  </w:docVars>
  <w:rsids>
    <w:rsidRoot w:val="00C301DA"/>
    <w:rsid w:val="0007034A"/>
    <w:rsid w:val="000A4551"/>
    <w:rsid w:val="000B27D4"/>
    <w:rsid w:val="000D0430"/>
    <w:rsid w:val="000D24AC"/>
    <w:rsid w:val="00107634"/>
    <w:rsid w:val="001F29BC"/>
    <w:rsid w:val="002452C9"/>
    <w:rsid w:val="002629C4"/>
    <w:rsid w:val="002845B7"/>
    <w:rsid w:val="002B4E45"/>
    <w:rsid w:val="0035039C"/>
    <w:rsid w:val="00351172"/>
    <w:rsid w:val="003B2892"/>
    <w:rsid w:val="00580E9B"/>
    <w:rsid w:val="005911C1"/>
    <w:rsid w:val="006662AB"/>
    <w:rsid w:val="006C69F3"/>
    <w:rsid w:val="006E1572"/>
    <w:rsid w:val="007345C1"/>
    <w:rsid w:val="00771C42"/>
    <w:rsid w:val="007B58FB"/>
    <w:rsid w:val="007D1DCF"/>
    <w:rsid w:val="008B2407"/>
    <w:rsid w:val="00923390"/>
    <w:rsid w:val="009B2E13"/>
    <w:rsid w:val="00A218C1"/>
    <w:rsid w:val="00B25F39"/>
    <w:rsid w:val="00C301DA"/>
    <w:rsid w:val="00D1275B"/>
    <w:rsid w:val="00D80707"/>
    <w:rsid w:val="00E950AF"/>
    <w:rsid w:val="00F373FC"/>
    <w:rsid w:val="00F56EC9"/>
    <w:rsid w:val="00FC4479"/>
    <w:rsid w:val="00FD55CF"/>
    <w:rsid w:val="03C46E38"/>
    <w:rsid w:val="049E3927"/>
    <w:rsid w:val="055C16DC"/>
    <w:rsid w:val="071B2CC8"/>
    <w:rsid w:val="07D37F63"/>
    <w:rsid w:val="08175BCF"/>
    <w:rsid w:val="095F1FD2"/>
    <w:rsid w:val="09B36F09"/>
    <w:rsid w:val="0AA54E13"/>
    <w:rsid w:val="0ADB0F16"/>
    <w:rsid w:val="0AF56886"/>
    <w:rsid w:val="0E7137EE"/>
    <w:rsid w:val="0ED664D9"/>
    <w:rsid w:val="0F335050"/>
    <w:rsid w:val="0F6550F0"/>
    <w:rsid w:val="0FCD5301"/>
    <w:rsid w:val="10264BD0"/>
    <w:rsid w:val="119E34FE"/>
    <w:rsid w:val="11CE35B2"/>
    <w:rsid w:val="12F0170B"/>
    <w:rsid w:val="136A55B3"/>
    <w:rsid w:val="13AA5D4F"/>
    <w:rsid w:val="14653A77"/>
    <w:rsid w:val="148257B3"/>
    <w:rsid w:val="14997261"/>
    <w:rsid w:val="14F2233E"/>
    <w:rsid w:val="150B63E8"/>
    <w:rsid w:val="15C541CC"/>
    <w:rsid w:val="17441A2B"/>
    <w:rsid w:val="1B3E70B3"/>
    <w:rsid w:val="1BE85270"/>
    <w:rsid w:val="1BFF1153"/>
    <w:rsid w:val="1C2B7002"/>
    <w:rsid w:val="1CB22585"/>
    <w:rsid w:val="1D01483C"/>
    <w:rsid w:val="1D4A2404"/>
    <w:rsid w:val="1DDF068E"/>
    <w:rsid w:val="1F7A62FB"/>
    <w:rsid w:val="1F9D5736"/>
    <w:rsid w:val="202C5DCC"/>
    <w:rsid w:val="20E26FD4"/>
    <w:rsid w:val="21A741A3"/>
    <w:rsid w:val="249D12EE"/>
    <w:rsid w:val="25FE6E2A"/>
    <w:rsid w:val="27124326"/>
    <w:rsid w:val="275B6EBC"/>
    <w:rsid w:val="2767716E"/>
    <w:rsid w:val="284C26C7"/>
    <w:rsid w:val="28ED3242"/>
    <w:rsid w:val="28F71BA4"/>
    <w:rsid w:val="28FF77E0"/>
    <w:rsid w:val="29247A64"/>
    <w:rsid w:val="29545DF9"/>
    <w:rsid w:val="296F6FD1"/>
    <w:rsid w:val="2B8509F5"/>
    <w:rsid w:val="2BF0264B"/>
    <w:rsid w:val="2D2F604D"/>
    <w:rsid w:val="2D335FEA"/>
    <w:rsid w:val="2D536019"/>
    <w:rsid w:val="2E1367B4"/>
    <w:rsid w:val="2FF46FBA"/>
    <w:rsid w:val="30AE2C0B"/>
    <w:rsid w:val="30B67078"/>
    <w:rsid w:val="30BD0ABD"/>
    <w:rsid w:val="314D1F83"/>
    <w:rsid w:val="315240FB"/>
    <w:rsid w:val="319F585E"/>
    <w:rsid w:val="32476D3D"/>
    <w:rsid w:val="32A210B9"/>
    <w:rsid w:val="33871E76"/>
    <w:rsid w:val="35611EC4"/>
    <w:rsid w:val="35897AB4"/>
    <w:rsid w:val="384D5441"/>
    <w:rsid w:val="3869581D"/>
    <w:rsid w:val="3918092F"/>
    <w:rsid w:val="395D3729"/>
    <w:rsid w:val="398A0441"/>
    <w:rsid w:val="3A9B1D38"/>
    <w:rsid w:val="3B081F84"/>
    <w:rsid w:val="3B426511"/>
    <w:rsid w:val="3B76307C"/>
    <w:rsid w:val="3CA52006"/>
    <w:rsid w:val="3CA80CC7"/>
    <w:rsid w:val="3CAE35E1"/>
    <w:rsid w:val="3CB1776E"/>
    <w:rsid w:val="3CC72DC1"/>
    <w:rsid w:val="3D4B49A5"/>
    <w:rsid w:val="3DBD74D6"/>
    <w:rsid w:val="3EE82E71"/>
    <w:rsid w:val="3F8E18D4"/>
    <w:rsid w:val="40935EB0"/>
    <w:rsid w:val="40B21825"/>
    <w:rsid w:val="41553B54"/>
    <w:rsid w:val="41E161B5"/>
    <w:rsid w:val="43046E87"/>
    <w:rsid w:val="43170066"/>
    <w:rsid w:val="43AF029E"/>
    <w:rsid w:val="440D0713"/>
    <w:rsid w:val="446E3934"/>
    <w:rsid w:val="47417EF2"/>
    <w:rsid w:val="49282FCC"/>
    <w:rsid w:val="4B683184"/>
    <w:rsid w:val="4BDD65B6"/>
    <w:rsid w:val="4C1830D1"/>
    <w:rsid w:val="4C7412E6"/>
    <w:rsid w:val="4CBE67F4"/>
    <w:rsid w:val="4CF615A3"/>
    <w:rsid w:val="4D2729C2"/>
    <w:rsid w:val="4D3E64C8"/>
    <w:rsid w:val="4E040B30"/>
    <w:rsid w:val="4E5E2FEC"/>
    <w:rsid w:val="4EFB32E2"/>
    <w:rsid w:val="512562C1"/>
    <w:rsid w:val="538A011C"/>
    <w:rsid w:val="539F23EC"/>
    <w:rsid w:val="53B446B2"/>
    <w:rsid w:val="54770964"/>
    <w:rsid w:val="54A87602"/>
    <w:rsid w:val="54A92FF0"/>
    <w:rsid w:val="56DA5A55"/>
    <w:rsid w:val="572D057B"/>
    <w:rsid w:val="573337F3"/>
    <w:rsid w:val="573707CF"/>
    <w:rsid w:val="57746F62"/>
    <w:rsid w:val="57803CB9"/>
    <w:rsid w:val="5849064D"/>
    <w:rsid w:val="599F3CFE"/>
    <w:rsid w:val="59EF01BF"/>
    <w:rsid w:val="5ADA7092"/>
    <w:rsid w:val="5B384124"/>
    <w:rsid w:val="5E5E5AAC"/>
    <w:rsid w:val="5EF32BB7"/>
    <w:rsid w:val="607E751E"/>
    <w:rsid w:val="608536E2"/>
    <w:rsid w:val="617B2B63"/>
    <w:rsid w:val="63834ED7"/>
    <w:rsid w:val="641C38E3"/>
    <w:rsid w:val="66401D21"/>
    <w:rsid w:val="667363AF"/>
    <w:rsid w:val="678F5EF4"/>
    <w:rsid w:val="67C4064C"/>
    <w:rsid w:val="680F3678"/>
    <w:rsid w:val="68B40255"/>
    <w:rsid w:val="6A363033"/>
    <w:rsid w:val="6AA74606"/>
    <w:rsid w:val="6B4B7104"/>
    <w:rsid w:val="6C1E2D47"/>
    <w:rsid w:val="6CAE5FA0"/>
    <w:rsid w:val="70415E92"/>
    <w:rsid w:val="705D1EB4"/>
    <w:rsid w:val="71535FAA"/>
    <w:rsid w:val="73FF49B7"/>
    <w:rsid w:val="74322160"/>
    <w:rsid w:val="74364919"/>
    <w:rsid w:val="74C46ACD"/>
    <w:rsid w:val="76281ED8"/>
    <w:rsid w:val="76FA2B0A"/>
    <w:rsid w:val="77884283"/>
    <w:rsid w:val="77935DDC"/>
    <w:rsid w:val="77CC564E"/>
    <w:rsid w:val="79087B94"/>
    <w:rsid w:val="7948535E"/>
    <w:rsid w:val="7AF4287C"/>
    <w:rsid w:val="7B8E6410"/>
    <w:rsid w:val="7BAF0474"/>
    <w:rsid w:val="7C1B74AF"/>
    <w:rsid w:val="7CA4190A"/>
    <w:rsid w:val="7D272090"/>
    <w:rsid w:val="7DC75DF1"/>
    <w:rsid w:val="7E626AF6"/>
    <w:rsid w:val="7ED6760A"/>
    <w:rsid w:val="7EFF37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iPriority="99" w:name="index 1"/>
    <w:lsdException w:qFormat="1" w:uiPriority="99" w:name="index 2"/>
    <w:lsdException w:qFormat="1" w:uiPriority="99" w:name="index 3"/>
    <w:lsdException w:qFormat="1" w:uiPriority="0" w:name="index 4"/>
    <w:lsdException w:uiPriority="99" w:name="index 5"/>
    <w:lsdException w:uiPriority="99" w:name="index 6"/>
    <w:lsdException w:uiPriority="99" w:name="index 7"/>
    <w:lsdException w:uiPriority="99" w:name="index 8"/>
    <w:lsdException w:uiPriority="99" w:name="index 9"/>
    <w:lsdException w:qFormat="1" w:unhideWhenUsed="0" w:uiPriority="39" w:name="toc 1"/>
    <w:lsdException w:qFormat="1" w:uiPriority="39" w:name="toc 2"/>
    <w:lsdException w:qFormat="1" w:uiPriority="39" w:name="toc 3"/>
    <w:lsdException w:qFormat="1" w:uiPriority="39" w:name="toc 4"/>
    <w:lsdException w:qFormat="1" w:uiPriority="39" w:name="toc 5"/>
    <w:lsdException w:qFormat="1" w:uiPriority="39" w:name="toc 6"/>
    <w:lsdException w:qFormat="1" w:uiPriority="39" w:name="toc 7"/>
    <w:lsdException w:qFormat="1" w:uiPriority="39" w:name="toc 8"/>
    <w:lsdException w:qFormat="1" w:uiPriority="39" w:name="toc 9"/>
    <w:lsdException w:qFormat="1" w:unhideWhenUsed="0" w:uiPriority="99" w:semiHidden="0" w:name="Normal Indent"/>
    <w:lsdException w:qFormat="1" w:unhideWhenUsed="0" w:uiPriority="99" w:name="footnote text"/>
    <w:lsdException w:qFormat="1" w:unhideWhenUsed="0" w:uiPriority="99" w:semiHidden="0" w:name="annotation text"/>
    <w:lsdException w:qFormat="1" w:uiPriority="99" w:semiHidden="0" w:name="header"/>
    <w:lsdException w:qFormat="1" w:uiPriority="99" w:semiHidden="0" w:name="footer"/>
    <w:lsdException w:qFormat="1" w:unhideWhenUsed="0" w:uiPriority="99" w:name="index heading"/>
    <w:lsdException w:qFormat="1" w:uiPriority="35" w:name="caption"/>
    <w:lsdException w:qFormat="1" w:uiPriority="99" w:name="table of figures"/>
    <w:lsdException w:uiPriority="99" w:name="envelope address"/>
    <w:lsdException w:qFormat="1" w:unhideWhenUsed="0" w:uiPriority="0" w:semiHidden="0" w:name="envelope return"/>
    <w:lsdException w:qFormat="1" w:uiPriority="99" w:name="footnote reference"/>
    <w:lsdException w:qFormat="1" w:unhideWhenUsed="0" w:uiPriority="0" w:semiHidden="0" w:name="annotation reference"/>
    <w:lsdException w:qFormat="1" w:unhideWhenUsed="0" w:uiPriority="99" w:semiHidden="0" w:name="line number"/>
    <w:lsdException w:qFormat="1" w:unhideWhenUsed="0" w:uiPriority="99" w:semiHidden="0" w:name="page number"/>
    <w:lsdException w:qFormat="1" w:uiPriority="99" w:name="endnote reference"/>
    <w:lsdException w:qFormat="1" w:unhideWhenUsed="0" w:uiPriority="99" w:name="endnote text"/>
    <w:lsdException w:uiPriority="99" w:name="table of authorities"/>
    <w:lsdException w:uiPriority="99" w:name="macro"/>
    <w:lsdException w:uiPriority="99" w:name="toa heading"/>
    <w:lsdException w:qFormat="1" w:unhideWhenUsed="0" w:uiPriority="99" w:semiHidden="0" w:name="List"/>
    <w:lsdException w:uiPriority="99" w:name="List Bullet"/>
    <w:lsdException w:qFormat="1" w:unhideWhenUsed="0" w:uiPriority="99" w:semiHidden="0" w:name="List Number"/>
    <w:lsdException w:qFormat="1" w:unhideWhenUsed="0" w:uiPriority="99" w:semiHidden="0" w:name="List 2"/>
    <w:lsdException w:qFormat="1" w:unhideWhenUsed="0" w:uiPriority="99" w:semiHidden="0" w:name="List 3"/>
    <w:lsdException w:uiPriority="99" w:name="List 4"/>
    <w:lsdException w:uiPriority="99" w:name="List 5"/>
    <w:lsdException w:qFormat="1" w:uiPriority="99" w:semiHidden="0" w:name="List Bullet 2"/>
    <w:lsdException w:uiPriority="99" w:name="List Bullet 3"/>
    <w:lsdException w:uiPriority="99" w:name="List Bullet 4"/>
    <w:lsdException w:uiPriority="99" w:name="List Bullet 5"/>
    <w:lsdException w:qFormat="1" w:unhideWhenUsed="0" w:uiPriority="99"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qFormat="1" w:unhideWhenUsed="0" w:uiPriority="99" w:semiHidden="0"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name="Document Map"/>
    <w:lsdException w:qFormat="1" w:unhideWhenUsed="0" w:uiPriority="0" w:semiHidden="0" w:name="Plain Text"/>
    <w:lsdException w:uiPriority="99" w:name="E-mail Signature"/>
    <w:lsdException w:qFormat="1" w:unhideWhenUsed="0" w:uiPriority="0" w:semiHidden="0" w:name="Normal (Web)"/>
    <w:lsdException w:qFormat="1" w:uiPriority="99" w:name="HTML Acronym"/>
    <w:lsdException w:uiPriority="99" w:name="HTML Address"/>
    <w:lsdException w:uiPriority="99" w:name="HTML Cite"/>
    <w:lsdException w:qFormat="1" w:uiPriority="99" w:name="HTML Code"/>
    <w:lsdException w:uiPriority="99" w:name="HTML Definition"/>
    <w:lsdException w:qFormat="1" w:uiPriority="99"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iPriority="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4"/>
      <w:lang w:val="en-US" w:eastAsia="zh-CN" w:bidi="ar-SA"/>
    </w:rPr>
  </w:style>
  <w:style w:type="paragraph" w:styleId="2">
    <w:name w:val="heading 1"/>
    <w:basedOn w:val="1"/>
    <w:next w:val="1"/>
    <w:link w:val="467"/>
    <w:qFormat/>
    <w:uiPriority w:val="9"/>
    <w:pPr>
      <w:keepNext/>
      <w:keepLines/>
      <w:spacing w:before="340" w:after="330" w:line="576" w:lineRule="auto"/>
      <w:outlineLvl w:val="0"/>
    </w:pPr>
    <w:rPr>
      <w:b/>
      <w:bCs/>
      <w:sz w:val="44"/>
      <w:szCs w:val="44"/>
    </w:rPr>
  </w:style>
  <w:style w:type="paragraph" w:styleId="3">
    <w:name w:val="heading 2"/>
    <w:basedOn w:val="1"/>
    <w:next w:val="1"/>
    <w:link w:val="67"/>
    <w:qFormat/>
    <w:uiPriority w:val="9"/>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8"/>
    <w:qFormat/>
    <w:uiPriority w:val="9"/>
    <w:pPr>
      <w:keepNext/>
      <w:keepLines/>
      <w:spacing w:before="260" w:after="260" w:line="413" w:lineRule="auto"/>
      <w:outlineLvl w:val="2"/>
    </w:pPr>
    <w:rPr>
      <w:b/>
      <w:bCs/>
      <w:sz w:val="32"/>
      <w:szCs w:val="32"/>
    </w:rPr>
  </w:style>
  <w:style w:type="paragraph" w:styleId="5">
    <w:name w:val="heading 4"/>
    <w:basedOn w:val="1"/>
    <w:next w:val="1"/>
    <w:link w:val="69"/>
    <w:qFormat/>
    <w:uiPriority w:val="9"/>
    <w:pPr>
      <w:keepNext/>
      <w:keepLines/>
      <w:spacing w:before="120" w:after="120"/>
      <w:outlineLvl w:val="3"/>
    </w:pPr>
    <w:rPr>
      <w:rFonts w:ascii="Arial" w:hAnsi="Arial" w:eastAsia="黑体"/>
      <w:b/>
      <w:sz w:val="20"/>
      <w:szCs w:val="20"/>
    </w:rPr>
  </w:style>
  <w:style w:type="paragraph" w:styleId="6">
    <w:name w:val="heading 5"/>
    <w:basedOn w:val="1"/>
    <w:next w:val="1"/>
    <w:link w:val="70"/>
    <w:qFormat/>
    <w:uiPriority w:val="9"/>
    <w:pPr>
      <w:keepNext/>
      <w:keepLines/>
      <w:tabs>
        <w:tab w:val="left" w:pos="1008"/>
      </w:tabs>
      <w:spacing w:before="280" w:after="290" w:line="372" w:lineRule="auto"/>
      <w:ind w:left="1008" w:hanging="1008"/>
      <w:outlineLvl w:val="4"/>
    </w:pPr>
    <w:rPr>
      <w:b/>
      <w:bCs/>
      <w:sz w:val="28"/>
      <w:szCs w:val="28"/>
    </w:rPr>
  </w:style>
  <w:style w:type="paragraph" w:styleId="7">
    <w:name w:val="heading 6"/>
    <w:basedOn w:val="1"/>
    <w:next w:val="1"/>
    <w:link w:val="71"/>
    <w:qFormat/>
    <w:uiPriority w:val="9"/>
    <w:pPr>
      <w:keepNext/>
      <w:keepLines/>
      <w:tabs>
        <w:tab w:val="left" w:pos="1152"/>
      </w:tabs>
      <w:spacing w:before="240" w:after="64" w:line="317" w:lineRule="auto"/>
      <w:ind w:left="1152" w:hanging="1152"/>
      <w:outlineLvl w:val="5"/>
    </w:pPr>
    <w:rPr>
      <w:rFonts w:ascii="Arial" w:hAnsi="Arial" w:eastAsia="黑体"/>
      <w:b/>
      <w:bCs/>
      <w:sz w:val="24"/>
    </w:rPr>
  </w:style>
  <w:style w:type="paragraph" w:styleId="8">
    <w:name w:val="heading 7"/>
    <w:basedOn w:val="1"/>
    <w:next w:val="1"/>
    <w:link w:val="72"/>
    <w:qFormat/>
    <w:uiPriority w:val="9"/>
    <w:pPr>
      <w:keepNext/>
      <w:keepLines/>
      <w:tabs>
        <w:tab w:val="left" w:pos="1296"/>
      </w:tabs>
      <w:spacing w:before="240" w:after="64" w:line="317" w:lineRule="auto"/>
      <w:ind w:left="1296" w:hanging="1296"/>
      <w:outlineLvl w:val="6"/>
    </w:pPr>
    <w:rPr>
      <w:b/>
      <w:bCs/>
      <w:sz w:val="24"/>
    </w:rPr>
  </w:style>
  <w:style w:type="paragraph" w:styleId="9">
    <w:name w:val="heading 8"/>
    <w:basedOn w:val="1"/>
    <w:next w:val="1"/>
    <w:link w:val="73"/>
    <w:qFormat/>
    <w:uiPriority w:val="9"/>
    <w:pPr>
      <w:keepNext/>
      <w:keepLines/>
      <w:tabs>
        <w:tab w:val="left" w:pos="1440"/>
      </w:tabs>
      <w:spacing w:before="240" w:after="64" w:line="317" w:lineRule="auto"/>
      <w:ind w:left="1440" w:hanging="1440"/>
      <w:outlineLvl w:val="7"/>
    </w:pPr>
    <w:rPr>
      <w:rFonts w:ascii="Arial" w:hAnsi="Arial" w:eastAsia="黑体"/>
      <w:sz w:val="24"/>
    </w:rPr>
  </w:style>
  <w:style w:type="paragraph" w:styleId="10">
    <w:name w:val="heading 9"/>
    <w:basedOn w:val="1"/>
    <w:next w:val="1"/>
    <w:link w:val="74"/>
    <w:qFormat/>
    <w:uiPriority w:val="9"/>
    <w:pPr>
      <w:keepNext/>
      <w:keepLines/>
      <w:tabs>
        <w:tab w:val="left" w:pos="1584"/>
      </w:tabs>
      <w:spacing w:before="240" w:after="64" w:line="317" w:lineRule="auto"/>
      <w:ind w:left="1584" w:hanging="1584"/>
      <w:outlineLvl w:val="8"/>
    </w:pPr>
    <w:rPr>
      <w:rFonts w:ascii="Arial" w:hAnsi="Arial" w:eastAsia="黑体"/>
      <w:szCs w:val="21"/>
    </w:rPr>
  </w:style>
  <w:style w:type="character" w:default="1" w:styleId="48">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99"/>
    <w:pPr>
      <w:ind w:left="1260" w:hanging="420"/>
    </w:pPr>
    <w:rPr>
      <w:szCs w:val="20"/>
    </w:rPr>
  </w:style>
  <w:style w:type="paragraph" w:styleId="12">
    <w:name w:val="List Number 2"/>
    <w:basedOn w:val="1"/>
    <w:qFormat/>
    <w:uiPriority w:val="99"/>
    <w:pPr>
      <w:tabs>
        <w:tab w:val="left" w:pos="1440"/>
      </w:tabs>
      <w:spacing w:line="360" w:lineRule="auto"/>
      <w:ind w:left="1440" w:hanging="1440"/>
    </w:pPr>
    <w:rPr>
      <w:sz w:val="24"/>
    </w:rPr>
  </w:style>
  <w:style w:type="paragraph" w:styleId="13">
    <w:name w:val="List Number"/>
    <w:basedOn w:val="1"/>
    <w:qFormat/>
    <w:uiPriority w:val="99"/>
    <w:pPr>
      <w:tabs>
        <w:tab w:val="left" w:pos="2952"/>
      </w:tabs>
      <w:ind w:left="2952" w:hanging="432"/>
    </w:pPr>
  </w:style>
  <w:style w:type="paragraph" w:styleId="14">
    <w:name w:val="Normal Indent"/>
    <w:basedOn w:val="1"/>
    <w:qFormat/>
    <w:uiPriority w:val="99"/>
    <w:pPr>
      <w:ind w:firstLine="420"/>
    </w:pPr>
    <w:rPr>
      <w:szCs w:val="20"/>
    </w:rPr>
  </w:style>
  <w:style w:type="paragraph" w:styleId="15">
    <w:name w:val="Document Map"/>
    <w:basedOn w:val="1"/>
    <w:link w:val="77"/>
    <w:semiHidden/>
    <w:qFormat/>
    <w:uiPriority w:val="99"/>
    <w:pPr>
      <w:shd w:val="clear" w:color="auto" w:fill="000080"/>
    </w:pPr>
    <w:rPr>
      <w:sz w:val="24"/>
    </w:rPr>
  </w:style>
  <w:style w:type="paragraph" w:styleId="16">
    <w:name w:val="annotation text"/>
    <w:basedOn w:val="1"/>
    <w:link w:val="78"/>
    <w:qFormat/>
    <w:uiPriority w:val="99"/>
    <w:pPr>
      <w:jc w:val="left"/>
    </w:pPr>
  </w:style>
  <w:style w:type="paragraph" w:styleId="17">
    <w:name w:val="Salutation"/>
    <w:basedOn w:val="1"/>
    <w:next w:val="1"/>
    <w:link w:val="80"/>
    <w:qFormat/>
    <w:uiPriority w:val="99"/>
    <w:rPr>
      <w:rFonts w:ascii="仿宋_GB2312" w:eastAsia="仿宋_GB2312"/>
      <w:sz w:val="20"/>
      <w:szCs w:val="20"/>
    </w:rPr>
  </w:style>
  <w:style w:type="paragraph" w:styleId="18">
    <w:name w:val="Body Text 3"/>
    <w:basedOn w:val="1"/>
    <w:link w:val="81"/>
    <w:qFormat/>
    <w:uiPriority w:val="99"/>
    <w:pPr>
      <w:spacing w:after="120"/>
    </w:pPr>
    <w:rPr>
      <w:sz w:val="16"/>
      <w:szCs w:val="16"/>
    </w:rPr>
  </w:style>
  <w:style w:type="paragraph" w:styleId="19">
    <w:name w:val="Body Text"/>
    <w:basedOn w:val="1"/>
    <w:link w:val="82"/>
    <w:unhideWhenUsed/>
    <w:qFormat/>
    <w:uiPriority w:val="99"/>
    <w:pPr>
      <w:spacing w:after="120"/>
    </w:pPr>
    <w:rPr>
      <w:sz w:val="24"/>
    </w:rPr>
  </w:style>
  <w:style w:type="paragraph" w:styleId="20">
    <w:name w:val="Body Text Indent"/>
    <w:basedOn w:val="1"/>
    <w:link w:val="84"/>
    <w:qFormat/>
    <w:uiPriority w:val="99"/>
    <w:pPr>
      <w:spacing w:after="120"/>
      <w:ind w:left="420"/>
    </w:pPr>
    <w:rPr>
      <w:sz w:val="24"/>
    </w:rPr>
  </w:style>
  <w:style w:type="paragraph" w:styleId="21">
    <w:name w:val="List 2"/>
    <w:basedOn w:val="1"/>
    <w:qFormat/>
    <w:uiPriority w:val="99"/>
    <w:pPr>
      <w:ind w:left="100" w:hanging="200"/>
    </w:pPr>
    <w:rPr>
      <w:szCs w:val="21"/>
    </w:rPr>
  </w:style>
  <w:style w:type="paragraph" w:styleId="22">
    <w:name w:val="Block Text"/>
    <w:basedOn w:val="1"/>
    <w:next w:val="23"/>
    <w:qFormat/>
    <w:uiPriority w:val="0"/>
    <w:pPr>
      <w:spacing w:after="120"/>
      <w:ind w:left="1440" w:right="1440"/>
    </w:pPr>
  </w:style>
  <w:style w:type="paragraph" w:styleId="23">
    <w:name w:val="index heading"/>
    <w:basedOn w:val="1"/>
    <w:next w:val="24"/>
    <w:semiHidden/>
    <w:qFormat/>
    <w:uiPriority w:val="99"/>
    <w:rPr>
      <w:szCs w:val="20"/>
    </w:rPr>
  </w:style>
  <w:style w:type="paragraph" w:styleId="24">
    <w:name w:val="index 1"/>
    <w:basedOn w:val="1"/>
    <w:next w:val="1"/>
    <w:semiHidden/>
    <w:unhideWhenUsed/>
    <w:qFormat/>
    <w:uiPriority w:val="99"/>
  </w:style>
  <w:style w:type="paragraph" w:styleId="25">
    <w:name w:val="List Bullet 2"/>
    <w:basedOn w:val="1"/>
    <w:unhideWhenUsed/>
    <w:qFormat/>
    <w:uiPriority w:val="99"/>
    <w:pPr>
      <w:numPr>
        <w:ilvl w:val="0"/>
        <w:numId w:val="1"/>
      </w:numPr>
    </w:pPr>
  </w:style>
  <w:style w:type="paragraph" w:styleId="26">
    <w:name w:val="Plain Text"/>
    <w:basedOn w:val="1"/>
    <w:link w:val="65"/>
    <w:qFormat/>
    <w:uiPriority w:val="0"/>
    <w:rPr>
      <w:rFonts w:ascii="宋体" w:hAnsi="Courier New"/>
      <w:szCs w:val="21"/>
    </w:rPr>
  </w:style>
  <w:style w:type="paragraph" w:styleId="27">
    <w:name w:val="Date"/>
    <w:basedOn w:val="1"/>
    <w:next w:val="1"/>
    <w:link w:val="85"/>
    <w:qFormat/>
    <w:uiPriority w:val="99"/>
    <w:pPr>
      <w:ind w:left="100"/>
    </w:pPr>
    <w:rPr>
      <w:sz w:val="20"/>
      <w:szCs w:val="20"/>
    </w:rPr>
  </w:style>
  <w:style w:type="paragraph" w:styleId="28">
    <w:name w:val="Body Text Indent 2"/>
    <w:basedOn w:val="1"/>
    <w:link w:val="86"/>
    <w:qFormat/>
    <w:uiPriority w:val="99"/>
    <w:pPr>
      <w:spacing w:line="400" w:lineRule="exact"/>
      <w:ind w:firstLine="480"/>
    </w:pPr>
    <w:rPr>
      <w:rFonts w:ascii="宋体" w:hAnsi="宋体"/>
      <w:sz w:val="24"/>
    </w:rPr>
  </w:style>
  <w:style w:type="paragraph" w:styleId="29">
    <w:name w:val="endnote text"/>
    <w:basedOn w:val="1"/>
    <w:link w:val="87"/>
    <w:semiHidden/>
    <w:qFormat/>
    <w:uiPriority w:val="99"/>
    <w:pPr>
      <w:jc w:val="left"/>
    </w:pPr>
    <w:rPr>
      <w:sz w:val="24"/>
    </w:rPr>
  </w:style>
  <w:style w:type="paragraph" w:styleId="30">
    <w:name w:val="Balloon Text"/>
    <w:basedOn w:val="1"/>
    <w:link w:val="88"/>
    <w:semiHidden/>
    <w:qFormat/>
    <w:uiPriority w:val="99"/>
    <w:rPr>
      <w:sz w:val="18"/>
      <w:szCs w:val="18"/>
    </w:rPr>
  </w:style>
  <w:style w:type="paragraph" w:styleId="31">
    <w:name w:val="footer"/>
    <w:basedOn w:val="1"/>
    <w:link w:val="76"/>
    <w:unhideWhenUsed/>
    <w:qFormat/>
    <w:uiPriority w:val="99"/>
    <w:pPr>
      <w:tabs>
        <w:tab w:val="center" w:pos="4153"/>
        <w:tab w:val="right" w:pos="8306"/>
      </w:tabs>
      <w:snapToGrid w:val="0"/>
      <w:jc w:val="left"/>
    </w:pPr>
    <w:rPr>
      <w:sz w:val="18"/>
      <w:szCs w:val="18"/>
    </w:rPr>
  </w:style>
  <w:style w:type="paragraph" w:styleId="32">
    <w:name w:val="envelope return"/>
    <w:basedOn w:val="1"/>
    <w:qFormat/>
    <w:uiPriority w:val="0"/>
    <w:pPr>
      <w:snapToGrid w:val="0"/>
    </w:pPr>
    <w:rPr>
      <w:rFonts w:ascii="Arial" w:hAnsi="Arial"/>
    </w:rPr>
  </w:style>
  <w:style w:type="paragraph" w:styleId="33">
    <w:name w:val="header"/>
    <w:basedOn w:val="1"/>
    <w:link w:val="75"/>
    <w:unhideWhenUsed/>
    <w:qFormat/>
    <w:uiPriority w:val="99"/>
    <w:pPr>
      <w:pBdr>
        <w:bottom w:val="single" w:color="auto" w:sz="6" w:space="1"/>
      </w:pBdr>
      <w:tabs>
        <w:tab w:val="center" w:pos="4153"/>
        <w:tab w:val="right" w:pos="8306"/>
      </w:tabs>
      <w:snapToGrid w:val="0"/>
      <w:jc w:val="center"/>
    </w:pPr>
    <w:rPr>
      <w:sz w:val="18"/>
      <w:szCs w:val="18"/>
    </w:rPr>
  </w:style>
  <w:style w:type="paragraph" w:styleId="34">
    <w:name w:val="Signature"/>
    <w:basedOn w:val="1"/>
    <w:link w:val="89"/>
    <w:qFormat/>
    <w:uiPriority w:val="99"/>
    <w:pPr>
      <w:spacing w:after="600" w:line="312" w:lineRule="atLeast"/>
      <w:jc w:val="center"/>
    </w:pPr>
    <w:rPr>
      <w:rFonts w:eastAsia="仿宋_GB2312"/>
      <w:sz w:val="20"/>
      <w:szCs w:val="20"/>
    </w:rPr>
  </w:style>
  <w:style w:type="paragraph" w:styleId="35">
    <w:name w:val="toc 1"/>
    <w:basedOn w:val="1"/>
    <w:next w:val="1"/>
    <w:semiHidden/>
    <w:qFormat/>
    <w:uiPriority w:val="39"/>
  </w:style>
  <w:style w:type="paragraph" w:styleId="36">
    <w:name w:val="Subtitle"/>
    <w:basedOn w:val="1"/>
    <w:next w:val="1"/>
    <w:link w:val="90"/>
    <w:qFormat/>
    <w:uiPriority w:val="11"/>
    <w:pPr>
      <w:widowControl/>
      <w:spacing w:after="600" w:line="276" w:lineRule="auto"/>
      <w:jc w:val="left"/>
    </w:pPr>
    <w:rPr>
      <w:rFonts w:ascii="Cambria" w:hAnsi="Cambria"/>
      <w:i/>
      <w:iCs/>
      <w:spacing w:val="13"/>
      <w:sz w:val="24"/>
      <w:lang w:eastAsia="en-US"/>
    </w:rPr>
  </w:style>
  <w:style w:type="paragraph" w:styleId="37">
    <w:name w:val="List"/>
    <w:basedOn w:val="1"/>
    <w:qFormat/>
    <w:uiPriority w:val="99"/>
    <w:pPr>
      <w:ind w:left="200" w:hanging="200"/>
    </w:pPr>
    <w:rPr>
      <w:szCs w:val="21"/>
    </w:rPr>
  </w:style>
  <w:style w:type="paragraph" w:styleId="38">
    <w:name w:val="footnote text"/>
    <w:basedOn w:val="1"/>
    <w:link w:val="91"/>
    <w:semiHidden/>
    <w:qFormat/>
    <w:uiPriority w:val="99"/>
    <w:pPr>
      <w:jc w:val="left"/>
    </w:pPr>
    <w:rPr>
      <w:sz w:val="18"/>
      <w:szCs w:val="18"/>
    </w:rPr>
  </w:style>
  <w:style w:type="paragraph" w:styleId="39">
    <w:name w:val="Body Text Indent 3"/>
    <w:basedOn w:val="1"/>
    <w:link w:val="92"/>
    <w:qFormat/>
    <w:uiPriority w:val="99"/>
    <w:pPr>
      <w:spacing w:before="120" w:after="120" w:line="264" w:lineRule="auto"/>
      <w:ind w:left="480"/>
    </w:pPr>
    <w:rPr>
      <w:b/>
      <w:bCs/>
      <w:sz w:val="20"/>
      <w:szCs w:val="20"/>
    </w:rPr>
  </w:style>
  <w:style w:type="paragraph" w:styleId="40">
    <w:name w:val="Body Text 2"/>
    <w:basedOn w:val="1"/>
    <w:link w:val="93"/>
    <w:qFormat/>
    <w:uiPriority w:val="99"/>
    <w:pPr>
      <w:jc w:val="center"/>
    </w:pPr>
    <w:rPr>
      <w:b/>
      <w:bCs/>
      <w:sz w:val="20"/>
      <w:szCs w:val="20"/>
    </w:rPr>
  </w:style>
  <w:style w:type="paragraph" w:styleId="41">
    <w:name w:val="HTML Preformatted"/>
    <w:basedOn w:val="1"/>
    <w:link w:val="9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sz w:val="24"/>
    </w:rPr>
  </w:style>
  <w:style w:type="paragraph" w:styleId="42">
    <w:name w:val="Normal (Web)"/>
    <w:basedOn w:val="1"/>
    <w:qFormat/>
    <w:uiPriority w:val="0"/>
    <w:pPr>
      <w:widowControl/>
      <w:spacing w:before="100" w:beforeAutospacing="1" w:after="100" w:afterAutospacing="1"/>
      <w:jc w:val="left"/>
    </w:pPr>
    <w:rPr>
      <w:rFonts w:ascii="宋体" w:hAnsi="宋体" w:cs="宋体"/>
      <w:sz w:val="24"/>
    </w:rPr>
  </w:style>
  <w:style w:type="paragraph" w:styleId="43">
    <w:name w:val="Title"/>
    <w:basedOn w:val="1"/>
    <w:link w:val="95"/>
    <w:qFormat/>
    <w:uiPriority w:val="10"/>
    <w:pPr>
      <w:widowControl/>
      <w:spacing w:line="420" w:lineRule="exact"/>
      <w:jc w:val="center"/>
    </w:pPr>
    <w:rPr>
      <w:rFonts w:eastAsia="黑体"/>
      <w:b/>
      <w:sz w:val="20"/>
      <w:szCs w:val="20"/>
      <w:lang w:val="en-GB"/>
    </w:rPr>
  </w:style>
  <w:style w:type="paragraph" w:styleId="44">
    <w:name w:val="annotation subject"/>
    <w:basedOn w:val="16"/>
    <w:next w:val="16"/>
    <w:link w:val="96"/>
    <w:semiHidden/>
    <w:qFormat/>
    <w:uiPriority w:val="99"/>
    <w:rPr>
      <w:b/>
      <w:bCs/>
      <w:sz w:val="24"/>
    </w:rPr>
  </w:style>
  <w:style w:type="paragraph" w:styleId="45">
    <w:name w:val="Body Text First Indent"/>
    <w:basedOn w:val="19"/>
    <w:link w:val="97"/>
    <w:qFormat/>
    <w:uiPriority w:val="99"/>
    <w:pPr>
      <w:ind w:firstLine="420"/>
    </w:pPr>
  </w:style>
  <w:style w:type="paragraph" w:styleId="46">
    <w:name w:val="Body Text First Indent 2"/>
    <w:basedOn w:val="20"/>
    <w:next w:val="1"/>
    <w:link w:val="98"/>
    <w:qFormat/>
    <w:uiPriority w:val="99"/>
    <w:pPr>
      <w:spacing w:after="0" w:line="360" w:lineRule="auto"/>
      <w:ind w:left="0" w:firstLine="420"/>
    </w:pPr>
    <w:rPr>
      <w:rFonts w:ascii="宋体" w:hAnsi="宋体"/>
      <w:sz w:val="20"/>
      <w:szCs w:val="20"/>
    </w:rPr>
  </w:style>
  <w:style w:type="character" w:styleId="49">
    <w:name w:val="Strong"/>
    <w:qFormat/>
    <w:uiPriority w:val="22"/>
    <w:rPr>
      <w:b/>
    </w:rPr>
  </w:style>
  <w:style w:type="character" w:styleId="50">
    <w:name w:val="page number"/>
    <w:qFormat/>
    <w:uiPriority w:val="99"/>
    <w:rPr>
      <w:rFonts w:cs="Times New Roman"/>
    </w:rPr>
  </w:style>
  <w:style w:type="character" w:styleId="51">
    <w:name w:val="FollowedHyperlink"/>
    <w:basedOn w:val="48"/>
    <w:qFormat/>
    <w:uiPriority w:val="99"/>
    <w:rPr>
      <w:color w:val="0076BE"/>
      <w:u w:val="none"/>
    </w:rPr>
  </w:style>
  <w:style w:type="character" w:styleId="52">
    <w:name w:val="Emphasis"/>
    <w:qFormat/>
    <w:uiPriority w:val="20"/>
    <w:rPr>
      <w:b/>
      <w:i/>
      <w:spacing w:val="10"/>
      <w:shd w:val="clear" w:color="auto" w:fill="auto"/>
    </w:rPr>
  </w:style>
  <w:style w:type="character" w:styleId="53">
    <w:name w:val="line number"/>
    <w:qFormat/>
    <w:uiPriority w:val="99"/>
    <w:rPr>
      <w:rFonts w:cs="Times New Roman"/>
    </w:rPr>
  </w:style>
  <w:style w:type="character" w:styleId="54">
    <w:name w:val="HTML Typewriter"/>
    <w:qFormat/>
    <w:uiPriority w:val="99"/>
    <w:rPr>
      <w:rFonts w:ascii="宋体" w:hAnsi="宋体" w:eastAsia="宋体"/>
      <w:sz w:val="24"/>
    </w:rPr>
  </w:style>
  <w:style w:type="character" w:styleId="55">
    <w:name w:val="HTML Acronym"/>
    <w:basedOn w:val="48"/>
    <w:semiHidden/>
    <w:unhideWhenUsed/>
    <w:qFormat/>
    <w:uiPriority w:val="99"/>
  </w:style>
  <w:style w:type="character" w:styleId="56">
    <w:name w:val="Hyperlink"/>
    <w:basedOn w:val="48"/>
    <w:qFormat/>
    <w:uiPriority w:val="99"/>
    <w:rPr>
      <w:color w:val="0076BE"/>
      <w:u w:val="none"/>
    </w:rPr>
  </w:style>
  <w:style w:type="character" w:styleId="57">
    <w:name w:val="HTML Code"/>
    <w:basedOn w:val="48"/>
    <w:semiHidden/>
    <w:unhideWhenUsed/>
    <w:qFormat/>
    <w:uiPriority w:val="99"/>
    <w:rPr>
      <w:rFonts w:hint="default" w:ascii="monospace" w:hAnsi="monospace" w:eastAsia="monospace" w:cs="monospace"/>
      <w:sz w:val="20"/>
    </w:rPr>
  </w:style>
  <w:style w:type="character" w:styleId="58">
    <w:name w:val="annotation reference"/>
    <w:qFormat/>
    <w:uiPriority w:val="0"/>
    <w:rPr>
      <w:sz w:val="21"/>
    </w:rPr>
  </w:style>
  <w:style w:type="character" w:styleId="59">
    <w:name w:val="HTML Keyboard"/>
    <w:basedOn w:val="48"/>
    <w:semiHidden/>
    <w:unhideWhenUsed/>
    <w:qFormat/>
    <w:uiPriority w:val="99"/>
    <w:rPr>
      <w:rFonts w:hint="default" w:ascii="monospace" w:hAnsi="monospace" w:eastAsia="monospace" w:cs="monospace"/>
      <w:sz w:val="20"/>
    </w:rPr>
  </w:style>
  <w:style w:type="character" w:styleId="60">
    <w:name w:val="HTML Sample"/>
    <w:qFormat/>
    <w:uiPriority w:val="99"/>
    <w:rPr>
      <w:rFonts w:ascii="Courier New" w:hAnsi="宋体" w:eastAsia="宋体"/>
    </w:rPr>
  </w:style>
  <w:style w:type="paragraph" w:customStyle="1" w:styleId="61">
    <w:name w:val="列表段落1"/>
    <w:basedOn w:val="1"/>
    <w:qFormat/>
    <w:uiPriority w:val="34"/>
    <w:pPr>
      <w:ind w:left="223" w:firstLine="420"/>
    </w:pPr>
  </w:style>
  <w:style w:type="paragraph" w:customStyle="1" w:styleId="62">
    <w:name w:val="一级条标题"/>
    <w:basedOn w:val="63"/>
    <w:next w:val="64"/>
    <w:qFormat/>
    <w:uiPriority w:val="0"/>
    <w:pPr>
      <w:tabs>
        <w:tab w:val="left" w:pos="810"/>
        <w:tab w:val="left" w:pos="907"/>
        <w:tab w:val="left" w:pos="1265"/>
      </w:tabs>
      <w:ind w:left="907" w:hanging="907"/>
      <w:outlineLvl w:val="2"/>
    </w:pPr>
    <w:rPr>
      <w:rFonts w:hAnsi="宋体"/>
      <w:sz w:val="20"/>
    </w:rPr>
  </w:style>
  <w:style w:type="paragraph" w:customStyle="1" w:styleId="63">
    <w:name w:val="章标题"/>
    <w:next w:val="1"/>
    <w:qFormat/>
    <w:uiPriority w:val="0"/>
    <w:pPr>
      <w:jc w:val="both"/>
      <w:outlineLvl w:val="1"/>
    </w:pPr>
    <w:rPr>
      <w:rFonts w:ascii="Times New Roman" w:hAnsi="Times New Roman" w:eastAsia="黑体" w:cs="Times New Roman"/>
      <w:sz w:val="21"/>
      <w:lang w:val="en-US" w:eastAsia="zh-CN" w:bidi="ar-SA"/>
    </w:rPr>
  </w:style>
  <w:style w:type="paragraph" w:customStyle="1" w:styleId="64">
    <w:name w:val="段"/>
    <w:next w:val="1"/>
    <w:qFormat/>
    <w:uiPriority w:val="0"/>
    <w:pPr>
      <w:ind w:firstLine="200"/>
      <w:jc w:val="both"/>
    </w:pPr>
    <w:rPr>
      <w:rFonts w:ascii="宋体" w:hAnsi="Times New Roman" w:eastAsia="宋体" w:cs="Times New Roman"/>
      <w:sz w:val="21"/>
      <w:lang w:val="en-US" w:eastAsia="zh-CN" w:bidi="ar-SA"/>
    </w:rPr>
  </w:style>
  <w:style w:type="character" w:customStyle="1" w:styleId="65">
    <w:name w:val="纯文本 字符"/>
    <w:basedOn w:val="48"/>
    <w:link w:val="26"/>
    <w:qFormat/>
    <w:uiPriority w:val="0"/>
    <w:rPr>
      <w:rFonts w:ascii="宋体" w:hAnsi="Courier New" w:eastAsia="宋体" w:cs="Times New Roman"/>
      <w:kern w:val="0"/>
      <w:szCs w:val="21"/>
    </w:rPr>
  </w:style>
  <w:style w:type="character" w:customStyle="1" w:styleId="66">
    <w:name w:val="标题 1 字符"/>
    <w:basedOn w:val="48"/>
    <w:link w:val="2"/>
    <w:qFormat/>
    <w:uiPriority w:val="9"/>
    <w:rPr>
      <w:rFonts w:ascii="Times New Roman" w:hAnsi="Times New Roman" w:eastAsia="宋体" w:cs="Times New Roman"/>
      <w:b/>
      <w:bCs/>
      <w:kern w:val="0"/>
      <w:sz w:val="44"/>
      <w:szCs w:val="44"/>
    </w:rPr>
  </w:style>
  <w:style w:type="character" w:customStyle="1" w:styleId="67">
    <w:name w:val="标题 2 字符"/>
    <w:basedOn w:val="48"/>
    <w:link w:val="3"/>
    <w:qFormat/>
    <w:uiPriority w:val="9"/>
    <w:rPr>
      <w:rFonts w:ascii="Arial" w:hAnsi="Arial" w:eastAsia="黑体" w:cs="Times New Roman"/>
      <w:b/>
      <w:bCs/>
      <w:kern w:val="0"/>
      <w:sz w:val="32"/>
      <w:szCs w:val="32"/>
    </w:rPr>
  </w:style>
  <w:style w:type="character" w:customStyle="1" w:styleId="68">
    <w:name w:val="标题 3 字符"/>
    <w:basedOn w:val="48"/>
    <w:link w:val="4"/>
    <w:qFormat/>
    <w:uiPriority w:val="9"/>
    <w:rPr>
      <w:rFonts w:ascii="Times New Roman" w:hAnsi="Times New Roman" w:eastAsia="宋体" w:cs="Times New Roman"/>
      <w:b/>
      <w:bCs/>
      <w:kern w:val="0"/>
      <w:sz w:val="32"/>
      <w:szCs w:val="32"/>
    </w:rPr>
  </w:style>
  <w:style w:type="character" w:customStyle="1" w:styleId="69">
    <w:name w:val="标题 4 字符"/>
    <w:basedOn w:val="48"/>
    <w:link w:val="5"/>
    <w:qFormat/>
    <w:uiPriority w:val="9"/>
    <w:rPr>
      <w:rFonts w:ascii="Arial" w:hAnsi="Arial" w:eastAsia="黑体" w:cs="Times New Roman"/>
      <w:b/>
      <w:kern w:val="0"/>
      <w:sz w:val="20"/>
      <w:szCs w:val="20"/>
    </w:rPr>
  </w:style>
  <w:style w:type="character" w:customStyle="1" w:styleId="70">
    <w:name w:val="标题 5 字符"/>
    <w:basedOn w:val="48"/>
    <w:link w:val="6"/>
    <w:qFormat/>
    <w:uiPriority w:val="9"/>
    <w:rPr>
      <w:rFonts w:ascii="Times New Roman" w:hAnsi="Times New Roman" w:eastAsia="宋体" w:cs="Times New Roman"/>
      <w:b/>
      <w:bCs/>
      <w:kern w:val="0"/>
      <w:sz w:val="28"/>
      <w:szCs w:val="28"/>
    </w:rPr>
  </w:style>
  <w:style w:type="character" w:customStyle="1" w:styleId="71">
    <w:name w:val="标题 6 字符"/>
    <w:basedOn w:val="48"/>
    <w:link w:val="7"/>
    <w:qFormat/>
    <w:uiPriority w:val="9"/>
    <w:rPr>
      <w:rFonts w:ascii="Arial" w:hAnsi="Arial" w:eastAsia="黑体" w:cs="Times New Roman"/>
      <w:b/>
      <w:bCs/>
      <w:kern w:val="0"/>
      <w:sz w:val="24"/>
      <w:szCs w:val="24"/>
    </w:rPr>
  </w:style>
  <w:style w:type="character" w:customStyle="1" w:styleId="72">
    <w:name w:val="标题 7 字符"/>
    <w:basedOn w:val="48"/>
    <w:link w:val="8"/>
    <w:qFormat/>
    <w:uiPriority w:val="9"/>
    <w:rPr>
      <w:rFonts w:ascii="Times New Roman" w:hAnsi="Times New Roman" w:eastAsia="宋体" w:cs="Times New Roman"/>
      <w:b/>
      <w:bCs/>
      <w:kern w:val="0"/>
      <w:sz w:val="24"/>
      <w:szCs w:val="24"/>
    </w:rPr>
  </w:style>
  <w:style w:type="character" w:customStyle="1" w:styleId="73">
    <w:name w:val="标题 8 字符"/>
    <w:basedOn w:val="48"/>
    <w:link w:val="9"/>
    <w:qFormat/>
    <w:uiPriority w:val="9"/>
    <w:rPr>
      <w:rFonts w:ascii="Arial" w:hAnsi="Arial" w:eastAsia="黑体" w:cs="Times New Roman"/>
      <w:kern w:val="0"/>
      <w:sz w:val="24"/>
      <w:szCs w:val="24"/>
    </w:rPr>
  </w:style>
  <w:style w:type="character" w:customStyle="1" w:styleId="74">
    <w:name w:val="标题 9 字符"/>
    <w:basedOn w:val="48"/>
    <w:link w:val="10"/>
    <w:qFormat/>
    <w:uiPriority w:val="9"/>
    <w:rPr>
      <w:rFonts w:ascii="Arial" w:hAnsi="Arial" w:eastAsia="黑体" w:cs="Times New Roman"/>
      <w:kern w:val="0"/>
      <w:szCs w:val="21"/>
    </w:rPr>
  </w:style>
  <w:style w:type="character" w:customStyle="1" w:styleId="75">
    <w:name w:val="页眉 字符"/>
    <w:basedOn w:val="48"/>
    <w:link w:val="33"/>
    <w:qFormat/>
    <w:uiPriority w:val="99"/>
    <w:rPr>
      <w:sz w:val="18"/>
      <w:szCs w:val="18"/>
    </w:rPr>
  </w:style>
  <w:style w:type="character" w:customStyle="1" w:styleId="76">
    <w:name w:val="页脚 字符"/>
    <w:basedOn w:val="48"/>
    <w:link w:val="31"/>
    <w:qFormat/>
    <w:uiPriority w:val="99"/>
    <w:rPr>
      <w:sz w:val="18"/>
      <w:szCs w:val="18"/>
    </w:rPr>
  </w:style>
  <w:style w:type="character" w:customStyle="1" w:styleId="77">
    <w:name w:val="文档结构图 字符"/>
    <w:basedOn w:val="48"/>
    <w:link w:val="15"/>
    <w:semiHidden/>
    <w:qFormat/>
    <w:uiPriority w:val="99"/>
    <w:rPr>
      <w:rFonts w:ascii="Times New Roman" w:hAnsi="Times New Roman" w:eastAsia="宋体" w:cs="Times New Roman"/>
      <w:kern w:val="0"/>
      <w:sz w:val="24"/>
      <w:szCs w:val="24"/>
      <w:shd w:val="clear" w:color="auto" w:fill="000080"/>
    </w:rPr>
  </w:style>
  <w:style w:type="character" w:customStyle="1" w:styleId="78">
    <w:name w:val="批注文字 字符1"/>
    <w:basedOn w:val="48"/>
    <w:link w:val="16"/>
    <w:qFormat/>
    <w:uiPriority w:val="99"/>
    <w:rPr>
      <w:rFonts w:ascii="Times New Roman" w:hAnsi="Times New Roman" w:eastAsia="宋体" w:cs="Times New Roman"/>
      <w:kern w:val="0"/>
      <w:szCs w:val="24"/>
    </w:rPr>
  </w:style>
  <w:style w:type="character" w:customStyle="1" w:styleId="79">
    <w:name w:val="批注文字 字符"/>
    <w:basedOn w:val="48"/>
    <w:qFormat/>
    <w:uiPriority w:val="0"/>
    <w:rPr>
      <w:rFonts w:ascii="Times New Roman" w:hAnsi="Times New Roman" w:eastAsia="宋体" w:cs="Times New Roman"/>
      <w:kern w:val="0"/>
      <w:szCs w:val="24"/>
    </w:rPr>
  </w:style>
  <w:style w:type="character" w:customStyle="1" w:styleId="80">
    <w:name w:val="称呼 字符"/>
    <w:basedOn w:val="48"/>
    <w:link w:val="17"/>
    <w:qFormat/>
    <w:uiPriority w:val="99"/>
    <w:rPr>
      <w:rFonts w:ascii="仿宋_GB2312" w:hAnsi="Times New Roman" w:eastAsia="仿宋_GB2312" w:cs="Times New Roman"/>
      <w:kern w:val="0"/>
      <w:sz w:val="20"/>
      <w:szCs w:val="20"/>
    </w:rPr>
  </w:style>
  <w:style w:type="character" w:customStyle="1" w:styleId="81">
    <w:name w:val="正文文本 3 字符"/>
    <w:basedOn w:val="48"/>
    <w:link w:val="18"/>
    <w:qFormat/>
    <w:uiPriority w:val="99"/>
    <w:rPr>
      <w:rFonts w:ascii="Times New Roman" w:hAnsi="Times New Roman" w:eastAsia="宋体" w:cs="Times New Roman"/>
      <w:kern w:val="0"/>
      <w:sz w:val="16"/>
      <w:szCs w:val="16"/>
    </w:rPr>
  </w:style>
  <w:style w:type="character" w:customStyle="1" w:styleId="82">
    <w:name w:val="正文文本 字符1"/>
    <w:basedOn w:val="48"/>
    <w:link w:val="19"/>
    <w:qFormat/>
    <w:uiPriority w:val="99"/>
    <w:rPr>
      <w:rFonts w:ascii="Times New Roman" w:hAnsi="Times New Roman" w:eastAsia="宋体" w:cs="Times New Roman"/>
      <w:kern w:val="0"/>
      <w:sz w:val="24"/>
      <w:szCs w:val="24"/>
    </w:rPr>
  </w:style>
  <w:style w:type="character" w:customStyle="1" w:styleId="83">
    <w:name w:val="正文文本 字符"/>
    <w:basedOn w:val="48"/>
    <w:semiHidden/>
    <w:qFormat/>
    <w:uiPriority w:val="99"/>
    <w:rPr>
      <w:rFonts w:ascii="Times New Roman" w:hAnsi="Times New Roman" w:eastAsia="宋体" w:cs="Times New Roman"/>
      <w:kern w:val="0"/>
      <w:szCs w:val="24"/>
    </w:rPr>
  </w:style>
  <w:style w:type="character" w:customStyle="1" w:styleId="84">
    <w:name w:val="正文文本缩进 字符"/>
    <w:basedOn w:val="48"/>
    <w:link w:val="20"/>
    <w:qFormat/>
    <w:uiPriority w:val="99"/>
    <w:rPr>
      <w:rFonts w:ascii="Times New Roman" w:hAnsi="Times New Roman" w:eastAsia="宋体" w:cs="Times New Roman"/>
      <w:kern w:val="0"/>
      <w:sz w:val="24"/>
      <w:szCs w:val="24"/>
    </w:rPr>
  </w:style>
  <w:style w:type="character" w:customStyle="1" w:styleId="85">
    <w:name w:val="日期 字符"/>
    <w:basedOn w:val="48"/>
    <w:link w:val="27"/>
    <w:qFormat/>
    <w:uiPriority w:val="99"/>
    <w:rPr>
      <w:rFonts w:ascii="Times New Roman" w:hAnsi="Times New Roman" w:eastAsia="宋体" w:cs="Times New Roman"/>
      <w:kern w:val="0"/>
      <w:sz w:val="20"/>
      <w:szCs w:val="20"/>
    </w:rPr>
  </w:style>
  <w:style w:type="character" w:customStyle="1" w:styleId="86">
    <w:name w:val="正文文本缩进 2 字符"/>
    <w:basedOn w:val="48"/>
    <w:link w:val="28"/>
    <w:qFormat/>
    <w:uiPriority w:val="99"/>
    <w:rPr>
      <w:rFonts w:ascii="宋体" w:hAnsi="宋体" w:eastAsia="宋体" w:cs="Times New Roman"/>
      <w:kern w:val="0"/>
      <w:sz w:val="24"/>
      <w:szCs w:val="24"/>
    </w:rPr>
  </w:style>
  <w:style w:type="character" w:customStyle="1" w:styleId="87">
    <w:name w:val="尾注文本 字符"/>
    <w:basedOn w:val="48"/>
    <w:link w:val="29"/>
    <w:semiHidden/>
    <w:qFormat/>
    <w:uiPriority w:val="99"/>
    <w:rPr>
      <w:rFonts w:ascii="Times New Roman" w:hAnsi="Times New Roman" w:eastAsia="宋体" w:cs="Times New Roman"/>
      <w:kern w:val="0"/>
      <w:sz w:val="24"/>
      <w:szCs w:val="24"/>
    </w:rPr>
  </w:style>
  <w:style w:type="character" w:customStyle="1" w:styleId="88">
    <w:name w:val="批注框文本 字符"/>
    <w:basedOn w:val="48"/>
    <w:link w:val="30"/>
    <w:semiHidden/>
    <w:qFormat/>
    <w:uiPriority w:val="99"/>
    <w:rPr>
      <w:rFonts w:ascii="Times New Roman" w:hAnsi="Times New Roman" w:eastAsia="宋体" w:cs="Times New Roman"/>
      <w:kern w:val="0"/>
      <w:sz w:val="18"/>
      <w:szCs w:val="18"/>
    </w:rPr>
  </w:style>
  <w:style w:type="character" w:customStyle="1" w:styleId="89">
    <w:name w:val="签名 字符"/>
    <w:basedOn w:val="48"/>
    <w:link w:val="34"/>
    <w:qFormat/>
    <w:uiPriority w:val="99"/>
    <w:rPr>
      <w:rFonts w:ascii="Times New Roman" w:hAnsi="Times New Roman" w:eastAsia="仿宋_GB2312" w:cs="Times New Roman"/>
      <w:kern w:val="0"/>
      <w:sz w:val="20"/>
      <w:szCs w:val="20"/>
    </w:rPr>
  </w:style>
  <w:style w:type="character" w:customStyle="1" w:styleId="90">
    <w:name w:val="副标题 字符"/>
    <w:basedOn w:val="48"/>
    <w:link w:val="36"/>
    <w:qFormat/>
    <w:uiPriority w:val="11"/>
    <w:rPr>
      <w:rFonts w:ascii="Cambria" w:hAnsi="Cambria" w:eastAsia="宋体" w:cs="Times New Roman"/>
      <w:i/>
      <w:iCs/>
      <w:spacing w:val="13"/>
      <w:kern w:val="0"/>
      <w:sz w:val="24"/>
      <w:szCs w:val="24"/>
      <w:lang w:eastAsia="en-US"/>
    </w:rPr>
  </w:style>
  <w:style w:type="character" w:customStyle="1" w:styleId="91">
    <w:name w:val="脚注文本 字符"/>
    <w:basedOn w:val="48"/>
    <w:link w:val="38"/>
    <w:semiHidden/>
    <w:qFormat/>
    <w:uiPriority w:val="99"/>
    <w:rPr>
      <w:rFonts w:ascii="Times New Roman" w:hAnsi="Times New Roman" w:eastAsia="宋体" w:cs="Times New Roman"/>
      <w:kern w:val="0"/>
      <w:sz w:val="18"/>
      <w:szCs w:val="18"/>
    </w:rPr>
  </w:style>
  <w:style w:type="character" w:customStyle="1" w:styleId="92">
    <w:name w:val="正文文本缩进 3 字符"/>
    <w:basedOn w:val="48"/>
    <w:link w:val="39"/>
    <w:qFormat/>
    <w:uiPriority w:val="99"/>
    <w:rPr>
      <w:rFonts w:ascii="Times New Roman" w:hAnsi="Times New Roman" w:eastAsia="宋体" w:cs="Times New Roman"/>
      <w:b/>
      <w:bCs/>
      <w:kern w:val="0"/>
      <w:sz w:val="20"/>
      <w:szCs w:val="20"/>
    </w:rPr>
  </w:style>
  <w:style w:type="character" w:customStyle="1" w:styleId="93">
    <w:name w:val="正文文本 2 字符"/>
    <w:basedOn w:val="48"/>
    <w:link w:val="40"/>
    <w:qFormat/>
    <w:uiPriority w:val="99"/>
    <w:rPr>
      <w:rFonts w:ascii="Times New Roman" w:hAnsi="Times New Roman" w:eastAsia="宋体" w:cs="Times New Roman"/>
      <w:b/>
      <w:bCs/>
      <w:kern w:val="0"/>
      <w:sz w:val="20"/>
      <w:szCs w:val="20"/>
    </w:rPr>
  </w:style>
  <w:style w:type="character" w:customStyle="1" w:styleId="94">
    <w:name w:val="HTML 预设格式 字符"/>
    <w:basedOn w:val="48"/>
    <w:link w:val="41"/>
    <w:qFormat/>
    <w:uiPriority w:val="99"/>
    <w:rPr>
      <w:rFonts w:ascii="宋体" w:hAnsi="宋体" w:eastAsia="宋体" w:cs="Times New Roman"/>
      <w:kern w:val="0"/>
      <w:sz w:val="24"/>
      <w:szCs w:val="24"/>
    </w:rPr>
  </w:style>
  <w:style w:type="character" w:customStyle="1" w:styleId="95">
    <w:name w:val="标题 字符"/>
    <w:basedOn w:val="48"/>
    <w:link w:val="43"/>
    <w:qFormat/>
    <w:uiPriority w:val="10"/>
    <w:rPr>
      <w:rFonts w:ascii="Times New Roman" w:hAnsi="Times New Roman" w:eastAsia="黑体" w:cs="Times New Roman"/>
      <w:b/>
      <w:kern w:val="0"/>
      <w:sz w:val="20"/>
      <w:szCs w:val="20"/>
      <w:lang w:val="en-GB"/>
    </w:rPr>
  </w:style>
  <w:style w:type="character" w:customStyle="1" w:styleId="96">
    <w:name w:val="批注主题 字符"/>
    <w:basedOn w:val="79"/>
    <w:link w:val="44"/>
    <w:semiHidden/>
    <w:qFormat/>
    <w:uiPriority w:val="99"/>
    <w:rPr>
      <w:rFonts w:ascii="Times New Roman" w:hAnsi="Times New Roman" w:eastAsia="宋体" w:cs="Times New Roman"/>
      <w:b/>
      <w:bCs/>
      <w:kern w:val="0"/>
      <w:sz w:val="24"/>
      <w:szCs w:val="24"/>
    </w:rPr>
  </w:style>
  <w:style w:type="character" w:customStyle="1" w:styleId="97">
    <w:name w:val="正文首行缩进 字符"/>
    <w:basedOn w:val="83"/>
    <w:link w:val="45"/>
    <w:qFormat/>
    <w:uiPriority w:val="99"/>
    <w:rPr>
      <w:rFonts w:ascii="Times New Roman" w:hAnsi="Times New Roman" w:eastAsia="宋体" w:cs="Times New Roman"/>
      <w:kern w:val="0"/>
      <w:sz w:val="24"/>
      <w:szCs w:val="24"/>
    </w:rPr>
  </w:style>
  <w:style w:type="character" w:customStyle="1" w:styleId="98">
    <w:name w:val="正文首行缩进 2 字符"/>
    <w:basedOn w:val="84"/>
    <w:link w:val="46"/>
    <w:qFormat/>
    <w:uiPriority w:val="99"/>
    <w:rPr>
      <w:rFonts w:ascii="宋体" w:hAnsi="宋体" w:eastAsia="宋体" w:cs="Times New Roman"/>
      <w:kern w:val="0"/>
      <w:sz w:val="20"/>
      <w:szCs w:val="20"/>
    </w:rPr>
  </w:style>
  <w:style w:type="character" w:customStyle="1" w:styleId="99">
    <w:name w:val="Heading 1 Char"/>
    <w:basedOn w:val="48"/>
    <w:qFormat/>
    <w:uiPriority w:val="9"/>
    <w:rPr>
      <w:rFonts w:ascii="Arial" w:hAnsi="Arial" w:eastAsia="Arial" w:cs="Arial"/>
      <w:sz w:val="40"/>
      <w:szCs w:val="40"/>
    </w:rPr>
  </w:style>
  <w:style w:type="character" w:customStyle="1" w:styleId="100">
    <w:name w:val="Heading 2 Char"/>
    <w:basedOn w:val="48"/>
    <w:qFormat/>
    <w:uiPriority w:val="9"/>
    <w:rPr>
      <w:rFonts w:ascii="Arial" w:hAnsi="Arial" w:eastAsia="Arial" w:cs="Arial"/>
      <w:sz w:val="34"/>
    </w:rPr>
  </w:style>
  <w:style w:type="character" w:customStyle="1" w:styleId="101">
    <w:name w:val="Heading 3 Char"/>
    <w:basedOn w:val="48"/>
    <w:qFormat/>
    <w:uiPriority w:val="9"/>
    <w:rPr>
      <w:rFonts w:ascii="Arial" w:hAnsi="Arial" w:eastAsia="Arial" w:cs="Arial"/>
      <w:sz w:val="30"/>
      <w:szCs w:val="30"/>
    </w:rPr>
  </w:style>
  <w:style w:type="character" w:customStyle="1" w:styleId="102">
    <w:name w:val="Heading 4 Char"/>
    <w:basedOn w:val="48"/>
    <w:qFormat/>
    <w:uiPriority w:val="9"/>
    <w:rPr>
      <w:rFonts w:ascii="Arial" w:hAnsi="Arial" w:eastAsia="Arial" w:cs="Arial"/>
      <w:b/>
      <w:bCs/>
      <w:sz w:val="26"/>
      <w:szCs w:val="26"/>
    </w:rPr>
  </w:style>
  <w:style w:type="character" w:customStyle="1" w:styleId="103">
    <w:name w:val="Heading 5 Char"/>
    <w:basedOn w:val="48"/>
    <w:qFormat/>
    <w:uiPriority w:val="9"/>
    <w:rPr>
      <w:rFonts w:ascii="Arial" w:hAnsi="Arial" w:eastAsia="Arial" w:cs="Arial"/>
      <w:b/>
      <w:bCs/>
      <w:sz w:val="24"/>
      <w:szCs w:val="24"/>
    </w:rPr>
  </w:style>
  <w:style w:type="character" w:customStyle="1" w:styleId="104">
    <w:name w:val="Heading 6 Char"/>
    <w:basedOn w:val="48"/>
    <w:qFormat/>
    <w:uiPriority w:val="9"/>
    <w:rPr>
      <w:rFonts w:ascii="Arial" w:hAnsi="Arial" w:eastAsia="Arial" w:cs="Arial"/>
      <w:b/>
      <w:bCs/>
      <w:sz w:val="22"/>
      <w:szCs w:val="22"/>
    </w:rPr>
  </w:style>
  <w:style w:type="character" w:customStyle="1" w:styleId="105">
    <w:name w:val="Heading 7 Char"/>
    <w:basedOn w:val="48"/>
    <w:qFormat/>
    <w:uiPriority w:val="9"/>
    <w:rPr>
      <w:rFonts w:ascii="Arial" w:hAnsi="Arial" w:eastAsia="Arial" w:cs="Arial"/>
      <w:b/>
      <w:bCs/>
      <w:i/>
      <w:iCs/>
      <w:sz w:val="22"/>
      <w:szCs w:val="22"/>
    </w:rPr>
  </w:style>
  <w:style w:type="character" w:customStyle="1" w:styleId="106">
    <w:name w:val="Heading 8 Char"/>
    <w:basedOn w:val="48"/>
    <w:qFormat/>
    <w:uiPriority w:val="9"/>
    <w:rPr>
      <w:rFonts w:ascii="Arial" w:hAnsi="Arial" w:eastAsia="Arial" w:cs="Arial"/>
      <w:i/>
      <w:iCs/>
      <w:sz w:val="22"/>
      <w:szCs w:val="22"/>
    </w:rPr>
  </w:style>
  <w:style w:type="character" w:customStyle="1" w:styleId="107">
    <w:name w:val="Heading 9 Char"/>
    <w:basedOn w:val="48"/>
    <w:qFormat/>
    <w:uiPriority w:val="9"/>
    <w:rPr>
      <w:rFonts w:ascii="Arial" w:hAnsi="Arial" w:eastAsia="Arial" w:cs="Arial"/>
      <w:i/>
      <w:iCs/>
      <w:sz w:val="21"/>
      <w:szCs w:val="21"/>
    </w:rPr>
  </w:style>
  <w:style w:type="paragraph" w:styleId="108">
    <w:name w:val="No Spacing"/>
    <w:qFormat/>
    <w:uiPriority w:val="1"/>
    <w:rPr>
      <w:rFonts w:ascii="Times New Roman" w:hAnsi="Times New Roman" w:eastAsia="宋体" w:cs="Times New Roman"/>
      <w:lang w:val="en-US" w:eastAsia="zh-CN" w:bidi="ar-SA"/>
    </w:rPr>
  </w:style>
  <w:style w:type="character" w:customStyle="1" w:styleId="109">
    <w:name w:val="Title Char"/>
    <w:basedOn w:val="48"/>
    <w:qFormat/>
    <w:uiPriority w:val="10"/>
    <w:rPr>
      <w:sz w:val="48"/>
      <w:szCs w:val="48"/>
    </w:rPr>
  </w:style>
  <w:style w:type="character" w:customStyle="1" w:styleId="110">
    <w:name w:val="Subtitle Char"/>
    <w:basedOn w:val="48"/>
    <w:qFormat/>
    <w:uiPriority w:val="11"/>
    <w:rPr>
      <w:sz w:val="24"/>
      <w:szCs w:val="24"/>
    </w:rPr>
  </w:style>
  <w:style w:type="paragraph" w:styleId="111">
    <w:name w:val="Quote"/>
    <w:basedOn w:val="1"/>
    <w:next w:val="1"/>
    <w:link w:val="112"/>
    <w:qFormat/>
    <w:uiPriority w:val="29"/>
    <w:pPr>
      <w:ind w:left="720" w:right="720"/>
    </w:pPr>
    <w:rPr>
      <w:i/>
    </w:rPr>
  </w:style>
  <w:style w:type="character" w:customStyle="1" w:styleId="112">
    <w:name w:val="引用 字符"/>
    <w:basedOn w:val="48"/>
    <w:link w:val="111"/>
    <w:qFormat/>
    <w:uiPriority w:val="29"/>
    <w:rPr>
      <w:rFonts w:ascii="Times New Roman" w:hAnsi="Times New Roman" w:eastAsia="宋体" w:cs="Times New Roman"/>
      <w:i/>
      <w:kern w:val="0"/>
      <w:szCs w:val="24"/>
    </w:rPr>
  </w:style>
  <w:style w:type="paragraph" w:styleId="113">
    <w:name w:val="Intense Quote"/>
    <w:basedOn w:val="1"/>
    <w:next w:val="1"/>
    <w:link w:val="114"/>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pPr>
    <w:rPr>
      <w:i/>
    </w:rPr>
  </w:style>
  <w:style w:type="character" w:customStyle="1" w:styleId="114">
    <w:name w:val="明显引用 字符"/>
    <w:basedOn w:val="48"/>
    <w:link w:val="113"/>
    <w:qFormat/>
    <w:uiPriority w:val="30"/>
    <w:rPr>
      <w:rFonts w:ascii="Times New Roman" w:hAnsi="Times New Roman" w:eastAsia="宋体" w:cs="Times New Roman"/>
      <w:i/>
      <w:kern w:val="0"/>
      <w:szCs w:val="24"/>
      <w:shd w:val="clear" w:color="auto" w:fill="F2F2F2"/>
    </w:rPr>
  </w:style>
  <w:style w:type="character" w:customStyle="1" w:styleId="115">
    <w:name w:val="Header Char"/>
    <w:basedOn w:val="48"/>
    <w:qFormat/>
    <w:uiPriority w:val="99"/>
  </w:style>
  <w:style w:type="character" w:customStyle="1" w:styleId="116">
    <w:name w:val="Footer Char"/>
    <w:basedOn w:val="48"/>
    <w:qFormat/>
    <w:uiPriority w:val="99"/>
  </w:style>
  <w:style w:type="character" w:customStyle="1" w:styleId="117">
    <w:name w:val="Caption Char"/>
    <w:qFormat/>
    <w:uiPriority w:val="99"/>
  </w:style>
  <w:style w:type="character" w:customStyle="1" w:styleId="118">
    <w:name w:val="Footnote Text Char"/>
    <w:qFormat/>
    <w:uiPriority w:val="99"/>
    <w:rPr>
      <w:sz w:val="18"/>
    </w:rPr>
  </w:style>
  <w:style w:type="character" w:customStyle="1" w:styleId="119">
    <w:name w:val="Endnote Text Char"/>
    <w:qFormat/>
    <w:uiPriority w:val="99"/>
    <w:rPr>
      <w:sz w:val="20"/>
    </w:rPr>
  </w:style>
  <w:style w:type="paragraph" w:customStyle="1" w:styleId="120">
    <w:name w:val="TOC 标题1"/>
    <w:unhideWhenUsed/>
    <w:qFormat/>
    <w:uiPriority w:val="39"/>
    <w:rPr>
      <w:rFonts w:ascii="Times New Roman" w:hAnsi="Times New Roman" w:eastAsia="宋体" w:cs="Times New Roman"/>
      <w:lang w:val="en-US" w:eastAsia="zh-CN" w:bidi="ar-SA"/>
    </w:rPr>
  </w:style>
  <w:style w:type="paragraph" w:customStyle="1" w:styleId="121">
    <w:name w:val="NormalIndent"/>
    <w:basedOn w:val="1"/>
    <w:qFormat/>
    <w:uiPriority w:val="0"/>
    <w:pPr>
      <w:ind w:firstLine="420"/>
    </w:pPr>
  </w:style>
  <w:style w:type="paragraph" w:customStyle="1" w:styleId="122">
    <w:name w:val="样式2"/>
    <w:basedOn w:val="1"/>
    <w:qFormat/>
    <w:uiPriority w:val="0"/>
    <w:pPr>
      <w:spacing w:line="360" w:lineRule="auto"/>
      <w:ind w:left="200"/>
    </w:pPr>
    <w:rPr>
      <w:rFonts w:ascii="宋体" w:hAnsi="宋体"/>
      <w:b/>
      <w:sz w:val="24"/>
    </w:rPr>
  </w:style>
  <w:style w:type="paragraph" w:customStyle="1" w:styleId="123">
    <w:name w:val="部分1"/>
    <w:basedOn w:val="1"/>
    <w:qFormat/>
    <w:uiPriority w:val="0"/>
    <w:pPr>
      <w:keepNext/>
      <w:pageBreakBefore/>
      <w:tabs>
        <w:tab w:val="left" w:pos="360"/>
      </w:tabs>
      <w:spacing w:line="360" w:lineRule="auto"/>
      <w:jc w:val="center"/>
      <w:outlineLvl w:val="0"/>
    </w:pPr>
    <w:rPr>
      <w:rFonts w:eastAsia="黑体"/>
      <w:b/>
      <w:sz w:val="36"/>
      <w:szCs w:val="20"/>
    </w:rPr>
  </w:style>
  <w:style w:type="paragraph" w:customStyle="1" w:styleId="124">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i/>
      <w:iCs/>
      <w:sz w:val="20"/>
      <w:szCs w:val="20"/>
    </w:rPr>
  </w:style>
  <w:style w:type="paragraph" w:customStyle="1" w:styleId="125">
    <w:name w:val="正文缩进2字符"/>
    <w:basedOn w:val="1"/>
    <w:qFormat/>
    <w:uiPriority w:val="0"/>
    <w:pPr>
      <w:spacing w:line="300" w:lineRule="auto"/>
      <w:ind w:firstLine="200"/>
    </w:pPr>
    <w:rPr>
      <w:rFonts w:ascii="仿宋_GB2312" w:eastAsia="仿宋_GB2312"/>
      <w:sz w:val="32"/>
      <w:szCs w:val="32"/>
    </w:rPr>
  </w:style>
  <w:style w:type="paragraph" w:customStyle="1" w:styleId="126">
    <w:name w:val="Table Text Char"/>
    <w:qFormat/>
    <w:uiPriority w:val="0"/>
    <w:pPr>
      <w:spacing w:before="80" w:after="80"/>
    </w:pPr>
    <w:rPr>
      <w:rFonts w:ascii="Arial" w:hAnsi="Arial" w:eastAsia="宋体" w:cs="Arial"/>
      <w:sz w:val="18"/>
      <w:szCs w:val="28"/>
      <w:lang w:val="en-US" w:eastAsia="zh-CN" w:bidi="ar-SA"/>
    </w:rPr>
  </w:style>
  <w:style w:type="paragraph" w:customStyle="1" w:styleId="127">
    <w:name w:val="小四 段落 宋体 Char Char Char Char"/>
    <w:basedOn w:val="1"/>
    <w:qFormat/>
    <w:uiPriority w:val="0"/>
    <w:pPr>
      <w:spacing w:line="360" w:lineRule="auto"/>
      <w:ind w:right="-33" w:firstLine="480"/>
      <w:jc w:val="left"/>
    </w:pPr>
    <w:rPr>
      <w:sz w:val="24"/>
    </w:rPr>
  </w:style>
  <w:style w:type="paragraph" w:customStyle="1" w:styleId="128">
    <w:name w:val="Char Char Char"/>
    <w:basedOn w:val="1"/>
    <w:qFormat/>
    <w:uiPriority w:val="0"/>
    <w:rPr>
      <w:rFonts w:ascii="Tahoma" w:hAnsi="Tahoma"/>
      <w:sz w:val="24"/>
      <w:szCs w:val="20"/>
    </w:rPr>
  </w:style>
  <w:style w:type="paragraph" w:customStyle="1" w:styleId="129">
    <w:name w:val="样式 段后: 0.25 行"/>
    <w:basedOn w:val="1"/>
    <w:qFormat/>
    <w:uiPriority w:val="0"/>
    <w:pPr>
      <w:widowControl/>
      <w:spacing w:line="300" w:lineRule="auto"/>
      <w:ind w:firstLine="420"/>
      <w:jc w:val="left"/>
    </w:pPr>
    <w:rPr>
      <w:rFonts w:ascii="Arial" w:hAnsi="Arial" w:cs="宋体"/>
      <w:sz w:val="22"/>
      <w:szCs w:val="20"/>
      <w:lang w:eastAsia="en-US"/>
    </w:rPr>
  </w:style>
  <w:style w:type="paragraph" w:customStyle="1" w:styleId="130">
    <w:name w:val="正文表标题"/>
    <w:next w:val="64"/>
    <w:qFormat/>
    <w:uiPriority w:val="0"/>
    <w:pPr>
      <w:tabs>
        <w:tab w:val="left" w:pos="900"/>
      </w:tabs>
      <w:ind w:left="900" w:hanging="420"/>
      <w:jc w:val="center"/>
    </w:pPr>
    <w:rPr>
      <w:rFonts w:ascii="黑体" w:hAnsi="Times New Roman" w:eastAsia="黑体" w:cs="Times New Roman"/>
      <w:sz w:val="21"/>
      <w:lang w:val="en-US" w:eastAsia="zh-CN" w:bidi="ar-SA"/>
    </w:rPr>
  </w:style>
  <w:style w:type="paragraph" w:customStyle="1" w:styleId="131">
    <w:name w:val="qw"/>
    <w:qFormat/>
    <w:uiPriority w:val="0"/>
    <w:pPr>
      <w:widowControl w:val="0"/>
      <w:spacing w:line="312" w:lineRule="atLeast"/>
      <w:jc w:val="both"/>
    </w:pPr>
    <w:rPr>
      <w:rFonts w:ascii="宋体" w:hAnsi="Times New Roman" w:eastAsia="宋体" w:cs="Times New Roman"/>
      <w:sz w:val="24"/>
      <w:lang w:val="en-US" w:eastAsia="zh-CN" w:bidi="ar-SA"/>
    </w:rPr>
  </w:style>
  <w:style w:type="paragraph" w:customStyle="1" w:styleId="132">
    <w:name w:val="样式 加点正文 + 段前: 0.5 行 段后: 0.5 行1"/>
    <w:basedOn w:val="1"/>
    <w:qFormat/>
    <w:uiPriority w:val="0"/>
    <w:pPr>
      <w:tabs>
        <w:tab w:val="left" w:pos="1268"/>
      </w:tabs>
      <w:spacing w:line="300" w:lineRule="auto"/>
      <w:ind w:left="1268" w:hanging="420"/>
    </w:pPr>
    <w:rPr>
      <w:sz w:val="24"/>
      <w:szCs w:val="20"/>
    </w:rPr>
  </w:style>
  <w:style w:type="paragraph" w:customStyle="1" w:styleId="133">
    <w:name w:val="样式 标题 3H3sect1.2.3BOD 0Heading 3 - oldh3l3CTLevel 3 Head..."/>
    <w:basedOn w:val="4"/>
    <w:qFormat/>
    <w:uiPriority w:val="0"/>
    <w:pPr>
      <w:spacing w:line="240" w:lineRule="auto"/>
      <w:jc w:val="left"/>
    </w:pPr>
    <w:rPr>
      <w:rFonts w:cs="宋体"/>
      <w:sz w:val="30"/>
      <w:szCs w:val="20"/>
    </w:rPr>
  </w:style>
  <w:style w:type="paragraph" w:customStyle="1" w:styleId="134">
    <w:name w:val="正文 + 宋体"/>
    <w:basedOn w:val="1"/>
    <w:qFormat/>
    <w:uiPriority w:val="0"/>
    <w:pPr>
      <w:spacing w:line="360" w:lineRule="auto"/>
      <w:ind w:firstLine="420"/>
    </w:pPr>
  </w:style>
  <w:style w:type="paragraph" w:customStyle="1" w:styleId="135">
    <w:name w:val="样式 样式 首行缩进:  2 字符 + 行距: 1.5 倍行距"/>
    <w:basedOn w:val="1"/>
    <w:qFormat/>
    <w:uiPriority w:val="0"/>
    <w:pPr>
      <w:spacing w:line="360" w:lineRule="auto"/>
      <w:ind w:firstLine="470"/>
    </w:pPr>
    <w:rPr>
      <w:sz w:val="24"/>
      <w:szCs w:val="20"/>
    </w:rPr>
  </w:style>
  <w:style w:type="paragraph" w:customStyle="1" w:styleId="136">
    <w:name w:val="_Style 82"/>
    <w:qFormat/>
    <w:uiPriority w:val="0"/>
    <w:rPr>
      <w:rFonts w:ascii="Times New Roman" w:hAnsi="Times New Roman" w:eastAsia="宋体" w:cs="Times New Roman"/>
      <w:sz w:val="22"/>
      <w:szCs w:val="22"/>
      <w:lang w:val="en-US" w:eastAsia="zh-CN" w:bidi="ar-SA"/>
    </w:rPr>
  </w:style>
  <w:style w:type="paragraph" w:customStyle="1" w:styleId="137">
    <w:name w:val="Char Char1 Char Char Char Char1 Char Char Char Char Char Char"/>
    <w:basedOn w:val="1"/>
    <w:qFormat/>
    <w:uiPriority w:val="0"/>
    <w:rPr>
      <w:rFonts w:ascii="Tahoma" w:hAnsi="Tahoma"/>
      <w:sz w:val="24"/>
      <w:szCs w:val="20"/>
    </w:rPr>
  </w:style>
  <w:style w:type="paragraph" w:customStyle="1" w:styleId="138">
    <w:name w:val="flNote"/>
    <w:basedOn w:val="1"/>
    <w:qFormat/>
    <w:uiPriority w:val="0"/>
    <w:pPr>
      <w:spacing w:before="567" w:line="360" w:lineRule="atLeast"/>
      <w:jc w:val="center"/>
    </w:pPr>
    <w:rPr>
      <w:rFonts w:eastAsia="黑体"/>
      <w:b/>
      <w:sz w:val="24"/>
      <w:szCs w:val="20"/>
    </w:rPr>
  </w:style>
  <w:style w:type="paragraph" w:customStyle="1" w:styleId="139">
    <w:name w:val="flType"/>
    <w:basedOn w:val="140"/>
    <w:qFormat/>
    <w:uiPriority w:val="0"/>
    <w:pPr>
      <w:spacing w:after="284"/>
    </w:pPr>
    <w:rPr>
      <w:rFonts w:eastAsia="宋体"/>
      <w:b w:val="0"/>
    </w:rPr>
  </w:style>
  <w:style w:type="paragraph" w:customStyle="1" w:styleId="140">
    <w:name w:val="flName"/>
    <w:basedOn w:val="138"/>
    <w:qFormat/>
    <w:uiPriority w:val="0"/>
    <w:pPr>
      <w:spacing w:before="0" w:line="113" w:lineRule="atLeast"/>
    </w:pPr>
  </w:style>
  <w:style w:type="paragraph" w:customStyle="1" w:styleId="141">
    <w:name w:val="样式 样式 首行缩进:  0.74 厘米 行距: 1.5 倍行距 + 段后: 0.5 行"/>
    <w:basedOn w:val="1"/>
    <w:qFormat/>
    <w:uiPriority w:val="0"/>
    <w:pPr>
      <w:spacing w:line="360" w:lineRule="auto"/>
      <w:ind w:firstLine="420"/>
    </w:pPr>
    <w:rPr>
      <w:rFonts w:ascii="楷体_GB2312" w:eastAsia="楷体_GB2312"/>
      <w:bCs/>
      <w:sz w:val="24"/>
      <w:szCs w:val="20"/>
    </w:rPr>
  </w:style>
  <w:style w:type="paragraph" w:customStyle="1" w:styleId="142">
    <w:name w:val="Pa5"/>
    <w:basedOn w:val="1"/>
    <w:next w:val="1"/>
    <w:qFormat/>
    <w:uiPriority w:val="0"/>
    <w:pPr>
      <w:spacing w:line="241" w:lineRule="atLeast"/>
      <w:jc w:val="left"/>
    </w:pPr>
    <w:rPr>
      <w:rFonts w:ascii="汉仪大黑简" w:eastAsia="汉仪大黑简"/>
      <w:sz w:val="24"/>
    </w:rPr>
  </w:style>
  <w:style w:type="paragraph" w:customStyle="1" w:styleId="143">
    <w:name w:val="xl52"/>
    <w:basedOn w:val="1"/>
    <w:qFormat/>
    <w:uiPriority w:val="0"/>
    <w:pPr>
      <w:widowControl/>
      <w:pBdr>
        <w:top w:val="single" w:color="auto" w:sz="4" w:space="0"/>
        <w:bottom w:val="single" w:color="auto" w:sz="4" w:space="0"/>
      </w:pBdr>
      <w:shd w:val="clear" w:color="auto" w:fill="969696"/>
      <w:spacing w:before="100" w:beforeAutospacing="1" w:after="100" w:afterAutospacing="1"/>
      <w:jc w:val="center"/>
    </w:pPr>
    <w:rPr>
      <w:b/>
      <w:bCs/>
      <w:i/>
      <w:iCs/>
      <w:sz w:val="20"/>
      <w:szCs w:val="20"/>
    </w:rPr>
  </w:style>
  <w:style w:type="paragraph" w:customStyle="1" w:styleId="144">
    <w:name w:val="标题2，章节第二层"/>
    <w:basedOn w:val="1"/>
    <w:next w:val="145"/>
    <w:qFormat/>
    <w:uiPriority w:val="0"/>
    <w:pPr>
      <w:tabs>
        <w:tab w:val="left" w:pos="630"/>
        <w:tab w:val="left" w:pos="992"/>
      </w:tabs>
      <w:spacing w:line="300" w:lineRule="auto"/>
      <w:ind w:left="992" w:hanging="567"/>
      <w:outlineLvl w:val="1"/>
    </w:pPr>
    <w:rPr>
      <w:rFonts w:ascii="Arial" w:hAnsi="Arial" w:eastAsia="黑体"/>
      <w:sz w:val="32"/>
    </w:rPr>
  </w:style>
  <w:style w:type="paragraph" w:customStyle="1" w:styleId="145">
    <w:name w:val="正文格式"/>
    <w:basedOn w:val="1"/>
    <w:qFormat/>
    <w:uiPriority w:val="0"/>
    <w:pPr>
      <w:widowControl/>
      <w:spacing w:line="360" w:lineRule="auto"/>
      <w:ind w:left="178" w:right="44" w:hanging="178"/>
      <w:jc w:val="left"/>
    </w:pPr>
    <w:rPr>
      <w:rFonts w:ascii="宋体" w:hAnsi="宋体"/>
      <w:bCs/>
      <w:szCs w:val="21"/>
    </w:rPr>
  </w:style>
  <w:style w:type="paragraph" w:customStyle="1" w:styleId="146">
    <w:name w:val="Test2"/>
    <w:basedOn w:val="3"/>
    <w:qFormat/>
    <w:uiPriority w:val="0"/>
    <w:pPr>
      <w:widowControl/>
      <w:spacing w:line="480" w:lineRule="exact"/>
      <w:jc w:val="center"/>
    </w:pPr>
    <w:rPr>
      <w:rFonts w:ascii="黑体"/>
      <w:sz w:val="24"/>
      <w:szCs w:val="24"/>
    </w:rPr>
  </w:style>
  <w:style w:type="paragraph" w:customStyle="1" w:styleId="147">
    <w:name w:val="二级条标题"/>
    <w:basedOn w:val="1"/>
    <w:next w:val="64"/>
    <w:qFormat/>
    <w:uiPriority w:val="0"/>
    <w:pPr>
      <w:widowControl/>
      <w:tabs>
        <w:tab w:val="left" w:pos="2240"/>
      </w:tabs>
      <w:ind w:hanging="420"/>
      <w:outlineLvl w:val="3"/>
    </w:pPr>
    <w:rPr>
      <w:rFonts w:eastAsia="黑体"/>
      <w:szCs w:val="20"/>
    </w:rPr>
  </w:style>
  <w:style w:type="paragraph" w:customStyle="1" w:styleId="148">
    <w:name w:val="Char2"/>
    <w:basedOn w:val="15"/>
    <w:qFormat/>
    <w:uiPriority w:val="0"/>
    <w:rPr>
      <w:rFonts w:ascii="Tahoma" w:hAnsi="Tahoma"/>
    </w:rPr>
  </w:style>
  <w:style w:type="paragraph" w:customStyle="1" w:styleId="149">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楷体_GB2312" w:hAnsi="宋体" w:eastAsia="楷体_GB2312" w:cs="宋体"/>
      <w:b/>
      <w:bCs/>
      <w:sz w:val="24"/>
    </w:rPr>
  </w:style>
  <w:style w:type="paragraph" w:customStyle="1" w:styleId="150">
    <w:name w:val="标准文本"/>
    <w:basedOn w:val="1"/>
    <w:qFormat/>
    <w:uiPriority w:val="0"/>
    <w:pPr>
      <w:spacing w:line="360" w:lineRule="auto"/>
      <w:ind w:firstLine="480"/>
    </w:pPr>
    <w:rPr>
      <w:rFonts w:cs="宋体"/>
      <w:sz w:val="24"/>
    </w:rPr>
  </w:style>
  <w:style w:type="paragraph" w:customStyle="1" w:styleId="151">
    <w:name w:val="马刚标题4"/>
    <w:basedOn w:val="152"/>
    <w:next w:val="1"/>
    <w:qFormat/>
    <w:uiPriority w:val="0"/>
    <w:pPr>
      <w:tabs>
        <w:tab w:val="left" w:pos="567"/>
        <w:tab w:val="left" w:pos="735"/>
        <w:tab w:val="left" w:pos="1050"/>
      </w:tabs>
      <w:spacing w:before="100" w:after="40"/>
      <w:outlineLvl w:val="3"/>
    </w:pPr>
    <w:rPr>
      <w:b w:val="0"/>
    </w:rPr>
  </w:style>
  <w:style w:type="paragraph" w:customStyle="1" w:styleId="152">
    <w:name w:val="马刚标题3"/>
    <w:basedOn w:val="1"/>
    <w:next w:val="1"/>
    <w:qFormat/>
    <w:uiPriority w:val="0"/>
    <w:pPr>
      <w:keepNext/>
      <w:keepLines/>
      <w:tabs>
        <w:tab w:val="left" w:pos="567"/>
        <w:tab w:val="left" w:pos="735"/>
      </w:tabs>
      <w:spacing w:before="120" w:after="60" w:line="413" w:lineRule="auto"/>
      <w:ind w:left="567" w:hanging="567"/>
      <w:jc w:val="left"/>
      <w:outlineLvl w:val="2"/>
    </w:pPr>
    <w:rPr>
      <w:rFonts w:ascii="黑体" w:hAnsi="Arial" w:eastAsia="黑体"/>
      <w:b/>
      <w:bCs/>
      <w:sz w:val="24"/>
      <w:szCs w:val="20"/>
    </w:rPr>
  </w:style>
  <w:style w:type="paragraph" w:customStyle="1" w:styleId="153">
    <w:name w:val="普通 (Web)"/>
    <w:basedOn w:val="1"/>
    <w:qFormat/>
    <w:uiPriority w:val="0"/>
    <w:pPr>
      <w:widowControl/>
      <w:spacing w:before="100" w:beforeAutospacing="1" w:after="100" w:afterAutospacing="1"/>
      <w:jc w:val="left"/>
    </w:pPr>
    <w:rPr>
      <w:rFonts w:ascii="宋体" w:hAnsi="宋体"/>
      <w:sz w:val="24"/>
    </w:rPr>
  </w:style>
  <w:style w:type="paragraph" w:customStyle="1" w:styleId="154">
    <w:name w:val="Char1 Char Char Char"/>
    <w:basedOn w:val="1"/>
    <w:qFormat/>
    <w:uiPriority w:val="0"/>
    <w:rPr>
      <w:rFonts w:ascii="Tahoma" w:hAnsi="Tahoma" w:cs="Tahoma"/>
      <w:sz w:val="24"/>
      <w:szCs w:val="20"/>
    </w:rPr>
  </w:style>
  <w:style w:type="paragraph" w:customStyle="1" w:styleId="155">
    <w:name w:val="Char Char Char Char Char Char Char Char Char Char Char Char Char Char Char Char Char Char Char Char Char1"/>
    <w:basedOn w:val="1"/>
    <w:qFormat/>
    <w:uiPriority w:val="0"/>
    <w:rPr>
      <w:rFonts w:ascii="Tahoma" w:hAnsi="Tahoma"/>
      <w:sz w:val="24"/>
      <w:szCs w:val="20"/>
    </w:rPr>
  </w:style>
  <w:style w:type="paragraph" w:customStyle="1" w:styleId="156">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sz w:val="20"/>
      <w:szCs w:val="20"/>
    </w:rPr>
  </w:style>
  <w:style w:type="paragraph" w:customStyle="1" w:styleId="157">
    <w:name w:val="font6"/>
    <w:basedOn w:val="1"/>
    <w:qFormat/>
    <w:uiPriority w:val="0"/>
    <w:pPr>
      <w:widowControl/>
      <w:spacing w:before="100" w:beforeAutospacing="1" w:after="100" w:afterAutospacing="1"/>
      <w:jc w:val="left"/>
    </w:pPr>
    <w:rPr>
      <w:rFonts w:ascii="宋体" w:hAnsi="宋体" w:cs="宋体"/>
      <w:b/>
      <w:bCs/>
      <w:sz w:val="20"/>
      <w:szCs w:val="20"/>
    </w:rPr>
  </w:style>
  <w:style w:type="paragraph" w:customStyle="1" w:styleId="158">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i/>
      <w:iCs/>
      <w:sz w:val="20"/>
      <w:szCs w:val="20"/>
    </w:rPr>
  </w:style>
  <w:style w:type="paragraph" w:customStyle="1" w:styleId="159">
    <w:name w:val="xl58"/>
    <w:basedOn w:val="1"/>
    <w:qFormat/>
    <w:uiPriority w:val="0"/>
    <w:pPr>
      <w:widowControl/>
      <w:pBdr>
        <w:left w:val="single" w:color="auto" w:sz="4" w:space="0"/>
        <w:right w:val="single" w:color="auto" w:sz="4" w:space="0"/>
      </w:pBdr>
      <w:spacing w:before="100" w:beforeAutospacing="1" w:after="100" w:afterAutospacing="1"/>
      <w:jc w:val="center"/>
    </w:pPr>
    <w:rPr>
      <w:b/>
      <w:bCs/>
      <w:i/>
      <w:iCs/>
      <w:sz w:val="20"/>
      <w:szCs w:val="20"/>
    </w:rPr>
  </w:style>
  <w:style w:type="paragraph" w:customStyle="1" w:styleId="160">
    <w:name w:val="font10"/>
    <w:basedOn w:val="1"/>
    <w:qFormat/>
    <w:uiPriority w:val="0"/>
    <w:pPr>
      <w:widowControl/>
      <w:spacing w:before="100" w:beforeAutospacing="1" w:after="100" w:afterAutospacing="1"/>
      <w:jc w:val="left"/>
    </w:pPr>
    <w:rPr>
      <w:rFonts w:ascii="楷体_GB2312" w:hAnsi="宋体" w:eastAsia="楷体_GB2312" w:cs="宋体"/>
      <w:b/>
      <w:bCs/>
      <w:sz w:val="18"/>
      <w:szCs w:val="18"/>
    </w:rPr>
  </w:style>
  <w:style w:type="paragraph" w:customStyle="1" w:styleId="161">
    <w:name w:val="xl56"/>
    <w:basedOn w:val="1"/>
    <w:qFormat/>
    <w:uiPriority w:val="0"/>
    <w:pPr>
      <w:widowControl/>
      <w:pBdr>
        <w:top w:val="single" w:color="auto" w:sz="4" w:space="0"/>
        <w:bottom w:val="single" w:color="auto" w:sz="4" w:space="0"/>
        <w:right w:val="single" w:color="auto" w:sz="4" w:space="0"/>
      </w:pBdr>
      <w:shd w:val="clear" w:color="auto" w:fill="969696"/>
      <w:spacing w:before="100" w:beforeAutospacing="1" w:after="100" w:afterAutospacing="1"/>
      <w:jc w:val="center"/>
    </w:pPr>
    <w:rPr>
      <w:b/>
      <w:bCs/>
      <w:sz w:val="20"/>
      <w:szCs w:val="20"/>
    </w:rPr>
  </w:style>
  <w:style w:type="paragraph" w:customStyle="1" w:styleId="162">
    <w:name w:val="样式"/>
    <w:basedOn w:val="1"/>
    <w:qFormat/>
    <w:uiPriority w:val="0"/>
    <w:pPr>
      <w:spacing w:before="120" w:after="120" w:line="360" w:lineRule="auto"/>
    </w:pPr>
    <w:rPr>
      <w:rFonts w:ascii="宋体"/>
      <w:sz w:val="24"/>
      <w:szCs w:val="20"/>
    </w:rPr>
  </w:style>
  <w:style w:type="paragraph" w:customStyle="1" w:styleId="163">
    <w:name w:val="方案正文"/>
    <w:basedOn w:val="1"/>
    <w:qFormat/>
    <w:uiPriority w:val="0"/>
    <w:pPr>
      <w:spacing w:before="156" w:line="360" w:lineRule="auto"/>
      <w:ind w:firstLine="359"/>
      <w:jc w:val="left"/>
    </w:pPr>
    <w:rPr>
      <w:rFonts w:ascii="Arial" w:hAnsi="Arial" w:cs="宋体"/>
      <w:sz w:val="24"/>
      <w:szCs w:val="21"/>
    </w:rPr>
  </w:style>
  <w:style w:type="paragraph" w:customStyle="1" w:styleId="164">
    <w:name w:val="a0"/>
    <w:basedOn w:val="1"/>
    <w:qFormat/>
    <w:uiPriority w:val="0"/>
    <w:pPr>
      <w:widowControl/>
      <w:spacing w:before="100" w:beforeAutospacing="1" w:after="100" w:afterAutospacing="1"/>
    </w:pPr>
    <w:rPr>
      <w:rFonts w:ascii="宋体" w:hAnsi="宋体" w:cs="宋体"/>
      <w:sz w:val="24"/>
    </w:rPr>
  </w:style>
  <w:style w:type="paragraph" w:customStyle="1" w:styleId="165">
    <w:name w:val="retrait3"/>
    <w:basedOn w:val="1"/>
    <w:qFormat/>
    <w:uiPriority w:val="0"/>
    <w:pPr>
      <w:widowControl/>
      <w:spacing w:before="20" w:after="20"/>
      <w:ind w:left="851"/>
      <w:jc w:val="left"/>
    </w:pPr>
    <w:rPr>
      <w:rFonts w:ascii="Arial" w:hAnsi="Arial"/>
      <w:sz w:val="24"/>
      <w:szCs w:val="20"/>
      <w:lang w:val="en-GB"/>
    </w:rPr>
  </w:style>
  <w:style w:type="paragraph" w:customStyle="1" w:styleId="166">
    <w:name w:val="图标"/>
    <w:basedOn w:val="1"/>
    <w:next w:val="1"/>
    <w:qFormat/>
    <w:uiPriority w:val="0"/>
    <w:pPr>
      <w:tabs>
        <w:tab w:val="left" w:pos="567"/>
        <w:tab w:val="left" w:pos="840"/>
      </w:tabs>
      <w:spacing w:before="120" w:after="120" w:line="320" w:lineRule="atLeast"/>
      <w:ind w:left="840" w:hanging="420"/>
      <w:jc w:val="center"/>
    </w:pPr>
    <w:rPr>
      <w:rFonts w:eastAsia="仿宋_GB2312"/>
      <w:sz w:val="24"/>
      <w:szCs w:val="20"/>
    </w:rPr>
  </w:style>
  <w:style w:type="paragraph" w:customStyle="1" w:styleId="167">
    <w:name w:val="Char1 Char Char Char1"/>
    <w:basedOn w:val="1"/>
    <w:qFormat/>
    <w:uiPriority w:val="0"/>
    <w:rPr>
      <w:rFonts w:ascii="Tahoma" w:hAnsi="Tahoma"/>
      <w:sz w:val="24"/>
      <w:szCs w:val="20"/>
    </w:rPr>
  </w:style>
  <w:style w:type="paragraph" w:customStyle="1" w:styleId="168">
    <w:name w:val="table_lines"/>
    <w:basedOn w:val="1"/>
    <w:qFormat/>
    <w:uiPriority w:val="0"/>
    <w:pPr>
      <w:widowControl/>
      <w:jc w:val="left"/>
    </w:pPr>
    <w:rPr>
      <w:sz w:val="20"/>
      <w:szCs w:val="20"/>
      <w:lang w:val="de-DE" w:eastAsia="de-DE"/>
    </w:rPr>
  </w:style>
  <w:style w:type="paragraph" w:customStyle="1" w:styleId="169">
    <w:name w:val="Char Char1"/>
    <w:basedOn w:val="1"/>
    <w:qFormat/>
    <w:uiPriority w:val="0"/>
    <w:rPr>
      <w:rFonts w:ascii="Tahoma" w:hAnsi="Tahoma"/>
      <w:sz w:val="24"/>
      <w:szCs w:val="20"/>
    </w:rPr>
  </w:style>
  <w:style w:type="paragraph" w:customStyle="1" w:styleId="170">
    <w:name w:val="Item List Char Char"/>
    <w:qFormat/>
    <w:uiPriority w:val="0"/>
    <w:pPr>
      <w:spacing w:line="288" w:lineRule="auto"/>
      <w:jc w:val="both"/>
    </w:pPr>
    <w:rPr>
      <w:rFonts w:ascii="Arial" w:hAnsi="Arial" w:eastAsia="宋体" w:cs="Arial"/>
      <w:b/>
      <w:bCs/>
      <w:sz w:val="21"/>
      <w:szCs w:val="28"/>
      <w:lang w:val="en-US" w:eastAsia="zh-CN" w:bidi="ar-SA"/>
    </w:rPr>
  </w:style>
  <w:style w:type="paragraph" w:customStyle="1" w:styleId="171">
    <w:name w:val="样式 样式 标题 3H3sect1.2.3BOD 0Heading 3 - oldh3l3CTLevel 3 Head... +..."/>
    <w:basedOn w:val="1"/>
    <w:qFormat/>
    <w:uiPriority w:val="0"/>
    <w:pPr>
      <w:keepNext/>
      <w:keepLines/>
      <w:jc w:val="left"/>
      <w:outlineLvl w:val="2"/>
    </w:pPr>
    <w:rPr>
      <w:rFonts w:cs="宋体"/>
      <w:b/>
      <w:bCs/>
      <w:sz w:val="24"/>
      <w:szCs w:val="20"/>
    </w:rPr>
  </w:style>
  <w:style w:type="paragraph" w:customStyle="1" w:styleId="172">
    <w:name w:val="Char Char1 Char1"/>
    <w:basedOn w:val="1"/>
    <w:qFormat/>
    <w:uiPriority w:val="0"/>
    <w:pPr>
      <w:widowControl/>
      <w:spacing w:after="160" w:line="240" w:lineRule="exact"/>
      <w:jc w:val="left"/>
    </w:pPr>
    <w:rPr>
      <w:rFonts w:ascii="Verdana" w:hAnsi="Verdana"/>
      <w:sz w:val="20"/>
      <w:szCs w:val="20"/>
      <w:lang w:eastAsia="en-US"/>
    </w:rPr>
  </w:style>
  <w:style w:type="paragraph" w:customStyle="1" w:styleId="173">
    <w:name w:val="正文2"/>
    <w:basedOn w:val="1"/>
    <w:qFormat/>
    <w:uiPriority w:val="0"/>
    <w:pPr>
      <w:spacing w:before="156" w:line="360" w:lineRule="auto"/>
      <w:ind w:firstLine="510"/>
    </w:pPr>
    <w:rPr>
      <w:sz w:val="24"/>
      <w:szCs w:val="20"/>
    </w:rPr>
  </w:style>
  <w:style w:type="paragraph" w:customStyle="1" w:styleId="174">
    <w:name w:val="font13"/>
    <w:basedOn w:val="1"/>
    <w:qFormat/>
    <w:uiPriority w:val="0"/>
    <w:pPr>
      <w:widowControl/>
      <w:spacing w:before="100" w:beforeAutospacing="1" w:after="100" w:afterAutospacing="1"/>
      <w:jc w:val="left"/>
    </w:pPr>
    <w:rPr>
      <w:i/>
      <w:iCs/>
      <w:sz w:val="36"/>
      <w:szCs w:val="36"/>
    </w:rPr>
  </w:style>
  <w:style w:type="paragraph" w:customStyle="1" w:styleId="175">
    <w:name w:val="默认段落字体 Para Char"/>
    <w:basedOn w:val="1"/>
    <w:qFormat/>
    <w:uiPriority w:val="0"/>
    <w:pPr>
      <w:spacing w:line="360" w:lineRule="auto"/>
    </w:pPr>
    <w:rPr>
      <w:sz w:val="24"/>
    </w:rPr>
  </w:style>
  <w:style w:type="paragraph" w:customStyle="1" w:styleId="176">
    <w:name w:val="af17cgridlangnp1033langf"/>
    <w:qFormat/>
    <w:uiPriority w:val="0"/>
    <w:pPr>
      <w:widowControl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177">
    <w:name w:val="正文1"/>
    <w:basedOn w:val="1"/>
    <w:next w:val="1"/>
    <w:qFormat/>
    <w:uiPriority w:val="0"/>
    <w:pPr>
      <w:spacing w:before="156" w:line="360" w:lineRule="auto"/>
      <w:ind w:firstLine="510"/>
    </w:pPr>
    <w:rPr>
      <w:sz w:val="24"/>
      <w:szCs w:val="20"/>
    </w:rPr>
  </w:style>
  <w:style w:type="paragraph" w:customStyle="1" w:styleId="178">
    <w:name w:val="Char Char Char Char Char Char Char Char Char1"/>
    <w:basedOn w:val="1"/>
    <w:qFormat/>
    <w:uiPriority w:val="0"/>
    <w:pPr>
      <w:tabs>
        <w:tab w:val="left" w:pos="360"/>
      </w:tabs>
      <w:ind w:left="360" w:hanging="360"/>
    </w:pPr>
    <w:rPr>
      <w:sz w:val="24"/>
    </w:rPr>
  </w:style>
  <w:style w:type="paragraph" w:customStyle="1" w:styleId="17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sz w:val="20"/>
      <w:szCs w:val="20"/>
    </w:rPr>
  </w:style>
  <w:style w:type="paragraph" w:customStyle="1" w:styleId="180">
    <w:name w:val="正文文本 21"/>
    <w:basedOn w:val="1"/>
    <w:qFormat/>
    <w:uiPriority w:val="0"/>
    <w:pPr>
      <w:widowControl/>
      <w:ind w:left="720" w:hanging="720"/>
    </w:pPr>
    <w:rPr>
      <w:sz w:val="24"/>
      <w:szCs w:val="20"/>
      <w:lang w:val="en-GB"/>
    </w:rPr>
  </w:style>
  <w:style w:type="paragraph" w:customStyle="1" w:styleId="181">
    <w:name w:val="Char Char Char Char Char Char Char Char Char Char Char Char Char Char Char Char Char Char Char Char Char Char Char1"/>
    <w:basedOn w:val="1"/>
    <w:qFormat/>
    <w:uiPriority w:val="0"/>
    <w:rPr>
      <w:rFonts w:ascii="Tahoma" w:hAnsi="Tahoma" w:cs="Tahoma"/>
      <w:sz w:val="24"/>
      <w:szCs w:val="20"/>
    </w:rPr>
  </w:style>
  <w:style w:type="paragraph" w:customStyle="1" w:styleId="182">
    <w:name w:val="Char Char Char Char Char Char Char Char Char Char Char Char Char Char1"/>
    <w:basedOn w:val="1"/>
    <w:qFormat/>
    <w:uiPriority w:val="0"/>
    <w:rPr>
      <w:rFonts w:ascii="Tahoma" w:hAnsi="Tahoma" w:cs="Tahoma"/>
      <w:sz w:val="24"/>
      <w:szCs w:val="20"/>
    </w:rPr>
  </w:style>
  <w:style w:type="paragraph" w:customStyle="1" w:styleId="183">
    <w:name w:val="Default Text"/>
    <w:basedOn w:val="1"/>
    <w:qFormat/>
    <w:uiPriority w:val="0"/>
    <w:pPr>
      <w:widowControl/>
      <w:jc w:val="left"/>
    </w:pPr>
    <w:rPr>
      <w:sz w:val="24"/>
      <w:szCs w:val="20"/>
      <w:lang w:eastAsia="en-US"/>
    </w:rPr>
  </w:style>
  <w:style w:type="paragraph" w:customStyle="1" w:styleId="184">
    <w:name w:val="xl62"/>
    <w:basedOn w:val="1"/>
    <w:qFormat/>
    <w:uiPriority w:val="0"/>
    <w:pPr>
      <w:widowControl/>
      <w:pBdr>
        <w:top w:val="single" w:color="auto" w:sz="4" w:space="0"/>
        <w:bottom w:val="single" w:color="auto" w:sz="4" w:space="0"/>
        <w:right w:val="single" w:color="auto" w:sz="4" w:space="0"/>
      </w:pBdr>
      <w:shd w:val="clear" w:color="auto" w:fill="969696"/>
      <w:spacing w:before="100" w:beforeAutospacing="1" w:after="100" w:afterAutospacing="1"/>
      <w:jc w:val="center"/>
    </w:pPr>
    <w:rPr>
      <w:b/>
      <w:bCs/>
      <w:i/>
      <w:iCs/>
      <w:sz w:val="20"/>
      <w:szCs w:val="20"/>
    </w:rPr>
  </w:style>
  <w:style w:type="paragraph" w:customStyle="1" w:styleId="185">
    <w:name w:val="xl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b/>
      <w:bCs/>
      <w:sz w:val="20"/>
      <w:szCs w:val="20"/>
    </w:rPr>
  </w:style>
  <w:style w:type="paragraph" w:customStyle="1" w:styleId="186">
    <w:name w:val="xl45"/>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sz w:val="20"/>
      <w:szCs w:val="20"/>
    </w:rPr>
  </w:style>
  <w:style w:type="paragraph" w:customStyle="1" w:styleId="187">
    <w:name w:val="纯文本1"/>
    <w:basedOn w:val="1"/>
    <w:qFormat/>
    <w:uiPriority w:val="0"/>
    <w:rPr>
      <w:rFonts w:ascii="宋体" w:hAnsi="宋体" w:eastAsia="楷体_GB2312" w:cs="宋体"/>
      <w:sz w:val="28"/>
      <w:szCs w:val="20"/>
    </w:rPr>
  </w:style>
  <w:style w:type="paragraph" w:customStyle="1" w:styleId="188">
    <w:name w:val="xl53"/>
    <w:basedOn w:val="1"/>
    <w:qFormat/>
    <w:uiPriority w:val="0"/>
    <w:pPr>
      <w:widowControl/>
      <w:pBdr>
        <w:top w:val="single" w:color="auto" w:sz="4" w:space="0"/>
        <w:bottom w:val="single" w:color="auto" w:sz="4" w:space="0"/>
        <w:right w:val="single" w:color="auto" w:sz="4" w:space="0"/>
      </w:pBdr>
      <w:shd w:val="clear" w:color="auto" w:fill="969696"/>
      <w:spacing w:before="100" w:beforeAutospacing="1" w:after="100" w:afterAutospacing="1"/>
      <w:jc w:val="center"/>
    </w:pPr>
    <w:rPr>
      <w:b/>
      <w:bCs/>
      <w:i/>
      <w:iCs/>
      <w:sz w:val="20"/>
      <w:szCs w:val="20"/>
    </w:rPr>
  </w:style>
  <w:style w:type="paragraph" w:customStyle="1" w:styleId="189">
    <w:name w:val="font14"/>
    <w:basedOn w:val="1"/>
    <w:qFormat/>
    <w:uiPriority w:val="0"/>
    <w:pPr>
      <w:widowControl/>
      <w:spacing w:before="100" w:beforeAutospacing="1" w:after="100" w:afterAutospacing="1"/>
      <w:jc w:val="left"/>
    </w:pPr>
    <w:rPr>
      <w:sz w:val="36"/>
      <w:szCs w:val="36"/>
    </w:rPr>
  </w:style>
  <w:style w:type="paragraph" w:customStyle="1" w:styleId="190">
    <w:name w:val="正文文本缩进1"/>
    <w:basedOn w:val="1"/>
    <w:qFormat/>
    <w:uiPriority w:val="0"/>
    <w:pPr>
      <w:spacing w:after="120"/>
      <w:ind w:left="420"/>
    </w:pPr>
  </w:style>
  <w:style w:type="paragraph" w:customStyle="1" w:styleId="191">
    <w:name w:val="xl54"/>
    <w:basedOn w:val="1"/>
    <w:qFormat/>
    <w:uiPriority w:val="0"/>
    <w:pPr>
      <w:widowControl/>
      <w:pBdr>
        <w:top w:val="single" w:color="auto" w:sz="4" w:space="0"/>
        <w:left w:val="single" w:color="auto" w:sz="4" w:space="0"/>
        <w:bottom w:val="single" w:color="auto" w:sz="4" w:space="0"/>
      </w:pBdr>
      <w:shd w:val="clear" w:color="auto" w:fill="969696"/>
      <w:spacing w:before="100" w:beforeAutospacing="1" w:after="100" w:afterAutospacing="1"/>
      <w:jc w:val="center"/>
    </w:pPr>
    <w:rPr>
      <w:rFonts w:ascii="宋体" w:hAnsi="宋体" w:cs="宋体"/>
      <w:b/>
      <w:bCs/>
      <w:sz w:val="20"/>
      <w:szCs w:val="20"/>
    </w:rPr>
  </w:style>
  <w:style w:type="paragraph" w:customStyle="1" w:styleId="192">
    <w:name w:val="Char Char1 Char"/>
    <w:basedOn w:val="1"/>
    <w:qFormat/>
    <w:uiPriority w:val="0"/>
    <w:pPr>
      <w:widowControl/>
      <w:spacing w:after="160" w:line="240" w:lineRule="exact"/>
      <w:jc w:val="left"/>
    </w:pPr>
    <w:rPr>
      <w:rFonts w:ascii="Verdana" w:hAnsi="Verdana"/>
      <w:sz w:val="20"/>
      <w:szCs w:val="20"/>
      <w:lang w:eastAsia="en-US"/>
    </w:rPr>
  </w:style>
  <w:style w:type="paragraph" w:customStyle="1" w:styleId="193">
    <w:name w:val="项目符号，一级"/>
    <w:basedOn w:val="145"/>
    <w:next w:val="145"/>
    <w:qFormat/>
    <w:uiPriority w:val="0"/>
    <w:pPr>
      <w:tabs>
        <w:tab w:val="left" w:pos="1320"/>
      </w:tabs>
      <w:spacing w:line="240" w:lineRule="atLeast"/>
      <w:ind w:left="376" w:firstLine="0"/>
    </w:pPr>
    <w:rPr>
      <w:bCs w:val="0"/>
      <w:color w:val="000000"/>
      <w:szCs w:val="24"/>
    </w:rPr>
  </w:style>
  <w:style w:type="paragraph" w:customStyle="1" w:styleId="194">
    <w:name w:val="xl60"/>
    <w:basedOn w:val="1"/>
    <w:qFormat/>
    <w:uiPriority w:val="0"/>
    <w:pPr>
      <w:widowControl/>
      <w:pBdr>
        <w:top w:val="single" w:color="auto" w:sz="4" w:space="0"/>
        <w:left w:val="single" w:color="auto" w:sz="4" w:space="0"/>
        <w:bottom w:val="single" w:color="auto" w:sz="4" w:space="0"/>
      </w:pBdr>
      <w:shd w:val="clear" w:color="auto" w:fill="969696"/>
      <w:spacing w:before="100" w:beforeAutospacing="1" w:after="100" w:afterAutospacing="1"/>
      <w:jc w:val="center"/>
    </w:pPr>
    <w:rPr>
      <w:b/>
      <w:bCs/>
      <w:i/>
      <w:iCs/>
      <w:sz w:val="20"/>
      <w:szCs w:val="20"/>
    </w:rPr>
  </w:style>
  <w:style w:type="paragraph" w:customStyle="1" w:styleId="195">
    <w:name w:val="标题3"/>
    <w:basedOn w:val="4"/>
    <w:qFormat/>
    <w:uiPriority w:val="0"/>
    <w:pPr>
      <w:keepNext w:val="0"/>
      <w:keepLines w:val="0"/>
      <w:spacing w:before="0" w:after="0" w:line="360" w:lineRule="auto"/>
    </w:pPr>
    <w:rPr>
      <w:rFonts w:eastAsia="仿宋_GB2312"/>
      <w:b w:val="0"/>
      <w:sz w:val="30"/>
    </w:rPr>
  </w:style>
  <w:style w:type="paragraph" w:customStyle="1" w:styleId="196">
    <w:name w:val="样式3"/>
    <w:basedOn w:val="1"/>
    <w:next w:val="1"/>
    <w:qFormat/>
    <w:uiPriority w:val="0"/>
    <w:pPr>
      <w:spacing w:line="360" w:lineRule="auto"/>
    </w:pPr>
    <w:rPr>
      <w:szCs w:val="20"/>
    </w:rPr>
  </w:style>
  <w:style w:type="paragraph" w:customStyle="1" w:styleId="197">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i/>
      <w:iCs/>
      <w:sz w:val="20"/>
      <w:szCs w:val="20"/>
    </w:rPr>
  </w:style>
  <w:style w:type="paragraph" w:customStyle="1" w:styleId="198">
    <w:name w:val="Char Char1 Char Char2 Char Char"/>
    <w:basedOn w:val="1"/>
    <w:qFormat/>
    <w:uiPriority w:val="0"/>
    <w:pPr>
      <w:widowControl/>
      <w:spacing w:after="160" w:line="240" w:lineRule="exact"/>
      <w:jc w:val="left"/>
    </w:pPr>
  </w:style>
  <w:style w:type="paragraph" w:customStyle="1" w:styleId="199">
    <w:name w:val="正文 + Arial Char"/>
    <w:basedOn w:val="1"/>
    <w:qFormat/>
    <w:uiPriority w:val="0"/>
    <w:pPr>
      <w:widowControl/>
      <w:tabs>
        <w:tab w:val="left" w:pos="315"/>
      </w:tabs>
      <w:spacing w:line="300" w:lineRule="auto"/>
      <w:ind w:left="315" w:hanging="315"/>
    </w:pPr>
    <w:rPr>
      <w:rFonts w:ascii="Arial" w:hAnsi="Arial" w:cs="Arial"/>
      <w:b/>
      <w:color w:val="000000"/>
      <w:szCs w:val="20"/>
    </w:rPr>
  </w:style>
  <w:style w:type="paragraph" w:customStyle="1" w:styleId="200">
    <w:name w:val="table_1stline"/>
    <w:basedOn w:val="1"/>
    <w:qFormat/>
    <w:uiPriority w:val="0"/>
    <w:pPr>
      <w:widowControl/>
      <w:spacing w:before="120"/>
      <w:jc w:val="left"/>
    </w:pPr>
    <w:rPr>
      <w:bCs/>
      <w:sz w:val="20"/>
      <w:szCs w:val="20"/>
      <w:lang w:val="de-DE" w:eastAsia="de-DE"/>
    </w:rPr>
  </w:style>
  <w:style w:type="paragraph" w:customStyle="1" w:styleId="201">
    <w:name w:val="tableau"/>
    <w:basedOn w:val="1"/>
    <w:qFormat/>
    <w:uiPriority w:val="0"/>
    <w:pPr>
      <w:widowControl/>
      <w:spacing w:before="20" w:after="20"/>
      <w:jc w:val="center"/>
    </w:pPr>
    <w:rPr>
      <w:rFonts w:ascii="Arial" w:hAnsi="Arial"/>
      <w:sz w:val="16"/>
      <w:szCs w:val="20"/>
      <w:lang w:val="en-GB" w:eastAsia="en-US"/>
    </w:rPr>
  </w:style>
  <w:style w:type="paragraph" w:customStyle="1" w:styleId="202">
    <w:name w:val="Char Char Char Char1"/>
    <w:basedOn w:val="15"/>
    <w:qFormat/>
    <w:uiPriority w:val="0"/>
    <w:pPr>
      <w:spacing w:line="360" w:lineRule="auto"/>
    </w:pPr>
    <w:rPr>
      <w:rFonts w:ascii="Tahoma" w:hAnsi="Tahoma"/>
    </w:rPr>
  </w:style>
  <w:style w:type="paragraph" w:customStyle="1" w:styleId="203">
    <w:name w:val="font9"/>
    <w:basedOn w:val="1"/>
    <w:qFormat/>
    <w:uiPriority w:val="0"/>
    <w:pPr>
      <w:widowControl/>
      <w:spacing w:before="100" w:beforeAutospacing="1" w:after="100" w:afterAutospacing="1"/>
      <w:jc w:val="left"/>
    </w:pPr>
    <w:rPr>
      <w:b/>
      <w:bCs/>
      <w:sz w:val="20"/>
      <w:szCs w:val="20"/>
    </w:rPr>
  </w:style>
  <w:style w:type="paragraph" w:customStyle="1" w:styleId="204">
    <w:name w:val="Char Char Char Char Char Char Char1 Char"/>
    <w:basedOn w:val="1"/>
    <w:qFormat/>
    <w:uiPriority w:val="0"/>
    <w:rPr>
      <w:rFonts w:ascii="Tahoma" w:hAnsi="Tahoma" w:cs="Tahoma"/>
      <w:sz w:val="24"/>
      <w:szCs w:val="20"/>
    </w:rPr>
  </w:style>
  <w:style w:type="paragraph" w:customStyle="1" w:styleId="205">
    <w:name w:val="插图"/>
    <w:basedOn w:val="1"/>
    <w:qFormat/>
    <w:uiPriority w:val="0"/>
    <w:pPr>
      <w:tabs>
        <w:tab w:val="left" w:pos="1620"/>
      </w:tabs>
      <w:jc w:val="center"/>
    </w:pPr>
    <w:rPr>
      <w:bCs/>
      <w:color w:val="000000"/>
      <w:szCs w:val="22"/>
    </w:rPr>
  </w:style>
  <w:style w:type="paragraph" w:customStyle="1" w:styleId="206">
    <w:name w:val="Char1"/>
    <w:basedOn w:val="1"/>
    <w:qFormat/>
    <w:uiPriority w:val="0"/>
    <w:rPr>
      <w:rFonts w:ascii="仿宋_GB2312" w:hAnsi="宋体" w:eastAsia="仿宋_GB2312" w:cs="宋体"/>
      <w:b/>
      <w:sz w:val="32"/>
      <w:szCs w:val="32"/>
    </w:rPr>
  </w:style>
  <w:style w:type="paragraph" w:customStyle="1" w:styleId="207">
    <w:name w:val="xl4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sz w:val="24"/>
    </w:rPr>
  </w:style>
  <w:style w:type="paragraph" w:customStyle="1" w:styleId="208">
    <w:name w:val="xl4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b/>
      <w:bCs/>
      <w:sz w:val="20"/>
      <w:szCs w:val="20"/>
    </w:rPr>
  </w:style>
  <w:style w:type="paragraph" w:customStyle="1" w:styleId="209">
    <w:name w:val="引用1"/>
    <w:basedOn w:val="1"/>
    <w:next w:val="1"/>
    <w:link w:val="210"/>
    <w:qFormat/>
    <w:uiPriority w:val="29"/>
    <w:pPr>
      <w:widowControl/>
      <w:spacing w:before="200" w:line="276" w:lineRule="auto"/>
      <w:ind w:left="360" w:right="360"/>
      <w:jc w:val="left"/>
    </w:pPr>
    <w:rPr>
      <w:rFonts w:ascii="Calibri" w:hAnsi="Calibri"/>
      <w:i/>
      <w:iCs/>
      <w:sz w:val="22"/>
      <w:szCs w:val="20"/>
      <w:lang w:eastAsia="en-US"/>
    </w:rPr>
  </w:style>
  <w:style w:type="character" w:customStyle="1" w:styleId="210">
    <w:name w:val="Quote Char"/>
    <w:link w:val="209"/>
    <w:qFormat/>
    <w:uiPriority w:val="29"/>
    <w:rPr>
      <w:rFonts w:ascii="Calibri" w:hAnsi="Calibri" w:eastAsia="宋体" w:cs="Times New Roman"/>
      <w:i/>
      <w:iCs/>
      <w:kern w:val="0"/>
      <w:sz w:val="22"/>
      <w:szCs w:val="20"/>
      <w:lang w:eastAsia="en-US"/>
    </w:rPr>
  </w:style>
  <w:style w:type="paragraph" w:customStyle="1" w:styleId="211">
    <w:name w:val="Char Char1 Char Char Char Char Char Char Char"/>
    <w:basedOn w:val="1"/>
    <w:qFormat/>
    <w:uiPriority w:val="0"/>
    <w:rPr>
      <w:rFonts w:ascii="Tahoma" w:hAnsi="Tahoma" w:cs="Tahoma"/>
      <w:sz w:val="24"/>
      <w:szCs w:val="20"/>
    </w:rPr>
  </w:style>
  <w:style w:type="paragraph" w:customStyle="1" w:styleId="212">
    <w:name w:val="列表内容"/>
    <w:basedOn w:val="1"/>
    <w:next w:val="1"/>
    <w:qFormat/>
    <w:uiPriority w:val="0"/>
    <w:pPr>
      <w:widowControl/>
      <w:tabs>
        <w:tab w:val="left" w:pos="840"/>
      </w:tabs>
      <w:ind w:left="840" w:hanging="420"/>
      <w:jc w:val="left"/>
    </w:pPr>
    <w:rPr>
      <w:sz w:val="18"/>
    </w:rPr>
  </w:style>
  <w:style w:type="paragraph" w:customStyle="1" w:styleId="213">
    <w:name w:val="Body Text(ch)"/>
    <w:basedOn w:val="1"/>
    <w:next w:val="19"/>
    <w:qFormat/>
    <w:uiPriority w:val="0"/>
    <w:pPr>
      <w:spacing w:after="120"/>
    </w:pPr>
    <w:rPr>
      <w:rFonts w:ascii="宋体" w:hAnsi="Arial"/>
      <w:bCs/>
      <w:iCs/>
    </w:rPr>
  </w:style>
  <w:style w:type="paragraph" w:customStyle="1" w:styleId="214">
    <w:name w:val="Body Text 211"/>
    <w:basedOn w:val="1"/>
    <w:qFormat/>
    <w:uiPriority w:val="0"/>
    <w:pPr>
      <w:widowControl/>
      <w:ind w:left="720" w:hanging="720"/>
    </w:pPr>
    <w:rPr>
      <w:sz w:val="24"/>
      <w:szCs w:val="20"/>
      <w:lang w:val="en-GB"/>
    </w:rPr>
  </w:style>
  <w:style w:type="paragraph" w:customStyle="1" w:styleId="215">
    <w:name w:val="font5"/>
    <w:basedOn w:val="1"/>
    <w:qFormat/>
    <w:uiPriority w:val="0"/>
    <w:pPr>
      <w:widowControl/>
      <w:spacing w:before="100" w:beforeAutospacing="1" w:after="100" w:afterAutospacing="1"/>
      <w:jc w:val="left"/>
    </w:pPr>
    <w:rPr>
      <w:rFonts w:ascii="宋体" w:hAnsi="宋体" w:cs="宋体"/>
      <w:sz w:val="18"/>
      <w:szCs w:val="18"/>
    </w:rPr>
  </w:style>
  <w:style w:type="paragraph" w:customStyle="1" w:styleId="216">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b/>
      <w:bCs/>
      <w:i/>
      <w:iCs/>
      <w:sz w:val="20"/>
      <w:szCs w:val="20"/>
    </w:rPr>
  </w:style>
  <w:style w:type="paragraph" w:customStyle="1" w:styleId="217">
    <w:name w:val="Body Text 21"/>
    <w:basedOn w:val="1"/>
    <w:qFormat/>
    <w:uiPriority w:val="0"/>
    <w:pPr>
      <w:widowControl/>
      <w:ind w:left="720" w:hanging="720"/>
    </w:pPr>
    <w:rPr>
      <w:sz w:val="24"/>
      <w:szCs w:val="20"/>
      <w:lang w:val="en-GB"/>
    </w:rPr>
  </w:style>
  <w:style w:type="paragraph" w:customStyle="1" w:styleId="218">
    <w:name w:val="列出段落1"/>
    <w:basedOn w:val="1"/>
    <w:qFormat/>
    <w:uiPriority w:val="34"/>
    <w:pPr>
      <w:ind w:firstLine="420"/>
    </w:pPr>
    <w:rPr>
      <w:rFonts w:ascii="Calibri" w:hAnsi="Calibri"/>
      <w:szCs w:val="22"/>
    </w:rPr>
  </w:style>
  <w:style w:type="paragraph" w:customStyle="1" w:styleId="219">
    <w:name w:val="华宇段落1 Char"/>
    <w:basedOn w:val="1"/>
    <w:qFormat/>
    <w:uiPriority w:val="0"/>
    <w:pPr>
      <w:spacing w:line="360" w:lineRule="auto"/>
      <w:ind w:firstLine="200"/>
    </w:pPr>
    <w:rPr>
      <w:bCs/>
      <w:sz w:val="24"/>
    </w:rPr>
  </w:style>
  <w:style w:type="paragraph" w:customStyle="1" w:styleId="220">
    <w:name w:val="正文 New"/>
    <w:qFormat/>
    <w:uiPriority w:val="0"/>
    <w:pPr>
      <w:widowControl w:val="0"/>
      <w:jc w:val="both"/>
    </w:pPr>
    <w:rPr>
      <w:rFonts w:ascii="Times New Roman" w:hAnsi="Times New Roman" w:eastAsia="宋体" w:cs="Times New Roman"/>
      <w:sz w:val="21"/>
      <w:lang w:val="en-US" w:eastAsia="zh-CN" w:bidi="ar-SA"/>
    </w:rPr>
  </w:style>
  <w:style w:type="paragraph" w:customStyle="1" w:styleId="221">
    <w:name w:val="马刚标题1"/>
    <w:basedOn w:val="2"/>
    <w:next w:val="1"/>
    <w:qFormat/>
    <w:uiPriority w:val="0"/>
    <w:pPr>
      <w:tabs>
        <w:tab w:val="left" w:pos="315"/>
        <w:tab w:val="left" w:pos="567"/>
      </w:tabs>
      <w:spacing w:before="400" w:after="120"/>
      <w:ind w:left="567" w:hanging="567"/>
      <w:jc w:val="left"/>
    </w:pPr>
    <w:rPr>
      <w:rFonts w:eastAsia="黑体"/>
      <w:b w:val="0"/>
      <w:bCs w:val="0"/>
      <w:sz w:val="32"/>
      <w:szCs w:val="20"/>
    </w:rPr>
  </w:style>
  <w:style w:type="paragraph" w:customStyle="1" w:styleId="222">
    <w:name w:val="Char Char Char Char Char"/>
    <w:basedOn w:val="1"/>
    <w:qFormat/>
    <w:uiPriority w:val="0"/>
    <w:rPr>
      <w:rFonts w:ascii="Tahoma" w:hAnsi="Tahoma"/>
      <w:sz w:val="24"/>
      <w:szCs w:val="20"/>
    </w:rPr>
  </w:style>
  <w:style w:type="paragraph" w:customStyle="1" w:styleId="223">
    <w:name w:val="明显引用1"/>
    <w:basedOn w:val="1"/>
    <w:next w:val="1"/>
    <w:link w:val="224"/>
    <w:qFormat/>
    <w:uiPriority w:val="30"/>
    <w:pPr>
      <w:widowControl/>
      <w:pBdr>
        <w:bottom w:val="single" w:color="auto" w:sz="4" w:space="1"/>
      </w:pBdr>
      <w:spacing w:before="200" w:after="280" w:line="276" w:lineRule="auto"/>
      <w:ind w:left="1008" w:right="1152"/>
    </w:pPr>
    <w:rPr>
      <w:rFonts w:ascii="Calibri" w:hAnsi="Calibri"/>
      <w:b/>
      <w:bCs/>
      <w:i/>
      <w:iCs/>
      <w:sz w:val="22"/>
      <w:szCs w:val="20"/>
      <w:lang w:eastAsia="en-US"/>
    </w:rPr>
  </w:style>
  <w:style w:type="character" w:customStyle="1" w:styleId="224">
    <w:name w:val="Intense Quote Char"/>
    <w:link w:val="223"/>
    <w:qFormat/>
    <w:uiPriority w:val="30"/>
    <w:rPr>
      <w:rFonts w:ascii="Calibri" w:hAnsi="Calibri" w:eastAsia="宋体" w:cs="Times New Roman"/>
      <w:b/>
      <w:bCs/>
      <w:i/>
      <w:iCs/>
      <w:kern w:val="0"/>
      <w:sz w:val="22"/>
      <w:szCs w:val="20"/>
      <w:lang w:eastAsia="en-US"/>
    </w:rPr>
  </w:style>
  <w:style w:type="paragraph" w:customStyle="1" w:styleId="225">
    <w:name w:val="xl5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b/>
      <w:bCs/>
      <w:i/>
      <w:iCs/>
      <w:sz w:val="20"/>
      <w:szCs w:val="20"/>
    </w:rPr>
  </w:style>
  <w:style w:type="paragraph" w:customStyle="1" w:styleId="226">
    <w:name w:val="样式4 Char"/>
    <w:basedOn w:val="1"/>
    <w:qFormat/>
    <w:uiPriority w:val="0"/>
    <w:pPr>
      <w:widowControl/>
      <w:spacing w:line="360" w:lineRule="auto"/>
      <w:ind w:firstLine="480"/>
      <w:jc w:val="left"/>
    </w:pPr>
    <w:rPr>
      <w:rFonts w:cs="宋体"/>
      <w:color w:val="000000"/>
      <w:sz w:val="24"/>
    </w:rPr>
  </w:style>
  <w:style w:type="paragraph" w:customStyle="1" w:styleId="227">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sz w:val="20"/>
      <w:szCs w:val="20"/>
    </w:rPr>
  </w:style>
  <w:style w:type="paragraph" w:customStyle="1" w:styleId="228">
    <w:name w:val="1"/>
    <w:basedOn w:val="1"/>
    <w:next w:val="40"/>
    <w:qFormat/>
    <w:uiPriority w:val="0"/>
    <w:pPr>
      <w:spacing w:line="360" w:lineRule="auto"/>
    </w:pPr>
    <w:rPr>
      <w:rFonts w:eastAsia="仿宋_GB2312"/>
      <w:sz w:val="24"/>
    </w:rPr>
  </w:style>
  <w:style w:type="paragraph" w:customStyle="1" w:styleId="229">
    <w:name w:val="小四 段落 宋体 Char Char Char"/>
    <w:basedOn w:val="13"/>
    <w:qFormat/>
    <w:uiPriority w:val="0"/>
    <w:pPr>
      <w:tabs>
        <w:tab w:val="clear" w:pos="2952"/>
      </w:tabs>
      <w:spacing w:line="360" w:lineRule="auto"/>
      <w:ind w:left="0" w:right="-33" w:firstLine="545"/>
      <w:jc w:val="left"/>
    </w:pPr>
    <w:rPr>
      <w:sz w:val="24"/>
    </w:rPr>
  </w:style>
  <w:style w:type="paragraph" w:customStyle="1" w:styleId="230">
    <w:name w:val="正文 首行缩进:  2 字符 Char Char"/>
    <w:basedOn w:val="1"/>
    <w:qFormat/>
    <w:uiPriority w:val="0"/>
    <w:pPr>
      <w:spacing w:line="360" w:lineRule="auto"/>
      <w:ind w:firstLine="480"/>
    </w:pPr>
    <w:rPr>
      <w:rFonts w:ascii="楷体_GB2312" w:eastAsia="楷体_GB2312"/>
      <w:bCs/>
      <w:sz w:val="24"/>
    </w:rPr>
  </w:style>
  <w:style w:type="paragraph" w:customStyle="1" w:styleId="231">
    <w:name w:val="xl5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b/>
      <w:bCs/>
      <w:sz w:val="20"/>
      <w:szCs w:val="20"/>
    </w:rPr>
  </w:style>
  <w:style w:type="paragraph" w:customStyle="1" w:styleId="232">
    <w:name w:val="Char Char Char Char Char Char Char Char Char Char Char Char Char"/>
    <w:basedOn w:val="1"/>
    <w:qFormat/>
    <w:uiPriority w:val="0"/>
    <w:pPr>
      <w:widowControl/>
      <w:spacing w:after="160" w:line="240" w:lineRule="exact"/>
      <w:jc w:val="left"/>
    </w:pPr>
  </w:style>
  <w:style w:type="paragraph" w:customStyle="1" w:styleId="233">
    <w:name w:val="列出段落2"/>
    <w:basedOn w:val="1"/>
    <w:qFormat/>
    <w:uiPriority w:val="0"/>
    <w:pPr>
      <w:widowControl/>
      <w:ind w:left="720"/>
      <w:jc w:val="left"/>
    </w:pPr>
    <w:rPr>
      <w:rFonts w:ascii="Arial" w:hAnsi="Arial" w:eastAsia="黑体" w:cs="Arial"/>
      <w:sz w:val="24"/>
      <w:lang w:eastAsia="en-US"/>
    </w:rPr>
  </w:style>
  <w:style w:type="paragraph" w:customStyle="1" w:styleId="234">
    <w:name w:val="符号与编号 Char"/>
    <w:basedOn w:val="1"/>
    <w:qFormat/>
    <w:uiPriority w:val="0"/>
    <w:pPr>
      <w:tabs>
        <w:tab w:val="left" w:pos="720"/>
      </w:tabs>
      <w:spacing w:line="400" w:lineRule="atLeast"/>
      <w:ind w:left="720"/>
    </w:pPr>
    <w:rPr>
      <w:sz w:val="24"/>
    </w:rPr>
  </w:style>
  <w:style w:type="paragraph" w:customStyle="1" w:styleId="235">
    <w:name w:val="正文--表格内正文"/>
    <w:basedOn w:val="1"/>
    <w:qFormat/>
    <w:uiPriority w:val="0"/>
    <w:pPr>
      <w:spacing w:line="240" w:lineRule="atLeast"/>
      <w:jc w:val="center"/>
    </w:pPr>
    <w:rPr>
      <w:rFonts w:ascii="宋体" w:hAnsi="宋体"/>
      <w:color w:val="000000"/>
      <w:sz w:val="24"/>
    </w:rPr>
  </w:style>
  <w:style w:type="paragraph" w:customStyle="1" w:styleId="236">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sz w:val="20"/>
      <w:szCs w:val="20"/>
    </w:rPr>
  </w:style>
  <w:style w:type="paragraph" w:customStyle="1" w:styleId="237">
    <w:name w:val="正文 居中"/>
    <w:basedOn w:val="1"/>
    <w:qFormat/>
    <w:uiPriority w:val="0"/>
    <w:pPr>
      <w:spacing w:line="360" w:lineRule="auto"/>
      <w:jc w:val="center"/>
    </w:pPr>
    <w:rPr>
      <w:sz w:val="24"/>
      <w:szCs w:val="20"/>
    </w:rPr>
  </w:style>
  <w:style w:type="paragraph" w:customStyle="1" w:styleId="238">
    <w:name w:val="一级标题"/>
    <w:basedOn w:val="1"/>
    <w:qFormat/>
    <w:uiPriority w:val="0"/>
    <w:pPr>
      <w:tabs>
        <w:tab w:val="left" w:pos="903"/>
      </w:tabs>
      <w:spacing w:line="360" w:lineRule="auto"/>
      <w:ind w:left="900" w:hanging="420"/>
    </w:pPr>
    <w:rPr>
      <w:rFonts w:ascii="Arial" w:hAnsi="Arial" w:cs="Arial"/>
      <w:sz w:val="24"/>
      <w:szCs w:val="20"/>
    </w:rPr>
  </w:style>
  <w:style w:type="paragraph" w:customStyle="1" w:styleId="239">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sz w:val="20"/>
      <w:szCs w:val="20"/>
    </w:rPr>
  </w:style>
  <w:style w:type="paragraph" w:customStyle="1" w:styleId="240">
    <w:name w:val="标题1，章节第一层"/>
    <w:basedOn w:val="145"/>
    <w:next w:val="145"/>
    <w:qFormat/>
    <w:uiPriority w:val="0"/>
    <w:pPr>
      <w:tabs>
        <w:tab w:val="left" w:pos="693"/>
      </w:tabs>
      <w:ind w:left="482"/>
      <w:outlineLvl w:val="0"/>
    </w:pPr>
    <w:rPr>
      <w:color w:val="000000"/>
      <w:sz w:val="24"/>
      <w:szCs w:val="24"/>
    </w:rPr>
  </w:style>
  <w:style w:type="paragraph" w:customStyle="1" w:styleId="241">
    <w:name w:val="小四 段落 宋体"/>
    <w:basedOn w:val="13"/>
    <w:qFormat/>
    <w:uiPriority w:val="0"/>
    <w:pPr>
      <w:tabs>
        <w:tab w:val="clear" w:pos="2952"/>
      </w:tabs>
      <w:spacing w:line="360" w:lineRule="auto"/>
      <w:ind w:left="113" w:right="113" w:firstLine="425"/>
      <w:jc w:val="left"/>
    </w:pPr>
    <w:rPr>
      <w:sz w:val="24"/>
    </w:rPr>
  </w:style>
  <w:style w:type="paragraph" w:customStyle="1" w:styleId="242">
    <w:name w:val="greytypebeni"/>
    <w:basedOn w:val="1"/>
    <w:qFormat/>
    <w:uiPriority w:val="0"/>
    <w:pPr>
      <w:widowControl/>
      <w:jc w:val="left"/>
    </w:pPr>
    <w:rPr>
      <w:rFonts w:ascii="宋体" w:hAnsi="宋体" w:cs="宋体"/>
      <w:sz w:val="24"/>
    </w:rPr>
  </w:style>
  <w:style w:type="paragraph" w:customStyle="1" w:styleId="243">
    <w:name w:val="Char Char Char Char Char Char Char Char Char Char Char"/>
    <w:basedOn w:val="1"/>
    <w:qFormat/>
    <w:uiPriority w:val="0"/>
    <w:rPr>
      <w:rFonts w:ascii="Tahoma" w:hAnsi="Tahoma"/>
      <w:sz w:val="24"/>
      <w:szCs w:val="20"/>
    </w:rPr>
  </w:style>
  <w:style w:type="paragraph" w:customStyle="1" w:styleId="244">
    <w:name w:val="List Paragraph1"/>
    <w:basedOn w:val="1"/>
    <w:qFormat/>
    <w:uiPriority w:val="0"/>
    <w:pPr>
      <w:widowControl/>
      <w:ind w:left="720"/>
      <w:jc w:val="left"/>
    </w:pPr>
    <w:rPr>
      <w:rFonts w:ascii="Arial" w:hAnsi="Arial" w:eastAsia="黑体"/>
      <w:sz w:val="24"/>
      <w:lang w:eastAsia="en-US"/>
    </w:rPr>
  </w:style>
  <w:style w:type="paragraph" w:customStyle="1" w:styleId="245">
    <w:name w:val="批注框文本1"/>
    <w:basedOn w:val="1"/>
    <w:qFormat/>
    <w:uiPriority w:val="0"/>
    <w:rPr>
      <w:sz w:val="18"/>
      <w:szCs w:val="18"/>
    </w:rPr>
  </w:style>
  <w:style w:type="paragraph" w:customStyle="1" w:styleId="246">
    <w:name w:val="Pa6"/>
    <w:basedOn w:val="1"/>
    <w:next w:val="1"/>
    <w:qFormat/>
    <w:uiPriority w:val="0"/>
    <w:pPr>
      <w:spacing w:line="241" w:lineRule="atLeast"/>
      <w:jc w:val="left"/>
    </w:pPr>
    <w:rPr>
      <w:rFonts w:ascii="汉仪大黑简" w:eastAsia="汉仪大黑简"/>
      <w:sz w:val="24"/>
    </w:rPr>
  </w:style>
  <w:style w:type="paragraph" w:customStyle="1" w:styleId="247">
    <w:name w:val="样式1"/>
    <w:basedOn w:val="1"/>
    <w:qFormat/>
    <w:uiPriority w:val="0"/>
    <w:pPr>
      <w:spacing w:line="300" w:lineRule="auto"/>
      <w:ind w:firstLine="480"/>
    </w:pPr>
    <w:rPr>
      <w:sz w:val="24"/>
    </w:rPr>
  </w:style>
  <w:style w:type="paragraph" w:customStyle="1" w:styleId="248">
    <w:name w:val="列出段落11"/>
    <w:basedOn w:val="1"/>
    <w:qFormat/>
    <w:uiPriority w:val="0"/>
    <w:pPr>
      <w:ind w:firstLine="200"/>
    </w:pPr>
    <w:rPr>
      <w:rFonts w:ascii="Calibri" w:hAnsi="Calibri" w:cs="宋体"/>
      <w:szCs w:val="22"/>
    </w:rPr>
  </w:style>
  <w:style w:type="paragraph" w:customStyle="1" w:styleId="249">
    <w:name w:val="样式 段后: 0.5 行 左  0.75 字符"/>
    <w:basedOn w:val="1"/>
    <w:qFormat/>
    <w:uiPriority w:val="0"/>
    <w:pPr>
      <w:widowControl/>
      <w:spacing w:line="360" w:lineRule="auto"/>
      <w:ind w:firstLine="420"/>
    </w:pPr>
    <w:rPr>
      <w:rFonts w:hAnsi="Arial" w:cs="Arial"/>
      <w:szCs w:val="21"/>
    </w:rPr>
  </w:style>
  <w:style w:type="paragraph" w:customStyle="1" w:styleId="250">
    <w:name w:val="Char Char Char Char Char Char Char1"/>
    <w:basedOn w:val="1"/>
    <w:qFormat/>
    <w:uiPriority w:val="0"/>
    <w:rPr>
      <w:rFonts w:ascii="Tahoma" w:hAnsi="Tahoma"/>
      <w:sz w:val="24"/>
      <w:szCs w:val="20"/>
    </w:rPr>
  </w:style>
  <w:style w:type="paragraph" w:customStyle="1" w:styleId="251">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b/>
      <w:bCs/>
      <w:i/>
      <w:iCs/>
      <w:sz w:val="20"/>
      <w:szCs w:val="20"/>
    </w:rPr>
  </w:style>
  <w:style w:type="paragraph" w:customStyle="1" w:styleId="252">
    <w:name w:val="表格"/>
    <w:basedOn w:val="1"/>
    <w:qFormat/>
    <w:uiPriority w:val="0"/>
    <w:pPr>
      <w:ind w:firstLine="21"/>
    </w:pPr>
    <w:rPr>
      <w:rFonts w:ascii="宋体" w:hAnsi="宋体" w:cs="宋体"/>
      <w:sz w:val="20"/>
      <w:szCs w:val="20"/>
    </w:rPr>
  </w:style>
  <w:style w:type="paragraph" w:customStyle="1" w:styleId="253">
    <w:name w:val="p0"/>
    <w:basedOn w:val="1"/>
    <w:qFormat/>
    <w:uiPriority w:val="0"/>
    <w:pPr>
      <w:widowControl/>
      <w:spacing w:before="100" w:beforeAutospacing="1" w:after="100" w:afterAutospacing="1"/>
      <w:jc w:val="left"/>
    </w:pPr>
    <w:rPr>
      <w:rFonts w:ascii="宋体" w:hAnsi="宋体" w:cs="宋体"/>
      <w:sz w:val="24"/>
    </w:rPr>
  </w:style>
  <w:style w:type="paragraph" w:customStyle="1" w:styleId="254">
    <w:name w:val="Char Char Char Char Char Char Char Char Char Char"/>
    <w:basedOn w:val="1"/>
    <w:qFormat/>
    <w:uiPriority w:val="0"/>
    <w:pPr>
      <w:spacing w:line="360" w:lineRule="auto"/>
    </w:pPr>
    <w:rPr>
      <w:sz w:val="24"/>
      <w:szCs w:val="20"/>
    </w:rPr>
  </w:style>
  <w:style w:type="paragraph" w:customStyle="1" w:styleId="255">
    <w:name w:val="Char"/>
    <w:basedOn w:val="1"/>
    <w:qFormat/>
    <w:uiPriority w:val="0"/>
    <w:pPr>
      <w:spacing w:line="360" w:lineRule="auto"/>
    </w:pPr>
    <w:rPr>
      <w:rFonts w:ascii="Tahoma" w:hAnsi="Tahoma"/>
      <w:sz w:val="24"/>
      <w:szCs w:val="20"/>
    </w:rPr>
  </w:style>
  <w:style w:type="paragraph" w:customStyle="1" w:styleId="256">
    <w:name w:val="Char Char Char Char"/>
    <w:basedOn w:val="15"/>
    <w:qFormat/>
    <w:uiPriority w:val="0"/>
    <w:pPr>
      <w:spacing w:line="360" w:lineRule="auto"/>
    </w:pPr>
    <w:rPr>
      <w:rFonts w:ascii="Tahoma" w:hAnsi="Tahoma"/>
    </w:rPr>
  </w:style>
  <w:style w:type="paragraph" w:customStyle="1" w:styleId="257">
    <w:name w:val="方案文档"/>
    <w:basedOn w:val="1"/>
    <w:qFormat/>
    <w:uiPriority w:val="0"/>
    <w:pPr>
      <w:spacing w:before="60" w:after="60" w:line="360" w:lineRule="auto"/>
      <w:jc w:val="center"/>
    </w:pPr>
    <w:rPr>
      <w:rFonts w:ascii="宋体" w:hAnsi="宋体"/>
      <w:sz w:val="24"/>
      <w:szCs w:val="20"/>
      <w:lang w:val="zh-CN"/>
    </w:rPr>
  </w:style>
  <w:style w:type="paragraph" w:customStyle="1" w:styleId="258">
    <w:name w:val="a"/>
    <w:basedOn w:val="1"/>
    <w:qFormat/>
    <w:uiPriority w:val="0"/>
    <w:pPr>
      <w:widowControl/>
      <w:spacing w:before="100" w:beforeAutospacing="1" w:after="100" w:afterAutospacing="1"/>
    </w:pPr>
    <w:rPr>
      <w:rFonts w:ascii="宋体" w:hAnsi="宋体" w:cs="宋体"/>
      <w:sz w:val="24"/>
    </w:rPr>
  </w:style>
  <w:style w:type="paragraph" w:customStyle="1" w:styleId="259">
    <w:name w:val="公文正文"/>
    <w:basedOn w:val="20"/>
    <w:qFormat/>
    <w:uiPriority w:val="0"/>
    <w:pPr>
      <w:spacing w:after="0"/>
      <w:ind w:left="0" w:firstLine="200"/>
    </w:pPr>
    <w:rPr>
      <w:rFonts w:ascii="仿宋_GB2312" w:hAnsi="宋体" w:eastAsia="仿宋_GB2312"/>
      <w:sz w:val="28"/>
    </w:rPr>
  </w:style>
  <w:style w:type="paragraph" w:customStyle="1" w:styleId="260">
    <w:name w:val="xl55"/>
    <w:basedOn w:val="1"/>
    <w:qFormat/>
    <w:uiPriority w:val="0"/>
    <w:pPr>
      <w:widowControl/>
      <w:pBdr>
        <w:top w:val="single" w:color="auto" w:sz="4" w:space="0"/>
        <w:bottom w:val="single" w:color="auto" w:sz="4" w:space="0"/>
      </w:pBdr>
      <w:shd w:val="clear" w:color="auto" w:fill="969696"/>
      <w:spacing w:before="100" w:beforeAutospacing="1" w:after="100" w:afterAutospacing="1"/>
      <w:jc w:val="center"/>
    </w:pPr>
    <w:rPr>
      <w:b/>
      <w:bCs/>
      <w:sz w:val="20"/>
      <w:szCs w:val="20"/>
    </w:rPr>
  </w:style>
  <w:style w:type="paragraph" w:customStyle="1" w:styleId="261">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b/>
      <w:bCs/>
      <w:i/>
      <w:iCs/>
      <w:sz w:val="20"/>
      <w:szCs w:val="20"/>
    </w:rPr>
  </w:style>
  <w:style w:type="paragraph" w:customStyle="1" w:styleId="262">
    <w:name w:val="Char11"/>
    <w:basedOn w:val="1"/>
    <w:qFormat/>
    <w:uiPriority w:val="0"/>
    <w:rPr>
      <w:rFonts w:ascii="仿宋_GB2312" w:eastAsia="仿宋_GB2312"/>
      <w:b/>
      <w:sz w:val="32"/>
      <w:szCs w:val="32"/>
    </w:rPr>
  </w:style>
  <w:style w:type="paragraph" w:customStyle="1" w:styleId="263">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sz w:val="20"/>
      <w:szCs w:val="20"/>
    </w:rPr>
  </w:style>
  <w:style w:type="paragraph" w:customStyle="1" w:styleId="264">
    <w:name w:val="表蕊"/>
    <w:basedOn w:val="1"/>
    <w:qFormat/>
    <w:uiPriority w:val="0"/>
    <w:pPr>
      <w:spacing w:line="320" w:lineRule="atLeast"/>
      <w:jc w:val="left"/>
    </w:pPr>
    <w:rPr>
      <w:rFonts w:eastAsia="楷体_GB2312"/>
      <w:spacing w:val="-10"/>
      <w:szCs w:val="20"/>
    </w:rPr>
  </w:style>
  <w:style w:type="paragraph" w:customStyle="1" w:styleId="265">
    <w:name w:val="xl49"/>
    <w:basedOn w:val="1"/>
    <w:qFormat/>
    <w:uiPriority w:val="0"/>
    <w:pPr>
      <w:widowControl/>
      <w:pBdr>
        <w:left w:val="single" w:color="auto" w:sz="4" w:space="0"/>
        <w:right w:val="single" w:color="auto" w:sz="4" w:space="0"/>
      </w:pBdr>
      <w:spacing w:before="100" w:beforeAutospacing="1" w:after="100" w:afterAutospacing="1"/>
      <w:jc w:val="center"/>
    </w:pPr>
    <w:rPr>
      <w:b/>
      <w:bCs/>
      <w:sz w:val="20"/>
      <w:szCs w:val="20"/>
    </w:rPr>
  </w:style>
  <w:style w:type="paragraph" w:customStyle="1" w:styleId="266">
    <w:name w:val="font7"/>
    <w:basedOn w:val="1"/>
    <w:qFormat/>
    <w:uiPriority w:val="0"/>
    <w:pPr>
      <w:widowControl/>
      <w:spacing w:before="100" w:beforeAutospacing="1" w:after="100" w:afterAutospacing="1"/>
      <w:jc w:val="left"/>
    </w:pPr>
    <w:rPr>
      <w:rFonts w:ascii="宋体" w:hAnsi="宋体"/>
      <w:b/>
      <w:bCs/>
      <w:sz w:val="24"/>
    </w:rPr>
  </w:style>
  <w:style w:type="paragraph" w:customStyle="1" w:styleId="267">
    <w:name w:val="文档正文"/>
    <w:basedOn w:val="1"/>
    <w:qFormat/>
    <w:uiPriority w:val="0"/>
    <w:pPr>
      <w:spacing w:line="360" w:lineRule="auto"/>
    </w:pPr>
    <w:rPr>
      <w:rFonts w:ascii="宋体" w:hAnsi="宋体"/>
      <w:b/>
      <w:bCs/>
    </w:rPr>
  </w:style>
  <w:style w:type="paragraph" w:customStyle="1" w:styleId="268">
    <w:name w:val="段 Char"/>
    <w:qFormat/>
    <w:uiPriority w:val="0"/>
    <w:pPr>
      <w:ind w:firstLine="200"/>
      <w:jc w:val="both"/>
    </w:pPr>
    <w:rPr>
      <w:rFonts w:ascii="宋体" w:hAnsi="Times New Roman" w:eastAsia="宋体" w:cs="Times New Roman"/>
      <w:sz w:val="21"/>
      <w:lang w:val="en-US" w:eastAsia="zh-CN" w:bidi="ar-SA"/>
    </w:rPr>
  </w:style>
  <w:style w:type="paragraph" w:customStyle="1" w:styleId="269">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sz w:val="20"/>
      <w:szCs w:val="20"/>
    </w:rPr>
  </w:style>
  <w:style w:type="paragraph" w:customStyle="1" w:styleId="270">
    <w:name w:val="公文标题 2"/>
    <w:basedOn w:val="1"/>
    <w:next w:val="259"/>
    <w:qFormat/>
    <w:uiPriority w:val="0"/>
    <w:pPr>
      <w:outlineLvl w:val="1"/>
    </w:pPr>
    <w:rPr>
      <w:rFonts w:ascii="仿宋_GB2312" w:hAnsi="宋体" w:eastAsia="仿宋_GB2312"/>
      <w:sz w:val="28"/>
    </w:rPr>
  </w:style>
  <w:style w:type="paragraph" w:customStyle="1" w:styleId="271">
    <w:name w:val="标题4，章节第四层"/>
    <w:basedOn w:val="1"/>
    <w:next w:val="1"/>
    <w:qFormat/>
    <w:uiPriority w:val="0"/>
    <w:pPr>
      <w:tabs>
        <w:tab w:val="left" w:pos="0"/>
      </w:tabs>
      <w:spacing w:line="360" w:lineRule="auto"/>
      <w:outlineLvl w:val="3"/>
    </w:pPr>
    <w:rPr>
      <w:rFonts w:ascii="宋体" w:hAnsi="宋体"/>
      <w:b/>
      <w:sz w:val="24"/>
    </w:rPr>
  </w:style>
  <w:style w:type="paragraph" w:customStyle="1" w:styleId="272">
    <w:name w:val="Char Char Char1"/>
    <w:basedOn w:val="15"/>
    <w:qFormat/>
    <w:uiPriority w:val="0"/>
    <w:pPr>
      <w:spacing w:line="436" w:lineRule="exact"/>
    </w:pPr>
  </w:style>
  <w:style w:type="paragraph" w:customStyle="1" w:styleId="273">
    <w:name w:val="Normal Indent1"/>
    <w:basedOn w:val="1"/>
    <w:qFormat/>
    <w:uiPriority w:val="0"/>
    <w:pPr>
      <w:ind w:firstLine="420"/>
    </w:pPr>
    <w:rPr>
      <w:sz w:val="20"/>
      <w:szCs w:val="20"/>
    </w:rPr>
  </w:style>
  <w:style w:type="paragraph" w:customStyle="1" w:styleId="274">
    <w:name w:val="正文 首行缩进:  2 字符 Char"/>
    <w:basedOn w:val="1"/>
    <w:qFormat/>
    <w:uiPriority w:val="0"/>
    <w:pPr>
      <w:spacing w:line="360" w:lineRule="auto"/>
      <w:ind w:firstLine="480"/>
    </w:pPr>
    <w:rPr>
      <w:rFonts w:cs="宋体"/>
      <w:sz w:val="24"/>
      <w:szCs w:val="20"/>
    </w:rPr>
  </w:style>
  <w:style w:type="paragraph" w:customStyle="1" w:styleId="275">
    <w:name w:val="font12"/>
    <w:basedOn w:val="1"/>
    <w:qFormat/>
    <w:uiPriority w:val="0"/>
    <w:pPr>
      <w:widowControl/>
      <w:spacing w:before="100" w:beforeAutospacing="1" w:after="100" w:afterAutospacing="1"/>
      <w:jc w:val="left"/>
    </w:pPr>
    <w:rPr>
      <w:rFonts w:ascii="宋体" w:hAnsi="宋体" w:cs="宋体"/>
      <w:sz w:val="36"/>
      <w:szCs w:val="36"/>
    </w:rPr>
  </w:style>
  <w:style w:type="paragraph" w:customStyle="1" w:styleId="276">
    <w:name w:val="Char Char"/>
    <w:basedOn w:val="1"/>
    <w:qFormat/>
    <w:uiPriority w:val="0"/>
    <w:rPr>
      <w:rFonts w:ascii="Tahoma" w:hAnsi="Tahoma"/>
      <w:sz w:val="24"/>
      <w:szCs w:val="20"/>
    </w:rPr>
  </w:style>
  <w:style w:type="paragraph" w:customStyle="1" w:styleId="277">
    <w:name w:val="表头_5"/>
    <w:basedOn w:val="1"/>
    <w:qFormat/>
    <w:uiPriority w:val="0"/>
    <w:pPr>
      <w:spacing w:line="360" w:lineRule="auto"/>
    </w:pPr>
    <w:rPr>
      <w:b/>
      <w:bCs/>
      <w:sz w:val="28"/>
      <w:szCs w:val="21"/>
    </w:rPr>
  </w:style>
  <w:style w:type="paragraph" w:customStyle="1" w:styleId="278">
    <w:name w:val="Char Char110"/>
    <w:basedOn w:val="1"/>
    <w:qFormat/>
    <w:uiPriority w:val="0"/>
    <w:rPr>
      <w:rFonts w:ascii="Tahoma" w:hAnsi="Tahoma" w:cs="Tahoma"/>
      <w:sz w:val="24"/>
      <w:szCs w:val="20"/>
    </w:rPr>
  </w:style>
  <w:style w:type="paragraph" w:customStyle="1" w:styleId="279">
    <w:name w:val="标题 4宋体"/>
    <w:basedOn w:val="5"/>
    <w:qFormat/>
    <w:uiPriority w:val="0"/>
    <w:pPr>
      <w:keepLines w:val="0"/>
      <w:spacing w:before="0" w:after="0" w:line="360" w:lineRule="auto"/>
      <w:jc w:val="left"/>
    </w:pPr>
    <w:rPr>
      <w:rFonts w:ascii="宋体" w:hAnsi="宋体" w:eastAsia="宋体"/>
      <w:bCs/>
      <w:color w:val="000000"/>
      <w:sz w:val="24"/>
    </w:rPr>
  </w:style>
  <w:style w:type="paragraph" w:customStyle="1" w:styleId="280">
    <w:name w:val="zw"/>
    <w:basedOn w:val="1"/>
    <w:qFormat/>
    <w:uiPriority w:val="0"/>
    <w:pPr>
      <w:widowControl/>
      <w:spacing w:line="360" w:lineRule="auto"/>
      <w:ind w:firstLine="480"/>
      <w:jc w:val="left"/>
    </w:pPr>
    <w:rPr>
      <w:rFonts w:ascii="宋体" w:hAnsi="宋体"/>
      <w:bCs/>
      <w:sz w:val="24"/>
      <w:szCs w:val="20"/>
    </w:rPr>
  </w:style>
  <w:style w:type="paragraph" w:customStyle="1" w:styleId="281">
    <w:name w:val="Char2 Char Char Char Char Char Char1"/>
    <w:basedOn w:val="1"/>
    <w:qFormat/>
    <w:uiPriority w:val="0"/>
    <w:pPr>
      <w:keepNext/>
      <w:widowControl/>
      <w:tabs>
        <w:tab w:val="left" w:pos="425"/>
      </w:tabs>
      <w:spacing w:before="80" w:after="80"/>
      <w:ind w:hanging="425"/>
    </w:pPr>
    <w:rPr>
      <w:rFonts w:ascii="Arial" w:hAnsi="Arial" w:cs="Arial"/>
      <w:sz w:val="20"/>
      <w:szCs w:val="20"/>
    </w:rPr>
  </w:style>
  <w:style w:type="paragraph" w:customStyle="1" w:styleId="282">
    <w:name w:val="条1"/>
    <w:basedOn w:val="1"/>
    <w:qFormat/>
    <w:uiPriority w:val="0"/>
    <w:pPr>
      <w:tabs>
        <w:tab w:val="left" w:pos="780"/>
      </w:tabs>
      <w:spacing w:before="156" w:line="360" w:lineRule="auto"/>
      <w:ind w:left="780" w:hanging="360"/>
    </w:pPr>
    <w:rPr>
      <w:rFonts w:eastAsia="黑体"/>
      <w:sz w:val="24"/>
      <w:szCs w:val="20"/>
    </w:rPr>
  </w:style>
  <w:style w:type="paragraph" w:customStyle="1" w:styleId="283">
    <w:name w:val="Char Char Char Char Char Char Char Char Char Char Char1"/>
    <w:basedOn w:val="1"/>
    <w:qFormat/>
    <w:uiPriority w:val="0"/>
    <w:rPr>
      <w:rFonts w:ascii="Tahoma" w:hAnsi="Tahoma" w:cs="Tahoma"/>
      <w:sz w:val="24"/>
      <w:szCs w:val="20"/>
    </w:rPr>
  </w:style>
  <w:style w:type="paragraph" w:customStyle="1" w:styleId="284">
    <w:name w:val="丁华标题2"/>
    <w:basedOn w:val="3"/>
    <w:next w:val="285"/>
    <w:qFormat/>
    <w:uiPriority w:val="0"/>
    <w:pPr>
      <w:tabs>
        <w:tab w:val="left" w:pos="567"/>
      </w:tabs>
      <w:spacing w:before="120" w:after="120"/>
      <w:ind w:left="567" w:hanging="567"/>
      <w:jc w:val="left"/>
    </w:pPr>
    <w:rPr>
      <w:color w:val="000000"/>
      <w:sz w:val="28"/>
      <w:szCs w:val="20"/>
    </w:rPr>
  </w:style>
  <w:style w:type="paragraph" w:customStyle="1" w:styleId="285">
    <w:name w:val="丁华正文"/>
    <w:basedOn w:val="39"/>
    <w:qFormat/>
    <w:uiPriority w:val="0"/>
    <w:pPr>
      <w:spacing w:before="0" w:after="0" w:line="360" w:lineRule="auto"/>
      <w:ind w:left="0" w:firstLine="510"/>
    </w:pPr>
    <w:rPr>
      <w:rFonts w:ascii="宋体" w:hAnsi="Arial"/>
      <w:bCs w:val="0"/>
      <w:color w:val="000000"/>
      <w:szCs w:val="16"/>
    </w:rPr>
  </w:style>
  <w:style w:type="paragraph" w:customStyle="1" w:styleId="286">
    <w:name w:val="4"/>
    <w:basedOn w:val="1"/>
    <w:next w:val="39"/>
    <w:qFormat/>
    <w:uiPriority w:val="0"/>
    <w:pPr>
      <w:spacing w:line="360" w:lineRule="auto"/>
      <w:ind w:firstLine="420"/>
    </w:pPr>
    <w:rPr>
      <w:color w:val="FF0000"/>
      <w:sz w:val="24"/>
    </w:rPr>
  </w:style>
  <w:style w:type="paragraph" w:customStyle="1" w:styleId="287">
    <w:name w:val="正文 New New New New New"/>
    <w:qFormat/>
    <w:uiPriority w:val="0"/>
    <w:pPr>
      <w:widowControl w:val="0"/>
      <w:jc w:val="both"/>
    </w:pPr>
    <w:rPr>
      <w:rFonts w:ascii="Times New Roman" w:hAnsi="Times New Roman" w:eastAsia="宋体" w:cs="Times New Roman"/>
      <w:sz w:val="21"/>
      <w:szCs w:val="24"/>
      <w:lang w:val="en-US" w:eastAsia="zh-CN" w:bidi="ar-SA"/>
    </w:rPr>
  </w:style>
  <w:style w:type="paragraph" w:customStyle="1" w:styleId="288">
    <w:name w:val="大标题"/>
    <w:basedOn w:val="1"/>
    <w:next w:val="1"/>
    <w:qFormat/>
    <w:uiPriority w:val="0"/>
    <w:pPr>
      <w:pageBreakBefore/>
      <w:tabs>
        <w:tab w:val="left" w:pos="420"/>
      </w:tabs>
      <w:spacing w:line="360" w:lineRule="auto"/>
      <w:ind w:hanging="420"/>
      <w:outlineLvl w:val="0"/>
    </w:pPr>
    <w:rPr>
      <w:b/>
      <w:iCs/>
      <w:sz w:val="44"/>
    </w:rPr>
  </w:style>
  <w:style w:type="paragraph" w:customStyle="1" w:styleId="289">
    <w:name w:val="Char Char Char Char Char Char Char"/>
    <w:basedOn w:val="1"/>
    <w:qFormat/>
    <w:uiPriority w:val="0"/>
    <w:pPr>
      <w:jc w:val="left"/>
    </w:pPr>
    <w:rPr>
      <w:rFonts w:ascii="Tahoma" w:hAnsi="Tahoma"/>
      <w:sz w:val="24"/>
      <w:szCs w:val="20"/>
    </w:rPr>
  </w:style>
  <w:style w:type="paragraph" w:customStyle="1" w:styleId="290">
    <w:name w:val="xl61"/>
    <w:basedOn w:val="1"/>
    <w:qFormat/>
    <w:uiPriority w:val="0"/>
    <w:pPr>
      <w:widowControl/>
      <w:pBdr>
        <w:top w:val="single" w:color="auto" w:sz="4" w:space="0"/>
        <w:bottom w:val="single" w:color="auto" w:sz="4" w:space="0"/>
      </w:pBdr>
      <w:shd w:val="clear" w:color="auto" w:fill="969696"/>
      <w:spacing w:before="100" w:beforeAutospacing="1" w:after="100" w:afterAutospacing="1"/>
      <w:jc w:val="center"/>
    </w:pPr>
    <w:rPr>
      <w:b/>
      <w:bCs/>
      <w:i/>
      <w:iCs/>
      <w:sz w:val="20"/>
      <w:szCs w:val="20"/>
    </w:rPr>
  </w:style>
  <w:style w:type="paragraph" w:customStyle="1" w:styleId="291">
    <w:name w:val="xl4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sz w:val="24"/>
    </w:rPr>
  </w:style>
  <w:style w:type="paragraph" w:customStyle="1" w:styleId="292">
    <w:name w:val="xl51"/>
    <w:basedOn w:val="1"/>
    <w:qFormat/>
    <w:uiPriority w:val="0"/>
    <w:pPr>
      <w:widowControl/>
      <w:pBdr>
        <w:top w:val="single" w:color="auto" w:sz="4" w:space="0"/>
        <w:left w:val="single" w:color="auto" w:sz="4" w:space="0"/>
        <w:bottom w:val="single" w:color="auto" w:sz="4" w:space="0"/>
      </w:pBdr>
      <w:shd w:val="clear" w:color="auto" w:fill="969696"/>
      <w:spacing w:before="100" w:beforeAutospacing="1" w:after="100" w:afterAutospacing="1"/>
      <w:jc w:val="center"/>
    </w:pPr>
    <w:rPr>
      <w:b/>
      <w:bCs/>
      <w:i/>
      <w:iCs/>
      <w:sz w:val="20"/>
      <w:szCs w:val="20"/>
    </w:rPr>
  </w:style>
  <w:style w:type="paragraph" w:customStyle="1" w:styleId="293">
    <w:name w:val="Char Char Char Char Char Char Char Char Char Char Char Char Char Char"/>
    <w:basedOn w:val="1"/>
    <w:qFormat/>
    <w:uiPriority w:val="0"/>
    <w:rPr>
      <w:rFonts w:ascii="Tahoma" w:hAnsi="Tahoma"/>
      <w:sz w:val="24"/>
      <w:szCs w:val="20"/>
    </w:rPr>
  </w:style>
  <w:style w:type="paragraph" w:customStyle="1" w:styleId="294">
    <w:name w:val="xl4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sz w:val="20"/>
      <w:szCs w:val="20"/>
    </w:rPr>
  </w:style>
  <w:style w:type="paragraph" w:customStyle="1" w:styleId="295">
    <w:name w:val="符号与编号 Char Char"/>
    <w:basedOn w:val="1"/>
    <w:qFormat/>
    <w:uiPriority w:val="0"/>
    <w:pPr>
      <w:tabs>
        <w:tab w:val="left" w:pos="840"/>
      </w:tabs>
      <w:spacing w:line="400" w:lineRule="atLeast"/>
      <w:ind w:left="839" w:hanging="419"/>
    </w:pPr>
    <w:rPr>
      <w:sz w:val="24"/>
    </w:rPr>
  </w:style>
  <w:style w:type="paragraph" w:customStyle="1" w:styleId="296">
    <w:name w:val="默认段落字体 Para Char Char Char Char Char Char Char Char Char1 Char Char Char Char Char Char Char"/>
    <w:basedOn w:val="15"/>
    <w:qFormat/>
    <w:uiPriority w:val="0"/>
    <w:rPr>
      <w:szCs w:val="20"/>
    </w:rPr>
  </w:style>
  <w:style w:type="paragraph" w:customStyle="1" w:styleId="297">
    <w:name w:val="普通正文"/>
    <w:basedOn w:val="1"/>
    <w:qFormat/>
    <w:uiPriority w:val="0"/>
    <w:pPr>
      <w:spacing w:before="120" w:after="120" w:line="360" w:lineRule="auto"/>
      <w:ind w:firstLine="480"/>
      <w:jc w:val="left"/>
    </w:pPr>
    <w:rPr>
      <w:rFonts w:ascii="Arial" w:hAnsi="Arial"/>
      <w:sz w:val="24"/>
    </w:rPr>
  </w:style>
  <w:style w:type="paragraph" w:customStyle="1" w:styleId="298">
    <w:name w:val="表格内容"/>
    <w:basedOn w:val="1"/>
    <w:qFormat/>
    <w:uiPriority w:val="0"/>
    <w:pPr>
      <w:widowControl/>
      <w:spacing w:before="60" w:line="300" w:lineRule="auto"/>
      <w:jc w:val="center"/>
    </w:pPr>
    <w:rPr>
      <w:szCs w:val="20"/>
    </w:rPr>
  </w:style>
  <w:style w:type="paragraph" w:customStyle="1" w:styleId="299">
    <w:name w:val="正文文本 New New"/>
    <w:basedOn w:val="1"/>
    <w:qFormat/>
    <w:uiPriority w:val="0"/>
    <w:pPr>
      <w:widowControl/>
      <w:spacing w:before="60" w:after="60" w:line="360" w:lineRule="auto"/>
      <w:ind w:firstLine="200"/>
    </w:pPr>
    <w:rPr>
      <w:rFonts w:eastAsia="华文楷体"/>
      <w:sz w:val="24"/>
    </w:rPr>
  </w:style>
  <w:style w:type="paragraph" w:customStyle="1" w:styleId="300">
    <w:name w:val="font8"/>
    <w:basedOn w:val="1"/>
    <w:qFormat/>
    <w:uiPriority w:val="0"/>
    <w:pPr>
      <w:widowControl/>
      <w:spacing w:before="100" w:beforeAutospacing="1" w:after="100" w:afterAutospacing="1"/>
      <w:jc w:val="left"/>
    </w:pPr>
    <w:rPr>
      <w:rFonts w:ascii="宋体" w:hAnsi="宋体" w:cs="宋体"/>
      <w:b/>
      <w:bCs/>
      <w:i/>
      <w:iCs/>
      <w:sz w:val="20"/>
      <w:szCs w:val="20"/>
    </w:rPr>
  </w:style>
  <w:style w:type="paragraph" w:customStyle="1" w:styleId="301">
    <w:name w:val="Char Char Char Char Char Char Char Char Char Char Char1 Char Char Char1"/>
    <w:basedOn w:val="1"/>
    <w:qFormat/>
    <w:uiPriority w:val="0"/>
    <w:pPr>
      <w:ind w:firstLine="200"/>
      <w:jc w:val="left"/>
    </w:pPr>
    <w:rPr>
      <w:rFonts w:ascii="Tahoma" w:hAnsi="Tahoma"/>
      <w:sz w:val="24"/>
    </w:rPr>
  </w:style>
  <w:style w:type="paragraph" w:customStyle="1" w:styleId="302">
    <w:name w:val="xl25"/>
    <w:basedOn w:val="1"/>
    <w:qFormat/>
    <w:uiPriority w:val="0"/>
    <w:pPr>
      <w:widowControl/>
      <w:pBdr>
        <w:right w:val="single" w:color="auto" w:sz="4" w:space="0"/>
      </w:pBdr>
      <w:spacing w:before="100" w:beforeAutospacing="1" w:after="100" w:afterAutospacing="1"/>
      <w:jc w:val="center"/>
    </w:pPr>
    <w:rPr>
      <w:szCs w:val="21"/>
    </w:rPr>
  </w:style>
  <w:style w:type="paragraph" w:customStyle="1" w:styleId="303">
    <w:name w:val="标准小四"/>
    <w:basedOn w:val="1"/>
    <w:qFormat/>
    <w:uiPriority w:val="0"/>
    <w:pPr>
      <w:spacing w:line="360" w:lineRule="auto"/>
      <w:ind w:firstLine="480"/>
    </w:pPr>
    <w:rPr>
      <w:rFonts w:ascii="Arial" w:hAnsi="Arial"/>
      <w:sz w:val="24"/>
      <w:szCs w:val="21"/>
    </w:rPr>
  </w:style>
  <w:style w:type="paragraph" w:customStyle="1" w:styleId="304">
    <w:name w:val="附录1"/>
    <w:qFormat/>
    <w:uiPriority w:val="0"/>
    <w:pPr>
      <w:tabs>
        <w:tab w:val="left" w:pos="907"/>
      </w:tabs>
      <w:spacing w:before="240" w:line="600" w:lineRule="atLeast"/>
      <w:ind w:left="902" w:hanging="420"/>
    </w:pPr>
    <w:rPr>
      <w:rFonts w:ascii="Times New Roman" w:hAnsi="Times New Roman" w:eastAsia="宋体" w:cs="Times New Roman"/>
      <w:b/>
      <w:i/>
      <w:sz w:val="28"/>
      <w:lang w:val="en-US" w:eastAsia="zh-CN" w:bidi="ar-SA"/>
    </w:rPr>
  </w:style>
  <w:style w:type="paragraph" w:customStyle="1" w:styleId="305">
    <w:name w:val="标题3，章节第三层"/>
    <w:basedOn w:val="1"/>
    <w:next w:val="145"/>
    <w:qFormat/>
    <w:uiPriority w:val="0"/>
    <w:pPr>
      <w:spacing w:before="78" w:line="300" w:lineRule="auto"/>
      <w:outlineLvl w:val="2"/>
    </w:pPr>
    <w:rPr>
      <w:rFonts w:ascii="Arial" w:hAnsi="Arial" w:eastAsia="华文细黑"/>
      <w:sz w:val="30"/>
    </w:rPr>
  </w:style>
  <w:style w:type="paragraph" w:customStyle="1" w:styleId="306">
    <w:name w:val="7"/>
    <w:basedOn w:val="1"/>
    <w:next w:val="42"/>
    <w:qFormat/>
    <w:uiPriority w:val="0"/>
    <w:pPr>
      <w:widowControl/>
      <w:spacing w:before="100" w:beforeAutospacing="1" w:after="100" w:afterAutospacing="1"/>
      <w:jc w:val="left"/>
    </w:pPr>
    <w:rPr>
      <w:rFonts w:ascii="宋体" w:hAnsi="宋体"/>
      <w:sz w:val="24"/>
      <w:szCs w:val="20"/>
    </w:rPr>
  </w:style>
  <w:style w:type="paragraph" w:customStyle="1" w:styleId="307">
    <w:name w:val="xl5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b/>
      <w:bCs/>
      <w:i/>
      <w:iCs/>
      <w:sz w:val="20"/>
      <w:szCs w:val="20"/>
    </w:rPr>
  </w:style>
  <w:style w:type="paragraph" w:customStyle="1" w:styleId="308">
    <w:name w:val="无间隔1"/>
    <w:qFormat/>
    <w:uiPriority w:val="1"/>
    <w:pPr>
      <w:widowControl w:val="0"/>
      <w:jc w:val="both"/>
    </w:pPr>
    <w:rPr>
      <w:rFonts w:ascii="Times New Roman" w:hAnsi="Times New Roman" w:eastAsia="微软雅黑" w:cs="Times New Roman"/>
      <w:sz w:val="24"/>
      <w:szCs w:val="22"/>
      <w:lang w:val="en-US" w:eastAsia="zh-CN" w:bidi="ar-SA"/>
    </w:rPr>
  </w:style>
  <w:style w:type="paragraph" w:customStyle="1" w:styleId="309">
    <w:name w:val="Char Char Char Char Char Char Char Char Char Char Char Char Char Char Char Char Char Char Char Char Char"/>
    <w:basedOn w:val="1"/>
    <w:qFormat/>
    <w:uiPriority w:val="0"/>
    <w:rPr>
      <w:rFonts w:ascii="Tahoma" w:hAnsi="Tahoma" w:cs="Tahoma"/>
      <w:sz w:val="24"/>
      <w:szCs w:val="20"/>
    </w:rPr>
  </w:style>
  <w:style w:type="paragraph" w:customStyle="1" w:styleId="310">
    <w:name w:val="Char Char Char Char Char Char Char Char1"/>
    <w:basedOn w:val="1"/>
    <w:qFormat/>
    <w:uiPriority w:val="0"/>
    <w:pPr>
      <w:widowControl/>
      <w:spacing w:after="160" w:line="240" w:lineRule="exact"/>
      <w:jc w:val="left"/>
    </w:pPr>
    <w:rPr>
      <w:rFonts w:ascii="Verdana" w:hAnsi="Verdana"/>
      <w:sz w:val="20"/>
      <w:szCs w:val="20"/>
      <w:lang w:eastAsia="en-US"/>
    </w:rPr>
  </w:style>
  <w:style w:type="paragraph" w:customStyle="1" w:styleId="311">
    <w:name w:val="Char Char Char Char Char Char Char Char Char Char Char Char Char Char Char Char Char Char Char Char Char Char Char"/>
    <w:basedOn w:val="1"/>
    <w:qFormat/>
    <w:uiPriority w:val="0"/>
    <w:rPr>
      <w:rFonts w:ascii="Tahoma" w:hAnsi="Tahoma"/>
      <w:sz w:val="24"/>
      <w:szCs w:val="20"/>
    </w:rPr>
  </w:style>
  <w:style w:type="paragraph" w:customStyle="1" w:styleId="312">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sz w:val="20"/>
      <w:szCs w:val="20"/>
    </w:rPr>
  </w:style>
  <w:style w:type="paragraph" w:customStyle="1" w:styleId="313">
    <w:name w:val="Default"/>
    <w:qFormat/>
    <w:uiPriority w:val="0"/>
    <w:pPr>
      <w:widowControl w:val="0"/>
    </w:pPr>
    <w:rPr>
      <w:rFonts w:ascii="宋体" w:hAnsi="Times New Roman" w:eastAsia="宋体" w:cs="宋体"/>
      <w:color w:val="000000"/>
      <w:sz w:val="24"/>
      <w:szCs w:val="24"/>
      <w:lang w:val="en-US" w:eastAsia="zh-CN" w:bidi="ar-SA"/>
    </w:rPr>
  </w:style>
  <w:style w:type="paragraph" w:customStyle="1" w:styleId="314">
    <w:name w:val="Char Char Char Char Char Char Char Char Char"/>
    <w:basedOn w:val="1"/>
    <w:qFormat/>
    <w:uiPriority w:val="0"/>
    <w:pPr>
      <w:tabs>
        <w:tab w:val="left" w:pos="360"/>
      </w:tabs>
      <w:ind w:left="200" w:hanging="200"/>
    </w:pPr>
    <w:rPr>
      <w:sz w:val="24"/>
    </w:rPr>
  </w:style>
  <w:style w:type="paragraph" w:customStyle="1" w:styleId="315">
    <w:name w:val="批注主题1"/>
    <w:basedOn w:val="16"/>
    <w:next w:val="16"/>
    <w:qFormat/>
    <w:uiPriority w:val="0"/>
    <w:rPr>
      <w:b/>
      <w:bCs/>
    </w:rPr>
  </w:style>
  <w:style w:type="paragraph" w:customStyle="1" w:styleId="316">
    <w:name w:val="Char Char1 Char Char Char Char"/>
    <w:basedOn w:val="15"/>
    <w:qFormat/>
    <w:uiPriority w:val="0"/>
    <w:pPr>
      <w:spacing w:line="436" w:lineRule="exact"/>
      <w:ind w:left="357"/>
      <w:jc w:val="left"/>
      <w:outlineLvl w:val="3"/>
    </w:pPr>
    <w:rPr>
      <w:rFonts w:ascii="Tahoma" w:hAnsi="Tahoma" w:cs="Tahoma"/>
      <w:b/>
    </w:rPr>
  </w:style>
  <w:style w:type="paragraph" w:customStyle="1" w:styleId="317">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sz w:val="20"/>
      <w:szCs w:val="20"/>
    </w:rPr>
  </w:style>
  <w:style w:type="paragraph" w:customStyle="1" w:styleId="318">
    <w:name w:val="标题5，章节第五层"/>
    <w:basedOn w:val="1"/>
    <w:next w:val="1"/>
    <w:qFormat/>
    <w:uiPriority w:val="0"/>
    <w:pPr>
      <w:tabs>
        <w:tab w:val="left" w:pos="1050"/>
        <w:tab w:val="left" w:pos="2100"/>
      </w:tabs>
      <w:spacing w:before="78"/>
      <w:ind w:left="2100" w:hanging="420"/>
      <w:outlineLvl w:val="4"/>
    </w:pPr>
    <w:rPr>
      <w:rFonts w:ascii="Arial" w:hAnsi="Arial" w:eastAsia="华文细黑"/>
      <w:sz w:val="30"/>
    </w:rPr>
  </w:style>
  <w:style w:type="paragraph" w:customStyle="1" w:styleId="319">
    <w:name w:val="正文--wdh"/>
    <w:basedOn w:val="1"/>
    <w:qFormat/>
    <w:uiPriority w:val="0"/>
    <w:pPr>
      <w:spacing w:line="360" w:lineRule="auto"/>
    </w:pPr>
    <w:rPr>
      <w:sz w:val="24"/>
    </w:rPr>
  </w:style>
  <w:style w:type="paragraph" w:customStyle="1" w:styleId="320">
    <w:name w:val="Char Char Char Char Char Char Char Char"/>
    <w:basedOn w:val="1"/>
    <w:qFormat/>
    <w:uiPriority w:val="0"/>
    <w:pPr>
      <w:widowControl/>
      <w:spacing w:after="160" w:line="240" w:lineRule="exact"/>
      <w:jc w:val="left"/>
    </w:pPr>
    <w:rPr>
      <w:rFonts w:ascii="Verdana" w:hAnsi="Verdana"/>
      <w:sz w:val="20"/>
      <w:szCs w:val="20"/>
      <w:lang w:eastAsia="en-US"/>
    </w:rPr>
  </w:style>
  <w:style w:type="paragraph" w:customStyle="1" w:styleId="321">
    <w:name w:val="项目符号：一级"/>
    <w:basedOn w:val="145"/>
    <w:next w:val="145"/>
    <w:qFormat/>
    <w:uiPriority w:val="0"/>
    <w:pPr>
      <w:ind w:right="-134"/>
    </w:pPr>
    <w:rPr>
      <w:bCs w:val="0"/>
    </w:rPr>
  </w:style>
  <w:style w:type="paragraph" w:customStyle="1" w:styleId="322">
    <w:name w:val="小四 段落 宋体 Char"/>
    <w:basedOn w:val="13"/>
    <w:qFormat/>
    <w:uiPriority w:val="0"/>
    <w:pPr>
      <w:tabs>
        <w:tab w:val="clear" w:pos="2952"/>
      </w:tabs>
      <w:ind w:left="0" w:right="-33" w:firstLine="600"/>
      <w:jc w:val="left"/>
    </w:pPr>
    <w:rPr>
      <w:rFonts w:ascii="仿宋_GB2312" w:eastAsia="仿宋_GB2312"/>
      <w:sz w:val="30"/>
      <w:szCs w:val="30"/>
    </w:rPr>
  </w:style>
  <w:style w:type="paragraph" w:customStyle="1" w:styleId="323">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b/>
      <w:bCs/>
      <w:sz w:val="20"/>
      <w:szCs w:val="20"/>
    </w:rPr>
  </w:style>
  <w:style w:type="paragraph" w:customStyle="1" w:styleId="324">
    <w:name w:val="普通文字"/>
    <w:basedOn w:val="1"/>
    <w:next w:val="1"/>
    <w:qFormat/>
    <w:uiPriority w:val="0"/>
    <w:rPr>
      <w:rFonts w:ascii="宋体" w:hAnsi="宋体" w:cs="宋体"/>
      <w:sz w:val="24"/>
      <w:szCs w:val="20"/>
    </w:rPr>
  </w:style>
  <w:style w:type="paragraph" w:customStyle="1" w:styleId="325">
    <w:name w:val="默认段落字体 Para Char Char Char Char Char Char Char"/>
    <w:basedOn w:val="1"/>
    <w:qFormat/>
    <w:uiPriority w:val="0"/>
    <w:rPr>
      <w:rFonts w:ascii="Tahoma" w:hAnsi="Tahoma"/>
      <w:sz w:val="24"/>
      <w:szCs w:val="20"/>
    </w:rPr>
  </w:style>
  <w:style w:type="paragraph" w:customStyle="1" w:styleId="326">
    <w:name w:val="符号与编号"/>
    <w:basedOn w:val="1"/>
    <w:qFormat/>
    <w:uiPriority w:val="0"/>
    <w:pPr>
      <w:tabs>
        <w:tab w:val="left" w:pos="900"/>
      </w:tabs>
      <w:spacing w:line="400" w:lineRule="atLeast"/>
      <w:ind w:left="900" w:hanging="420"/>
    </w:pPr>
    <w:rPr>
      <w:sz w:val="24"/>
    </w:rPr>
  </w:style>
  <w:style w:type="paragraph" w:customStyle="1" w:styleId="327">
    <w:name w:val="样式 首行缩进:  2 字符"/>
    <w:basedOn w:val="1"/>
    <w:qFormat/>
    <w:uiPriority w:val="0"/>
    <w:pPr>
      <w:spacing w:line="360" w:lineRule="auto"/>
      <w:ind w:firstLine="480"/>
    </w:pPr>
    <w:rPr>
      <w:rFonts w:cs="宋体"/>
      <w:sz w:val="24"/>
      <w:szCs w:val="20"/>
    </w:rPr>
  </w:style>
  <w:style w:type="paragraph" w:customStyle="1" w:styleId="328">
    <w:name w:val="标题1"/>
    <w:basedOn w:val="1"/>
    <w:next w:val="1"/>
    <w:qFormat/>
    <w:uiPriority w:val="0"/>
    <w:pPr>
      <w:tabs>
        <w:tab w:val="left" w:pos="9193"/>
        <w:tab w:val="left" w:pos="9827"/>
      </w:tabs>
      <w:spacing w:line="700" w:lineRule="atLeast"/>
      <w:jc w:val="center"/>
    </w:pPr>
    <w:rPr>
      <w:rFonts w:ascii="方正小标宋_GBK" w:eastAsia="方正小标宋_GBK"/>
      <w:sz w:val="44"/>
      <w:szCs w:val="20"/>
    </w:rPr>
  </w:style>
  <w:style w:type="paragraph" w:customStyle="1" w:styleId="329">
    <w:name w:val="正文lzq"/>
    <w:basedOn w:val="1"/>
    <w:qFormat/>
    <w:uiPriority w:val="0"/>
    <w:pPr>
      <w:spacing w:line="360" w:lineRule="auto"/>
      <w:ind w:firstLine="480"/>
    </w:pPr>
    <w:rPr>
      <w:sz w:val="24"/>
      <w:szCs w:val="20"/>
    </w:rPr>
  </w:style>
  <w:style w:type="paragraph" w:customStyle="1" w:styleId="330">
    <w:name w:val="样式 标题 2H2h2sect 1.2Heading 2 HiddenHeading 2 CCBSheading 2..."/>
    <w:basedOn w:val="3"/>
    <w:qFormat/>
    <w:uiPriority w:val="0"/>
    <w:pPr>
      <w:tabs>
        <w:tab w:val="left" w:pos="576"/>
      </w:tabs>
      <w:spacing w:line="240" w:lineRule="auto"/>
      <w:ind w:left="576" w:hanging="36"/>
      <w:jc w:val="left"/>
    </w:pPr>
    <w:rPr>
      <w:rFonts w:ascii="宋体" w:hAnsi="宋体" w:eastAsia="宋体"/>
      <w:sz w:val="28"/>
      <w:szCs w:val="20"/>
    </w:rPr>
  </w:style>
  <w:style w:type="paragraph" w:customStyle="1" w:styleId="331">
    <w:name w:val="表格内文字"/>
    <w:basedOn w:val="1"/>
    <w:qFormat/>
    <w:uiPriority w:val="0"/>
    <w:pPr>
      <w:spacing w:line="300" w:lineRule="atLeast"/>
    </w:pPr>
    <w:rPr>
      <w:sz w:val="18"/>
    </w:rPr>
  </w:style>
  <w:style w:type="paragraph" w:customStyle="1" w:styleId="332">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sz w:val="24"/>
    </w:rPr>
  </w:style>
  <w:style w:type="paragraph" w:customStyle="1" w:styleId="333">
    <w:name w:val="content_lineheight"/>
    <w:basedOn w:val="1"/>
    <w:qFormat/>
    <w:uiPriority w:val="0"/>
    <w:pPr>
      <w:widowControl/>
      <w:spacing w:before="100" w:beforeAutospacing="1" w:after="100" w:afterAutospacing="1"/>
      <w:jc w:val="left"/>
    </w:pPr>
    <w:rPr>
      <w:rFonts w:ascii="宋体" w:hAnsi="宋体"/>
      <w:sz w:val="24"/>
    </w:rPr>
  </w:style>
  <w:style w:type="paragraph" w:customStyle="1" w:styleId="334">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sz w:val="20"/>
      <w:szCs w:val="20"/>
    </w:rPr>
  </w:style>
  <w:style w:type="paragraph" w:customStyle="1" w:styleId="335">
    <w:name w:val="font11"/>
    <w:basedOn w:val="1"/>
    <w:qFormat/>
    <w:uiPriority w:val="0"/>
    <w:pPr>
      <w:widowControl/>
      <w:spacing w:before="100" w:beforeAutospacing="1" w:after="100" w:afterAutospacing="1"/>
      <w:jc w:val="left"/>
    </w:pPr>
    <w:rPr>
      <w:b/>
      <w:bCs/>
      <w:sz w:val="18"/>
      <w:szCs w:val="18"/>
    </w:rPr>
  </w:style>
  <w:style w:type="paragraph" w:customStyle="1" w:styleId="336">
    <w:name w:val="111111"/>
    <w:basedOn w:val="1"/>
    <w:qFormat/>
    <w:uiPriority w:val="0"/>
    <w:pPr>
      <w:spacing w:before="120" w:after="120"/>
      <w:jc w:val="center"/>
    </w:pPr>
    <w:rPr>
      <w:rFonts w:ascii="宋体" w:hAnsi="宋体" w:eastAsia="黑体" w:cs="宋体"/>
      <w:b/>
      <w:bCs/>
      <w:szCs w:val="21"/>
    </w:rPr>
  </w:style>
  <w:style w:type="paragraph" w:customStyle="1" w:styleId="337">
    <w:name w:val="段落"/>
    <w:qFormat/>
    <w:uiPriority w:val="0"/>
    <w:pPr>
      <w:spacing w:before="120" w:after="120" w:line="360" w:lineRule="auto"/>
      <w:ind w:firstLine="480"/>
      <w:jc w:val="both"/>
    </w:pPr>
    <w:rPr>
      <w:rFonts w:ascii="Times New Roman" w:hAnsi="Times New Roman" w:eastAsia="仿宋_GB2312" w:cs="Times New Roman"/>
      <w:sz w:val="24"/>
      <w:szCs w:val="24"/>
      <w:lang w:val="en-US" w:eastAsia="zh-CN" w:bidi="ar-SA"/>
    </w:rPr>
  </w:style>
  <w:style w:type="paragraph" w:customStyle="1" w:styleId="338">
    <w:name w:val="样式 标题 2第一章 标题 2Heading 2 HiddenHeading 2 CCBSheading 2H2h2..."/>
    <w:basedOn w:val="3"/>
    <w:qFormat/>
    <w:uiPriority w:val="0"/>
    <w:pPr>
      <w:keepLines w:val="0"/>
      <w:tabs>
        <w:tab w:val="left" w:pos="360"/>
      </w:tabs>
      <w:spacing w:line="240" w:lineRule="auto"/>
      <w:ind w:left="360" w:hanging="360"/>
      <w:jc w:val="center"/>
    </w:pPr>
    <w:rPr>
      <w:rFonts w:ascii="黑体" w:hAnsi="Times New Roman" w:cs="宋体"/>
      <w:b w:val="0"/>
      <w:bCs w:val="0"/>
      <w:szCs w:val="20"/>
    </w:rPr>
  </w:style>
  <w:style w:type="paragraph" w:customStyle="1" w:styleId="339">
    <w:name w:val="我的正文"/>
    <w:basedOn w:val="1"/>
    <w:qFormat/>
    <w:uiPriority w:val="0"/>
    <w:pPr>
      <w:widowControl/>
      <w:spacing w:line="360" w:lineRule="auto"/>
      <w:ind w:firstLine="420"/>
      <w:jc w:val="left"/>
    </w:pPr>
    <w:rPr>
      <w:rFonts w:ascii="宋体" w:hAnsi="宋体" w:cs="宋体"/>
      <w:szCs w:val="21"/>
    </w:rPr>
  </w:style>
  <w:style w:type="paragraph" w:customStyle="1" w:styleId="340">
    <w:name w:val="项目符号，二级"/>
    <w:basedOn w:val="145"/>
    <w:next w:val="145"/>
    <w:qFormat/>
    <w:uiPriority w:val="0"/>
    <w:pPr>
      <w:tabs>
        <w:tab w:val="left" w:pos="1211"/>
        <w:tab w:val="left" w:pos="1337"/>
      </w:tabs>
      <w:ind w:left="1337" w:right="-27" w:firstLine="480"/>
    </w:pPr>
    <w:rPr>
      <w:bCs w:val="0"/>
      <w:color w:val="000000"/>
      <w:sz w:val="24"/>
      <w:szCs w:val="24"/>
    </w:rPr>
  </w:style>
  <w:style w:type="paragraph" w:customStyle="1" w:styleId="341">
    <w:name w:val="小四 段落 宋体 Char Char"/>
    <w:basedOn w:val="1"/>
    <w:qFormat/>
    <w:uiPriority w:val="0"/>
    <w:pPr>
      <w:spacing w:line="360" w:lineRule="auto"/>
      <w:ind w:firstLine="480"/>
    </w:pPr>
    <w:rPr>
      <w:rFonts w:ascii="宋体" w:hAnsi="宋体"/>
      <w:sz w:val="24"/>
    </w:rPr>
  </w:style>
  <w:style w:type="character" w:customStyle="1" w:styleId="342">
    <w:name w:val="font111"/>
    <w:qFormat/>
    <w:uiPriority w:val="0"/>
    <w:rPr>
      <w:rFonts w:hint="eastAsia" w:ascii="宋体" w:hAnsi="宋体" w:eastAsia="宋体" w:cs="宋体"/>
      <w:color w:val="000000"/>
      <w:sz w:val="20"/>
      <w:szCs w:val="20"/>
      <w:u w:val="none"/>
    </w:rPr>
  </w:style>
  <w:style w:type="character" w:customStyle="1" w:styleId="343">
    <w:name w:val="Char Char24"/>
    <w:qFormat/>
    <w:uiPriority w:val="0"/>
    <w:rPr>
      <w:b/>
      <w:sz w:val="28"/>
    </w:rPr>
  </w:style>
  <w:style w:type="character" w:customStyle="1" w:styleId="344">
    <w:name w:val="Char Char23"/>
    <w:qFormat/>
    <w:uiPriority w:val="0"/>
    <w:rPr>
      <w:rFonts w:ascii="Arial" w:hAnsi="Arial" w:eastAsia="黑体"/>
      <w:b/>
      <w:sz w:val="24"/>
    </w:rPr>
  </w:style>
  <w:style w:type="character" w:customStyle="1" w:styleId="345">
    <w:name w:val="华宇段落1 Char Char Char"/>
    <w:qFormat/>
    <w:uiPriority w:val="0"/>
    <w:rPr>
      <w:rFonts w:eastAsia="宋体"/>
      <w:sz w:val="24"/>
      <w:lang w:val="en-US" w:eastAsia="zh-CN"/>
    </w:rPr>
  </w:style>
  <w:style w:type="character" w:customStyle="1" w:styleId="346">
    <w:name w:val="样式 首行缩进:  2 字符 Char Char Char"/>
    <w:qFormat/>
    <w:uiPriority w:val="0"/>
    <w:rPr>
      <w:rFonts w:eastAsia="宋体"/>
      <w:sz w:val="24"/>
      <w:lang w:val="en-US" w:eastAsia="zh-CN"/>
    </w:rPr>
  </w:style>
  <w:style w:type="character" w:customStyle="1" w:styleId="347">
    <w:name w:val="Char Char6"/>
    <w:qFormat/>
    <w:uiPriority w:val="0"/>
    <w:rPr>
      <w:rFonts w:eastAsia="宋体"/>
      <w:sz w:val="24"/>
      <w:lang w:val="en-US" w:eastAsia="zh-CN"/>
    </w:rPr>
  </w:style>
  <w:style w:type="character" w:customStyle="1" w:styleId="348">
    <w:name w:val="Char Char31"/>
    <w:qFormat/>
    <w:uiPriority w:val="0"/>
    <w:rPr>
      <w:rFonts w:ascii="Arial" w:hAnsi="Arial" w:eastAsia="黑体"/>
      <w:b/>
      <w:sz w:val="28"/>
      <w:lang w:val="en-US" w:eastAsia="zh-CN"/>
    </w:rPr>
  </w:style>
  <w:style w:type="character" w:customStyle="1" w:styleId="349">
    <w:name w:val="纯文本 Char Char Char1"/>
    <w:qFormat/>
    <w:uiPriority w:val="0"/>
    <w:rPr>
      <w:rFonts w:ascii="宋体" w:hAnsi="Courier New" w:eastAsia="宋体"/>
      <w:sz w:val="21"/>
      <w:lang w:val="en-US" w:eastAsia="zh-CN"/>
    </w:rPr>
  </w:style>
  <w:style w:type="character" w:customStyle="1" w:styleId="350">
    <w:name w:val="小四 段落 宋体 Char Char Char1"/>
    <w:qFormat/>
    <w:uiPriority w:val="0"/>
    <w:rPr>
      <w:rFonts w:ascii="宋体" w:hAnsi="宋体" w:eastAsia="宋体"/>
      <w:sz w:val="24"/>
      <w:lang w:val="en-US" w:eastAsia="zh-CN"/>
    </w:rPr>
  </w:style>
  <w:style w:type="character" w:customStyle="1" w:styleId="351">
    <w:name w:val="Char Char7"/>
    <w:qFormat/>
    <w:uiPriority w:val="0"/>
    <w:rPr>
      <w:rFonts w:eastAsia="宋体"/>
      <w:b/>
      <w:sz w:val="24"/>
      <w:lang w:val="en-US" w:eastAsia="zh-CN"/>
    </w:rPr>
  </w:style>
  <w:style w:type="character" w:customStyle="1" w:styleId="352">
    <w:name w:val="concon"/>
    <w:qFormat/>
    <w:uiPriority w:val="0"/>
  </w:style>
  <w:style w:type="character" w:customStyle="1" w:styleId="353">
    <w:name w:val="标题 3 Char1"/>
    <w:qFormat/>
    <w:uiPriority w:val="0"/>
    <w:rPr>
      <w:rFonts w:eastAsia="宋体"/>
      <w:b/>
      <w:sz w:val="32"/>
      <w:lang w:val="en-US" w:eastAsia="zh-CN"/>
    </w:rPr>
  </w:style>
  <w:style w:type="character" w:customStyle="1" w:styleId="354">
    <w:name w:val="Char Char33"/>
    <w:qFormat/>
    <w:uiPriority w:val="0"/>
    <w:rPr>
      <w:rFonts w:ascii="Arial" w:hAnsi="Arial" w:eastAsia="黑体"/>
      <w:b/>
      <w:sz w:val="32"/>
      <w:lang w:val="en-US" w:eastAsia="zh-CN"/>
    </w:rPr>
  </w:style>
  <w:style w:type="character" w:customStyle="1" w:styleId="355">
    <w:name w:val="小四 段落 宋体 Char Char Char Char Char Char Char"/>
    <w:qFormat/>
    <w:uiPriority w:val="0"/>
    <w:rPr>
      <w:rFonts w:eastAsia="宋体"/>
      <w:sz w:val="24"/>
      <w:lang w:val="en-US" w:eastAsia="zh-CN"/>
    </w:rPr>
  </w:style>
  <w:style w:type="character" w:customStyle="1" w:styleId="356">
    <w:name w:val="Char Char17"/>
    <w:qFormat/>
    <w:uiPriority w:val="0"/>
    <w:rPr>
      <w:rFonts w:ascii="宋体" w:hAnsi="Courier New"/>
      <w:sz w:val="21"/>
    </w:rPr>
  </w:style>
  <w:style w:type="character" w:customStyle="1" w:styleId="357">
    <w:name w:val="Char Char32"/>
    <w:qFormat/>
    <w:uiPriority w:val="0"/>
    <w:rPr>
      <w:rFonts w:eastAsia="宋体"/>
      <w:b/>
      <w:sz w:val="32"/>
      <w:lang w:val="en-US" w:eastAsia="zh-CN"/>
    </w:rPr>
  </w:style>
  <w:style w:type="character" w:customStyle="1" w:styleId="358">
    <w:name w:val="小四 段落 宋体 Char Char Char Char1"/>
    <w:qFormat/>
    <w:uiPriority w:val="0"/>
    <w:rPr>
      <w:rFonts w:eastAsia="宋体"/>
      <w:sz w:val="24"/>
      <w:lang w:val="en-US" w:eastAsia="zh-CN"/>
    </w:rPr>
  </w:style>
  <w:style w:type="character" w:customStyle="1" w:styleId="359">
    <w:name w:val="标准小四 Char"/>
    <w:qFormat/>
    <w:uiPriority w:val="0"/>
    <w:rPr>
      <w:rFonts w:ascii="Arial" w:hAnsi="Arial" w:eastAsia="宋体"/>
      <w:sz w:val="21"/>
      <w:lang w:val="en-US" w:eastAsia="zh-CN"/>
    </w:rPr>
  </w:style>
  <w:style w:type="character" w:customStyle="1" w:styleId="360">
    <w:name w:val="标题 3 Char Char"/>
    <w:qFormat/>
    <w:uiPriority w:val="0"/>
    <w:rPr>
      <w:rFonts w:eastAsia="仿宋_GB2312"/>
      <w:b/>
      <w:sz w:val="32"/>
      <w:lang w:val="en-US" w:eastAsia="zh-CN"/>
    </w:rPr>
  </w:style>
  <w:style w:type="character" w:customStyle="1" w:styleId="361">
    <w:name w:val="已访问的超链接1"/>
    <w:qFormat/>
    <w:uiPriority w:val="0"/>
    <w:rPr>
      <w:color w:val="auto"/>
      <w:u w:val="none"/>
    </w:rPr>
  </w:style>
  <w:style w:type="character" w:customStyle="1" w:styleId="362">
    <w:name w:val="正文缩进 Char1"/>
    <w:qFormat/>
    <w:uiPriority w:val="0"/>
    <w:rPr>
      <w:rFonts w:eastAsia="宋体"/>
    </w:rPr>
  </w:style>
  <w:style w:type="character" w:customStyle="1" w:styleId="363">
    <w:name w:val="Char Char27"/>
    <w:qFormat/>
    <w:uiPriority w:val="0"/>
    <w:rPr>
      <w:b/>
      <w:sz w:val="44"/>
    </w:rPr>
  </w:style>
  <w:style w:type="character" w:customStyle="1" w:styleId="364">
    <w:name w:val="font21"/>
    <w:basedOn w:val="48"/>
    <w:qFormat/>
    <w:uiPriority w:val="0"/>
    <w:rPr>
      <w:rFonts w:hint="eastAsia" w:ascii="宋体" w:hAnsi="宋体" w:eastAsia="宋体" w:cs="宋体"/>
      <w:color w:val="000000"/>
      <w:sz w:val="20"/>
      <w:szCs w:val="20"/>
      <w:u w:val="none"/>
    </w:rPr>
  </w:style>
  <w:style w:type="character" w:customStyle="1" w:styleId="365">
    <w:name w:val="Char Char22"/>
    <w:qFormat/>
    <w:uiPriority w:val="0"/>
    <w:rPr>
      <w:b/>
      <w:sz w:val="24"/>
    </w:rPr>
  </w:style>
  <w:style w:type="character" w:customStyle="1" w:styleId="366">
    <w:name w:val="样式 宋体 小四"/>
    <w:qFormat/>
    <w:uiPriority w:val="0"/>
    <w:rPr>
      <w:rFonts w:ascii="宋体" w:eastAsia="宋体"/>
      <w:sz w:val="24"/>
    </w:rPr>
  </w:style>
  <w:style w:type="character" w:customStyle="1" w:styleId="367">
    <w:name w:val="纯文本 Char Char Char"/>
    <w:qFormat/>
    <w:uiPriority w:val="0"/>
    <w:rPr>
      <w:rFonts w:ascii="宋体" w:hAnsi="Courier New" w:eastAsia="宋体"/>
      <w:sz w:val="21"/>
      <w:lang w:val="en-US" w:eastAsia="zh-CN"/>
    </w:rPr>
  </w:style>
  <w:style w:type="character" w:customStyle="1" w:styleId="368">
    <w:name w:val="content_lineheight1"/>
    <w:qFormat/>
    <w:uiPriority w:val="0"/>
    <w:rPr>
      <w:rFonts w:cs="Times New Roman"/>
    </w:rPr>
  </w:style>
  <w:style w:type="character" w:customStyle="1" w:styleId="369">
    <w:name w:val="ih151"/>
    <w:qFormat/>
    <w:uiPriority w:val="0"/>
    <w:rPr>
      <w:color w:val="666666"/>
      <w:sz w:val="18"/>
      <w:u w:val="none"/>
    </w:rPr>
  </w:style>
  <w:style w:type="character" w:customStyle="1" w:styleId="370">
    <w:name w:val="样式 首行缩进:  2 字符 Char Char"/>
    <w:qFormat/>
    <w:uiPriority w:val="0"/>
    <w:rPr>
      <w:rFonts w:eastAsia="宋体"/>
      <w:sz w:val="24"/>
      <w:lang w:val="en-US" w:eastAsia="zh-CN"/>
    </w:rPr>
  </w:style>
  <w:style w:type="character" w:customStyle="1" w:styleId="371">
    <w:name w:val="subtitle1"/>
    <w:qFormat/>
    <w:uiPriority w:val="0"/>
    <w:rPr>
      <w:rFonts w:ascii="Georgia" w:hAnsi="Georgia"/>
      <w:b/>
      <w:color w:val="666666"/>
      <w:sz w:val="18"/>
    </w:rPr>
  </w:style>
  <w:style w:type="character" w:customStyle="1" w:styleId="372">
    <w:name w:val="Char Char30"/>
    <w:qFormat/>
    <w:uiPriority w:val="0"/>
    <w:rPr>
      <w:rFonts w:eastAsia="宋体"/>
      <w:b/>
      <w:sz w:val="28"/>
      <w:lang w:val="en-US" w:eastAsia="zh-CN"/>
    </w:rPr>
  </w:style>
  <w:style w:type="character" w:customStyle="1" w:styleId="373">
    <w:name w:val="Char Char15"/>
    <w:qFormat/>
    <w:uiPriority w:val="0"/>
    <w:rPr>
      <w:rFonts w:ascii="Arial" w:hAnsi="Arial" w:eastAsia="黑体"/>
      <w:sz w:val="21"/>
      <w:lang w:val="en-US" w:eastAsia="zh-CN"/>
    </w:rPr>
  </w:style>
  <w:style w:type="character" w:customStyle="1" w:styleId="374">
    <w:name w:val="style131"/>
    <w:qFormat/>
    <w:uiPriority w:val="0"/>
    <w:rPr>
      <w:sz w:val="18"/>
    </w:rPr>
  </w:style>
  <w:style w:type="character" w:customStyle="1" w:styleId="375">
    <w:name w:val="Char Char11"/>
    <w:qFormat/>
    <w:uiPriority w:val="0"/>
    <w:rPr>
      <w:rFonts w:ascii="宋体" w:hAnsi="宋体" w:eastAsia="宋体"/>
      <w:sz w:val="24"/>
      <w:lang w:val="en-US" w:eastAsia="zh-CN"/>
    </w:rPr>
  </w:style>
  <w:style w:type="character" w:customStyle="1" w:styleId="376">
    <w:name w:val="Char Char28"/>
    <w:qFormat/>
    <w:uiPriority w:val="0"/>
    <w:rPr>
      <w:rFonts w:ascii="Arial" w:hAnsi="Arial" w:eastAsia="黑体"/>
      <w:b/>
      <w:sz w:val="32"/>
    </w:rPr>
  </w:style>
  <w:style w:type="character" w:customStyle="1" w:styleId="377">
    <w:name w:val="方案文档 Char Char"/>
    <w:qFormat/>
    <w:uiPriority w:val="0"/>
    <w:rPr>
      <w:rFonts w:ascii="宋体" w:hAnsi="宋体" w:eastAsia="宋体"/>
      <w:sz w:val="24"/>
      <w:lang w:val="zh-CN" w:eastAsia="zh-CN"/>
    </w:rPr>
  </w:style>
  <w:style w:type="character" w:customStyle="1" w:styleId="378">
    <w:name w:val="标准文本 Char Char Char"/>
    <w:qFormat/>
    <w:uiPriority w:val="0"/>
    <w:rPr>
      <w:rFonts w:eastAsia="宋体"/>
      <w:sz w:val="24"/>
      <w:lang w:val="en-US" w:eastAsia="zh-CN"/>
    </w:rPr>
  </w:style>
  <w:style w:type="character" w:customStyle="1" w:styleId="379">
    <w:name w:val="t1"/>
    <w:qFormat/>
    <w:uiPriority w:val="0"/>
  </w:style>
  <w:style w:type="character" w:customStyle="1" w:styleId="380">
    <w:name w:val="Char Char21"/>
    <w:qFormat/>
    <w:uiPriority w:val="0"/>
    <w:rPr>
      <w:rFonts w:ascii="Arial" w:hAnsi="Arial" w:eastAsia="黑体"/>
      <w:sz w:val="24"/>
    </w:rPr>
  </w:style>
  <w:style w:type="character" w:customStyle="1" w:styleId="381">
    <w:name w:val="normalfont1"/>
    <w:qFormat/>
    <w:uiPriority w:val="0"/>
    <w:rPr>
      <w:rFonts w:ascii="??" w:hAnsi="??"/>
      <w:sz w:val="18"/>
      <w:u w:val="none"/>
    </w:rPr>
  </w:style>
  <w:style w:type="character" w:customStyle="1" w:styleId="382">
    <w:name w:val="小四 段落 宋体 Char Char Char Char Char"/>
    <w:qFormat/>
    <w:uiPriority w:val="0"/>
    <w:rPr>
      <w:rFonts w:eastAsia="宋体"/>
      <w:sz w:val="24"/>
      <w:lang w:val="en-US" w:eastAsia="zh-CN"/>
    </w:rPr>
  </w:style>
  <w:style w:type="character" w:customStyle="1" w:styleId="383">
    <w:name w:val="h Char Char"/>
    <w:qFormat/>
    <w:uiPriority w:val="0"/>
    <w:rPr>
      <w:rFonts w:eastAsia="宋体"/>
      <w:sz w:val="18"/>
      <w:lang w:val="en-US" w:eastAsia="zh-CN"/>
    </w:rPr>
  </w:style>
  <w:style w:type="character" w:customStyle="1" w:styleId="384">
    <w:name w:val="不明显参考1"/>
    <w:qFormat/>
    <w:uiPriority w:val="31"/>
    <w:rPr>
      <w:smallCaps/>
    </w:rPr>
  </w:style>
  <w:style w:type="character" w:customStyle="1" w:styleId="385">
    <w:name w:val="apple-converted-space"/>
    <w:qFormat/>
    <w:uiPriority w:val="0"/>
    <w:rPr>
      <w:rFonts w:cs="Times New Roman"/>
    </w:rPr>
  </w:style>
  <w:style w:type="character" w:customStyle="1" w:styleId="386">
    <w:name w:val="Char Char20"/>
    <w:qFormat/>
    <w:uiPriority w:val="0"/>
    <w:rPr>
      <w:rFonts w:ascii="Arial" w:hAnsi="Arial" w:eastAsia="黑体"/>
      <w:sz w:val="21"/>
    </w:rPr>
  </w:style>
  <w:style w:type="character" w:customStyle="1" w:styleId="387">
    <w:name w:val="纯文本 Char1"/>
    <w:qFormat/>
    <w:uiPriority w:val="0"/>
    <w:rPr>
      <w:rFonts w:ascii="宋体" w:hAnsi="Courier New"/>
      <w:sz w:val="21"/>
    </w:rPr>
  </w:style>
  <w:style w:type="character" w:customStyle="1" w:styleId="388">
    <w:name w:val="无间隔 Char"/>
    <w:qFormat/>
    <w:uiPriority w:val="0"/>
    <w:rPr>
      <w:rFonts w:ascii="Calibri" w:hAnsi="Calibri" w:eastAsia="微软雅黑"/>
      <w:sz w:val="22"/>
      <w:lang w:val="en-US" w:eastAsia="zh-CN"/>
    </w:rPr>
  </w:style>
  <w:style w:type="character" w:customStyle="1" w:styleId="389">
    <w:name w:val="Char Char2"/>
    <w:qFormat/>
    <w:uiPriority w:val="0"/>
    <w:rPr>
      <w:rFonts w:ascii="宋体" w:hAnsi="Courier New" w:eastAsia="宋体"/>
      <w:sz w:val="21"/>
      <w:lang w:val="en-US" w:eastAsia="zh-CN"/>
    </w:rPr>
  </w:style>
  <w:style w:type="character" w:customStyle="1" w:styleId="390">
    <w:name w:val="Char Char34"/>
    <w:qFormat/>
    <w:uiPriority w:val="0"/>
    <w:rPr>
      <w:rFonts w:eastAsia="宋体"/>
      <w:b/>
      <w:sz w:val="44"/>
      <w:lang w:val="en-US" w:eastAsia="zh-CN"/>
    </w:rPr>
  </w:style>
  <w:style w:type="character" w:customStyle="1" w:styleId="391">
    <w:name w:val="font61"/>
    <w:qFormat/>
    <w:uiPriority w:val="0"/>
    <w:rPr>
      <w:rFonts w:hint="eastAsia" w:ascii="宋体" w:hAnsi="宋体" w:eastAsia="宋体" w:cs="宋体"/>
      <w:color w:val="FF0000"/>
      <w:sz w:val="20"/>
      <w:szCs w:val="20"/>
      <w:u w:val="none"/>
    </w:rPr>
  </w:style>
  <w:style w:type="character" w:customStyle="1" w:styleId="392">
    <w:name w:val="Char Char9"/>
    <w:qFormat/>
    <w:uiPriority w:val="0"/>
    <w:rPr>
      <w:rFonts w:eastAsia="宋体"/>
      <w:sz w:val="21"/>
      <w:lang w:val="en-US" w:eastAsia="zh-CN"/>
    </w:rPr>
  </w:style>
  <w:style w:type="character" w:customStyle="1" w:styleId="393">
    <w:name w:val="纯文本 Char Char"/>
    <w:qFormat/>
    <w:uiPriority w:val="0"/>
    <w:rPr>
      <w:rFonts w:ascii="宋体" w:hAnsi="Courier New" w:eastAsia="宋体"/>
      <w:sz w:val="21"/>
      <w:lang w:val="en-US" w:eastAsia="zh-CN"/>
    </w:rPr>
  </w:style>
  <w:style w:type="character" w:customStyle="1" w:styleId="394">
    <w:name w:val="content"/>
    <w:qFormat/>
    <w:uiPriority w:val="0"/>
    <w:rPr>
      <w:rFonts w:cs="Times New Roman"/>
    </w:rPr>
  </w:style>
  <w:style w:type="character" w:customStyle="1" w:styleId="395">
    <w:name w:val="标准小四 Char Char Char"/>
    <w:qFormat/>
    <w:uiPriority w:val="0"/>
    <w:rPr>
      <w:rFonts w:ascii="Arial" w:hAnsi="Arial" w:eastAsia="宋体"/>
      <w:sz w:val="21"/>
      <w:lang w:val="en-US" w:eastAsia="zh-CN"/>
    </w:rPr>
  </w:style>
  <w:style w:type="character" w:customStyle="1" w:styleId="396">
    <w:name w:val="3zw"/>
    <w:qFormat/>
    <w:uiPriority w:val="0"/>
    <w:rPr>
      <w:rFonts w:cs="Times New Roman"/>
    </w:rPr>
  </w:style>
  <w:style w:type="character" w:customStyle="1" w:styleId="397">
    <w:name w:val="样式 首行缩进:  2 字符 Char"/>
    <w:qFormat/>
    <w:uiPriority w:val="0"/>
    <w:rPr>
      <w:rFonts w:eastAsia="宋体"/>
      <w:sz w:val="24"/>
      <w:lang w:val="en-US" w:eastAsia="zh-CN"/>
    </w:rPr>
  </w:style>
  <w:style w:type="character" w:customStyle="1" w:styleId="398">
    <w:name w:val="medium_text1"/>
    <w:qFormat/>
    <w:uiPriority w:val="0"/>
    <w:rPr>
      <w:sz w:val="24"/>
    </w:rPr>
  </w:style>
  <w:style w:type="character" w:customStyle="1" w:styleId="399">
    <w:name w:val="Char Char16"/>
    <w:qFormat/>
    <w:uiPriority w:val="0"/>
    <w:rPr>
      <w:rFonts w:ascii="Arial" w:hAnsi="Arial" w:eastAsia="黑体"/>
      <w:sz w:val="24"/>
      <w:lang w:val="en-US" w:eastAsia="zh-CN"/>
    </w:rPr>
  </w:style>
  <w:style w:type="character" w:customStyle="1" w:styleId="400">
    <w:name w:val="font91"/>
    <w:qFormat/>
    <w:uiPriority w:val="0"/>
    <w:rPr>
      <w:rFonts w:hint="eastAsia" w:ascii="宋体" w:hAnsi="宋体" w:eastAsia="宋体" w:cs="宋体"/>
      <w:color w:val="000000"/>
      <w:sz w:val="20"/>
      <w:szCs w:val="20"/>
      <w:u w:val="none"/>
    </w:rPr>
  </w:style>
  <w:style w:type="character" w:customStyle="1" w:styleId="401">
    <w:name w:val="Char Char3"/>
    <w:qFormat/>
    <w:uiPriority w:val="0"/>
    <w:rPr>
      <w:rFonts w:eastAsia="宋体"/>
      <w:sz w:val="18"/>
      <w:lang w:val="en-US" w:eastAsia="zh-CN"/>
    </w:rPr>
  </w:style>
  <w:style w:type="character" w:customStyle="1" w:styleId="402">
    <w:name w:val="标题 Char1"/>
    <w:qFormat/>
    <w:uiPriority w:val="0"/>
    <w:rPr>
      <w:rFonts w:ascii="Cambria" w:eastAsia="宋体"/>
      <w:b/>
      <w:sz w:val="32"/>
    </w:rPr>
  </w:style>
  <w:style w:type="character" w:customStyle="1" w:styleId="403">
    <w:name w:val="标准小四 Char Char"/>
    <w:qFormat/>
    <w:uiPriority w:val="0"/>
    <w:rPr>
      <w:rFonts w:ascii="Arial" w:hAnsi="Arial" w:eastAsia="宋体"/>
      <w:sz w:val="21"/>
      <w:lang w:val="en-US" w:eastAsia="zh-CN"/>
    </w:rPr>
  </w:style>
  <w:style w:type="character" w:customStyle="1" w:styleId="404">
    <w:name w:val="普通文字 Char Char3"/>
    <w:qFormat/>
    <w:uiPriority w:val="0"/>
    <w:rPr>
      <w:rFonts w:ascii="宋体" w:hAnsi="Courier New" w:eastAsia="宋体"/>
      <w:sz w:val="21"/>
      <w:lang w:val="en-US" w:eastAsia="zh-CN"/>
    </w:rPr>
  </w:style>
  <w:style w:type="character" w:customStyle="1" w:styleId="405">
    <w:name w:val="case31"/>
    <w:qFormat/>
    <w:uiPriority w:val="0"/>
    <w:rPr>
      <w:sz w:val="21"/>
    </w:rPr>
  </w:style>
  <w:style w:type="character" w:customStyle="1" w:styleId="406">
    <w:name w:val="明显参考1"/>
    <w:qFormat/>
    <w:uiPriority w:val="32"/>
    <w:rPr>
      <w:smallCaps/>
      <w:spacing w:val="5"/>
      <w:u w:val="single"/>
    </w:rPr>
  </w:style>
  <w:style w:type="character" w:customStyle="1" w:styleId="407">
    <w:name w:val="textcontents"/>
    <w:qFormat/>
    <w:uiPriority w:val="0"/>
    <w:rPr>
      <w:rFonts w:cs="Times New Roman"/>
    </w:rPr>
  </w:style>
  <w:style w:type="character" w:customStyle="1" w:styleId="408">
    <w:name w:val="普通文字1 Char"/>
    <w:qFormat/>
    <w:uiPriority w:val="0"/>
    <w:rPr>
      <w:rFonts w:ascii="宋体" w:eastAsia="宋体"/>
      <w:sz w:val="21"/>
      <w:lang w:val="en-US" w:eastAsia="zh-CN"/>
    </w:rPr>
  </w:style>
  <w:style w:type="character" w:customStyle="1" w:styleId="409">
    <w:name w:val="Char Char29"/>
    <w:qFormat/>
    <w:uiPriority w:val="0"/>
    <w:rPr>
      <w:rFonts w:ascii="Times New Roman" w:hAnsi="Times New Roman" w:eastAsia="宋体"/>
      <w:b/>
      <w:sz w:val="44"/>
    </w:rPr>
  </w:style>
  <w:style w:type="character" w:customStyle="1" w:styleId="410">
    <w:name w:val="title_emph1"/>
    <w:qFormat/>
    <w:uiPriority w:val="0"/>
    <w:rPr>
      <w:rFonts w:ascii="Arial"/>
      <w:b/>
      <w:sz w:val="18"/>
    </w:rPr>
  </w:style>
  <w:style w:type="character" w:customStyle="1" w:styleId="411">
    <w:name w:val="111111 Char Char"/>
    <w:qFormat/>
    <w:uiPriority w:val="0"/>
    <w:rPr>
      <w:rFonts w:ascii="宋体" w:hAnsi="宋体" w:eastAsia="黑体"/>
      <w:b/>
      <w:sz w:val="21"/>
      <w:lang w:val="en-US" w:eastAsia="zh-CN"/>
    </w:rPr>
  </w:style>
  <w:style w:type="character" w:customStyle="1" w:styleId="412">
    <w:name w:val="书籍标题1"/>
    <w:qFormat/>
    <w:uiPriority w:val="33"/>
    <w:rPr>
      <w:i/>
      <w:smallCaps/>
      <w:spacing w:val="5"/>
    </w:rPr>
  </w:style>
  <w:style w:type="character" w:customStyle="1" w:styleId="413">
    <w:name w:val="Char Char13"/>
    <w:qFormat/>
    <w:uiPriority w:val="0"/>
    <w:rPr>
      <w:rFonts w:ascii="宋体" w:hAnsi="宋体" w:eastAsia="宋体"/>
      <w:sz w:val="24"/>
      <w:lang w:val="en-US" w:eastAsia="zh-CN"/>
    </w:rPr>
  </w:style>
  <w:style w:type="character" w:customStyle="1" w:styleId="414">
    <w:name w:val="Char Char8"/>
    <w:qFormat/>
    <w:uiPriority w:val="0"/>
    <w:rPr>
      <w:rFonts w:eastAsia="宋体"/>
      <w:sz w:val="18"/>
      <w:lang w:val="en-US" w:eastAsia="zh-CN"/>
    </w:rPr>
  </w:style>
  <w:style w:type="character" w:customStyle="1" w:styleId="415">
    <w:name w:val="引用 Char"/>
    <w:qFormat/>
    <w:uiPriority w:val="0"/>
    <w:rPr>
      <w:rFonts w:ascii="Calibri" w:hAnsi="Calibri" w:eastAsia="宋体"/>
      <w:i/>
      <w:sz w:val="22"/>
      <w:lang w:val="en-US" w:eastAsia="en-US"/>
    </w:rPr>
  </w:style>
  <w:style w:type="character" w:customStyle="1" w:styleId="416">
    <w:name w:val="A2"/>
    <w:qFormat/>
    <w:uiPriority w:val="0"/>
    <w:rPr>
      <w:color w:val="000000"/>
      <w:sz w:val="18"/>
    </w:rPr>
  </w:style>
  <w:style w:type="character" w:customStyle="1" w:styleId="417">
    <w:name w:val="Char Char5"/>
    <w:qFormat/>
    <w:uiPriority w:val="0"/>
    <w:rPr>
      <w:rFonts w:eastAsia="宋体"/>
      <w:sz w:val="24"/>
      <w:lang w:val="en-US" w:eastAsia="zh-CN"/>
    </w:rPr>
  </w:style>
  <w:style w:type="character" w:customStyle="1" w:styleId="418">
    <w:name w:val="不明显强调1"/>
    <w:qFormat/>
    <w:uiPriority w:val="19"/>
    <w:rPr>
      <w:i/>
    </w:rPr>
  </w:style>
  <w:style w:type="character" w:customStyle="1" w:styleId="419">
    <w:name w:val="标准文本 Char Char"/>
    <w:qFormat/>
    <w:uiPriority w:val="0"/>
    <w:rPr>
      <w:rFonts w:eastAsia="宋体"/>
      <w:sz w:val="24"/>
      <w:lang w:val="en-US" w:eastAsia="zh-CN"/>
    </w:rPr>
  </w:style>
  <w:style w:type="character" w:customStyle="1" w:styleId="420">
    <w:name w:val="明显引用 Char"/>
    <w:qFormat/>
    <w:uiPriority w:val="0"/>
    <w:rPr>
      <w:rFonts w:ascii="Calibri" w:hAnsi="Calibri" w:eastAsia="宋体"/>
      <w:b/>
      <w:i/>
      <w:sz w:val="22"/>
      <w:lang w:val="en-US" w:eastAsia="en-US"/>
    </w:rPr>
  </w:style>
  <w:style w:type="character" w:customStyle="1" w:styleId="421">
    <w:name w:val="Char Char14"/>
    <w:qFormat/>
    <w:uiPriority w:val="0"/>
    <w:rPr>
      <w:rFonts w:eastAsia="黑体"/>
      <w:b/>
      <w:sz w:val="28"/>
      <w:lang w:val="en-GB" w:eastAsia="zh-CN"/>
    </w:rPr>
  </w:style>
  <w:style w:type="character" w:customStyle="1" w:styleId="422">
    <w:name w:val="Char Char25"/>
    <w:qFormat/>
    <w:uiPriority w:val="0"/>
    <w:rPr>
      <w:rFonts w:ascii="Arial" w:hAnsi="Arial" w:eastAsia="黑体"/>
      <w:b/>
      <w:sz w:val="28"/>
    </w:rPr>
  </w:style>
  <w:style w:type="character" w:customStyle="1" w:styleId="423">
    <w:name w:val="小四 段落 宋体 Char Char Char Char Char Char Char Char"/>
    <w:qFormat/>
    <w:uiPriority w:val="0"/>
    <w:rPr>
      <w:rFonts w:eastAsia="宋体"/>
      <w:sz w:val="24"/>
      <w:lang w:val="en-US" w:eastAsia="zh-CN"/>
    </w:rPr>
  </w:style>
  <w:style w:type="character" w:customStyle="1" w:styleId="424">
    <w:name w:val="华宇段落1 Char Char Char Char"/>
    <w:qFormat/>
    <w:uiPriority w:val="0"/>
    <w:rPr>
      <w:rFonts w:eastAsia="宋体"/>
      <w:sz w:val="24"/>
      <w:lang w:val="en-US" w:eastAsia="zh-CN"/>
    </w:rPr>
  </w:style>
  <w:style w:type="character" w:customStyle="1" w:styleId="425">
    <w:name w:val="小四 段落 宋体 Char Char Char Char Char Char"/>
    <w:qFormat/>
    <w:uiPriority w:val="0"/>
    <w:rPr>
      <w:rFonts w:eastAsia="宋体"/>
      <w:sz w:val="24"/>
      <w:lang w:val="en-US" w:eastAsia="zh-CN"/>
    </w:rPr>
  </w:style>
  <w:style w:type="character" w:customStyle="1" w:styleId="426">
    <w:name w:val="标题 3 Char Char Char Char Char Char Char Char Char Char Char Char Char Char Char Char Char Char Char Char Char Char Char Char Char Char Char Char Char Char Char Char Char Char Char Char Char Char Char Char Char Char Char Char Char Char Char Char Cha Cha"/>
    <w:qFormat/>
    <w:uiPriority w:val="0"/>
    <w:rPr>
      <w:rFonts w:eastAsia="宋体"/>
      <w:b/>
      <w:sz w:val="32"/>
      <w:lang w:val="en-US" w:eastAsia="zh-CN"/>
    </w:rPr>
  </w:style>
  <w:style w:type="character" w:customStyle="1" w:styleId="427">
    <w:name w:val="2nd level Char"/>
    <w:qFormat/>
    <w:uiPriority w:val="0"/>
    <w:rPr>
      <w:rFonts w:ascii="Arial" w:hAnsi="Arial" w:eastAsia="黑体"/>
      <w:b/>
      <w:sz w:val="32"/>
      <w:lang w:val="en-US" w:eastAsia="zh-CN"/>
    </w:rPr>
  </w:style>
  <w:style w:type="character" w:customStyle="1" w:styleId="428">
    <w:name w:val="华宇段落1 Char Char"/>
    <w:qFormat/>
    <w:uiPriority w:val="0"/>
    <w:rPr>
      <w:rFonts w:eastAsia="宋体"/>
      <w:sz w:val="24"/>
      <w:lang w:val="en-US" w:eastAsia="zh-CN"/>
    </w:rPr>
  </w:style>
  <w:style w:type="character" w:customStyle="1" w:styleId="429">
    <w:name w:val="Char Char12"/>
    <w:qFormat/>
    <w:uiPriority w:val="0"/>
    <w:rPr>
      <w:rFonts w:ascii="Arial" w:hAnsi="Arial" w:eastAsia="黑体"/>
      <w:sz w:val="21"/>
      <w:lang w:val="en-US" w:eastAsia="zh-CN"/>
    </w:rPr>
  </w:style>
  <w:style w:type="character" w:customStyle="1" w:styleId="430">
    <w:name w:val="Title1 Char"/>
    <w:qFormat/>
    <w:uiPriority w:val="0"/>
    <w:rPr>
      <w:rFonts w:eastAsia="宋体"/>
      <w:b/>
      <w:sz w:val="44"/>
      <w:lang w:val="en-US" w:eastAsia="zh-CN"/>
    </w:rPr>
  </w:style>
  <w:style w:type="character" w:customStyle="1" w:styleId="431">
    <w:name w:val="Char Char19"/>
    <w:qFormat/>
    <w:uiPriority w:val="0"/>
    <w:rPr>
      <w:rFonts w:ascii="Arial" w:hAnsi="Arial" w:eastAsia="黑体"/>
      <w:b/>
      <w:sz w:val="24"/>
      <w:lang w:val="en-US" w:eastAsia="zh-CN"/>
    </w:rPr>
  </w:style>
  <w:style w:type="character" w:customStyle="1" w:styleId="432">
    <w:name w:val="样式 非加粗"/>
    <w:qFormat/>
    <w:uiPriority w:val="0"/>
    <w:rPr>
      <w:rFonts w:eastAsia="宋体"/>
      <w:sz w:val="28"/>
    </w:rPr>
  </w:style>
  <w:style w:type="character" w:customStyle="1" w:styleId="433">
    <w:name w:val="正文 + 宋体 Char"/>
    <w:qFormat/>
    <w:uiPriority w:val="0"/>
    <w:rPr>
      <w:rFonts w:eastAsia="宋体"/>
      <w:sz w:val="24"/>
      <w:lang w:val="en-US" w:eastAsia="zh-CN"/>
    </w:rPr>
  </w:style>
  <w:style w:type="character" w:customStyle="1" w:styleId="434">
    <w:name w:val="Char Char4"/>
    <w:qFormat/>
    <w:uiPriority w:val="0"/>
    <w:rPr>
      <w:rFonts w:ascii="方正大黑简体" w:eastAsia="方正大黑简体"/>
      <w:position w:val="6"/>
      <w:sz w:val="30"/>
      <w:lang w:val="en-US" w:eastAsia="zh-CN"/>
    </w:rPr>
  </w:style>
  <w:style w:type="character" w:customStyle="1" w:styleId="435">
    <w:name w:val="Char Char26"/>
    <w:qFormat/>
    <w:uiPriority w:val="0"/>
    <w:rPr>
      <w:b/>
      <w:sz w:val="32"/>
    </w:rPr>
  </w:style>
  <w:style w:type="character" w:customStyle="1" w:styleId="436">
    <w:name w:val="小四 段落 宋体 Char1"/>
    <w:qFormat/>
    <w:uiPriority w:val="0"/>
    <w:rPr>
      <w:rFonts w:eastAsia="宋体"/>
      <w:sz w:val="24"/>
      <w:lang w:val="en-US" w:eastAsia="zh-CN"/>
    </w:rPr>
  </w:style>
  <w:style w:type="character" w:customStyle="1" w:styleId="437">
    <w:name w:val="apple-style-span"/>
    <w:qFormat/>
    <w:uiPriority w:val="0"/>
    <w:rPr>
      <w:rFonts w:cs="Times New Roman"/>
    </w:rPr>
  </w:style>
  <w:style w:type="character" w:customStyle="1" w:styleId="438">
    <w:name w:val="Char Char18"/>
    <w:qFormat/>
    <w:uiPriority w:val="0"/>
    <w:rPr>
      <w:rFonts w:eastAsia="宋体"/>
      <w:b/>
      <w:sz w:val="24"/>
      <w:lang w:val="en-US" w:eastAsia="zh-CN"/>
    </w:rPr>
  </w:style>
  <w:style w:type="character" w:customStyle="1" w:styleId="439">
    <w:name w:val="标准文本 Char"/>
    <w:qFormat/>
    <w:uiPriority w:val="0"/>
    <w:rPr>
      <w:rFonts w:eastAsia="宋体"/>
      <w:sz w:val="24"/>
      <w:lang w:val="en-US" w:eastAsia="zh-CN"/>
    </w:rPr>
  </w:style>
  <w:style w:type="character" w:customStyle="1" w:styleId="440">
    <w:name w:val="font5 Char Char"/>
    <w:qFormat/>
    <w:uiPriority w:val="0"/>
    <w:rPr>
      <w:rFonts w:ascii="宋体" w:hAnsi="宋体" w:eastAsia="宋体"/>
      <w:sz w:val="28"/>
      <w:lang w:val="en-US" w:eastAsia="zh-CN"/>
    </w:rPr>
  </w:style>
  <w:style w:type="character" w:customStyle="1" w:styleId="441">
    <w:name w:val="Char Char10"/>
    <w:qFormat/>
    <w:uiPriority w:val="0"/>
    <w:rPr>
      <w:rFonts w:eastAsia="宋体"/>
      <w:b/>
      <w:sz w:val="24"/>
      <w:lang w:val="en-US" w:eastAsia="zh-CN"/>
    </w:rPr>
  </w:style>
  <w:style w:type="character" w:customStyle="1" w:styleId="442">
    <w:name w:val="特点 Char1"/>
    <w:qFormat/>
    <w:uiPriority w:val="0"/>
    <w:rPr>
      <w:rFonts w:eastAsia="宋体"/>
      <w:sz w:val="21"/>
      <w:lang w:val="en-US" w:eastAsia="zh-CN"/>
    </w:rPr>
  </w:style>
  <w:style w:type="character" w:customStyle="1" w:styleId="443">
    <w:name w:val="明显强调1"/>
    <w:qFormat/>
    <w:uiPriority w:val="21"/>
    <w:rPr>
      <w:b/>
    </w:rPr>
  </w:style>
  <w:style w:type="character" w:customStyle="1" w:styleId="444">
    <w:name w:val="listbenefit"/>
    <w:qFormat/>
    <w:uiPriority w:val="0"/>
  </w:style>
  <w:style w:type="paragraph" w:customStyle="1" w:styleId="445">
    <w:name w:val="正文文本缩进 31"/>
    <w:basedOn w:val="1"/>
    <w:qFormat/>
    <w:uiPriority w:val="0"/>
    <w:pPr>
      <w:tabs>
        <w:tab w:val="left" w:pos="0"/>
      </w:tabs>
      <w:spacing w:line="360" w:lineRule="auto"/>
      <w:ind w:firstLine="504"/>
    </w:pPr>
    <w:rPr>
      <w:rFonts w:ascii="宋体"/>
      <w:b/>
      <w:bCs/>
      <w:sz w:val="24"/>
    </w:rPr>
  </w:style>
  <w:style w:type="paragraph" w:customStyle="1" w:styleId="446">
    <w:name w:val="正文 A"/>
    <w:qFormat/>
    <w:uiPriority w:val="99"/>
    <w:pPr>
      <w:widowControl w:val="0"/>
      <w:pBdr>
        <w:top w:val="none" w:color="FFFFFF" w:sz="0" w:space="31"/>
        <w:left w:val="none" w:color="FFFFFF" w:sz="0" w:space="31"/>
        <w:bottom w:val="none" w:color="FFFFFF" w:sz="0" w:space="31"/>
        <w:right w:val="none" w:color="FFFFFF" w:sz="0" w:space="31"/>
      </w:pBdr>
      <w:jc w:val="both"/>
    </w:pPr>
    <w:rPr>
      <w:rFonts w:ascii="Arial Unicode MS" w:hAnsi="Arial Unicode MS" w:eastAsia="Arial Unicode MS" w:cs="Arial Unicode MS"/>
      <w:color w:val="000000"/>
      <w:sz w:val="21"/>
      <w:szCs w:val="22"/>
      <w:lang w:val="en-US" w:eastAsia="zh-CN" w:bidi="ar-SA"/>
    </w:rPr>
  </w:style>
  <w:style w:type="paragraph" w:styleId="447">
    <w:name w:val="List Paragraph"/>
    <w:basedOn w:val="1"/>
    <w:link w:val="448"/>
    <w:qFormat/>
    <w:uiPriority w:val="34"/>
    <w:pPr>
      <w:spacing w:line="360" w:lineRule="auto"/>
      <w:ind w:firstLine="420"/>
    </w:pPr>
    <w:rPr>
      <w:rFonts w:ascii="Calibri" w:hAnsi="Calibri"/>
      <w:sz w:val="20"/>
      <w:szCs w:val="20"/>
    </w:rPr>
  </w:style>
  <w:style w:type="character" w:customStyle="1" w:styleId="448">
    <w:name w:val="列出段落 字符"/>
    <w:link w:val="447"/>
    <w:qFormat/>
    <w:uiPriority w:val="34"/>
    <w:rPr>
      <w:rFonts w:ascii="Calibri" w:hAnsi="Calibri" w:eastAsia="宋体" w:cs="Times New Roman"/>
      <w:kern w:val="0"/>
      <w:sz w:val="20"/>
      <w:szCs w:val="20"/>
    </w:rPr>
  </w:style>
  <w:style w:type="paragraph" w:customStyle="1" w:styleId="449">
    <w:name w:val="ewb-con-p2"/>
    <w:basedOn w:val="1"/>
    <w:qFormat/>
    <w:uiPriority w:val="0"/>
    <w:pPr>
      <w:widowControl/>
      <w:spacing w:before="100" w:beforeAutospacing="1" w:after="100" w:afterAutospacing="1"/>
      <w:jc w:val="left"/>
    </w:pPr>
    <w:rPr>
      <w:rFonts w:ascii="宋体" w:hAnsi="宋体" w:cs="宋体"/>
      <w:sz w:val="24"/>
    </w:rPr>
  </w:style>
  <w:style w:type="paragraph" w:customStyle="1" w:styleId="450">
    <w:name w:val="标题 41"/>
    <w:basedOn w:val="1"/>
    <w:next w:val="1"/>
    <w:qFormat/>
    <w:uiPriority w:val="1"/>
    <w:pPr>
      <w:ind w:left="618"/>
      <w:jc w:val="left"/>
      <w:outlineLvl w:val="4"/>
    </w:pPr>
    <w:rPr>
      <w:rFonts w:ascii="宋体" w:hAnsi="宋体" w:cs="宋体"/>
      <w:b/>
      <w:bCs/>
      <w:sz w:val="24"/>
      <w:lang w:val="zh-CN" w:bidi="zh-CN"/>
    </w:rPr>
  </w:style>
  <w:style w:type="paragraph" w:customStyle="1" w:styleId="451">
    <w:name w:val="首行缩进"/>
    <w:basedOn w:val="1"/>
    <w:qFormat/>
    <w:uiPriority w:val="0"/>
    <w:pPr>
      <w:spacing w:line="400" w:lineRule="exact"/>
      <w:ind w:left="420" w:firstLine="480"/>
    </w:pPr>
    <w:rPr>
      <w:szCs w:val="20"/>
    </w:rPr>
  </w:style>
  <w:style w:type="paragraph" w:customStyle="1" w:styleId="452">
    <w:name w:val="msolistparagraph"/>
    <w:basedOn w:val="1"/>
    <w:qFormat/>
    <w:uiPriority w:val="0"/>
    <w:pPr>
      <w:spacing w:line="400" w:lineRule="exact"/>
      <w:ind w:left="420" w:firstLine="420"/>
    </w:pPr>
    <w:rPr>
      <w:rFonts w:ascii="Calibri" w:hAnsi="Calibri"/>
    </w:rPr>
  </w:style>
  <w:style w:type="character" w:customStyle="1" w:styleId="453">
    <w:name w:val="font41"/>
    <w:basedOn w:val="48"/>
    <w:qFormat/>
    <w:uiPriority w:val="0"/>
    <w:rPr>
      <w:rFonts w:hint="eastAsia" w:ascii="宋体" w:hAnsi="宋体" w:eastAsia="宋体" w:cs="宋体"/>
      <w:color w:val="000000"/>
      <w:sz w:val="18"/>
      <w:szCs w:val="18"/>
      <w:u w:val="none"/>
    </w:rPr>
  </w:style>
  <w:style w:type="character" w:customStyle="1" w:styleId="454">
    <w:name w:val="msosubtleemphasis"/>
    <w:basedOn w:val="48"/>
    <w:qFormat/>
    <w:uiPriority w:val="0"/>
    <w:rPr>
      <w:i/>
      <w:color w:val="404040"/>
    </w:rPr>
  </w:style>
  <w:style w:type="paragraph" w:customStyle="1" w:styleId="455">
    <w:name w:val="Table Paragraph"/>
    <w:basedOn w:val="1"/>
    <w:qFormat/>
    <w:uiPriority w:val="1"/>
    <w:pPr>
      <w:jc w:val="left"/>
    </w:pPr>
    <w:rPr>
      <w:rFonts w:ascii="宋体" w:hAnsi="宋体" w:cs="宋体"/>
      <w:sz w:val="22"/>
      <w:szCs w:val="22"/>
      <w:lang w:val="zh-CN" w:bidi="zh-CN"/>
    </w:rPr>
  </w:style>
  <w:style w:type="paragraph" w:customStyle="1" w:styleId="456">
    <w:name w:val="正文3"/>
    <w:basedOn w:val="1"/>
    <w:qFormat/>
    <w:uiPriority w:val="0"/>
    <w:pPr>
      <w:widowControl/>
      <w:spacing w:after="200" w:line="300" w:lineRule="atLeast"/>
      <w:jc w:val="left"/>
    </w:pPr>
    <w:rPr>
      <w:rFonts w:ascii="Calibri" w:hAnsi="Calibri" w:cs="宋体"/>
      <w:sz w:val="22"/>
      <w:szCs w:val="22"/>
    </w:rPr>
  </w:style>
  <w:style w:type="paragraph" w:customStyle="1" w:styleId="457">
    <w:name w:val="BodyText"/>
    <w:basedOn w:val="1"/>
    <w:qFormat/>
    <w:uiPriority w:val="0"/>
    <w:pPr>
      <w:spacing w:after="120"/>
    </w:pPr>
    <w:rPr>
      <w:rFonts w:ascii="Calibri"/>
      <w:sz w:val="20"/>
    </w:rPr>
  </w:style>
  <w:style w:type="paragraph" w:customStyle="1" w:styleId="458">
    <w:name w:val="Blockquote"/>
    <w:basedOn w:val="1"/>
    <w:qFormat/>
    <w:uiPriority w:val="99"/>
    <w:pPr>
      <w:spacing w:before="100" w:after="100"/>
      <w:ind w:left="360" w:right="360"/>
      <w:jc w:val="left"/>
    </w:pPr>
    <w:rPr>
      <w:sz w:val="24"/>
    </w:rPr>
  </w:style>
  <w:style w:type="character" w:customStyle="1" w:styleId="459">
    <w:name w:val="纯文本 Char"/>
    <w:qFormat/>
    <w:uiPriority w:val="0"/>
    <w:rPr>
      <w:rFonts w:ascii="宋体" w:hAnsi="Courier New" w:cs="Courier New"/>
      <w:kern w:val="2"/>
      <w:sz w:val="21"/>
      <w:szCs w:val="21"/>
    </w:rPr>
  </w:style>
  <w:style w:type="paragraph" w:customStyle="1" w:styleId="460">
    <w:name w:val="NN"/>
    <w:basedOn w:val="1"/>
    <w:qFormat/>
    <w:uiPriority w:val="0"/>
    <w:pPr>
      <w:widowControl/>
      <w:tabs>
        <w:tab w:val="left" w:pos="1080"/>
      </w:tabs>
      <w:autoSpaceDE w:val="0"/>
      <w:autoSpaceDN w:val="0"/>
      <w:adjustRightInd w:val="0"/>
      <w:spacing w:before="60" w:after="60" w:line="360" w:lineRule="atLeast"/>
      <w:ind w:left="1134" w:firstLine="420"/>
      <w:jc w:val="left"/>
    </w:pPr>
    <w:rPr>
      <w:rFonts w:ascii="宋体"/>
      <w:sz w:val="24"/>
      <w:szCs w:val="20"/>
    </w:rPr>
  </w:style>
  <w:style w:type="paragraph" w:customStyle="1" w:styleId="461">
    <w:name w:val="reader-word-layer"/>
    <w:basedOn w:val="1"/>
    <w:qFormat/>
    <w:uiPriority w:val="0"/>
    <w:pPr>
      <w:widowControl/>
      <w:spacing w:before="100" w:beforeAutospacing="1" w:after="100" w:afterAutospacing="1"/>
      <w:jc w:val="left"/>
    </w:pPr>
    <w:rPr>
      <w:rFonts w:ascii="宋体" w:hAnsi="宋体" w:cs="宋体"/>
      <w:sz w:val="24"/>
    </w:rPr>
  </w:style>
  <w:style w:type="paragraph" w:customStyle="1" w:styleId="462">
    <w:name w:val="标题 11"/>
    <w:basedOn w:val="1"/>
    <w:qFormat/>
    <w:uiPriority w:val="1"/>
    <w:pPr>
      <w:spacing w:before="30"/>
      <w:ind w:left="664" w:right="665"/>
      <w:jc w:val="center"/>
      <w:outlineLvl w:val="1"/>
    </w:pPr>
    <w:rPr>
      <w:b/>
      <w:bCs/>
      <w:sz w:val="32"/>
      <w:szCs w:val="32"/>
    </w:rPr>
  </w:style>
  <w:style w:type="paragraph" w:customStyle="1" w:styleId="463">
    <w:name w:val="正文_13"/>
    <w:basedOn w:val="1"/>
    <w:qFormat/>
    <w:uiPriority w:val="0"/>
    <w:rPr>
      <w:szCs w:val="21"/>
    </w:rPr>
  </w:style>
  <w:style w:type="paragraph" w:customStyle="1" w:styleId="464">
    <w:name w:val="附录标题"/>
    <w:next w:val="1"/>
    <w:qFormat/>
    <w:uiPriority w:val="0"/>
    <w:pPr>
      <w:widowControl w:val="0"/>
      <w:spacing w:after="240"/>
      <w:outlineLvl w:val="0"/>
    </w:pPr>
    <w:rPr>
      <w:rFonts w:ascii="Times New Roman" w:hAnsi="Times New Roman" w:eastAsia="宋体" w:cs="Times New Roman"/>
      <w:b/>
      <w:sz w:val="24"/>
      <w:lang w:val="en-US" w:eastAsia="zh-CN" w:bidi="ar-SA"/>
    </w:rPr>
  </w:style>
  <w:style w:type="character" w:customStyle="1" w:styleId="465">
    <w:name w:val="htd0"/>
    <w:autoRedefine/>
    <w:qFormat/>
    <w:uiPriority w:val="0"/>
  </w:style>
  <w:style w:type="paragraph" w:customStyle="1" w:styleId="466">
    <w:name w:val="正文（缩进）"/>
    <w:basedOn w:val="1"/>
    <w:autoRedefine/>
    <w:qFormat/>
    <w:uiPriority w:val="0"/>
    <w:pPr>
      <w:spacing w:before="156" w:after="156"/>
      <w:ind w:firstLine="480" w:firstLineChars="200"/>
    </w:pPr>
  </w:style>
  <w:style w:type="character" w:customStyle="1" w:styleId="467">
    <w:name w:val="标题 1 Char"/>
    <w:basedOn w:val="48"/>
    <w:link w:val="2"/>
    <w:qFormat/>
    <w:uiPriority w:val="0"/>
    <w:rPr>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46</Pages>
  <Words>11965</Words>
  <Characters>12827</Characters>
  <Lines>204</Lines>
  <Paragraphs>57</Paragraphs>
  <TotalTime>2</TotalTime>
  <ScaleCrop>false</ScaleCrop>
  <LinksUpToDate>false</LinksUpToDate>
  <CharactersWithSpaces>12962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2024-05-14T07:55:00Z</dcterms:created>
  <dc:creator>admin</dc:creator>
  <cp:lastModifiedBy>Nie</cp:lastModifiedBy>
  <cp:lastPrinted>2026-06-09T03:08:00Z</cp:lastPrinted>
  <dcterms:modified xsi:type="dcterms:W3CDTF">2026-07-02T05:28:04Z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E383D4600A9A4F15BFA26D537ED1B562_13</vt:lpwstr>
  </property>
  <property fmtid="{D5CDD505-2E9C-101B-9397-08002B2CF9AE}" pid="4" name="KSOTemplateDocerSaveRecord">
    <vt:lpwstr>eyJoZGlkIjoiYjFiNjMyMzM4NzIwMmI3ODdiZDIyZTgwNGY5MjNmODgiLCJ1c2VySWQiOiIyNDUzOTE4ODIifQ==</vt:lpwstr>
  </property>
</Properties>
</file>