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i w:val="0"/>
          <w:iCs w:val="0"/>
          <w:caps w:val="0"/>
          <w:color w:val="333333"/>
          <w:spacing w:val="0"/>
          <w:sz w:val="30"/>
          <w:szCs w:val="30"/>
          <w:lang w:eastAsia="zh-CN"/>
        </w:rPr>
      </w:pPr>
      <w:r>
        <w:rPr>
          <w:rFonts w:hint="eastAsia" w:ascii="微软雅黑" w:hAnsi="微软雅黑" w:eastAsia="微软雅黑" w:cs="微软雅黑"/>
          <w:i w:val="0"/>
          <w:iCs w:val="0"/>
          <w:caps w:val="0"/>
          <w:color w:val="333333"/>
          <w:spacing w:val="0"/>
          <w:sz w:val="30"/>
          <w:szCs w:val="30"/>
        </w:rPr>
        <w:t>锁金村校区学生公寓智能电表系统采购</w:t>
      </w:r>
      <w:r>
        <w:rPr>
          <w:rFonts w:hint="eastAsia" w:ascii="微软雅黑" w:hAnsi="微软雅黑" w:eastAsia="微软雅黑" w:cs="微软雅黑"/>
          <w:i w:val="0"/>
          <w:iCs w:val="0"/>
          <w:caps w:val="0"/>
          <w:color w:val="333333"/>
          <w:spacing w:val="0"/>
          <w:sz w:val="30"/>
          <w:szCs w:val="30"/>
          <w:lang w:eastAsia="zh-CN"/>
        </w:rPr>
        <w:t>项目询价函</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aps w:val="0"/>
          <w:color w:val="333333"/>
          <w:spacing w:val="0"/>
          <w:sz w:val="21"/>
          <w:szCs w:val="21"/>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lang w:eastAsia="zh-CN"/>
        </w:rPr>
        <w:t>一、项目情况说明</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1、学生公寓情况描述及改造要求具体情况如下：</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学生公寓为分层式结构，共计10层，目前电表集中安装在五层配电房内的配电柜内。由于校区学生公寓将会进行强电改造同时考虑后期房间增加空调，本次计划改造将原有强电线路进行改造，并在每个宿舍门口安装电表箱，箱内配置双回路智能远程预付费电表，电表主通道控制房间照明插座用电，副通道控制空调用电。</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2、具体实施规划：</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学生公寓电表原先为集中安装，但由于房间内空间过于紧凑，同时也考虑到便于学生查看本房间电表的剩余电量，计划将在每个学生宿舍门口外墙上各安装一只电表箱，并将电表分散安装在各房间门口的电表箱内（一户一表）。每层电表通过485信号线手拉手连接至该楼层采集器上。根据该楼栋电表的实际数量计划整栋楼每层安装一台采集器对电表进行数据采集，并将采集器集中安装在一层大厅外墙上的数据网关箱内，通过数据网关连接到校园网或服务器内（如需连接入校园网需要学校提供校园网IP地址，通过校园网将数据传输到服务器内）。</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3、质保期：二年</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4、计划工期：30日历日</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5、工程地址：南京市玄武区龙蟠路177号南京邮电大学锁金村校区</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6、预算价格：17万元。</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二、项目设计说明：</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1、技术标准参考要求</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本项目系统中各技术参数需严格按照以下标准执行：</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《电能表技术标准》GB/T 17215.701-2011、GB/T18460-2001</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《多功能电能表通信协议》DL/T645-1997/2007</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《智能电能表信息交换安全认证技术规范》Q/GDW  365-2009</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《民用建筑电气设计规范》JGJ/T16-92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《电气装置安装工程接地装置施工及验收规范》GB6510-92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《工业企业通讯接地设计规范》GBJ79-85</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《智能建筑弱电工程设计施工图集》GJBT-471</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《智能建筑设计标准》GB/T50314-2000</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《弱电工程通用技术标书》DG/TJ08-603-2002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《电气装置安装工程电缆线路施工及验收规范》GB50168-92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《建筑电气安装工程质量检验评定标准》GYT253-88</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"http://www.tc104.com/netshop/basket.asp?BookId=2" </w:instrTex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val="en-US" w:eastAsia="zh-CN"/>
        </w:rPr>
        <w:t>1和2级交流静止式有功电能表》GB/T 17215-2002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《1级和2级静止式交流有功电能表》GB/T 17215</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《仪器仪表包装用通用技术条件》GB/T 15464</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《电子式电能表》JJG 596</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bookmarkStart w:id="0" w:name="_Toc258483950"/>
      <w:r>
        <w:rPr>
          <w:rFonts w:hint="eastAsia" w:ascii="宋体" w:hAnsi="宋体" w:eastAsia="宋体" w:cs="宋体"/>
          <w:sz w:val="21"/>
          <w:szCs w:val="21"/>
          <w:lang w:val="en-US" w:eastAsia="zh-CN"/>
        </w:rPr>
        <w:t>《低压电力用户集中抄表系统技术条件</w:t>
      </w:r>
      <w:bookmarkEnd w:id="0"/>
      <w:r>
        <w:rPr>
          <w:rFonts w:hint="eastAsia" w:ascii="宋体" w:hAnsi="宋体" w:eastAsia="宋体" w:cs="宋体"/>
          <w:sz w:val="21"/>
          <w:szCs w:val="21"/>
          <w:lang w:val="en-US" w:eastAsia="zh-CN"/>
        </w:rPr>
        <w:t>》DL/T 698－1999</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bookmarkStart w:id="1" w:name="_Toc258483951"/>
      <w:r>
        <w:rPr>
          <w:rFonts w:hint="eastAsia" w:ascii="宋体" w:hAnsi="宋体" w:eastAsia="宋体" w:cs="宋体"/>
          <w:sz w:val="21"/>
          <w:szCs w:val="21"/>
          <w:lang w:val="en-US" w:eastAsia="zh-CN"/>
        </w:rPr>
        <w:t>《无线电干扰和抗扰度测量设备规范</w:t>
      </w:r>
      <w:bookmarkEnd w:id="1"/>
      <w:r>
        <w:rPr>
          <w:rFonts w:hint="eastAsia" w:ascii="宋体" w:hAnsi="宋体" w:eastAsia="宋体" w:cs="宋体"/>
          <w:sz w:val="21"/>
          <w:szCs w:val="21"/>
          <w:lang w:val="en-US" w:eastAsia="zh-CN"/>
        </w:rPr>
        <w:t>》GB/T 6113－1995</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《电子计算机机房设计规范》GB50175-93</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《安全防范工程程序与要求》GA/T75-94</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《大楼通用综合布线系统》YD/T925.1-97</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国家、省市相关标准、规范和文件的要求</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2、项目设计原则</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为使本系统达到技术成熟，经济实用，安全可靠，质量优良的要求，而且是不间断、全天候式的，设计中应遵循以下原则：</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（1）可靠性：采用成熟的技术产品，以免因可避免的事故造成损失。在设备选型和系统设计中应该尽量提高系统的计量准确性、可靠性与易维护性。</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（2）稳定性：要求产品从电子元器件到产品成品本身的工作性能都非常稳定，满足长年工作的要求。</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（3）实用及先进性：在投资费用许可的情况下，系统应当采用先进的技术和设备，一方面能反映系统所具有的先进水平，另一方面又使系统具有强大的发展潜力，以便该系统在长时间内与社会发展相适应。</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（4）安全性：其本身的安全性能不可忽视，系统设计时，必须采取多种手段防止本系统各种形式与途径的非法破坏，包括与各网络的恶意破坏。</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（5）可扩充性：系统设计时应充分考虑今后的发展需要，系统应具有预备容量的扩充与升级换代的可能。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规范及兼容性：由于本系统是一个严格的综合性系统，在系统的设计与施工过程中应参考各方面的标准与规范，严格遵从各项技术规定，做好系统的标准化设计与施工，同时应当兼容符合国家标准的同类产品。</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三、实现目标：</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1、实现公寓房间用电在线计量显示，实时了解宿舍用电情况，防止用电故障发生；实现用电预付费模式，能够远程抄表、控制，统一断送电，实现学校管理部门的需要；</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必须和我校现有学生宿舍电表计量收费控制系统无缝兼容，实现在原有系统平台数据监测、负荷控制、远程预付费、远程阀控、恶性负载识别、透支、用电异常查询、网络支付、系统管理，报表服务、系统维护等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3、与校一卡通系统对接，最终实现校园一卡通自助充值和在线查询；</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bookmarkStart w:id="2" w:name="_Toc258483958"/>
      <w:bookmarkStart w:id="3" w:name="_Toc351620852"/>
      <w:bookmarkStart w:id="4" w:name="_Toc150763815"/>
      <w:r>
        <w:rPr>
          <w:rFonts w:hint="eastAsia" w:ascii="宋体" w:hAnsi="宋体" w:eastAsia="宋体" w:cs="宋体"/>
          <w:sz w:val="21"/>
          <w:szCs w:val="21"/>
          <w:lang w:val="en-US" w:eastAsia="zh-CN"/>
        </w:rPr>
        <w:t>四、设备功能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1、RS485远程电能表</w:t>
      </w:r>
      <w:bookmarkEnd w:id="2"/>
      <w:bookmarkEnd w:id="3"/>
      <w:bookmarkEnd w:id="4"/>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1.1、概   述</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DS395单相电子式电能表，按GB/T17215.321－2008标准进行生产，用于测量额定频率为50Hz（或60Hz），额定电压为220V的单相交流有功电能。该电能表还具备集抄管理功能。电能表采用计量电能的专用大规模集成电路及SMT技术，以确保计量精度和可靠性。该系列电能表使用LCD显示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1.2、产品主要功能产品主要功能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★计量及显示功能：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电表可计量正、反向有功电能，反向电能按正向累计；电表循环显示当前累计用电量和剩余电量，每屏显示时间为5 秒；当出现过载时，轮显会显示SUP_ _。</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★预付费功能：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采用预付费使用模式，剩余电量用完后电表立即切断电源停止供电，缴费后即可恢复供电；可设置透支功能。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★集中控制功能（双回路输出）：</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可单独（或集中）远程进行通断电控制，实现管理部门对电表不同通道的分开管理控制功能。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★负荷控制功能：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电表的总负荷可以根据需要可以灵活设置，同时每个回路的负荷也可以单独设置。</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★过载识别功能：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当用电回路中出现超负荷并持续约2分钟后，插座回路和照明回路的继电器同时断电，约3 分钟后，两个回路自动恢复合闸。</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★统一断送电功能：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根据管理要求，在系统设定好每天停送电的时间点（管理员一次设定，系统自动运行），系统到时点自动切断某一回路电源，不影响另一回路正常用电，同时到设定时间自动恢复供电。</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★集抄管理功能：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具备标准485总线接口（DL/T645多功能电能表通信规约），可通过485通讯的方式对电能表进行参数设置、抄收当前电量、设置恶性负载参数及负荷参数等集抄集控功能（波特率1200bps）。</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★透支功能：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当剩余电量≤0 时，用户电表分闸，特殊情况时，管理者可通过发出透支用电命令使电表合闸，用户可继续用电，直到达到允许透支用电量的额度时，电能表再次分闸。</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★退购功能：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在学生换房等特殊需要时，电表可执行退购功能，将电表的用电信息清零，便于学生账务结算同时保证新学生用电重新计量。</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2、RS485采集查询终端</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集抄集控用电管理系统RS485采集终端采用先进的微处理技术，用于多用户（最多可达32块电表）有功电能表抄表，并具备了RS485通信集抄、集控、预付费管理功能，具有用户过载断电功能。预付费功能和通信规约参考GB/T18460-2001和DL/T645－1997标准。</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主要功能</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多用户电量的集中计量及保存。</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★具有与上位机通讯功能，通讯规约符合原系统 “公寓楼集控系统通信协议”。</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★具有预付费功能，可保存32户电表的剩余电量；用户剩余电量为负，并超过最大透支电量时，使该用户断电。最大透支电量可由上位机设定。</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★剩余电量为负后继续用电量，剩余电量自动往负向累计；用户购买电量后自动冲减。</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★具有集抄、集控功能；上位机可对用户用电信息随时读取、统计分析，并可进行人为控制，上位机可随时发出命令使用户断电。</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★具有过载断电功能。用户负载功率连续大于最大负荷功率时自动断电。最大负荷功率可由上位机设定。</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3、智能数据网关</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3.1、通过专门针对电表数据系统设计的智能数据网关，实现对楼层所有电表（水表）的数据采集、缓存、数据转换、协议转换等，完成本地处理后，将数据封装后提交给服务器。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3.2、现场数据采集模式：智能数据网关通过现场总线与现场智能数字电表（水表）构成一个完整的现场数据采集系统；具体数据采集间隔时间可根据现场实际情况设定。</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3.3、数据的远程上传模式：智能数据网关实时地采集到现场智能数字电表（水表）数据后，可首先按条件对数据进行预处理，对于条件的数据，立即上传到监控中心，实现水电管理数据记录存档和统计分析。</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3.4、智能数据网关全部采用工业级低功耗元器件，并采用大容量的数据存贮器，可保存至少1周历史数据（与采集的电表数量和采集数据的间隔时间的长短有关）。</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3.5、本系统的应用软件和安装在现场的智能数据网关之间建立有一种数据完整性自动维护机制，从而保证了系统数据的100%完整性。</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3.6、智能数据网关运行可靠、操作安装方便、免于维护、自诊断自恢复、能抗击各种干扰。</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3.7、具有独立集中远程管理功能，具有本地接口和Web配置/维护功能，提供集中配置管理的专用软件</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3.8、看门狗功能：当受到工业强干扰时，能够自动复位，避免死机现象发生。</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3.9、多线程工作：支持多线程，提高数据传输速度。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主要技术参数</w:t>
      </w:r>
    </w:p>
    <w:tbl>
      <w:tblPr>
        <w:tblStyle w:val="6"/>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7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对水、电表数据的现场采集、本地存储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数据的实时远程传输、历史远程传输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对终端参数的远程配置、本地配置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对终端的远程诊断、校时、故障恢复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功耗：≤10W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工作温度：-5～60℃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相对湿度：0～90﹪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平均无故障时间：≥10000小时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遵从RS485电气协议和Ethernet数据传输协议标准规定，支持DL/T645-1997、CJ/T188-2004、MODBUS标准的通信协议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数据采集通讯接口（RS485）：1组接口可同时接6种协议的仪表，</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MBUS (可选)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连接水电表数：每个接口不少于32台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数据采样周期：≤60S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数据采集、处理存贮部分和数据通信完全电气隔离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缓存容量：2 MB FLASH存贮器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368"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4631" w:type="pct"/>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网络数据通讯接口：1个</w:t>
            </w:r>
          </w:p>
        </w:tc>
      </w:tr>
    </w:tbl>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4、服务器</w:t>
      </w:r>
      <w:r>
        <w:rPr>
          <w:rFonts w:hint="eastAsia" w:ascii="宋体" w:hAnsi="宋体" w:eastAsia="宋体" w:cs="宋体"/>
          <w:sz w:val="21"/>
          <w:szCs w:val="21"/>
          <w:lang w:val="en-US" w:eastAsia="zh-CN"/>
        </w:rPr>
        <w:br w:type="textWrapping"/>
      </w:r>
      <w:r>
        <w:rPr>
          <w:rFonts w:hint="default" w:ascii="宋体" w:hAnsi="宋体" w:eastAsia="宋体" w:cs="宋体"/>
          <w:sz w:val="21"/>
          <w:szCs w:val="21"/>
          <w:lang w:val="en-US" w:eastAsia="zh-CN"/>
        </w:rPr>
        <w:t>4210R*2\64G内存\2.4G机械盘10000转*3\P408i-a 2G\800W*2</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五、评标办法</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评标工作组将对确定为实质性响应磋商文件要求的磋商响应文件进行评价和比较，评标采用综合评分法。对未中标人，将不作任何解释。</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本项目采用综合评分法，按评审后得分（精确到小数点后两位数）由高到低顺序排列，确定中标候选人。得分相同的，按投标报价由低到高顺序排列。得分且投标报价相同的，按维保方案优劣顺序排列。</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二、评标标准</w:t>
      </w:r>
    </w:p>
    <w:tbl>
      <w:tblPr>
        <w:tblStyle w:val="6"/>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678"/>
        <w:gridCol w:w="6478"/>
        <w:gridCol w:w="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6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评审</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因素</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评审标准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满足磋商文件要求且投标价格最低的投标报价为评标基准价，其价格分为满分。其他供应商的价格分统一按照下列公式计算：</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投标报价得分=(评标基准价／投标报价)×40</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678" w:type="dxa"/>
            <w:vMerge w:val="restart"/>
            <w:tcBorders>
              <w:top w:val="single" w:color="auto" w:sz="4" w:space="0"/>
              <w:left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技术响应</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备技术参数全部满足招标要求的得满分14分；在此基础上，招标文件中标注“★”的内容为实质性要求，有一项不符合的，作无效投标处理；招标文件中标注斜体下划线的为重要参数，对这些重要参数负偏离的，则每项扣3分，其他非重要参数负偏离的，则每项扣1分，扣完为止。</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678" w:type="dxa"/>
            <w:vMerge w:val="continue"/>
            <w:tcBorders>
              <w:left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项目对接方案（8分）</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根据供应商提供的项目对接方案综合打分（方案必须体现与学校既有的学生宿舍收费管理系统保证无缝对接，同时保证扩展、升级后平台的稳定性、可靠性及扩展性等）。</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项目对接方案完整、清晰，完全满足或优于上述要求得8分；</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项目对接方案较完整、较清晰，基本能够满足上述要求得5分；</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项目对接方案整体一般得3分；</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项目对接方案欠合理或无方案不得分。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678" w:type="dxa"/>
            <w:vMerge w:val="continue"/>
            <w:tcBorders>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产品可靠性（8）</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提供投标计量表计具备计量器具型式批准证书，加1分。</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制造商ISO9001资质证明文件和安全生产许可证证书，加1分。提供电能表产品具有长寿命智能电能表、负荷开关通断识别电路、低功耗单相费控智能电能表、带停电事件上报功能模块的电能表实用新型专利证书的，每提供一份得1.5分，最高6分，（须提供证书复印件，并加盖公章）不提供不得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6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公司实力</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具有</w:t>
            </w:r>
            <w:bookmarkStart w:id="5" w:name="_Hlk14092947"/>
            <w:r>
              <w:rPr>
                <w:rFonts w:hint="eastAsia" w:ascii="宋体" w:hAnsi="宋体" w:eastAsia="宋体" w:cs="宋体"/>
                <w:sz w:val="21"/>
                <w:szCs w:val="21"/>
                <w:lang w:val="en-US" w:eastAsia="zh-CN"/>
              </w:rPr>
              <w:t>智慧能源电能预付费管理系统、远程控制管理系统、智能用电收费管理系统、能源监管系统相关软件著作权（证书）</w:t>
            </w:r>
            <w:bookmarkEnd w:id="5"/>
            <w:r>
              <w:rPr>
                <w:rFonts w:hint="eastAsia" w:ascii="宋体" w:hAnsi="宋体" w:eastAsia="宋体" w:cs="宋体"/>
                <w:sz w:val="21"/>
                <w:szCs w:val="21"/>
                <w:lang w:val="en-US" w:eastAsia="zh-CN"/>
              </w:rPr>
              <w:t>，每提供一份得2分，最高8分，（须提供证书复印件，并加盖公章）不提供不得分。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w:t>
            </w:r>
          </w:p>
        </w:tc>
        <w:tc>
          <w:tcPr>
            <w:tcW w:w="678" w:type="dxa"/>
            <w:vMerge w:val="restar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售后服务</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根据供应商提供的售后服务方案（如服务体系、服务内容、故障解决方案、响应时间、专业技术人员保障及服务电话等）及培训方案等打分，完善且贴近采购人需求得3分，一般得1分，未描述得0分。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4.2</w:t>
            </w:r>
          </w:p>
        </w:tc>
        <w:tc>
          <w:tcPr>
            <w:tcW w:w="678" w:type="dxa"/>
            <w:vMerge w:val="continue"/>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提供在南京及周边地区的售后服务机构及人员配置情况，具有南京本地售后技术服务响应能力（需附承诺书），保证现场服务响应时间小于4小时（需附承诺书））</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6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bookmarkStart w:id="6" w:name="_Hlk14101936"/>
            <w:r>
              <w:rPr>
                <w:rFonts w:hint="eastAsia" w:ascii="宋体" w:hAnsi="宋体" w:eastAsia="宋体" w:cs="宋体"/>
                <w:sz w:val="21"/>
                <w:szCs w:val="21"/>
                <w:lang w:val="en-US" w:eastAsia="zh-CN"/>
              </w:rPr>
              <w:t>实施方案</w:t>
            </w:r>
            <w:bookmarkEnd w:id="6"/>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评委根据实施方案是否贴近用户实际需求给分，实施方案具体、可实施性强、贴近用户需求得5分，实施方案一般、略有瑕疵得3分；实施方案较差、不切实际得0分。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w:t>
            </w:r>
          </w:p>
        </w:tc>
        <w:tc>
          <w:tcPr>
            <w:tcW w:w="678" w:type="dxa"/>
            <w:vMerge w:val="restart"/>
            <w:tcBorders>
              <w:top w:val="single" w:color="auto" w:sz="4" w:space="0"/>
              <w:left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业绩</w:t>
            </w: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2017年1月1日至今供应商有过类似项目成功案例（</w:t>
            </w:r>
            <w:bookmarkStart w:id="7" w:name="_Hlk14101037"/>
            <w:r>
              <w:rPr>
                <w:rFonts w:hint="eastAsia" w:ascii="宋体" w:hAnsi="宋体" w:eastAsia="宋体" w:cs="宋体"/>
                <w:sz w:val="21"/>
                <w:szCs w:val="21"/>
                <w:lang w:val="en-US" w:eastAsia="zh-CN"/>
              </w:rPr>
              <w:t>单相远程控制电能表</w:t>
            </w:r>
            <w:bookmarkEnd w:id="7"/>
            <w:r>
              <w:rPr>
                <w:rFonts w:hint="eastAsia" w:ascii="宋体" w:hAnsi="宋体" w:eastAsia="宋体" w:cs="宋体"/>
                <w:sz w:val="21"/>
                <w:szCs w:val="21"/>
                <w:lang w:val="en-US" w:eastAsia="zh-CN"/>
              </w:rPr>
              <w:t>）（以合同复印件加盖公章为准），提供一个得1分，最高6分，不提供不得分。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w:t>
            </w:r>
          </w:p>
        </w:tc>
        <w:tc>
          <w:tcPr>
            <w:tcW w:w="678" w:type="dxa"/>
            <w:vMerge w:val="continue"/>
            <w:tcBorders>
              <w:left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p>
        </w:tc>
        <w:tc>
          <w:tcPr>
            <w:tcW w:w="647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2017年1月1日至今供应商有过</w:t>
            </w:r>
            <w:bookmarkStart w:id="8" w:name="_Hlk14107895"/>
            <w:r>
              <w:rPr>
                <w:rFonts w:hint="eastAsia" w:ascii="宋体" w:hAnsi="宋体" w:eastAsia="宋体" w:cs="宋体"/>
                <w:sz w:val="21"/>
                <w:szCs w:val="21"/>
                <w:lang w:val="en-US" w:eastAsia="zh-CN"/>
              </w:rPr>
              <w:t>类似项目维保合同</w:t>
            </w:r>
            <w:bookmarkEnd w:id="8"/>
            <w:r>
              <w:rPr>
                <w:rFonts w:hint="eastAsia" w:ascii="宋体" w:hAnsi="宋体" w:eastAsia="宋体" w:cs="宋体"/>
                <w:sz w:val="21"/>
                <w:szCs w:val="21"/>
                <w:lang w:val="en-US" w:eastAsia="zh-CN"/>
              </w:rPr>
              <w:t>（集控集抄系统或类似电控管理系统维保合同，以合同复印件加盖公章为准），提供一个得1分，最高6分不提供不得分。</w:t>
            </w:r>
          </w:p>
        </w:tc>
        <w:tc>
          <w:tcPr>
            <w:tcW w:w="589"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r>
    </w:tbl>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sz w:val="21"/>
          <w:szCs w:val="21"/>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六、报价清单</w:t>
      </w:r>
    </w:p>
    <w:tbl>
      <w:tblPr>
        <w:tblStyle w:val="6"/>
        <w:tblpPr w:leftFromText="180" w:rightFromText="180" w:vertAnchor="text" w:horzAnchor="page" w:tblpX="1976" w:tblpY="371"/>
        <w:tblOverlap w:val="never"/>
        <w:tblW w:w="8349" w:type="dxa"/>
        <w:tblInd w:w="0" w:type="dxa"/>
        <w:tblLayout w:type="autofit"/>
        <w:tblCellMar>
          <w:top w:w="0" w:type="dxa"/>
          <w:left w:w="108" w:type="dxa"/>
          <w:bottom w:w="0" w:type="dxa"/>
          <w:right w:w="108" w:type="dxa"/>
        </w:tblCellMar>
      </w:tblPr>
      <w:tblGrid>
        <w:gridCol w:w="595"/>
        <w:gridCol w:w="1769"/>
        <w:gridCol w:w="1858"/>
        <w:gridCol w:w="615"/>
        <w:gridCol w:w="704"/>
        <w:gridCol w:w="1084"/>
        <w:gridCol w:w="693"/>
        <w:gridCol w:w="1031"/>
      </w:tblGrid>
      <w:tr>
        <w:tblPrEx>
          <w:tblCellMar>
            <w:top w:w="0" w:type="dxa"/>
            <w:left w:w="108" w:type="dxa"/>
            <w:bottom w:w="0" w:type="dxa"/>
            <w:right w:w="108" w:type="dxa"/>
          </w:tblCellMar>
        </w:tblPrEx>
        <w:trPr>
          <w:trHeight w:val="583" w:hRule="atLeast"/>
        </w:trPr>
        <w:tc>
          <w:tcPr>
            <w:tcW w:w="595" w:type="dxa"/>
            <w:tcBorders>
              <w:top w:val="single" w:color="auto" w:sz="4" w:space="0"/>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序号</w:t>
            </w:r>
          </w:p>
        </w:tc>
        <w:tc>
          <w:tcPr>
            <w:tcW w:w="1769"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产品名称</w:t>
            </w:r>
          </w:p>
        </w:tc>
        <w:tc>
          <w:tcPr>
            <w:tcW w:w="1858"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规格型号</w:t>
            </w:r>
          </w:p>
        </w:tc>
        <w:tc>
          <w:tcPr>
            <w:tcW w:w="615"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单位</w:t>
            </w:r>
          </w:p>
        </w:tc>
        <w:tc>
          <w:tcPr>
            <w:tcW w:w="704"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数量</w:t>
            </w:r>
          </w:p>
        </w:tc>
        <w:tc>
          <w:tcPr>
            <w:tcW w:w="1084"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综合单价</w:t>
            </w:r>
          </w:p>
        </w:tc>
        <w:tc>
          <w:tcPr>
            <w:tcW w:w="693"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金额</w:t>
            </w:r>
          </w:p>
        </w:tc>
        <w:tc>
          <w:tcPr>
            <w:tcW w:w="1031" w:type="dxa"/>
            <w:tcBorders>
              <w:top w:val="single" w:color="auto" w:sz="4" w:space="0"/>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备注</w:t>
            </w:r>
          </w:p>
        </w:tc>
      </w:tr>
      <w:tr>
        <w:tblPrEx>
          <w:tblCellMar>
            <w:top w:w="0" w:type="dxa"/>
            <w:left w:w="108" w:type="dxa"/>
            <w:bottom w:w="0" w:type="dxa"/>
            <w:right w:w="108" w:type="dxa"/>
          </w:tblCellMar>
        </w:tblPrEx>
        <w:trPr>
          <w:trHeight w:val="572"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单相双回路智能电表</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DDS395 5（40）A</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只</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178</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422"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2</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采集器</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SF64C</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只</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5</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445"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3</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数据网关</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SF-E485-II</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台</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422"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4</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采集器箱（含电源）</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800*600*150</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台</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388"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5</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485信号线</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RVVP 2*0.75mm</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米</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2500</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376"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6</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网络线</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超五类</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米</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100</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376"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7</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PVC线管</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DN20</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米</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1500</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410"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8</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旧电表拆除</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只</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178</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r>
      <w:tr>
        <w:tblPrEx>
          <w:tblCellMar>
            <w:top w:w="0" w:type="dxa"/>
            <w:left w:w="108" w:type="dxa"/>
            <w:bottom w:w="0" w:type="dxa"/>
            <w:right w:w="108" w:type="dxa"/>
          </w:tblCellMar>
        </w:tblPrEx>
        <w:trPr>
          <w:trHeight w:val="410"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9</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系统调试及接入费</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套</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r>
      <w:tr>
        <w:tblPrEx>
          <w:tblCellMar>
            <w:top w:w="0" w:type="dxa"/>
            <w:left w:w="108" w:type="dxa"/>
            <w:bottom w:w="0" w:type="dxa"/>
            <w:right w:w="108" w:type="dxa"/>
          </w:tblCellMar>
        </w:tblPrEx>
        <w:trPr>
          <w:trHeight w:val="443"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10</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服务器</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台</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1</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r>
      <w:tr>
        <w:tblPrEx>
          <w:tblCellMar>
            <w:top w:w="0" w:type="dxa"/>
            <w:left w:w="108" w:type="dxa"/>
            <w:bottom w:w="0" w:type="dxa"/>
            <w:right w:w="108" w:type="dxa"/>
          </w:tblCellMar>
        </w:tblPrEx>
        <w:trPr>
          <w:trHeight w:val="443"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11</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ONU</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只</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w:t>
            </w:r>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443"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12</w:t>
            </w:r>
          </w:p>
        </w:tc>
        <w:tc>
          <w:tcPr>
            <w:tcW w:w="1769"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光纤跳线</w:t>
            </w:r>
          </w:p>
        </w:tc>
        <w:tc>
          <w:tcPr>
            <w:tcW w:w="1858"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SC-LC</w:t>
            </w:r>
          </w:p>
        </w:tc>
        <w:tc>
          <w:tcPr>
            <w:tcW w:w="615"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对</w:t>
            </w:r>
          </w:p>
        </w:tc>
        <w:tc>
          <w:tcPr>
            <w:tcW w:w="70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4</w:t>
            </w:r>
            <w:bookmarkStart w:id="9" w:name="_GoBack"/>
            <w:bookmarkEnd w:id="9"/>
          </w:p>
        </w:tc>
        <w:tc>
          <w:tcPr>
            <w:tcW w:w="1084"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r>
      <w:tr>
        <w:tblPrEx>
          <w:tblCellMar>
            <w:top w:w="0" w:type="dxa"/>
            <w:left w:w="108" w:type="dxa"/>
            <w:bottom w:w="0" w:type="dxa"/>
            <w:right w:w="108" w:type="dxa"/>
          </w:tblCellMar>
        </w:tblPrEx>
        <w:trPr>
          <w:trHeight w:val="572" w:hRule="atLeast"/>
        </w:trPr>
        <w:tc>
          <w:tcPr>
            <w:tcW w:w="595" w:type="dxa"/>
            <w:tcBorders>
              <w:top w:val="nil"/>
              <w:left w:val="single" w:color="auto" w:sz="4" w:space="0"/>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合计</w:t>
            </w:r>
          </w:p>
        </w:tc>
        <w:tc>
          <w:tcPr>
            <w:tcW w:w="6030" w:type="dxa"/>
            <w:gridSpan w:val="5"/>
            <w:tcBorders>
              <w:top w:val="single" w:color="auto" w:sz="4" w:space="0"/>
              <w:left w:val="nil"/>
              <w:bottom w:val="single" w:color="auto" w:sz="4" w:space="0"/>
              <w:right w:val="single" w:color="000000"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人民币（大写）：</w:t>
            </w:r>
          </w:p>
        </w:tc>
        <w:tc>
          <w:tcPr>
            <w:tcW w:w="693"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p>
        </w:tc>
        <w:tc>
          <w:tcPr>
            <w:tcW w:w="1031" w:type="dxa"/>
            <w:tcBorders>
              <w:top w:val="nil"/>
              <w:left w:val="nil"/>
              <w:bottom w:val="single" w:color="auto" w:sz="4" w:space="0"/>
              <w:right w:val="single" w:color="auto" w:sz="4" w:space="0"/>
            </w:tcBorders>
            <w:shd w:val="clear" w:color="auto" w:fill="auto"/>
            <w:vAlign w:val="bottom"/>
          </w:tcPr>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　</w:t>
            </w:r>
          </w:p>
        </w:tc>
      </w:tr>
    </w:tbl>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aps w:val="0"/>
          <w:color w:val="333333"/>
          <w:spacing w:val="0"/>
          <w:sz w:val="21"/>
          <w:szCs w:val="21"/>
          <w:lang w:eastAsia="zh-CN"/>
        </w:rPr>
      </w:pPr>
    </w:p>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aps w:val="0"/>
          <w:color w:val="333333"/>
          <w:spacing w:val="0"/>
          <w:sz w:val="21"/>
          <w:szCs w:val="21"/>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049E6"/>
    <w:rsid w:val="1CBB167F"/>
    <w:rsid w:val="1E982903"/>
    <w:rsid w:val="2D156EAB"/>
    <w:rsid w:val="2D53426F"/>
    <w:rsid w:val="2EFD0CD7"/>
    <w:rsid w:val="365D5F63"/>
    <w:rsid w:val="3A171EE9"/>
    <w:rsid w:val="476402DF"/>
    <w:rsid w:val="49416DA7"/>
    <w:rsid w:val="523E4868"/>
    <w:rsid w:val="5BF97539"/>
    <w:rsid w:val="5C2E42FD"/>
    <w:rsid w:val="5CCD11EB"/>
    <w:rsid w:val="5DE5027E"/>
    <w:rsid w:val="67A07B79"/>
    <w:rsid w:val="6F086562"/>
    <w:rsid w:val="71B119E6"/>
    <w:rsid w:val="77415601"/>
    <w:rsid w:val="78077144"/>
    <w:rsid w:val="786A28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560" w:lineRule="exact"/>
      <w:jc w:val="both"/>
    </w:pPr>
    <w:rPr>
      <w:rFonts w:ascii="Times New Roman" w:hAnsi="Times New Roman" w:eastAsia="仿宋" w:cs="宋体"/>
      <w:bCs/>
      <w:kern w:val="2"/>
      <w:sz w:val="32"/>
      <w:szCs w:val="2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next w:val="4"/>
    <w:unhideWhenUsed/>
    <w:qFormat/>
    <w:uiPriority w:val="99"/>
    <w:pPr>
      <w:spacing w:after="120"/>
      <w:ind w:left="420" w:leftChars="200"/>
    </w:pPr>
  </w:style>
  <w:style w:type="paragraph" w:styleId="4">
    <w:name w:val="envelope return"/>
    <w:basedOn w:val="1"/>
    <w:qFormat/>
    <w:uiPriority w:val="99"/>
    <w:pPr>
      <w:snapToGrid w:val="0"/>
    </w:pPr>
    <w:rPr>
      <w:rFonts w:ascii="Arial" w:hAnsi="Arial" w:cs="Arial"/>
    </w:rPr>
  </w:style>
  <w:style w:type="paragraph" w:styleId="5">
    <w:name w:val="Plain Text"/>
    <w:basedOn w:val="1"/>
    <w:qFormat/>
    <w:uiPriority w:val="0"/>
    <w:rPr>
      <w:rFonts w:ascii="宋体" w:hAnsi="Courier New" w:cs="Courier New"/>
    </w:rPr>
  </w:style>
  <w:style w:type="paragraph" w:styleId="8">
    <w:name w:val="List Paragraph"/>
    <w:basedOn w:val="1"/>
    <w:qFormat/>
    <w:uiPriority w:val="34"/>
    <w:pPr>
      <w:ind w:firstLine="420" w:firstLineChars="200"/>
    </w:pPr>
    <w:rPr>
      <w:kern w:val="0"/>
      <w:sz w:val="20"/>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2021-04-23T02:01:00Z</dcterms:created>
  <dc:creator>Administrator</dc:creator>
  <cp:lastModifiedBy>菲翔的鱼</cp:lastModifiedBy>
  <dcterms:modified xsi:type="dcterms:W3CDTF">2021-06-28T00:52:55Z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02BE926A90E3491397D5D3B10389A204</vt:lpwstr>
  </property>
</Properties>
</file>