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1F8D2">
      <w:pPr>
        <w:spacing w:line="360" w:lineRule="auto"/>
        <w:jc w:val="center"/>
        <w:rPr>
          <w:rFonts w:hint="eastAsia" w:ascii="宋体" w:hAnsi="宋体"/>
          <w:b/>
          <w:sz w:val="44"/>
          <w:shd w:val="clear" w:color="auto" w:fill="FFFFFF"/>
        </w:rPr>
      </w:pPr>
    </w:p>
    <w:p w14:paraId="3E63779E">
      <w:pPr>
        <w:jc w:val="center"/>
        <w:rPr>
          <w:rFonts w:hint="eastAsia" w:ascii="宋体" w:hAnsi="宋体" w:cs="宋体"/>
          <w:b/>
          <w:sz w:val="44"/>
          <w:shd w:val="clear" w:color="auto" w:fill="FFFFFF"/>
        </w:rPr>
      </w:pPr>
      <w:r>
        <w:rPr>
          <w:rFonts w:hint="eastAsia" w:ascii="宋体" w:hAnsi="宋体" w:cs="宋体"/>
          <w:b/>
          <w:sz w:val="44"/>
          <w:shd w:val="clear" w:color="auto" w:fill="FFFFFF"/>
        </w:rPr>
        <w:t>南京邮电大学</w:t>
      </w:r>
    </w:p>
    <w:p w14:paraId="08F0AE63">
      <w:pPr>
        <w:jc w:val="center"/>
        <w:rPr>
          <w:rFonts w:hint="eastAsia" w:ascii="宋体" w:hAnsi="宋体" w:cs="宋体"/>
          <w:b/>
          <w:sz w:val="32"/>
          <w:shd w:val="clear" w:color="auto" w:fill="FFFFFF"/>
        </w:rPr>
      </w:pPr>
      <w:r>
        <w:rPr>
          <w:rFonts w:hint="eastAsia" w:ascii="宋体" w:hAnsi="宋体" w:cs="宋体"/>
          <w:b/>
          <w:sz w:val="44"/>
          <w:shd w:val="clear" w:color="auto" w:fill="FFFFFF"/>
        </w:rPr>
        <w:t xml:space="preserve">电子与光学工程学院、柔性电子未来技术学院定制变温磁铁平台采购 </w:t>
      </w:r>
    </w:p>
    <w:p w14:paraId="145EB21B">
      <w:pPr>
        <w:pStyle w:val="16"/>
        <w:ind w:firstLine="480"/>
        <w:jc w:val="center"/>
        <w:rPr>
          <w:rFonts w:hint="eastAsia" w:ascii="宋体" w:hAnsi="宋体"/>
        </w:rPr>
      </w:pPr>
    </w:p>
    <w:p w14:paraId="0FE37ABF">
      <w:pPr>
        <w:pStyle w:val="16"/>
        <w:ind w:firstLine="480"/>
        <w:jc w:val="center"/>
        <w:rPr>
          <w:rFonts w:hint="eastAsia" w:ascii="宋体" w:hAnsi="宋体"/>
        </w:rPr>
      </w:pPr>
    </w:p>
    <w:p w14:paraId="24E8A90F">
      <w:pPr>
        <w:pStyle w:val="16"/>
        <w:ind w:firstLine="480"/>
        <w:jc w:val="center"/>
        <w:rPr>
          <w:rFonts w:hint="eastAsia" w:ascii="宋体" w:hAnsi="宋体"/>
        </w:rPr>
      </w:pPr>
    </w:p>
    <w:p w14:paraId="0CAA7CB8">
      <w:pPr>
        <w:spacing w:line="360" w:lineRule="auto"/>
        <w:jc w:val="center"/>
        <w:rPr>
          <w:rFonts w:hint="eastAsia" w:ascii="宋体" w:hAnsi="宋体" w:cs="宋体"/>
          <w:b/>
          <w:sz w:val="32"/>
          <w:shd w:val="clear" w:color="auto" w:fill="FFFFFF"/>
        </w:rPr>
      </w:pPr>
    </w:p>
    <w:p w14:paraId="037F5146">
      <w:pPr>
        <w:spacing w:line="360" w:lineRule="auto"/>
        <w:jc w:val="center"/>
        <w:rPr>
          <w:rFonts w:hint="eastAsia" w:ascii="宋体" w:hAnsi="宋体" w:cs="宋体"/>
          <w:b/>
          <w:sz w:val="32"/>
          <w:shd w:val="clear" w:color="auto" w:fill="FFFFFF"/>
        </w:rPr>
      </w:pPr>
    </w:p>
    <w:p w14:paraId="465DA745">
      <w:pPr>
        <w:spacing w:line="360" w:lineRule="auto"/>
        <w:jc w:val="center"/>
        <w:rPr>
          <w:rFonts w:hint="eastAsia" w:ascii="宋体" w:hAnsi="宋体" w:cs="宋体"/>
          <w:b/>
          <w:sz w:val="72"/>
        </w:rPr>
      </w:pPr>
      <w:r>
        <w:rPr>
          <w:rFonts w:hint="eastAsia" w:ascii="宋体" w:hAnsi="宋体" w:cs="宋体"/>
          <w:b/>
          <w:sz w:val="72"/>
        </w:rPr>
        <w:t>公开比选</w:t>
      </w:r>
      <w:r>
        <w:rPr>
          <w:rFonts w:ascii="宋体" w:hAnsi="宋体" w:cs="宋体"/>
          <w:b/>
          <w:sz w:val="72"/>
        </w:rPr>
        <w:t>文件</w:t>
      </w:r>
    </w:p>
    <w:p w14:paraId="11E6EECA">
      <w:pPr>
        <w:spacing w:line="360" w:lineRule="auto"/>
        <w:jc w:val="center"/>
        <w:rPr>
          <w:rFonts w:hint="eastAsia" w:ascii="宋体" w:hAnsi="宋体" w:cs="宋体"/>
          <w:b/>
          <w:sz w:val="28"/>
        </w:rPr>
      </w:pPr>
      <w:r>
        <w:rPr>
          <w:rFonts w:ascii="宋体" w:hAnsi="宋体" w:cs="宋体"/>
          <w:b/>
          <w:sz w:val="28"/>
        </w:rPr>
        <w:t>项目编号：</w:t>
      </w:r>
      <w:r>
        <w:rPr>
          <w:rFonts w:hint="eastAsia" w:ascii="宋体" w:hAnsi="宋体" w:cs="宋体"/>
          <w:b/>
          <w:sz w:val="28"/>
        </w:rPr>
        <w:t xml:space="preserve"> NYCG2026-H063 </w:t>
      </w:r>
    </w:p>
    <w:p w14:paraId="6363845C">
      <w:pPr>
        <w:spacing w:line="360" w:lineRule="auto"/>
        <w:jc w:val="center"/>
        <w:rPr>
          <w:rFonts w:hint="eastAsia" w:ascii="宋体" w:hAnsi="宋体" w:cs="宋体"/>
          <w:b/>
          <w:sz w:val="36"/>
        </w:rPr>
      </w:pPr>
    </w:p>
    <w:p w14:paraId="7BD9BA79">
      <w:pPr>
        <w:spacing w:line="360" w:lineRule="auto"/>
        <w:jc w:val="center"/>
        <w:rPr>
          <w:rFonts w:hint="eastAsia" w:ascii="宋体" w:hAnsi="宋体" w:cs="宋体"/>
          <w:b/>
          <w:sz w:val="36"/>
        </w:rPr>
      </w:pPr>
    </w:p>
    <w:p w14:paraId="6AD3BA3A">
      <w:pPr>
        <w:spacing w:line="360" w:lineRule="auto"/>
        <w:jc w:val="center"/>
        <w:rPr>
          <w:rFonts w:hint="eastAsia" w:ascii="宋体" w:hAnsi="宋体" w:cs="宋体"/>
          <w:b/>
          <w:sz w:val="36"/>
        </w:rPr>
      </w:pPr>
    </w:p>
    <w:p w14:paraId="579C3017">
      <w:pPr>
        <w:pStyle w:val="16"/>
        <w:ind w:firstLine="480"/>
        <w:jc w:val="center"/>
        <w:rPr>
          <w:rFonts w:hint="eastAsia" w:ascii="宋体" w:hAnsi="宋体"/>
        </w:rPr>
      </w:pPr>
    </w:p>
    <w:p w14:paraId="1DEDC749">
      <w:pPr>
        <w:tabs>
          <w:tab w:val="left" w:pos="360"/>
        </w:tabs>
        <w:spacing w:line="360" w:lineRule="auto"/>
        <w:ind w:firstLine="1606" w:firstLineChars="500"/>
        <w:rPr>
          <w:rFonts w:cs="Microsoft New Tai Lue"/>
          <w:b/>
          <w:sz w:val="32"/>
        </w:rPr>
      </w:pPr>
      <w:r>
        <w:rPr>
          <w:rFonts w:cs="Microsoft New Tai Lue"/>
          <w:b/>
          <w:sz w:val="32"/>
        </w:rPr>
        <w:t>采购人：</w:t>
      </w:r>
      <w:r>
        <w:rPr>
          <w:rFonts w:hint="eastAsia" w:cs="Microsoft New Tai Lue"/>
          <w:b/>
          <w:sz w:val="32"/>
        </w:rPr>
        <w:t>南京邮电大学</w:t>
      </w:r>
      <w:r>
        <w:rPr>
          <w:rFonts w:cs="Microsoft New Tai Lue"/>
          <w:b/>
          <w:sz w:val="32"/>
        </w:rPr>
        <w:t xml:space="preserve">         </w:t>
      </w:r>
    </w:p>
    <w:p w14:paraId="460308B2">
      <w:pPr>
        <w:tabs>
          <w:tab w:val="left" w:pos="360"/>
        </w:tabs>
        <w:spacing w:line="360" w:lineRule="auto"/>
        <w:jc w:val="center"/>
        <w:rPr>
          <w:rFonts w:cs="Microsoft New Tai Lue"/>
          <w:b/>
          <w:sz w:val="32"/>
        </w:rPr>
      </w:pPr>
      <w:r>
        <w:rPr>
          <w:rFonts w:cs="Microsoft New Tai Lue"/>
          <w:b/>
          <w:sz w:val="32"/>
        </w:rPr>
        <w:t>采购代理机构：江苏省招标中心有限公司</w:t>
      </w:r>
    </w:p>
    <w:p w14:paraId="7D7171F2">
      <w:pPr>
        <w:jc w:val="center"/>
        <w:rPr>
          <w:rFonts w:cs="Microsoft New Tai Lue"/>
          <w:b/>
          <w:sz w:val="32"/>
        </w:rPr>
      </w:pPr>
    </w:p>
    <w:p w14:paraId="042D5697">
      <w:pPr>
        <w:jc w:val="center"/>
        <w:rPr>
          <w:rFonts w:cs="Microsoft New Tai Lue"/>
          <w:b/>
          <w:sz w:val="32"/>
        </w:rPr>
      </w:pPr>
    </w:p>
    <w:p w14:paraId="5A5F9421">
      <w:pPr>
        <w:jc w:val="center"/>
        <w:rPr>
          <w:rFonts w:cs="Microsoft New Tai Lue"/>
          <w:b/>
          <w:sz w:val="32"/>
        </w:rPr>
      </w:pPr>
      <w:r>
        <w:rPr>
          <w:rFonts w:hint="eastAsia" w:cs="Microsoft New Tai Lue"/>
          <w:b/>
          <w:sz w:val="32"/>
        </w:rPr>
        <w:t>二〇二六</w:t>
      </w:r>
      <w:r>
        <w:rPr>
          <w:rFonts w:cs="Microsoft New Tai Lue"/>
          <w:b/>
          <w:sz w:val="32"/>
        </w:rPr>
        <w:t>年</w:t>
      </w:r>
      <w:r>
        <w:rPr>
          <w:rFonts w:hint="eastAsia" w:cs="Microsoft New Tai Lue"/>
          <w:b/>
          <w:sz w:val="32"/>
        </w:rPr>
        <w:t>九</w:t>
      </w:r>
      <w:r>
        <w:rPr>
          <w:rFonts w:cs="Microsoft New Tai Lue"/>
          <w:b/>
          <w:sz w:val="32"/>
        </w:rPr>
        <w:t>月</w:t>
      </w:r>
      <w:r>
        <w:rPr>
          <w:rFonts w:hint="eastAsia" w:cs="Microsoft New Tai Lue"/>
          <w:b/>
          <w:sz w:val="32"/>
          <w:lang w:val="en-US" w:eastAsia="zh-CN"/>
        </w:rPr>
        <w:t>二十四</w:t>
      </w:r>
      <w:r>
        <w:rPr>
          <w:rFonts w:cs="Microsoft New Tai Lue"/>
          <w:b/>
          <w:sz w:val="32"/>
        </w:rPr>
        <w:t>日</w:t>
      </w:r>
    </w:p>
    <w:p w14:paraId="1FC29573">
      <w:pPr>
        <w:pStyle w:val="42"/>
        <w:rPr>
          <w:rFonts w:cs="Microsoft New Tai Lue"/>
        </w:rPr>
        <w:sectPr>
          <w:footerReference r:id="rId3" w:type="default"/>
          <w:pgSz w:w="11906" w:h="16838"/>
          <w:pgMar w:top="1474" w:right="1531" w:bottom="1474" w:left="1531" w:header="737" w:footer="992" w:gutter="0"/>
          <w:pgNumType w:start="1"/>
          <w:cols w:space="720" w:num="1"/>
          <w:docGrid w:type="lines" w:linePitch="312" w:charSpace="0"/>
        </w:sectPr>
      </w:pPr>
    </w:p>
    <w:p w14:paraId="06EC1FFE">
      <w:pPr>
        <w:jc w:val="center"/>
        <w:outlineLvl w:val="0"/>
        <w:rPr>
          <w:rFonts w:hint="eastAsia" w:ascii="宋体" w:hAnsi="宋体" w:cs="黑体"/>
          <w:b/>
          <w:sz w:val="36"/>
        </w:rPr>
      </w:pPr>
      <w:r>
        <w:rPr>
          <w:rFonts w:hint="eastAsia" w:ascii="宋体" w:hAnsi="宋体" w:cs="黑体"/>
          <w:b/>
          <w:sz w:val="36"/>
          <w:lang w:val="zh-CN"/>
        </w:rPr>
        <w:t>第一章</w:t>
      </w:r>
      <w:r>
        <w:rPr>
          <w:rFonts w:hint="eastAsia" w:ascii="宋体" w:hAnsi="宋体" w:cs="黑体"/>
          <w:b/>
          <w:sz w:val="36"/>
        </w:rPr>
        <w:t xml:space="preserve">  公开比选公告</w:t>
      </w:r>
    </w:p>
    <w:p w14:paraId="2B940421">
      <w:pPr>
        <w:pStyle w:val="16"/>
        <w:numPr>
          <w:ilvl w:val="0"/>
          <w:numId w:val="2"/>
        </w:numPr>
        <w:ind w:firstLineChars="0"/>
        <w:rPr>
          <w:b/>
        </w:rPr>
      </w:pPr>
      <w:r>
        <w:rPr>
          <w:b/>
        </w:rPr>
        <w:t>项目基本情况</w:t>
      </w:r>
    </w:p>
    <w:p w14:paraId="686F29F2">
      <w:pPr>
        <w:pStyle w:val="16"/>
        <w:numPr>
          <w:ilvl w:val="0"/>
          <w:numId w:val="3"/>
        </w:numPr>
        <w:ind w:firstLineChars="0"/>
      </w:pPr>
      <w:r>
        <w:t>项目编号：</w:t>
      </w:r>
      <w:r>
        <w:rPr>
          <w:rFonts w:hint="eastAsia"/>
        </w:rPr>
        <w:t xml:space="preserve"> NYCG2026-H063</w:t>
      </w:r>
      <w:r>
        <w:t>；</w:t>
      </w:r>
    </w:p>
    <w:p w14:paraId="0BA91F74">
      <w:pPr>
        <w:pStyle w:val="16"/>
        <w:numPr>
          <w:ilvl w:val="0"/>
          <w:numId w:val="3"/>
        </w:numPr>
        <w:ind w:firstLineChars="0"/>
      </w:pPr>
      <w:r>
        <w:t>项目名称：</w:t>
      </w:r>
      <w:r>
        <w:rPr>
          <w:rFonts w:hint="eastAsia"/>
        </w:rPr>
        <w:t xml:space="preserve">南京邮电大学电子与光学工程学院、柔性电子未来技术学院定制变温磁铁平台采购 </w:t>
      </w:r>
      <w:r>
        <w:t>；</w:t>
      </w:r>
    </w:p>
    <w:p w14:paraId="72286640">
      <w:pPr>
        <w:pStyle w:val="16"/>
        <w:numPr>
          <w:ilvl w:val="0"/>
          <w:numId w:val="3"/>
        </w:numPr>
        <w:ind w:firstLineChars="0"/>
        <w:rPr>
          <w:highlight w:val="none"/>
        </w:rPr>
      </w:pPr>
      <w:r>
        <w:t>预算金额</w:t>
      </w:r>
      <w:r>
        <w:rPr>
          <w:highlight w:val="none"/>
        </w:rPr>
        <w:t>：</w:t>
      </w:r>
      <w:r>
        <w:rPr>
          <w:rFonts w:hint="eastAsia"/>
          <w:highlight w:val="none"/>
        </w:rPr>
        <w:t>32万元</w:t>
      </w:r>
      <w:r>
        <w:rPr>
          <w:highlight w:val="none"/>
        </w:rPr>
        <w:t>；</w:t>
      </w:r>
    </w:p>
    <w:p w14:paraId="12E79F89">
      <w:pPr>
        <w:pStyle w:val="16"/>
        <w:numPr>
          <w:ilvl w:val="0"/>
          <w:numId w:val="3"/>
        </w:numPr>
        <w:ind w:firstLineChars="0"/>
        <w:rPr>
          <w:highlight w:val="none"/>
        </w:rPr>
      </w:pPr>
      <w:r>
        <w:rPr>
          <w:highlight w:val="none"/>
        </w:rPr>
        <w:t>最高限价：</w:t>
      </w:r>
      <w:r>
        <w:rPr>
          <w:rFonts w:hint="eastAsia"/>
          <w:highlight w:val="none"/>
        </w:rPr>
        <w:t>32万元，响应报价超过最高限价的，响应文件作无效处理。</w:t>
      </w:r>
    </w:p>
    <w:p w14:paraId="5AE00F07">
      <w:pPr>
        <w:pStyle w:val="16"/>
        <w:numPr>
          <w:ilvl w:val="0"/>
          <w:numId w:val="3"/>
        </w:numPr>
        <w:ind w:firstLineChars="0"/>
        <w:rPr>
          <w:highlight w:val="none"/>
        </w:rPr>
      </w:pPr>
      <w:r>
        <w:rPr>
          <w:highlight w:val="none"/>
        </w:rPr>
        <w:t>采购方式：公开</w:t>
      </w:r>
      <w:r>
        <w:rPr>
          <w:rFonts w:hint="eastAsia"/>
          <w:highlight w:val="none"/>
        </w:rPr>
        <w:t>比选</w:t>
      </w:r>
      <w:r>
        <w:rPr>
          <w:highlight w:val="none"/>
        </w:rPr>
        <w:t>；</w:t>
      </w:r>
    </w:p>
    <w:p w14:paraId="60AD6B97">
      <w:pPr>
        <w:pStyle w:val="16"/>
        <w:numPr>
          <w:ilvl w:val="0"/>
          <w:numId w:val="3"/>
        </w:numPr>
        <w:ind w:firstLineChars="0"/>
        <w:rPr>
          <w:highlight w:val="none"/>
        </w:rPr>
      </w:pPr>
      <w:r>
        <w:rPr>
          <w:highlight w:val="none"/>
        </w:rPr>
        <w:t>采购需求：</w:t>
      </w:r>
      <w:r>
        <w:rPr>
          <w:rFonts w:hint="eastAsia"/>
          <w:highlight w:val="none"/>
        </w:rPr>
        <w:t>本项目采购定制变温磁铁平台1套。</w:t>
      </w:r>
    </w:p>
    <w:p w14:paraId="780556D8">
      <w:pPr>
        <w:pStyle w:val="16"/>
        <w:numPr>
          <w:ilvl w:val="0"/>
          <w:numId w:val="3"/>
        </w:numPr>
        <w:ind w:firstLineChars="0"/>
      </w:pPr>
      <w:r>
        <w:rPr>
          <w:highlight w:val="none"/>
        </w:rPr>
        <w:t>合同履行期限：</w:t>
      </w:r>
      <w:r>
        <w:rPr>
          <w:rFonts w:hint="eastAsia"/>
          <w:szCs w:val="21"/>
          <w:highlight w:val="none"/>
        </w:rPr>
        <w:t>合同签订后3个月内</w:t>
      </w:r>
      <w:r>
        <w:rPr>
          <w:rFonts w:hint="eastAsia"/>
          <w:highlight w:val="none"/>
        </w:rPr>
        <w:t>完成交付</w:t>
      </w:r>
      <w:r>
        <w:rPr>
          <w:rFonts w:hint="eastAsia"/>
        </w:rPr>
        <w:t>。</w:t>
      </w:r>
    </w:p>
    <w:p w14:paraId="7FE1983F">
      <w:pPr>
        <w:pStyle w:val="16"/>
        <w:numPr>
          <w:ilvl w:val="0"/>
          <w:numId w:val="3"/>
        </w:numPr>
        <w:ind w:firstLineChars="0"/>
      </w:pPr>
      <w:r>
        <w:t>本项目是否接受联合体响应：不接受。</w:t>
      </w:r>
    </w:p>
    <w:p w14:paraId="0C9AABCA">
      <w:pPr>
        <w:pStyle w:val="16"/>
        <w:numPr>
          <w:ilvl w:val="0"/>
          <w:numId w:val="3"/>
        </w:numPr>
        <w:ind w:firstLineChars="0"/>
      </w:pPr>
      <w:r>
        <w:t>本项目是否接受进口产品响应：不接受。</w:t>
      </w:r>
    </w:p>
    <w:p w14:paraId="24BD2473">
      <w:pPr>
        <w:pStyle w:val="16"/>
        <w:numPr>
          <w:ilvl w:val="0"/>
          <w:numId w:val="2"/>
        </w:numPr>
        <w:ind w:firstLineChars="0"/>
        <w:rPr>
          <w:b/>
        </w:rPr>
      </w:pPr>
      <w:r>
        <w:rPr>
          <w:b/>
        </w:rPr>
        <w:t>申请人的资格要求：</w:t>
      </w:r>
    </w:p>
    <w:p w14:paraId="072C0EDF">
      <w:pPr>
        <w:pStyle w:val="16"/>
        <w:numPr>
          <w:ilvl w:val="0"/>
          <w:numId w:val="4"/>
        </w:numPr>
        <w:ind w:firstLineChars="0"/>
        <w:rPr>
          <w:b/>
        </w:rPr>
      </w:pPr>
      <w:r>
        <w:rPr>
          <w:b/>
        </w:rPr>
        <w:t>满足</w:t>
      </w:r>
      <w:r>
        <w:rPr>
          <w:rFonts w:hint="eastAsia"/>
          <w:b/>
        </w:rPr>
        <w:t>以下</w:t>
      </w:r>
      <w:r>
        <w:rPr>
          <w:b/>
        </w:rPr>
        <w:t>规定：</w:t>
      </w:r>
    </w:p>
    <w:p w14:paraId="4043323D">
      <w:pPr>
        <w:pStyle w:val="16"/>
        <w:ind w:firstLine="480" w:firstLineChars="0"/>
      </w:pPr>
      <w:r>
        <w:t>（1）</w:t>
      </w:r>
      <w:r>
        <w:rPr>
          <w:rFonts w:hint="eastAsia"/>
        </w:rPr>
        <w:t>具有独立承担民事责任的能力。(提供法人或者其他组织的营业执照等证明文件，自然人的身份证明复印件)</w:t>
      </w:r>
    </w:p>
    <w:p w14:paraId="6CEB34F6">
      <w:pPr>
        <w:pStyle w:val="16"/>
        <w:ind w:firstLine="480" w:firstLineChars="0"/>
      </w:pPr>
      <w:r>
        <w:t>（2）</w:t>
      </w:r>
      <w:r>
        <w:rPr>
          <w:rFonts w:hint="eastAsia"/>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复印件或财政部门认可的政府采购专业担保机构出具的投标担保函)</w:t>
      </w:r>
    </w:p>
    <w:p w14:paraId="165BA34D">
      <w:pPr>
        <w:pStyle w:val="16"/>
        <w:ind w:firstLine="480" w:firstLineChars="0"/>
      </w:pPr>
      <w:r>
        <w:t>（3）</w:t>
      </w:r>
      <w:r>
        <w:rPr>
          <w:rFonts w:hint="eastAsia"/>
        </w:rPr>
        <w:t>依法缴纳税收和社会保障资金的相关材料。(有依法缴纳税收和社会保障资金的良好记录，提供本次采购活动前6个月内至少1个月缴纳税收和社会保险的凭证，依法享受免缴、缓缴的，提供证明材料)</w:t>
      </w:r>
    </w:p>
    <w:p w14:paraId="54948408">
      <w:pPr>
        <w:pStyle w:val="16"/>
        <w:ind w:firstLine="480" w:firstLineChars="0"/>
      </w:pPr>
      <w:r>
        <w:t>（4）</w:t>
      </w:r>
      <w:r>
        <w:rPr>
          <w:rFonts w:hint="eastAsia"/>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609A168C">
      <w:pPr>
        <w:pStyle w:val="16"/>
        <w:ind w:firstLine="480" w:firstLineChars="0"/>
      </w:pPr>
      <w:r>
        <w:t>（5）</w:t>
      </w:r>
      <w:r>
        <w:rPr>
          <w:rFonts w:hint="eastAsia"/>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125FEB6E">
      <w:pPr>
        <w:pStyle w:val="16"/>
        <w:ind w:firstLine="480" w:firstLineChars="0"/>
      </w:pPr>
      <w:r>
        <w:t>（6）</w:t>
      </w:r>
      <w:r>
        <w:rPr>
          <w:rFonts w:hint="eastAsia"/>
        </w:rPr>
        <w:t>法律、行政法规规定的其他条件</w:t>
      </w:r>
      <w:r>
        <w:t>：无。</w:t>
      </w:r>
    </w:p>
    <w:p w14:paraId="04D78407">
      <w:pPr>
        <w:pStyle w:val="16"/>
        <w:numPr>
          <w:ilvl w:val="0"/>
          <w:numId w:val="4"/>
        </w:numPr>
        <w:ind w:firstLineChars="0"/>
      </w:pPr>
      <w:r>
        <w:t>本项目的特定资格要求：</w:t>
      </w:r>
      <w:r>
        <w:rPr>
          <w:rFonts w:hint="eastAsia"/>
        </w:rPr>
        <w:t>无。</w:t>
      </w:r>
    </w:p>
    <w:p w14:paraId="5AF0A256">
      <w:pPr>
        <w:pStyle w:val="16"/>
        <w:numPr>
          <w:ilvl w:val="0"/>
          <w:numId w:val="4"/>
        </w:numPr>
        <w:ind w:firstLineChars="0"/>
      </w:pPr>
      <w:r>
        <w:t>拒绝下述供应商参加本次</w:t>
      </w:r>
      <w:r>
        <w:rPr>
          <w:rFonts w:hint="eastAsia"/>
        </w:rPr>
        <w:t>采购</w:t>
      </w:r>
      <w:r>
        <w:t>：</w:t>
      </w:r>
    </w:p>
    <w:p w14:paraId="5C90940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(1)单位负责人为同一人或者存在直接控股、管理关系的不同供应商，不得参加同一合同项下的政府采购活动。</w:t>
      </w:r>
    </w:p>
    <w:p w14:paraId="318AF79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(2)除单一来源项目外，凡为采购项目提供整体设计、规范编制或者项目管理、监理、检测等服务的供应商不得再参加本项目的采购活动。</w:t>
      </w:r>
    </w:p>
    <w:p w14:paraId="3B49B7D8">
      <w:pPr>
        <w:pStyle w:val="16"/>
        <w:ind w:firstLine="480" w:firstLineChars="0"/>
        <w:rPr>
          <w:rFonts w:hint="eastAsia" w:ascii="宋体" w:hAnsi="宋体" w:cs="宋体"/>
          <w:szCs w:val="24"/>
        </w:rPr>
      </w:pPr>
      <w:r>
        <w:rPr>
          <w:rFonts w:hint="eastAsia" w:ascii="宋体" w:hAnsi="宋体" w:cs="宋体"/>
          <w:bCs/>
          <w:szCs w:val="24"/>
        </w:rPr>
        <w:t>(3)通过“信用中国”网站(http://www.creditchina.gov.cn)、“中国政府采购网”(http://www.ccgp.gov.cn)查询供应商的信用记录，通过以上查询渠道，供应商被列入失信被执行人、重大税收违法失信主体、政府采购严重违法失信行为记录。(查询时间为相应截止时间以后、资格审查阶段采购人或采购代理机构的实际查询时间)</w:t>
      </w:r>
    </w:p>
    <w:p w14:paraId="161EBEB3">
      <w:pPr>
        <w:pStyle w:val="16"/>
        <w:numPr>
          <w:ilvl w:val="0"/>
          <w:numId w:val="2"/>
        </w:numPr>
        <w:ind w:firstLineChars="0"/>
        <w:rPr>
          <w:b/>
        </w:rPr>
      </w:pPr>
      <w:r>
        <w:rPr>
          <w:b/>
        </w:rPr>
        <w:t>获取采购文件</w:t>
      </w:r>
    </w:p>
    <w:p w14:paraId="34869BB7">
      <w:pPr>
        <w:pStyle w:val="16"/>
        <w:numPr>
          <w:ilvl w:val="0"/>
          <w:numId w:val="5"/>
        </w:numPr>
        <w:ind w:firstLineChars="0"/>
      </w:pPr>
      <w:r>
        <w:rPr>
          <w:rFonts w:hint="eastAsia"/>
        </w:rPr>
        <w:t>时间</w:t>
      </w:r>
      <w:r>
        <w:rPr>
          <w:rFonts w:hint="eastAsia"/>
          <w:color w:val="auto"/>
        </w:rPr>
        <w:t>：</w:t>
      </w:r>
      <w:r>
        <w:rPr>
          <w:color w:val="auto"/>
        </w:rPr>
        <w:t>2026</w:t>
      </w:r>
      <w:r>
        <w:rPr>
          <w:rFonts w:hint="eastAsia"/>
          <w:color w:val="auto"/>
        </w:rPr>
        <w:t>年</w:t>
      </w:r>
      <w:r>
        <w:rPr>
          <w:rFonts w:hint="eastAsia"/>
          <w:color w:val="auto"/>
          <w:lang w:val="en-US" w:eastAsia="zh-CN"/>
        </w:rPr>
        <w:t>9</w:t>
      </w:r>
      <w:r>
        <w:rPr>
          <w:rFonts w:hint="eastAsia"/>
          <w:color w:val="auto"/>
        </w:rPr>
        <w:t>月</w:t>
      </w:r>
      <w:r>
        <w:rPr>
          <w:rFonts w:hint="eastAsia"/>
          <w:color w:val="auto"/>
          <w:lang w:val="en-US" w:eastAsia="zh-CN"/>
        </w:rPr>
        <w:t>24</w:t>
      </w:r>
      <w:r>
        <w:rPr>
          <w:rFonts w:hint="eastAsia"/>
          <w:color w:val="auto"/>
        </w:rPr>
        <w:t>日上午</w:t>
      </w:r>
      <w:r>
        <w:rPr>
          <w:color w:val="auto"/>
        </w:rPr>
        <w:t>09:00</w:t>
      </w:r>
      <w:r>
        <w:rPr>
          <w:rFonts w:hint="eastAsia"/>
          <w:color w:val="auto"/>
        </w:rPr>
        <w:t>至</w:t>
      </w:r>
      <w:r>
        <w:rPr>
          <w:color w:val="auto"/>
        </w:rPr>
        <w:t>2026</w:t>
      </w:r>
      <w:r>
        <w:rPr>
          <w:rFonts w:hint="eastAsia"/>
          <w:color w:val="auto"/>
        </w:rPr>
        <w:t>年</w:t>
      </w:r>
      <w:r>
        <w:rPr>
          <w:rFonts w:hint="eastAsia"/>
          <w:color w:val="auto"/>
          <w:lang w:val="en-US" w:eastAsia="zh-CN"/>
        </w:rPr>
        <w:t>9</w:t>
      </w:r>
      <w:r>
        <w:rPr>
          <w:rFonts w:hint="eastAsia"/>
          <w:color w:val="auto"/>
        </w:rPr>
        <w:t>月</w:t>
      </w:r>
      <w:r>
        <w:rPr>
          <w:rFonts w:hint="eastAsia"/>
          <w:color w:val="auto"/>
          <w:lang w:val="en-US" w:eastAsia="zh-CN"/>
        </w:rPr>
        <w:t>30</w:t>
      </w:r>
      <w:r>
        <w:rPr>
          <w:rFonts w:hint="eastAsia"/>
          <w:color w:val="auto"/>
        </w:rPr>
        <w:t>日</w:t>
      </w:r>
      <w:r>
        <w:rPr>
          <w:color w:val="auto"/>
        </w:rPr>
        <w:t>17:00</w:t>
      </w:r>
      <w:r>
        <w:t>(</w:t>
      </w:r>
      <w:r>
        <w:rPr>
          <w:rFonts w:hint="eastAsia"/>
        </w:rPr>
        <w:t>北京时间</w:t>
      </w:r>
      <w:r>
        <w:t>)</w:t>
      </w:r>
    </w:p>
    <w:p w14:paraId="2B108849">
      <w:pPr>
        <w:pStyle w:val="16"/>
        <w:ind w:firstLine="480"/>
      </w:pPr>
      <w:r>
        <w:t>获取方式：</w:t>
      </w:r>
      <w:r>
        <w:rPr>
          <w:rFonts w:hint="eastAsia"/>
        </w:rPr>
        <w:t>(1)文件提供方式：纸质文件</w:t>
      </w:r>
    </w:p>
    <w:p w14:paraId="344912F7">
      <w:pPr>
        <w:pStyle w:val="16"/>
        <w:ind w:firstLine="480"/>
      </w:pPr>
      <w:r>
        <w:rPr>
          <w:rFonts w:hint="eastAsia"/>
        </w:rPr>
        <w:t>(2)支付方式：供应商应在江苏省招标中心有限公司官网(www.jstcc.cn)“供应商注册”入口进行注册，注册完成后通过“供应商登录”入口进入“JSTCC江苏招标电子交易平台”，进入“搜索项目”栏目，在搜索框中输入本项目名称，点击对应的项目进行“关注”，关注完成后进入“我的项目”栏目，选择本项目并支付费用，支付完成后电子发票可自行在平台下载。</w:t>
      </w:r>
    </w:p>
    <w:p w14:paraId="72695B47">
      <w:pPr>
        <w:pStyle w:val="16"/>
        <w:ind w:firstLine="480"/>
      </w:pPr>
      <w:r>
        <w:rPr>
          <w:rFonts w:hint="eastAsia"/>
        </w:rPr>
        <w:t>(3)支付完成后，纸质文件可通过现场领取或邮寄送达，现场领取的请至江苏省招标中心有限公司(南京市鼓楼区郑和中路118号)1605室领取；需邮寄送达的请将公司名称、项目编号+标段号(如有)、邮寄地址发送至邮箱：997014965@qq.com。为方便供应商制作投标(响应)文件，供应商可在“我的项目”栏目中下载电子文件，电子文件仅为方便供应商制作投标(响应)文件所用，如纸质文件与电子文件不一致的，以纸质文件为准。</w:t>
      </w:r>
    </w:p>
    <w:p w14:paraId="4EDFB2EB">
      <w:pPr>
        <w:pStyle w:val="16"/>
        <w:ind w:firstLine="480"/>
      </w:pPr>
      <w:r>
        <w:rPr>
          <w:rFonts w:hint="eastAsia"/>
        </w:rPr>
        <w:t xml:space="preserve">(4)文件售价：300元/包，本采购公告包含的采购文件售价总和。 </w:t>
      </w:r>
    </w:p>
    <w:p w14:paraId="76DFD296">
      <w:pPr>
        <w:pStyle w:val="16"/>
        <w:ind w:firstLine="480"/>
      </w:pPr>
      <w:r>
        <w:rPr>
          <w:rFonts w:hint="eastAsia"/>
        </w:rPr>
        <w:t>未按照上述要求合法获取采购文件的，采购人将不予受理其响应。</w:t>
      </w:r>
    </w:p>
    <w:p w14:paraId="039EAFF2">
      <w:pPr>
        <w:pStyle w:val="16"/>
        <w:numPr>
          <w:ilvl w:val="0"/>
          <w:numId w:val="2"/>
        </w:numPr>
        <w:ind w:firstLineChars="0"/>
        <w:rPr>
          <w:b/>
        </w:rPr>
      </w:pPr>
      <w:r>
        <w:rPr>
          <w:b/>
        </w:rPr>
        <w:t>提交响应文件截止时间、</w:t>
      </w:r>
      <w:r>
        <w:rPr>
          <w:rFonts w:hint="eastAsia"/>
          <w:b/>
        </w:rPr>
        <w:t>响应文件开启</w:t>
      </w:r>
      <w:r>
        <w:rPr>
          <w:b/>
        </w:rPr>
        <w:t>时间和地点</w:t>
      </w:r>
    </w:p>
    <w:p w14:paraId="79D0764E">
      <w:pPr>
        <w:pStyle w:val="16"/>
        <w:ind w:firstLine="480"/>
        <w:rPr>
          <w:color w:val="auto"/>
          <w:u w:val="single"/>
        </w:rPr>
      </w:pPr>
      <w:r>
        <w:rPr>
          <w:rFonts w:hint="eastAsia"/>
        </w:rPr>
        <w:t>递交响应文件开始</w:t>
      </w:r>
      <w:r>
        <w:rPr>
          <w:rFonts w:hint="eastAsia"/>
          <w:color w:val="auto"/>
        </w:rPr>
        <w:t>时间：</w:t>
      </w:r>
      <w:r>
        <w:rPr>
          <w:color w:val="auto"/>
          <w:u w:val="single"/>
        </w:rPr>
        <w:t>2026</w:t>
      </w:r>
      <w:r>
        <w:rPr>
          <w:rFonts w:hint="eastAsia"/>
          <w:color w:val="auto"/>
          <w:u w:val="single"/>
        </w:rPr>
        <w:t>年</w:t>
      </w:r>
      <w:r>
        <w:rPr>
          <w:rFonts w:hint="eastAsia"/>
          <w:color w:val="auto"/>
          <w:u w:val="single"/>
          <w:lang w:val="en-US" w:eastAsia="zh-CN"/>
        </w:rPr>
        <w:t>10</w:t>
      </w:r>
      <w:r>
        <w:rPr>
          <w:rFonts w:hint="eastAsia"/>
          <w:color w:val="auto"/>
          <w:u w:val="single"/>
        </w:rPr>
        <w:t>月</w:t>
      </w:r>
      <w:r>
        <w:rPr>
          <w:rFonts w:hint="eastAsia"/>
          <w:color w:val="auto"/>
          <w:u w:val="single"/>
          <w:lang w:val="en-US" w:eastAsia="zh-CN"/>
        </w:rPr>
        <w:t>12</w:t>
      </w:r>
      <w:r>
        <w:rPr>
          <w:rFonts w:hint="eastAsia"/>
          <w:color w:val="auto"/>
          <w:u w:val="single"/>
        </w:rPr>
        <w:t>日</w:t>
      </w:r>
      <w:r>
        <w:rPr>
          <w:rFonts w:hint="eastAsia"/>
          <w:color w:val="auto"/>
          <w:u w:val="single"/>
          <w:lang w:val="en-US" w:eastAsia="zh-CN"/>
        </w:rPr>
        <w:t>13</w:t>
      </w:r>
      <w:r>
        <w:rPr>
          <w:rFonts w:hint="eastAsia"/>
          <w:color w:val="auto"/>
          <w:u w:val="single"/>
        </w:rPr>
        <w:t>时</w:t>
      </w:r>
      <w:r>
        <w:rPr>
          <w:rFonts w:hint="eastAsia"/>
          <w:color w:val="auto"/>
          <w:u w:val="single"/>
          <w:lang w:val="en-US" w:eastAsia="zh-CN"/>
        </w:rPr>
        <w:t>30</w:t>
      </w:r>
      <w:r>
        <w:rPr>
          <w:rFonts w:hint="eastAsia"/>
          <w:color w:val="auto"/>
          <w:u w:val="single"/>
        </w:rPr>
        <w:t>分；</w:t>
      </w:r>
    </w:p>
    <w:p w14:paraId="4D5792A9">
      <w:pPr>
        <w:pStyle w:val="16"/>
        <w:ind w:firstLine="480"/>
        <w:rPr>
          <w:color w:val="auto"/>
          <w:u w:val="single"/>
        </w:rPr>
      </w:pPr>
      <w:r>
        <w:rPr>
          <w:rFonts w:hint="eastAsia"/>
          <w:color w:val="auto"/>
        </w:rPr>
        <w:t>递交响应文件截止时间及响应文件开启时间：</w:t>
      </w:r>
      <w:r>
        <w:rPr>
          <w:color w:val="auto"/>
          <w:u w:val="single"/>
        </w:rPr>
        <w:t>2026</w:t>
      </w:r>
      <w:r>
        <w:rPr>
          <w:rFonts w:hint="eastAsia"/>
          <w:color w:val="auto"/>
          <w:u w:val="single"/>
        </w:rPr>
        <w:t>年</w:t>
      </w:r>
      <w:r>
        <w:rPr>
          <w:rFonts w:hint="eastAsia"/>
          <w:color w:val="auto"/>
          <w:u w:val="single"/>
          <w:lang w:val="en-US" w:eastAsia="zh-CN"/>
        </w:rPr>
        <w:t>10</w:t>
      </w:r>
      <w:r>
        <w:rPr>
          <w:rFonts w:hint="eastAsia"/>
          <w:color w:val="auto"/>
          <w:u w:val="single"/>
        </w:rPr>
        <w:t>月</w:t>
      </w:r>
      <w:r>
        <w:rPr>
          <w:rFonts w:hint="eastAsia"/>
          <w:color w:val="auto"/>
          <w:u w:val="single"/>
          <w:lang w:val="en-US" w:eastAsia="zh-CN"/>
        </w:rPr>
        <w:t>12</w:t>
      </w:r>
      <w:r>
        <w:rPr>
          <w:rFonts w:hint="eastAsia"/>
          <w:color w:val="auto"/>
          <w:u w:val="single"/>
        </w:rPr>
        <w:t>日</w:t>
      </w:r>
      <w:r>
        <w:rPr>
          <w:rFonts w:hint="eastAsia"/>
          <w:color w:val="auto"/>
          <w:u w:val="single"/>
          <w:lang w:val="en-US" w:eastAsia="zh-CN"/>
        </w:rPr>
        <w:t>14</w:t>
      </w:r>
      <w:r>
        <w:rPr>
          <w:rFonts w:hint="eastAsia"/>
          <w:color w:val="auto"/>
          <w:u w:val="single"/>
        </w:rPr>
        <w:t>时</w:t>
      </w:r>
      <w:r>
        <w:rPr>
          <w:rFonts w:hint="eastAsia"/>
          <w:color w:val="auto"/>
          <w:u w:val="single"/>
          <w:lang w:val="en-US" w:eastAsia="zh-CN"/>
        </w:rPr>
        <w:t>00</w:t>
      </w:r>
      <w:r>
        <w:rPr>
          <w:rFonts w:hint="eastAsia"/>
          <w:color w:val="auto"/>
          <w:u w:val="single"/>
        </w:rPr>
        <w:t>分。</w:t>
      </w:r>
    </w:p>
    <w:p w14:paraId="33A22ED8">
      <w:pPr>
        <w:pStyle w:val="16"/>
        <w:ind w:firstLine="480"/>
        <w:rPr>
          <w:color w:val="auto"/>
        </w:rPr>
      </w:pPr>
      <w:r>
        <w:rPr>
          <w:rFonts w:hint="eastAsia"/>
          <w:color w:val="auto"/>
        </w:rPr>
        <w:t>响应文件开启地点：南京邮电大学仙林校区行政南楼</w:t>
      </w:r>
      <w:r>
        <w:rPr>
          <w:rFonts w:hint="eastAsia"/>
          <w:color w:val="auto"/>
          <w:u w:val="single"/>
        </w:rPr>
        <w:t>146</w:t>
      </w:r>
      <w:r>
        <w:rPr>
          <w:rFonts w:hint="eastAsia"/>
          <w:color w:val="auto"/>
        </w:rPr>
        <w:t>室（南京市栖霞区文苑路9号）</w:t>
      </w:r>
    </w:p>
    <w:p w14:paraId="45EEE33B">
      <w:pPr>
        <w:pStyle w:val="16"/>
        <w:numPr>
          <w:ilvl w:val="0"/>
          <w:numId w:val="2"/>
        </w:numPr>
        <w:ind w:firstLineChars="0"/>
        <w:rPr>
          <w:b/>
          <w:color w:val="auto"/>
        </w:rPr>
      </w:pPr>
      <w:bookmarkStart w:id="0" w:name="六、公告期限"/>
      <w:bookmarkEnd w:id="0"/>
      <w:r>
        <w:rPr>
          <w:b/>
          <w:color w:val="auto"/>
        </w:rPr>
        <w:t>公告期限</w:t>
      </w:r>
    </w:p>
    <w:p w14:paraId="78901922">
      <w:pPr>
        <w:pStyle w:val="16"/>
        <w:ind w:firstLine="480"/>
      </w:pPr>
      <w:bookmarkStart w:id="1" w:name="自本公告发布之日起5个工作日。"/>
      <w:bookmarkEnd w:id="1"/>
      <w:r>
        <w:t>自本公告发布之日起5日。</w:t>
      </w:r>
    </w:p>
    <w:p w14:paraId="4B21313A">
      <w:pPr>
        <w:pStyle w:val="16"/>
        <w:numPr>
          <w:ilvl w:val="0"/>
          <w:numId w:val="2"/>
        </w:numPr>
        <w:ind w:firstLineChars="0"/>
        <w:rPr>
          <w:b/>
        </w:rPr>
      </w:pPr>
      <w:r>
        <w:rPr>
          <w:b/>
        </w:rPr>
        <w:t>其他补充事宜</w:t>
      </w:r>
    </w:p>
    <w:p w14:paraId="536A4BEC">
      <w:pPr>
        <w:pStyle w:val="16"/>
        <w:numPr>
          <w:ilvl w:val="0"/>
          <w:numId w:val="6"/>
        </w:numPr>
        <w:ind w:firstLineChars="0"/>
      </w:pPr>
      <w:r>
        <w:t>响应文件份数：一式</w:t>
      </w:r>
      <w:r>
        <w:rPr>
          <w:rFonts w:hint="eastAsia"/>
        </w:rPr>
        <w:t>叁</w:t>
      </w:r>
      <w:r>
        <w:t>份</w:t>
      </w:r>
      <w:r>
        <w:rPr>
          <w:rFonts w:hint="eastAsia"/>
        </w:rPr>
        <w:t>(</w:t>
      </w:r>
      <w:r>
        <w:t>壹份正本、</w:t>
      </w:r>
      <w:r>
        <w:rPr>
          <w:rFonts w:hint="eastAsia"/>
        </w:rPr>
        <w:t>贰</w:t>
      </w:r>
      <w:r>
        <w:t>份副本</w:t>
      </w:r>
      <w:r>
        <w:rPr>
          <w:rFonts w:hint="eastAsia"/>
        </w:rPr>
        <w:t>)</w:t>
      </w:r>
      <w:r>
        <w:t>，电子版响应文件壹份</w:t>
      </w:r>
      <w:r>
        <w:rPr>
          <w:rFonts w:hint="eastAsia"/>
        </w:rPr>
        <w:t>(</w:t>
      </w:r>
      <w:r>
        <w:t>一般应为PDF格式</w:t>
      </w:r>
      <w:r>
        <w:rPr>
          <w:rFonts w:hint="eastAsia"/>
        </w:rPr>
        <w:t>(正本盖章扫描件)</w:t>
      </w:r>
      <w:r>
        <w:t>、U盘形式，随纸质正本文件一并提交</w:t>
      </w:r>
      <w:r>
        <w:rPr>
          <w:rFonts w:hint="eastAsia"/>
        </w:rPr>
        <w:t>)</w:t>
      </w:r>
      <w:r>
        <w:t>。当纸质正本文件和电子版文件不一致时，以纸质正本文件为准。电子版文件用于存档，</w:t>
      </w:r>
      <w:r>
        <w:rPr>
          <w:rFonts w:hint="eastAsia"/>
        </w:rPr>
        <w:t>供应商</w:t>
      </w:r>
      <w:r>
        <w:t>需承担前述不一致造成的不利后果。每份纸质文件须清楚标明</w:t>
      </w:r>
      <w:r>
        <w:rPr>
          <w:rFonts w:hint="eastAsia"/>
        </w:rPr>
        <w:t>“</w:t>
      </w:r>
      <w:r>
        <w:t>正本</w:t>
      </w:r>
      <w:r>
        <w:rPr>
          <w:rFonts w:hint="eastAsia"/>
        </w:rPr>
        <w:t>”</w:t>
      </w:r>
      <w:r>
        <w:t>或</w:t>
      </w:r>
      <w:r>
        <w:rPr>
          <w:rFonts w:hint="eastAsia"/>
        </w:rPr>
        <w:t>“</w:t>
      </w:r>
      <w:r>
        <w:t>副本</w:t>
      </w:r>
      <w:r>
        <w:rPr>
          <w:rFonts w:hint="eastAsia"/>
        </w:rPr>
        <w:t>”</w:t>
      </w:r>
      <w:r>
        <w:t>字样。一旦正本和副本不符，以正本为准。</w:t>
      </w:r>
    </w:p>
    <w:p w14:paraId="2FEF6C03">
      <w:pPr>
        <w:pStyle w:val="16"/>
        <w:numPr>
          <w:ilvl w:val="0"/>
          <w:numId w:val="2"/>
        </w:numPr>
        <w:ind w:firstLineChars="0"/>
        <w:rPr>
          <w:b/>
        </w:rPr>
      </w:pPr>
      <w:r>
        <w:rPr>
          <w:b/>
        </w:rPr>
        <w:t>发布公告的媒介</w:t>
      </w:r>
    </w:p>
    <w:p w14:paraId="0F0F6950">
      <w:pPr>
        <w:pStyle w:val="16"/>
        <w:ind w:firstLine="480"/>
      </w:pPr>
      <w:r>
        <w:t>本采购公告在南京邮电大学</w:t>
      </w:r>
      <w:r>
        <w:rPr>
          <w:rFonts w:hint="eastAsia"/>
        </w:rPr>
        <w:t>采购招标管理办公室</w:t>
      </w:r>
      <w:r>
        <w:t>网站</w:t>
      </w:r>
      <w:r>
        <w:rPr>
          <w:rFonts w:hint="eastAsia"/>
        </w:rPr>
        <w:t>(</w:t>
      </w:r>
      <w:r>
        <w:t>https://zbb.njupt.edu.cn/</w:t>
      </w:r>
      <w:r>
        <w:rPr>
          <w:rFonts w:hint="eastAsia"/>
        </w:rPr>
        <w:t>)</w:t>
      </w:r>
      <w:r>
        <w:t>发布，敬请各</w:t>
      </w:r>
      <w:r>
        <w:rPr>
          <w:rFonts w:hint="eastAsia"/>
        </w:rPr>
        <w:t>供应商</w:t>
      </w:r>
      <w:r>
        <w:t>关注。</w:t>
      </w:r>
    </w:p>
    <w:p w14:paraId="5D47DAB5">
      <w:pPr>
        <w:pStyle w:val="16"/>
        <w:numPr>
          <w:ilvl w:val="0"/>
          <w:numId w:val="2"/>
        </w:numPr>
        <w:ind w:firstLineChars="0"/>
        <w:rPr>
          <w:b/>
        </w:rPr>
      </w:pPr>
      <w:r>
        <w:rPr>
          <w:b/>
        </w:rPr>
        <w:t>对本次采购提出询问，请按以下方式联系。</w:t>
      </w:r>
    </w:p>
    <w:p w14:paraId="289E37E2">
      <w:pPr>
        <w:pStyle w:val="16"/>
        <w:ind w:firstLine="480" w:firstLineChars="0"/>
      </w:pPr>
      <w:r>
        <w:t>1、采购人信息</w:t>
      </w:r>
    </w:p>
    <w:p w14:paraId="58D2A2AE">
      <w:pPr>
        <w:pStyle w:val="16"/>
        <w:ind w:firstLine="480"/>
      </w:pPr>
      <w:r>
        <w:t>名称：南京邮电大学</w:t>
      </w:r>
    </w:p>
    <w:p w14:paraId="23B7D54A">
      <w:pPr>
        <w:pStyle w:val="16"/>
        <w:ind w:firstLine="480"/>
      </w:pPr>
      <w:r>
        <w:t>地址：南京市栖霞区文苑路9号</w:t>
      </w:r>
    </w:p>
    <w:p w14:paraId="5E7E36D2">
      <w:pPr>
        <w:pStyle w:val="16"/>
        <w:ind w:firstLine="480"/>
        <w:rPr>
          <w:u w:val="single"/>
        </w:rPr>
      </w:pPr>
      <w:r>
        <w:t>联系人：</w:t>
      </w:r>
      <w:r>
        <w:rPr>
          <w:rFonts w:hint="eastAsia"/>
        </w:rPr>
        <w:t>彭</w:t>
      </w:r>
      <w:r>
        <w:t>老师</w:t>
      </w:r>
    </w:p>
    <w:p w14:paraId="2B0A064F">
      <w:pPr>
        <w:pStyle w:val="16"/>
        <w:ind w:firstLine="480"/>
      </w:pPr>
      <w:r>
        <w:t>联系方式：</w:t>
      </w:r>
      <w:r>
        <w:rPr>
          <w:rFonts w:hint="eastAsia"/>
        </w:rPr>
        <w:t>025-85866541</w:t>
      </w:r>
    </w:p>
    <w:p w14:paraId="3AA0CD61">
      <w:pPr>
        <w:pStyle w:val="16"/>
        <w:ind w:firstLine="480" w:firstLineChars="0"/>
      </w:pPr>
      <w:r>
        <w:t>2、采购代理机构信息</w:t>
      </w:r>
      <w:bookmarkStart w:id="47" w:name="_GoBack"/>
      <w:bookmarkEnd w:id="47"/>
    </w:p>
    <w:p w14:paraId="45F3E36C">
      <w:pPr>
        <w:pStyle w:val="16"/>
        <w:ind w:firstLine="480"/>
      </w:pPr>
      <w:r>
        <w:t>名称：</w:t>
      </w:r>
      <w:r>
        <w:rPr>
          <w:rFonts w:hint="eastAsia" w:cs="Microsoft New Tai Lue"/>
          <w:snapToGrid w:val="0"/>
          <w:szCs w:val="21"/>
        </w:rPr>
        <w:t>江苏省招标中心有限公司</w:t>
      </w:r>
      <w:r>
        <w:t xml:space="preserve"> </w:t>
      </w:r>
    </w:p>
    <w:p w14:paraId="38687044">
      <w:pPr>
        <w:pStyle w:val="16"/>
        <w:ind w:firstLine="480"/>
      </w:pPr>
      <w:r>
        <w:t>地址：</w:t>
      </w:r>
      <w:r>
        <w:rPr>
          <w:rFonts w:hint="eastAsia" w:cs="Microsoft New Tai Lue"/>
          <w:snapToGrid w:val="0"/>
          <w:szCs w:val="21"/>
        </w:rPr>
        <w:t>南京市鼓楼区郑和中路118号16楼1605室</w:t>
      </w:r>
    </w:p>
    <w:p w14:paraId="19A7A5DD">
      <w:pPr>
        <w:pStyle w:val="16"/>
        <w:ind w:firstLine="480"/>
      </w:pPr>
      <w:r>
        <w:t>联系方式：</w:t>
      </w:r>
      <w:r>
        <w:rPr>
          <w:rFonts w:hint="eastAsia" w:cs="Microsoft New Tai Lue"/>
          <w:snapToGrid w:val="0"/>
          <w:szCs w:val="21"/>
        </w:rPr>
        <w:t>谢慧玲</w:t>
      </w:r>
      <w:r>
        <w:rPr>
          <w:rFonts w:hint="eastAsia"/>
        </w:rPr>
        <w:t>18362980687</w:t>
      </w:r>
      <w:r>
        <w:rPr>
          <w:rFonts w:hint="eastAsia" w:cs="Microsoft New Tai Lue"/>
          <w:snapToGrid w:val="0"/>
          <w:szCs w:val="21"/>
        </w:rPr>
        <w:t>、王芳、池昊15862877288、025-83313697</w:t>
      </w:r>
    </w:p>
    <w:p w14:paraId="4F92DBDC">
      <w:pPr>
        <w:pStyle w:val="16"/>
        <w:ind w:firstLine="480" w:firstLineChars="0"/>
      </w:pPr>
      <w:r>
        <w:t>3、项目联系方式</w:t>
      </w:r>
    </w:p>
    <w:p w14:paraId="50097930">
      <w:pPr>
        <w:pStyle w:val="16"/>
        <w:ind w:firstLine="480"/>
      </w:pPr>
      <w:r>
        <w:rPr>
          <w:rFonts w:hint="eastAsia"/>
        </w:rPr>
        <w:t>项目联系人：谢慧玲18362980687、王芳、池昊15862877288、025-83313697</w:t>
      </w:r>
    </w:p>
    <w:p w14:paraId="167B005B">
      <w:pPr>
        <w:pStyle w:val="16"/>
        <w:ind w:firstLine="480"/>
      </w:pPr>
      <w:r>
        <w:rPr>
          <w:rFonts w:hint="eastAsia"/>
        </w:rPr>
        <w:t>联系方式：18362980687</w:t>
      </w:r>
    </w:p>
    <w:p w14:paraId="07C95557">
      <w:pPr>
        <w:pStyle w:val="16"/>
        <w:ind w:firstLine="480"/>
      </w:pPr>
    </w:p>
    <w:p w14:paraId="51DB9983">
      <w:pPr>
        <w:pStyle w:val="16"/>
        <w:ind w:firstLine="480"/>
      </w:pPr>
      <w:r>
        <w:t>请贵单位领取本次</w:t>
      </w:r>
      <w:r>
        <w:rPr>
          <w:rFonts w:hint="eastAsia"/>
        </w:rPr>
        <w:t>采购</w:t>
      </w:r>
      <w:r>
        <w:t>文件后，认真阅读各项内容，进行必要的</w:t>
      </w:r>
      <w:r>
        <w:rPr>
          <w:rFonts w:hint="eastAsia"/>
        </w:rPr>
        <w:t>响应</w:t>
      </w:r>
      <w:r>
        <w:t>准备，按文件的要求详细填写和编制响应文件，并按以上确定的时间、地点准时参加</w:t>
      </w:r>
      <w:r>
        <w:rPr>
          <w:rFonts w:hint="eastAsia"/>
        </w:rPr>
        <w:t>采购活动</w:t>
      </w:r>
      <w:r>
        <w:t>。</w:t>
      </w:r>
      <w:bookmarkStart w:id="2" w:name="_Toc35393627"/>
      <w:bookmarkEnd w:id="2"/>
      <w:bookmarkStart w:id="3" w:name="_Toc35393796"/>
      <w:bookmarkEnd w:id="3"/>
      <w:bookmarkStart w:id="4" w:name="_Toc28359085"/>
      <w:bookmarkEnd w:id="4"/>
      <w:bookmarkStart w:id="5" w:name="_Toc28359008"/>
      <w:bookmarkEnd w:id="5"/>
    </w:p>
    <w:p w14:paraId="709D0530">
      <w:pPr>
        <w:rPr>
          <w:rFonts w:hint="eastAsia" w:ascii="宋体" w:hAnsi="宋体" w:cs="黑体"/>
          <w:sz w:val="36"/>
        </w:rPr>
      </w:pPr>
      <w:r>
        <w:rPr>
          <w:rFonts w:ascii="宋体" w:hAnsi="宋体" w:cs="黑体"/>
          <w:sz w:val="36"/>
        </w:rPr>
        <w:br w:type="page"/>
      </w:r>
    </w:p>
    <w:p w14:paraId="52DCF108">
      <w:pPr>
        <w:pStyle w:val="264"/>
      </w:pPr>
      <w:r>
        <w:t xml:space="preserve">第二章  </w:t>
      </w:r>
      <w:r>
        <w:rPr>
          <w:rFonts w:hint="eastAsia"/>
        </w:rPr>
        <w:t>供应商</w:t>
      </w:r>
      <w:r>
        <w:t>须知</w:t>
      </w:r>
    </w:p>
    <w:p w14:paraId="01179DA5">
      <w:pPr>
        <w:pStyle w:val="16"/>
        <w:numPr>
          <w:ilvl w:val="0"/>
          <w:numId w:val="7"/>
        </w:numPr>
        <w:ind w:firstLineChars="0"/>
        <w:rPr>
          <w:b/>
        </w:rPr>
      </w:pPr>
      <w:r>
        <w:rPr>
          <w:b/>
        </w:rPr>
        <w:t>总则</w:t>
      </w:r>
    </w:p>
    <w:p w14:paraId="02077F56">
      <w:pPr>
        <w:pStyle w:val="16"/>
        <w:ind w:firstLine="480" w:firstLineChars="0"/>
      </w:pPr>
      <w:r>
        <w:t>1</w:t>
      </w:r>
      <w:r>
        <w:rPr>
          <w:rFonts w:hint="eastAsia"/>
        </w:rPr>
        <w:t>.</w:t>
      </w:r>
      <w:r>
        <w:t>适用</w:t>
      </w:r>
      <w:r>
        <w:rPr>
          <w:rFonts w:hint="eastAsia"/>
        </w:rPr>
        <w:t>规则</w:t>
      </w:r>
    </w:p>
    <w:p w14:paraId="74ACC927">
      <w:pPr>
        <w:pStyle w:val="16"/>
        <w:ind w:firstLine="480"/>
      </w:pPr>
      <w:r>
        <w:t>1.1</w:t>
      </w:r>
      <w:r>
        <w:rPr>
          <w:rFonts w:hint="eastAsia"/>
        </w:rPr>
        <w:t>本采购项目为非政府采购项目，本次采购适用《南京邮电大学采购招标管理办法(修订)》(校发〔2025〕34号)、《</w:t>
      </w:r>
      <w:r>
        <w:t>南京邮电大学校内集中采购管理实施细则</w:t>
      </w:r>
      <w:r>
        <w:rPr>
          <w:rFonts w:hint="eastAsia"/>
        </w:rPr>
        <w:t>(</w:t>
      </w:r>
      <w:r>
        <w:t>试行</w:t>
      </w:r>
      <w:r>
        <w:rPr>
          <w:rFonts w:hint="eastAsia"/>
        </w:rPr>
        <w:t>)</w:t>
      </w:r>
      <w:r>
        <w:t>》</w:t>
      </w:r>
      <w:r>
        <w:rPr>
          <w:rFonts w:hint="eastAsia"/>
        </w:rPr>
        <w:t>(</w:t>
      </w:r>
      <w:r>
        <w:t>校发〔2023〕39号</w:t>
      </w:r>
      <w:r>
        <w:rPr>
          <w:rFonts w:hint="eastAsia"/>
        </w:rPr>
        <w:t>)、《</w:t>
      </w:r>
      <w:r>
        <w:t>南京邮电大学采购项目质疑答复和投诉处理实施细则</w:t>
      </w:r>
      <w:r>
        <w:rPr>
          <w:rFonts w:hint="eastAsia"/>
        </w:rPr>
        <w:t>(</w:t>
      </w:r>
      <w:r>
        <w:t>试行</w:t>
      </w:r>
      <w:r>
        <w:rPr>
          <w:rFonts w:hint="eastAsia"/>
        </w:rPr>
        <w:t>)</w:t>
      </w:r>
      <w:r>
        <w:t>》</w:t>
      </w:r>
      <w:r>
        <w:rPr>
          <w:rFonts w:hint="eastAsia"/>
        </w:rPr>
        <w:t>(</w:t>
      </w:r>
      <w:r>
        <w:t>校发〔2023〕38号</w:t>
      </w:r>
      <w:r>
        <w:rPr>
          <w:rFonts w:hint="eastAsia"/>
        </w:rPr>
        <w:t>)</w:t>
      </w:r>
      <w:r>
        <w:t>等</w:t>
      </w:r>
      <w:r>
        <w:rPr>
          <w:rFonts w:hint="eastAsia"/>
        </w:rPr>
        <w:t>南京邮电大学内控制度(</w:t>
      </w:r>
      <w:r>
        <w:t>文件详见链接https://zbb.njupt.edu.cn/xngzzd/index.chtml</w:t>
      </w:r>
      <w:r>
        <w:rPr>
          <w:rFonts w:hint="eastAsia"/>
        </w:rPr>
        <w:t>)</w:t>
      </w:r>
      <w:r>
        <w:t>。</w:t>
      </w:r>
    </w:p>
    <w:p w14:paraId="23ADCA60">
      <w:pPr>
        <w:pStyle w:val="16"/>
        <w:ind w:firstLine="480" w:firstLineChars="0"/>
        <w:rPr>
          <w:b/>
        </w:rPr>
      </w:pPr>
      <w:r>
        <w:rPr>
          <w:b/>
        </w:rPr>
        <w:t>2</w:t>
      </w:r>
      <w:r>
        <w:rPr>
          <w:rFonts w:hint="eastAsia"/>
          <w:b/>
        </w:rPr>
        <w:t>.</w:t>
      </w:r>
      <w:r>
        <w:rPr>
          <w:b/>
        </w:rPr>
        <w:t>定义</w:t>
      </w:r>
    </w:p>
    <w:p w14:paraId="5D399113">
      <w:pPr>
        <w:pStyle w:val="16"/>
        <w:numPr>
          <w:ilvl w:val="0"/>
          <w:numId w:val="8"/>
        </w:numPr>
        <w:ind w:firstLineChars="0"/>
      </w:pPr>
      <w:r>
        <w:rPr>
          <w:rFonts w:hint="eastAsia"/>
        </w:rPr>
        <w:t>“</w:t>
      </w:r>
      <w:r>
        <w:t>供应商</w:t>
      </w:r>
      <w:r>
        <w:rPr>
          <w:rFonts w:hint="eastAsia"/>
        </w:rPr>
        <w:t>”</w:t>
      </w:r>
      <w:r>
        <w:t>是指参加</w:t>
      </w:r>
      <w:r>
        <w:rPr>
          <w:rFonts w:hint="eastAsia"/>
        </w:rPr>
        <w:t>采购</w:t>
      </w:r>
      <w:r>
        <w:t>竞争，并符合采购文件规定资格条件的法人、其他组织或者自然人。</w:t>
      </w:r>
    </w:p>
    <w:p w14:paraId="047F7BB2">
      <w:pPr>
        <w:pStyle w:val="16"/>
        <w:numPr>
          <w:ilvl w:val="0"/>
          <w:numId w:val="8"/>
        </w:numPr>
        <w:ind w:firstLineChars="0"/>
      </w:pPr>
      <w:r>
        <w:rPr>
          <w:rFonts w:hint="eastAsia"/>
        </w:rPr>
        <w:t>“货物”</w:t>
      </w:r>
      <w:r>
        <w:t>是指本采购文件中所述相关</w:t>
      </w:r>
      <w:r>
        <w:rPr>
          <w:rFonts w:hint="eastAsia"/>
        </w:rPr>
        <w:t>货物</w:t>
      </w:r>
      <w:r>
        <w:t>。</w:t>
      </w:r>
    </w:p>
    <w:p w14:paraId="29B8FD75">
      <w:pPr>
        <w:pStyle w:val="16"/>
        <w:numPr>
          <w:ilvl w:val="0"/>
          <w:numId w:val="8"/>
        </w:numPr>
        <w:ind w:firstLineChars="0"/>
      </w:pPr>
      <w:r>
        <w:rPr>
          <w:rFonts w:hint="eastAsia"/>
        </w:rPr>
        <w:t>“</w:t>
      </w:r>
      <w:r>
        <w:t>用户或使用单位</w:t>
      </w:r>
      <w:r>
        <w:rPr>
          <w:rFonts w:hint="eastAsia"/>
        </w:rPr>
        <w:t>”</w:t>
      </w:r>
      <w:r>
        <w:t>是指接受服务的单位。</w:t>
      </w:r>
    </w:p>
    <w:p w14:paraId="38E04846">
      <w:pPr>
        <w:pStyle w:val="16"/>
        <w:numPr>
          <w:ilvl w:val="0"/>
          <w:numId w:val="7"/>
        </w:numPr>
        <w:ind w:firstLineChars="0"/>
        <w:rPr>
          <w:b/>
        </w:rPr>
      </w:pPr>
      <w:r>
        <w:rPr>
          <w:b/>
        </w:rPr>
        <w:t>采购文件</w:t>
      </w:r>
    </w:p>
    <w:p w14:paraId="0F4165F2">
      <w:pPr>
        <w:pStyle w:val="16"/>
        <w:ind w:firstLine="482"/>
        <w:rPr>
          <w:b/>
        </w:rPr>
      </w:pPr>
      <w:r>
        <w:rPr>
          <w:b/>
        </w:rPr>
        <w:t>3</w:t>
      </w:r>
      <w:r>
        <w:rPr>
          <w:rFonts w:hint="eastAsia"/>
          <w:b/>
        </w:rPr>
        <w:t>.</w:t>
      </w:r>
      <w:r>
        <w:rPr>
          <w:b/>
        </w:rPr>
        <w:t>采购文件组成</w:t>
      </w:r>
    </w:p>
    <w:p w14:paraId="5AF0B773">
      <w:pPr>
        <w:pStyle w:val="16"/>
        <w:numPr>
          <w:ilvl w:val="0"/>
          <w:numId w:val="9"/>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5FBA9C01">
      <w:pPr>
        <w:pStyle w:val="16"/>
        <w:numPr>
          <w:ilvl w:val="0"/>
          <w:numId w:val="9"/>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14FFBB6A">
      <w:pPr>
        <w:pStyle w:val="16"/>
        <w:widowControl/>
        <w:numPr>
          <w:ilvl w:val="0"/>
          <w:numId w:val="9"/>
        </w:numPr>
        <w:ind w:firstLineChars="0"/>
      </w:pPr>
      <w:r>
        <w:t>采购文件如果要求供应商提交备选方案的，供应商可以提交备选方案，否则，不接受备选方案。</w:t>
      </w:r>
    </w:p>
    <w:p w14:paraId="31C59E4F">
      <w:pPr>
        <w:pStyle w:val="16"/>
        <w:ind w:firstLine="482"/>
        <w:rPr>
          <w:b/>
        </w:rPr>
      </w:pPr>
      <w:r>
        <w:rPr>
          <w:b/>
        </w:rPr>
        <w:t>4</w:t>
      </w:r>
      <w:r>
        <w:rPr>
          <w:rFonts w:hint="eastAsia"/>
          <w:b/>
        </w:rPr>
        <w:t>.</w:t>
      </w:r>
      <w:r>
        <w:rPr>
          <w:b/>
        </w:rPr>
        <w:t>采购文件的澄清修改</w:t>
      </w:r>
    </w:p>
    <w:p w14:paraId="05571D83">
      <w:pPr>
        <w:pStyle w:val="16"/>
        <w:numPr>
          <w:ilvl w:val="0"/>
          <w:numId w:val="10"/>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7A13D1C6">
      <w:pPr>
        <w:pStyle w:val="16"/>
        <w:numPr>
          <w:ilvl w:val="0"/>
          <w:numId w:val="10"/>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6563990E">
      <w:pPr>
        <w:pStyle w:val="16"/>
        <w:numPr>
          <w:ilvl w:val="0"/>
          <w:numId w:val="10"/>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38F39F4E">
      <w:pPr>
        <w:pStyle w:val="16"/>
        <w:numPr>
          <w:ilvl w:val="0"/>
          <w:numId w:val="7"/>
        </w:numPr>
        <w:ind w:firstLineChars="0"/>
        <w:rPr>
          <w:b/>
        </w:rPr>
      </w:pPr>
      <w:r>
        <w:rPr>
          <w:rFonts w:hint="eastAsia"/>
          <w:b/>
        </w:rPr>
        <w:t>响应</w:t>
      </w:r>
    </w:p>
    <w:p w14:paraId="7533386B">
      <w:pPr>
        <w:pStyle w:val="16"/>
        <w:numPr>
          <w:ilvl w:val="0"/>
          <w:numId w:val="11"/>
        </w:numPr>
        <w:ind w:firstLineChars="0"/>
        <w:rPr>
          <w:b/>
        </w:rPr>
      </w:pPr>
      <w:r>
        <w:rPr>
          <w:b/>
        </w:rPr>
        <w:t>响应文件的语言、计量单位、货币、技术标准和编制</w:t>
      </w:r>
    </w:p>
    <w:p w14:paraId="49084CD8">
      <w:pPr>
        <w:pStyle w:val="16"/>
        <w:numPr>
          <w:ilvl w:val="0"/>
          <w:numId w:val="12"/>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5E78CA91">
      <w:pPr>
        <w:pStyle w:val="16"/>
        <w:numPr>
          <w:ilvl w:val="0"/>
          <w:numId w:val="12"/>
        </w:numPr>
        <w:ind w:firstLineChars="0"/>
      </w:pPr>
      <w:r>
        <w:t>供应商所使用的计量单位应为国家法定计量单位。</w:t>
      </w:r>
    </w:p>
    <w:p w14:paraId="5AFFFD2F">
      <w:pPr>
        <w:pStyle w:val="16"/>
        <w:numPr>
          <w:ilvl w:val="0"/>
          <w:numId w:val="12"/>
        </w:numPr>
        <w:ind w:firstLineChars="0"/>
      </w:pPr>
      <w:r>
        <w:t>供应商应用人民币报价。</w:t>
      </w:r>
    </w:p>
    <w:p w14:paraId="29A0CC1E">
      <w:pPr>
        <w:pStyle w:val="16"/>
        <w:numPr>
          <w:ilvl w:val="0"/>
          <w:numId w:val="12"/>
        </w:numPr>
        <w:ind w:firstLineChars="0"/>
      </w:pPr>
      <w:r>
        <w:t>响应文件应字迹清楚、内容齐全、不得涂改。如有修改，修改处须有响应文件签署人签字或加盖公章。</w:t>
      </w:r>
    </w:p>
    <w:p w14:paraId="18C35EC9">
      <w:pPr>
        <w:pStyle w:val="16"/>
        <w:numPr>
          <w:ilvl w:val="0"/>
          <w:numId w:val="12"/>
        </w:numPr>
        <w:ind w:firstLineChars="0"/>
      </w:pPr>
      <w:r>
        <w:t>供应商所使用的技术标准应遵循国家最新标准及规范。</w:t>
      </w:r>
    </w:p>
    <w:p w14:paraId="1A180E3A">
      <w:pPr>
        <w:pStyle w:val="16"/>
        <w:numPr>
          <w:ilvl w:val="0"/>
          <w:numId w:val="11"/>
        </w:numPr>
        <w:ind w:firstLineChars="0"/>
        <w:rPr>
          <w:b/>
        </w:rPr>
      </w:pPr>
      <w:r>
        <w:rPr>
          <w:b/>
        </w:rPr>
        <w:t>联合体及分包：本项目不接受联合体</w:t>
      </w:r>
      <w:r>
        <w:rPr>
          <w:rFonts w:hint="eastAsia"/>
          <w:b/>
        </w:rPr>
        <w:t>响应</w:t>
      </w:r>
      <w:r>
        <w:rPr>
          <w:b/>
        </w:rPr>
        <w:t>，不接受分包、转包。</w:t>
      </w:r>
    </w:p>
    <w:p w14:paraId="27E68C4E">
      <w:pPr>
        <w:pStyle w:val="16"/>
        <w:numPr>
          <w:ilvl w:val="0"/>
          <w:numId w:val="13"/>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52A15FE1">
      <w:pPr>
        <w:pStyle w:val="16"/>
        <w:numPr>
          <w:ilvl w:val="0"/>
          <w:numId w:val="13"/>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13E828E3">
      <w:pPr>
        <w:pStyle w:val="16"/>
        <w:numPr>
          <w:ilvl w:val="0"/>
          <w:numId w:val="13"/>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4C754064">
      <w:pPr>
        <w:pStyle w:val="16"/>
        <w:numPr>
          <w:ilvl w:val="0"/>
          <w:numId w:val="11"/>
        </w:numPr>
        <w:ind w:firstLineChars="0"/>
        <w:rPr>
          <w:b/>
        </w:rPr>
      </w:pPr>
      <w:r>
        <w:rPr>
          <w:rFonts w:hint="eastAsia"/>
          <w:b/>
        </w:rPr>
        <w:t>响应</w:t>
      </w:r>
      <w:r>
        <w:rPr>
          <w:b/>
        </w:rPr>
        <w:t>费用</w:t>
      </w:r>
    </w:p>
    <w:p w14:paraId="49341172">
      <w:pPr>
        <w:pStyle w:val="16"/>
        <w:numPr>
          <w:ilvl w:val="0"/>
          <w:numId w:val="14"/>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6D8E2970">
      <w:pPr>
        <w:pStyle w:val="16"/>
        <w:numPr>
          <w:ilvl w:val="0"/>
          <w:numId w:val="14"/>
        </w:numPr>
        <w:ind w:firstLineChars="0"/>
      </w:pPr>
      <w:r>
        <w:rPr>
          <w:rFonts w:hint="eastAsia"/>
        </w:rPr>
        <w:t>采购代理服务费按照国家发展和改革委员会下发的《关于降低部分建设项目收费标准规范收费行为等有关问题的通知》</w:t>
      </w:r>
      <w:r>
        <w:t>(</w:t>
      </w:r>
      <w:r>
        <w:rPr>
          <w:rFonts w:hint="eastAsia"/>
        </w:rPr>
        <w:t>发改价格[2011]534号</w:t>
      </w:r>
      <w:r>
        <w:t>)</w:t>
      </w:r>
      <w:r>
        <w:rPr>
          <w:rFonts w:hint="eastAsia"/>
        </w:rPr>
        <w:t>所列采购代理服务费收费标准下浮</w:t>
      </w:r>
      <w:r>
        <w:rPr>
          <w:u w:val="single"/>
        </w:rPr>
        <w:t>35</w:t>
      </w:r>
      <w:r>
        <w:t>%(</w:t>
      </w:r>
      <w:r>
        <w:rPr>
          <w:rFonts w:hint="eastAsia"/>
        </w:rPr>
        <w:t>优惠率</w:t>
      </w:r>
      <w:r>
        <w:t>)</w:t>
      </w:r>
      <w:r>
        <w:rPr>
          <w:rFonts w:hint="eastAsia"/>
        </w:rPr>
        <w:t>收取</w:t>
      </w:r>
      <w:r>
        <w:t>。代理服务费包括所供服务相关的所有费用，工程类采购代理项目报价包含编制工程量清单、确定招标控制价等所有费用。</w:t>
      </w:r>
    </w:p>
    <w:p w14:paraId="01D8A487">
      <w:pPr>
        <w:pStyle w:val="16"/>
        <w:numPr>
          <w:ilvl w:val="0"/>
          <w:numId w:val="14"/>
        </w:numPr>
        <w:ind w:firstLineChars="0"/>
      </w:pPr>
      <w:r>
        <w:t>保底代理费：采购代理机构完成单个委托项目最低的收费。采购代理机构按照成交的服务费下浮比例计算收取采购代理服务费，若单个项目按照以上标准计算低于保底代理费</w:t>
      </w:r>
      <w:r>
        <w:rPr>
          <w:rFonts w:hint="eastAsia"/>
        </w:rPr>
        <w:t>(</w:t>
      </w:r>
      <w:r>
        <w:t>如下</w:t>
      </w:r>
      <w:r>
        <w:rPr>
          <w:rFonts w:hint="eastAsia"/>
        </w:rPr>
        <w:t>)</w:t>
      </w:r>
      <w:r>
        <w:t>时，按照保底代理费收取。货物类、服务类项目保底代理费为4000元，工程类项目保底代理费为5000元。</w:t>
      </w:r>
    </w:p>
    <w:p w14:paraId="6F2C85D0">
      <w:pPr>
        <w:pStyle w:val="16"/>
        <w:numPr>
          <w:ilvl w:val="0"/>
          <w:numId w:val="14"/>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1A16744E">
      <w:pPr>
        <w:pStyle w:val="16"/>
        <w:numPr>
          <w:ilvl w:val="0"/>
          <w:numId w:val="11"/>
        </w:numPr>
        <w:ind w:firstLineChars="0"/>
        <w:rPr>
          <w:b/>
        </w:rPr>
      </w:pPr>
      <w:r>
        <w:rPr>
          <w:b/>
        </w:rPr>
        <w:t>响应文件组成</w:t>
      </w:r>
    </w:p>
    <w:p w14:paraId="6A788290">
      <w:pPr>
        <w:pStyle w:val="16"/>
        <w:numPr>
          <w:ilvl w:val="0"/>
          <w:numId w:val="15"/>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2C35D14A">
      <w:pPr>
        <w:pStyle w:val="16"/>
        <w:numPr>
          <w:ilvl w:val="0"/>
          <w:numId w:val="15"/>
        </w:numPr>
        <w:ind w:firstLineChars="0"/>
      </w:pPr>
      <w:r>
        <w:t>响应文件由商务部分、技术部分、价格部分，以及其他部分组成。</w:t>
      </w:r>
    </w:p>
    <w:p w14:paraId="27AACAD7">
      <w:pPr>
        <w:pStyle w:val="16"/>
        <w:numPr>
          <w:ilvl w:val="0"/>
          <w:numId w:val="11"/>
        </w:numPr>
        <w:ind w:firstLineChars="0"/>
        <w:rPr>
          <w:b/>
        </w:rPr>
      </w:pPr>
      <w:r>
        <w:rPr>
          <w:b/>
        </w:rPr>
        <w:t>响应文件的商务部分</w:t>
      </w:r>
    </w:p>
    <w:p w14:paraId="5E347478">
      <w:pPr>
        <w:pStyle w:val="16"/>
        <w:ind w:firstLine="480"/>
      </w:pPr>
      <w:r>
        <w:t>9.1商务部分是证明供应商有资格参加</w:t>
      </w:r>
      <w:r>
        <w:rPr>
          <w:rFonts w:hint="eastAsia"/>
        </w:rPr>
        <w:t>采购</w:t>
      </w:r>
      <w:r>
        <w:t>和成交后有能力履行合同的文件，这些文件应能满足采购的要求，包括但不限于下列文件，其中加</w:t>
      </w:r>
      <w:r>
        <w:rPr>
          <w:rFonts w:hint="eastAsia"/>
        </w:rPr>
        <w:t>“</w:t>
      </w:r>
      <w:r>
        <w:t>★”项目不得有缺失或无效：</w:t>
      </w:r>
    </w:p>
    <w:p w14:paraId="1D64FBAF">
      <w:pPr>
        <w:pStyle w:val="16"/>
        <w:widowControl/>
        <w:numPr>
          <w:ilvl w:val="0"/>
          <w:numId w:val="16"/>
        </w:numPr>
        <w:ind w:firstLineChars="0"/>
      </w:pPr>
      <w:r>
        <w:t>★</w:t>
      </w:r>
      <w:r>
        <w:rPr>
          <w:rFonts w:hint="eastAsia"/>
        </w:rPr>
        <w:t>响应</w:t>
      </w:r>
      <w:r>
        <w:t>函</w:t>
      </w:r>
      <w:r>
        <w:rPr>
          <w:rFonts w:hint="eastAsia"/>
        </w:rPr>
        <w:t>(响应</w:t>
      </w:r>
      <w:r>
        <w:t>申请及声明</w:t>
      </w:r>
      <w:r>
        <w:rPr>
          <w:rFonts w:hint="eastAsia"/>
        </w:rPr>
        <w:t>)</w:t>
      </w:r>
      <w:r>
        <w:t>；</w:t>
      </w:r>
    </w:p>
    <w:p w14:paraId="4618251E">
      <w:pPr>
        <w:pStyle w:val="16"/>
        <w:widowControl/>
        <w:numPr>
          <w:ilvl w:val="0"/>
          <w:numId w:val="16"/>
        </w:numPr>
        <w:ind w:firstLineChars="0"/>
      </w:pPr>
      <w:r>
        <w:t>★法定代表人授权委托书及授权委托人的身份证复印件</w:t>
      </w:r>
      <w:r>
        <w:rPr>
          <w:rFonts w:hint="eastAsia"/>
        </w:rPr>
        <w:t>(</w:t>
      </w:r>
      <w:r>
        <w:t>有授权委托的</w:t>
      </w:r>
      <w:r>
        <w:rPr>
          <w:rFonts w:hint="eastAsia"/>
        </w:rPr>
        <w:t>)</w:t>
      </w:r>
      <w:r>
        <w:t>，或法定代表人身份证复印件</w:t>
      </w:r>
      <w:r>
        <w:rPr>
          <w:rFonts w:hint="eastAsia"/>
        </w:rPr>
        <w:t>(</w:t>
      </w:r>
      <w:r>
        <w:t>无授权委托的</w:t>
      </w:r>
      <w:r>
        <w:rPr>
          <w:rFonts w:hint="eastAsia"/>
        </w:rPr>
        <w:t>)</w:t>
      </w:r>
      <w:r>
        <w:t>；</w:t>
      </w:r>
    </w:p>
    <w:p w14:paraId="2754C0BF">
      <w:pPr>
        <w:pStyle w:val="16"/>
        <w:widowControl/>
        <w:numPr>
          <w:ilvl w:val="0"/>
          <w:numId w:val="16"/>
        </w:numPr>
        <w:ind w:firstLineChars="0"/>
      </w:pPr>
      <w:r>
        <w:t>★第一章</w:t>
      </w:r>
      <w:r>
        <w:rPr>
          <w:rFonts w:hint="eastAsia"/>
        </w:rPr>
        <w:t>比选公告</w:t>
      </w:r>
      <w:r>
        <w:t>中</w:t>
      </w:r>
      <w:r>
        <w:rPr>
          <w:rFonts w:hint="eastAsia"/>
        </w:rPr>
        <w:t>“</w:t>
      </w:r>
      <w:r>
        <w:t>二、申请人的资格要求</w:t>
      </w:r>
      <w:r>
        <w:rPr>
          <w:rFonts w:hint="eastAsia"/>
        </w:rPr>
        <w:t>”</w:t>
      </w:r>
      <w:r>
        <w:t>规定的资格条件证明文件；</w:t>
      </w:r>
    </w:p>
    <w:p w14:paraId="797338D9">
      <w:pPr>
        <w:pStyle w:val="16"/>
        <w:widowControl/>
        <w:numPr>
          <w:ilvl w:val="0"/>
          <w:numId w:val="16"/>
        </w:numPr>
        <w:ind w:firstLineChars="0"/>
      </w:pPr>
      <w:r>
        <w:t>《商务条款偏离表》；</w:t>
      </w:r>
    </w:p>
    <w:p w14:paraId="5458D863">
      <w:pPr>
        <w:pStyle w:val="16"/>
        <w:numPr>
          <w:ilvl w:val="0"/>
          <w:numId w:val="16"/>
        </w:numPr>
        <w:ind w:firstLineChars="0"/>
      </w:pPr>
      <w:r>
        <w:t>合同条款；</w:t>
      </w:r>
    </w:p>
    <w:p w14:paraId="6F723C08">
      <w:pPr>
        <w:pStyle w:val="16"/>
        <w:numPr>
          <w:ilvl w:val="0"/>
          <w:numId w:val="16"/>
        </w:numPr>
        <w:ind w:firstLineChars="0"/>
      </w:pPr>
      <w:r>
        <w:t>供应商认为需要提供的其他资格证明文件和商务资料。</w:t>
      </w:r>
    </w:p>
    <w:p w14:paraId="0C75F898">
      <w:pPr>
        <w:pStyle w:val="16"/>
        <w:numPr>
          <w:ilvl w:val="0"/>
          <w:numId w:val="11"/>
        </w:numPr>
        <w:ind w:firstLineChars="0"/>
        <w:rPr>
          <w:b/>
        </w:rPr>
      </w:pPr>
      <w:r>
        <w:rPr>
          <w:b/>
        </w:rPr>
        <w:t>响应文件的技术部分</w:t>
      </w:r>
    </w:p>
    <w:p w14:paraId="24CE9219">
      <w:pPr>
        <w:pStyle w:val="16"/>
        <w:numPr>
          <w:ilvl w:val="0"/>
          <w:numId w:val="17"/>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23C7895F">
      <w:pPr>
        <w:pStyle w:val="16"/>
        <w:numPr>
          <w:ilvl w:val="0"/>
          <w:numId w:val="17"/>
        </w:numPr>
        <w:ind w:firstLineChars="0"/>
      </w:pPr>
      <w:r>
        <w:t>若提供的服务与采购文件要求有不符之处，应说明其差别之所在。</w:t>
      </w:r>
    </w:p>
    <w:p w14:paraId="38EDD582">
      <w:pPr>
        <w:pStyle w:val="16"/>
        <w:numPr>
          <w:ilvl w:val="0"/>
          <w:numId w:val="17"/>
        </w:numPr>
        <w:ind w:firstLineChars="0"/>
      </w:pPr>
      <w:r>
        <w:t>响应文件应按照采购文件要求提供服务说明，技术资料、文件和有关证明，包括但不限于以下材料：</w:t>
      </w:r>
    </w:p>
    <w:p w14:paraId="1724A775">
      <w:pPr>
        <w:pStyle w:val="16"/>
        <w:numPr>
          <w:ilvl w:val="0"/>
          <w:numId w:val="18"/>
        </w:numPr>
        <w:ind w:firstLineChars="0"/>
      </w:pPr>
      <w:r>
        <w:t>提供技术及</w:t>
      </w:r>
      <w:r>
        <w:rPr>
          <w:rFonts w:hint="eastAsia"/>
        </w:rPr>
        <w:t>服务</w:t>
      </w:r>
      <w:r>
        <w:t>方案；</w:t>
      </w:r>
    </w:p>
    <w:p w14:paraId="7438F510">
      <w:pPr>
        <w:pStyle w:val="16"/>
        <w:numPr>
          <w:ilvl w:val="0"/>
          <w:numId w:val="18"/>
        </w:numPr>
        <w:ind w:firstLineChars="0"/>
      </w:pPr>
      <w:r>
        <w:t>《技术条款偏离表》；</w:t>
      </w:r>
    </w:p>
    <w:p w14:paraId="481E648B">
      <w:pPr>
        <w:pStyle w:val="16"/>
        <w:numPr>
          <w:ilvl w:val="0"/>
          <w:numId w:val="18"/>
        </w:numPr>
        <w:ind w:firstLineChars="0"/>
      </w:pPr>
      <w:r>
        <w:t>服务承诺；</w:t>
      </w:r>
    </w:p>
    <w:p w14:paraId="5103FA8B">
      <w:pPr>
        <w:pStyle w:val="16"/>
        <w:numPr>
          <w:ilvl w:val="0"/>
          <w:numId w:val="18"/>
        </w:numPr>
        <w:ind w:firstLineChars="0"/>
      </w:pPr>
      <w:r>
        <w:t>供应商拟投入本项目的设备、人员情况一览表；</w:t>
      </w:r>
    </w:p>
    <w:p w14:paraId="20AF7C5E">
      <w:pPr>
        <w:pStyle w:val="16"/>
        <w:widowControl/>
        <w:numPr>
          <w:ilvl w:val="0"/>
          <w:numId w:val="18"/>
        </w:numPr>
        <w:ind w:firstLineChars="0"/>
      </w:pPr>
      <w:r>
        <w:t>供应商认为需要提供的其他技术资料。</w:t>
      </w:r>
    </w:p>
    <w:p w14:paraId="0742DBC6">
      <w:pPr>
        <w:pStyle w:val="16"/>
        <w:numPr>
          <w:ilvl w:val="0"/>
          <w:numId w:val="11"/>
        </w:numPr>
        <w:ind w:firstLineChars="0"/>
        <w:rPr>
          <w:b/>
        </w:rPr>
      </w:pPr>
      <w:r>
        <w:rPr>
          <w:b/>
        </w:rPr>
        <w:t>响应文件的价格部分</w:t>
      </w:r>
    </w:p>
    <w:p w14:paraId="2AF5E232">
      <w:pPr>
        <w:pStyle w:val="16"/>
        <w:numPr>
          <w:ilvl w:val="0"/>
          <w:numId w:val="19"/>
        </w:numPr>
        <w:ind w:firstLineChars="0"/>
      </w:pPr>
      <w:r>
        <w:t>价格部分是对</w:t>
      </w:r>
      <w:r>
        <w:rPr>
          <w:rFonts w:hint="eastAsia"/>
        </w:rPr>
        <w:t>响应</w:t>
      </w:r>
      <w:r>
        <w:t>服务价格构成的说明，每一项服务仅接受一个价格。</w:t>
      </w:r>
    </w:p>
    <w:p w14:paraId="35F35289">
      <w:pPr>
        <w:pStyle w:val="16"/>
        <w:numPr>
          <w:ilvl w:val="0"/>
          <w:numId w:val="19"/>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52B2185A">
      <w:pPr>
        <w:pStyle w:val="16"/>
        <w:numPr>
          <w:ilvl w:val="0"/>
          <w:numId w:val="19"/>
        </w:numPr>
        <w:ind w:firstLineChars="0"/>
      </w:pPr>
      <w:r>
        <w:t>供应商的任何错漏、优惠、竞争性报价不得作为减轻责任、减少服务、增加收费、降低质量的理由。</w:t>
      </w:r>
    </w:p>
    <w:p w14:paraId="155D1295">
      <w:pPr>
        <w:pStyle w:val="16"/>
        <w:numPr>
          <w:ilvl w:val="0"/>
          <w:numId w:val="19"/>
        </w:numPr>
        <w:ind w:firstLineChars="0"/>
      </w:pPr>
      <w:r>
        <w:t>供应商应在《</w:t>
      </w:r>
      <w:r>
        <w:rPr>
          <w:rFonts w:hint="eastAsia"/>
        </w:rPr>
        <w:t>响应</w:t>
      </w:r>
      <w:r>
        <w:t>一览表》《分项报价表》</w:t>
      </w:r>
      <w:r>
        <w:rPr>
          <w:rFonts w:hint="eastAsia"/>
        </w:rPr>
        <w:t>中列</w:t>
      </w:r>
      <w:r>
        <w:t>明提供货物和服务的单价、总价以及分项报价。</w:t>
      </w:r>
    </w:p>
    <w:p w14:paraId="2E9EA876">
      <w:pPr>
        <w:pStyle w:val="16"/>
        <w:numPr>
          <w:ilvl w:val="0"/>
          <w:numId w:val="11"/>
        </w:numPr>
        <w:ind w:firstLineChars="0"/>
        <w:rPr>
          <w:b/>
        </w:rPr>
      </w:pPr>
      <w:r>
        <w:rPr>
          <w:b/>
        </w:rPr>
        <w:t>响应文件的其他部分</w:t>
      </w:r>
    </w:p>
    <w:p w14:paraId="17B1718A">
      <w:pPr>
        <w:pStyle w:val="16"/>
        <w:ind w:firstLine="480"/>
      </w:pPr>
      <w:r>
        <w:t>供应商编制响应文件需要提供的其他相关文件。</w:t>
      </w:r>
    </w:p>
    <w:p w14:paraId="0D5D773B">
      <w:pPr>
        <w:pStyle w:val="16"/>
        <w:numPr>
          <w:ilvl w:val="0"/>
          <w:numId w:val="11"/>
        </w:numPr>
        <w:ind w:firstLineChars="0"/>
        <w:rPr>
          <w:b/>
        </w:rPr>
      </w:pPr>
      <w:r>
        <w:rPr>
          <w:b/>
        </w:rPr>
        <w:t>响应保证金：无。</w:t>
      </w:r>
    </w:p>
    <w:p w14:paraId="55B3B978">
      <w:pPr>
        <w:pStyle w:val="16"/>
        <w:numPr>
          <w:ilvl w:val="0"/>
          <w:numId w:val="11"/>
        </w:numPr>
        <w:ind w:firstLineChars="0"/>
        <w:rPr>
          <w:b/>
        </w:rPr>
      </w:pPr>
      <w:r>
        <w:rPr>
          <w:b/>
        </w:rPr>
        <w:t>响应有效期</w:t>
      </w:r>
    </w:p>
    <w:p w14:paraId="6ADF22C8">
      <w:pPr>
        <w:pStyle w:val="16"/>
        <w:numPr>
          <w:ilvl w:val="0"/>
          <w:numId w:val="20"/>
        </w:numPr>
        <w:ind w:firstLineChars="0"/>
      </w:pPr>
      <w:r>
        <w:t>自</w:t>
      </w:r>
      <w:r>
        <w:rPr>
          <w:rFonts w:hint="eastAsia"/>
        </w:rPr>
        <w:t>响应文件开启</w:t>
      </w:r>
      <w:r>
        <w:t>之日起</w:t>
      </w:r>
      <w:r>
        <w:rPr>
          <w:rFonts w:hint="eastAsia"/>
        </w:rPr>
        <w:t>九</w:t>
      </w:r>
      <w:r>
        <w:t>十日内响应有效。</w:t>
      </w:r>
    </w:p>
    <w:p w14:paraId="0D464BF8">
      <w:pPr>
        <w:pStyle w:val="16"/>
        <w:numPr>
          <w:ilvl w:val="0"/>
          <w:numId w:val="20"/>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CDD1F91">
      <w:pPr>
        <w:pStyle w:val="16"/>
        <w:numPr>
          <w:ilvl w:val="0"/>
          <w:numId w:val="11"/>
        </w:numPr>
        <w:ind w:firstLineChars="0"/>
        <w:rPr>
          <w:b/>
        </w:rPr>
      </w:pPr>
      <w:r>
        <w:rPr>
          <w:b/>
        </w:rPr>
        <w:t>响应文件的份数、签署</w:t>
      </w:r>
    </w:p>
    <w:p w14:paraId="2A10D98A">
      <w:pPr>
        <w:pStyle w:val="16"/>
        <w:numPr>
          <w:ilvl w:val="0"/>
          <w:numId w:val="21"/>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63765122">
      <w:pPr>
        <w:pStyle w:val="16"/>
        <w:numPr>
          <w:ilvl w:val="0"/>
          <w:numId w:val="21"/>
        </w:numPr>
        <w:ind w:firstLineChars="0"/>
      </w:pPr>
      <w:r>
        <w:t>响应文件正本中，文字材料需打印或用不褪色墨水书写。响应文件的正本须经法定代表人或经正式授权并对供应商有约束力的委托代理人签字和加盖供应商公章。本采购文件所表述</w:t>
      </w:r>
      <w:r>
        <w:rPr>
          <w:rFonts w:hint="eastAsia"/>
        </w:rPr>
        <w:t>(</w:t>
      </w:r>
      <w:r>
        <w:t>指定</w:t>
      </w:r>
      <w:r>
        <w:rPr>
          <w:rFonts w:hint="eastAsia"/>
        </w:rPr>
        <w:t>)</w:t>
      </w:r>
      <w:r>
        <w:t>的公章是指法定名称章，不包括合同专用章、业务专用章等印章。</w:t>
      </w:r>
    </w:p>
    <w:p w14:paraId="4D136290">
      <w:pPr>
        <w:pStyle w:val="16"/>
        <w:numPr>
          <w:ilvl w:val="0"/>
          <w:numId w:val="21"/>
        </w:numPr>
        <w:ind w:firstLineChars="0"/>
      </w:pPr>
      <w:r>
        <w:t>除供应商对错处做必要修改外，响应文件不得行间插字、涂改或增删。如有修改错漏处，必须由响应文件签署人签字或加盖公章。</w:t>
      </w:r>
    </w:p>
    <w:p w14:paraId="7BB906A6">
      <w:pPr>
        <w:pStyle w:val="16"/>
        <w:numPr>
          <w:ilvl w:val="0"/>
          <w:numId w:val="11"/>
        </w:numPr>
        <w:ind w:firstLineChars="0"/>
        <w:rPr>
          <w:b/>
        </w:rPr>
      </w:pPr>
      <w:r>
        <w:rPr>
          <w:b/>
        </w:rPr>
        <w:t>响应文件的密封和递交</w:t>
      </w:r>
    </w:p>
    <w:p w14:paraId="0441146E">
      <w:pPr>
        <w:pStyle w:val="16"/>
        <w:numPr>
          <w:ilvl w:val="0"/>
          <w:numId w:val="22"/>
        </w:numPr>
        <w:ind w:firstLineChars="0"/>
      </w:pPr>
      <w:r>
        <w:t>供应商应当将响应文件密封。</w:t>
      </w:r>
    </w:p>
    <w:p w14:paraId="4FB978D5">
      <w:pPr>
        <w:pStyle w:val="16"/>
        <w:numPr>
          <w:ilvl w:val="0"/>
          <w:numId w:val="22"/>
        </w:numPr>
        <w:ind w:firstLineChars="0"/>
      </w:pPr>
      <w:r>
        <w:t>供应商应当在采购文件要求提交响应文件的截止时间前，将密封的响应文件送达响应地点。</w:t>
      </w:r>
    </w:p>
    <w:p w14:paraId="195D580D">
      <w:pPr>
        <w:pStyle w:val="16"/>
        <w:numPr>
          <w:ilvl w:val="0"/>
          <w:numId w:val="11"/>
        </w:numPr>
        <w:ind w:firstLineChars="0"/>
        <w:rPr>
          <w:b/>
        </w:rPr>
      </w:pPr>
      <w:r>
        <w:rPr>
          <w:b/>
        </w:rPr>
        <w:t>有下列情形之一的响应文件将被拒收</w:t>
      </w:r>
    </w:p>
    <w:p w14:paraId="2D07A7F1">
      <w:pPr>
        <w:pStyle w:val="16"/>
        <w:numPr>
          <w:ilvl w:val="0"/>
          <w:numId w:val="23"/>
        </w:numPr>
        <w:ind w:firstLineChars="0"/>
      </w:pPr>
      <w:r>
        <w:t>在采购文件要求提交响应文件的截止时间之后送达的。</w:t>
      </w:r>
    </w:p>
    <w:p w14:paraId="19C28B64">
      <w:pPr>
        <w:pStyle w:val="16"/>
        <w:numPr>
          <w:ilvl w:val="0"/>
          <w:numId w:val="23"/>
        </w:numPr>
        <w:ind w:firstLineChars="0"/>
      </w:pPr>
      <w:r>
        <w:t>响应文件未密封的。</w:t>
      </w:r>
    </w:p>
    <w:p w14:paraId="576A2FB4">
      <w:pPr>
        <w:pStyle w:val="16"/>
        <w:numPr>
          <w:ilvl w:val="0"/>
          <w:numId w:val="11"/>
        </w:numPr>
        <w:ind w:firstLineChars="0"/>
        <w:rPr>
          <w:b/>
        </w:rPr>
      </w:pPr>
      <w:r>
        <w:rPr>
          <w:b/>
        </w:rPr>
        <w:t>响应文件的修改和撤回</w:t>
      </w:r>
    </w:p>
    <w:p w14:paraId="1FB4E4F5">
      <w:pPr>
        <w:pStyle w:val="16"/>
        <w:numPr>
          <w:ilvl w:val="0"/>
          <w:numId w:val="24"/>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79C0594D">
      <w:pPr>
        <w:pStyle w:val="16"/>
        <w:numPr>
          <w:ilvl w:val="0"/>
          <w:numId w:val="24"/>
        </w:numPr>
        <w:ind w:firstLineChars="0"/>
      </w:pPr>
      <w:r>
        <w:t>响应截止时间之后，响应文件不得撤回。</w:t>
      </w:r>
    </w:p>
    <w:p w14:paraId="632ED80E">
      <w:pPr>
        <w:pStyle w:val="16"/>
        <w:numPr>
          <w:ilvl w:val="0"/>
          <w:numId w:val="7"/>
        </w:numPr>
        <w:ind w:firstLineChars="0"/>
        <w:rPr>
          <w:b/>
        </w:rPr>
      </w:pPr>
      <w:r>
        <w:rPr>
          <w:rFonts w:hint="eastAsia"/>
          <w:b/>
        </w:rPr>
        <w:t>响应文件开启</w:t>
      </w:r>
      <w:r>
        <w:rPr>
          <w:b/>
        </w:rPr>
        <w:t>、评</w:t>
      </w:r>
      <w:r>
        <w:rPr>
          <w:rFonts w:hint="eastAsia"/>
          <w:b/>
        </w:rPr>
        <w:t>审</w:t>
      </w:r>
      <w:r>
        <w:rPr>
          <w:b/>
        </w:rPr>
        <w:t>与确定成交供应商</w:t>
      </w:r>
    </w:p>
    <w:p w14:paraId="17237F4F">
      <w:pPr>
        <w:pStyle w:val="16"/>
        <w:numPr>
          <w:ilvl w:val="0"/>
          <w:numId w:val="25"/>
        </w:numPr>
        <w:ind w:firstLineChars="0"/>
        <w:rPr>
          <w:b/>
        </w:rPr>
      </w:pPr>
      <w:r>
        <w:rPr>
          <w:rFonts w:hint="eastAsia"/>
          <w:b/>
        </w:rPr>
        <w:t>响应文件开启</w:t>
      </w:r>
    </w:p>
    <w:p w14:paraId="47D7B498">
      <w:pPr>
        <w:pStyle w:val="16"/>
        <w:numPr>
          <w:ilvl w:val="0"/>
          <w:numId w:val="26"/>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3937FC38">
      <w:pPr>
        <w:pStyle w:val="16"/>
        <w:numPr>
          <w:ilvl w:val="0"/>
          <w:numId w:val="26"/>
        </w:numPr>
        <w:ind w:firstLineChars="0"/>
      </w:pPr>
      <w:r>
        <w:rPr>
          <w:rFonts w:hint="eastAsia"/>
        </w:rPr>
        <w:t>响应文件开启</w:t>
      </w:r>
      <w:r>
        <w:t>时，由供应商或者其推选的代表检查响应文件的密封情况，经确认无误后，由采购人或者代理机构工作人员当众拆封，宣布供应商名称、响应价格和采购文件规定的需要宣布的其他内容。</w:t>
      </w:r>
    </w:p>
    <w:p w14:paraId="33D3B162">
      <w:pPr>
        <w:pStyle w:val="16"/>
        <w:numPr>
          <w:ilvl w:val="0"/>
          <w:numId w:val="26"/>
        </w:numPr>
        <w:ind w:firstLineChars="0"/>
      </w:pPr>
      <w:r>
        <w:t>未宣读的响应价格、价格折扣和采购文件允许提供的备选响应方案等实质性内容，评审时不予承认。</w:t>
      </w:r>
    </w:p>
    <w:p w14:paraId="5B48C98D">
      <w:pPr>
        <w:pStyle w:val="16"/>
        <w:numPr>
          <w:ilvl w:val="0"/>
          <w:numId w:val="26"/>
        </w:numPr>
        <w:ind w:firstLineChars="0"/>
      </w:pPr>
      <w:r>
        <w:rPr>
          <w:rFonts w:hint="eastAsia"/>
        </w:rPr>
        <w:t>响应文件开启</w:t>
      </w:r>
      <w:r>
        <w:t>时，《</w:t>
      </w:r>
      <w:r>
        <w:rPr>
          <w:rFonts w:hint="eastAsia"/>
        </w:rPr>
        <w:t>响应</w:t>
      </w:r>
      <w:r>
        <w:t>一览表》</w:t>
      </w:r>
      <w:r>
        <w:rPr>
          <w:rFonts w:hint="eastAsia"/>
        </w:rPr>
        <w:t>(</w:t>
      </w:r>
      <w:r>
        <w:t>报价表</w:t>
      </w:r>
      <w:r>
        <w:rPr>
          <w:rFonts w:hint="eastAsia"/>
        </w:rPr>
        <w:t>)</w:t>
      </w:r>
      <w:r>
        <w:t>内容与响应文件中相应内容不一致的，以《</w:t>
      </w:r>
      <w:r>
        <w:rPr>
          <w:rFonts w:hint="eastAsia"/>
        </w:rPr>
        <w:t>响应</w:t>
      </w:r>
      <w:r>
        <w:t>一览表》</w:t>
      </w:r>
      <w:r>
        <w:rPr>
          <w:rFonts w:hint="eastAsia"/>
        </w:rPr>
        <w:t>(</w:t>
      </w:r>
      <w:r>
        <w:t>报价表</w:t>
      </w:r>
      <w:r>
        <w:rPr>
          <w:rFonts w:hint="eastAsia"/>
        </w:rPr>
        <w:t>)</w:t>
      </w:r>
      <w:r>
        <w:t>为准。</w:t>
      </w:r>
    </w:p>
    <w:p w14:paraId="126914F8">
      <w:pPr>
        <w:pStyle w:val="16"/>
        <w:numPr>
          <w:ilvl w:val="0"/>
          <w:numId w:val="26"/>
        </w:numPr>
        <w:ind w:firstLineChars="0"/>
      </w:pPr>
      <w:r>
        <w:t>响应文件、《</w:t>
      </w:r>
      <w:r>
        <w:rPr>
          <w:rFonts w:hint="eastAsia"/>
        </w:rPr>
        <w:t>响应</w:t>
      </w:r>
      <w:r>
        <w:t>一览表》</w:t>
      </w:r>
      <w:r>
        <w:rPr>
          <w:rFonts w:hint="eastAsia"/>
        </w:rPr>
        <w:t>(</w:t>
      </w:r>
      <w:r>
        <w:t>报价表</w:t>
      </w:r>
      <w:r>
        <w:rPr>
          <w:rFonts w:hint="eastAsia"/>
        </w:rPr>
        <w:t>)</w:t>
      </w:r>
      <w:r>
        <w:t>中报价的大写金额与小写金额不一致的，以大写金额为准。</w:t>
      </w:r>
    </w:p>
    <w:p w14:paraId="64563367">
      <w:pPr>
        <w:pStyle w:val="16"/>
        <w:numPr>
          <w:ilvl w:val="0"/>
          <w:numId w:val="26"/>
        </w:numPr>
        <w:ind w:firstLineChars="0"/>
      </w:pPr>
      <w:r>
        <w:t>单价金额小数点或者百分比有明显错位的，以《</w:t>
      </w:r>
      <w:r>
        <w:rPr>
          <w:rFonts w:hint="eastAsia"/>
        </w:rPr>
        <w:t>响应</w:t>
      </w:r>
      <w:r>
        <w:t>一览表》</w:t>
      </w:r>
      <w:r>
        <w:rPr>
          <w:rFonts w:hint="eastAsia"/>
        </w:rPr>
        <w:t>(</w:t>
      </w:r>
      <w:r>
        <w:t>报价表</w:t>
      </w:r>
      <w:r>
        <w:rPr>
          <w:rFonts w:hint="eastAsia"/>
        </w:rPr>
        <w:t>)</w:t>
      </w:r>
      <w:r>
        <w:t>的总价为准，并修改单价。</w:t>
      </w:r>
    </w:p>
    <w:p w14:paraId="59FED0EE">
      <w:pPr>
        <w:pStyle w:val="16"/>
        <w:numPr>
          <w:ilvl w:val="0"/>
          <w:numId w:val="26"/>
        </w:numPr>
        <w:ind w:firstLineChars="0"/>
      </w:pPr>
      <w:r>
        <w:t>总价金额与按单价汇总金额不一致的，以单价金额计算结果为准。</w:t>
      </w:r>
    </w:p>
    <w:p w14:paraId="1FA2247D">
      <w:pPr>
        <w:pStyle w:val="16"/>
        <w:numPr>
          <w:ilvl w:val="0"/>
          <w:numId w:val="26"/>
        </w:numPr>
        <w:ind w:firstLineChars="0"/>
      </w:pPr>
      <w:r>
        <w:t>同时出现19.4-19.7中两种以上不一致的，按照19.4-19.7的顺序修正。修正后的报价由法定代表人或其授权的代表确认后产生约束力，供应商不确认的，</w:t>
      </w:r>
      <w:r>
        <w:rPr>
          <w:rFonts w:hint="eastAsia"/>
        </w:rPr>
        <w:t>其</w:t>
      </w:r>
      <w:r>
        <w:t>响应无效。</w:t>
      </w:r>
    </w:p>
    <w:p w14:paraId="2A5E83B6">
      <w:pPr>
        <w:pStyle w:val="16"/>
        <w:numPr>
          <w:ilvl w:val="0"/>
          <w:numId w:val="26"/>
        </w:numPr>
        <w:ind w:firstLineChars="0"/>
      </w:pPr>
      <w:r>
        <w:t>对不同文字文本响应文件的解释发生异议的，以中文文本为准。</w:t>
      </w:r>
    </w:p>
    <w:p w14:paraId="06EFAEB8">
      <w:pPr>
        <w:pStyle w:val="16"/>
        <w:numPr>
          <w:ilvl w:val="0"/>
          <w:numId w:val="26"/>
        </w:numPr>
        <w:ind w:firstLineChars="0"/>
      </w:pPr>
      <w:r>
        <w:t>响应截止时间</w:t>
      </w:r>
      <w:r>
        <w:rPr>
          <w:rFonts w:hint="eastAsia"/>
        </w:rPr>
        <w:t>响应供应商或者合格供应商不足3家，可按以下情形处理：</w:t>
      </w:r>
    </w:p>
    <w:p w14:paraId="340E74E7">
      <w:pPr>
        <w:pStyle w:val="16"/>
        <w:ind w:left="480" w:firstLine="480"/>
      </w:pPr>
      <w:r>
        <w:rPr>
          <w:rFonts w:hint="eastAsia"/>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9A79444">
      <w:pPr>
        <w:pStyle w:val="16"/>
        <w:ind w:left="480" w:firstLine="480"/>
      </w:pPr>
      <w:r>
        <w:rPr>
          <w:rFonts w:hint="eastAsia"/>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只有1家，或者经评审对采购文件做出实质响应的有效供应商只有1家，且同时满足19.10.1所列两个条件的，可转为单一来源方式采购。</w:t>
      </w:r>
    </w:p>
    <w:p w14:paraId="1CEFC015">
      <w:pPr>
        <w:pStyle w:val="16"/>
        <w:ind w:firstLineChars="175"/>
      </w:pPr>
      <w:r>
        <w:rPr>
          <w:rFonts w:hint="eastAsia"/>
        </w:rPr>
        <w:t>1</w:t>
      </w:r>
      <w:r>
        <w:t>9.11</w:t>
      </w:r>
      <w:r>
        <w:rPr>
          <w:rFonts w:hint="eastAsia"/>
        </w:rPr>
        <w:t>相同品牌产品(核心产品)</w:t>
      </w:r>
    </w:p>
    <w:p w14:paraId="34A8B521">
      <w:pPr>
        <w:pStyle w:val="16"/>
        <w:ind w:left="480" w:firstLine="480"/>
      </w:pPr>
      <w:r>
        <w:rPr>
          <w:rFonts w:hint="eastAsia"/>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4739821D">
      <w:pPr>
        <w:pStyle w:val="16"/>
        <w:ind w:left="480" w:firstLine="480"/>
      </w:pPr>
      <w:r>
        <w:rPr>
          <w:rFonts w:hint="eastAsia"/>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441652F">
      <w:pPr>
        <w:pStyle w:val="16"/>
        <w:numPr>
          <w:ilvl w:val="0"/>
          <w:numId w:val="25"/>
        </w:numPr>
        <w:ind w:firstLineChars="0"/>
        <w:rPr>
          <w:b/>
        </w:rPr>
      </w:pPr>
      <w:r>
        <w:rPr>
          <w:b/>
        </w:rPr>
        <w:t>评审</w:t>
      </w:r>
    </w:p>
    <w:p w14:paraId="5BD37CF6">
      <w:pPr>
        <w:pStyle w:val="16"/>
        <w:numPr>
          <w:ilvl w:val="0"/>
          <w:numId w:val="27"/>
        </w:numPr>
        <w:ind w:firstLineChars="0"/>
        <w:rPr>
          <w:b/>
        </w:rPr>
      </w:pPr>
      <w:r>
        <w:rPr>
          <w:b/>
        </w:rPr>
        <w:t>评审组织</w:t>
      </w:r>
    </w:p>
    <w:p w14:paraId="5B6DCEBE">
      <w:pPr>
        <w:pStyle w:val="16"/>
        <w:numPr>
          <w:ilvl w:val="0"/>
          <w:numId w:val="28"/>
        </w:numPr>
        <w:ind w:firstLineChars="0"/>
      </w:pPr>
      <w:r>
        <w:t>评审工作由代理机构组织，具体评审事务由依法组建的评审委员会负责，并独立履行下列职责：</w:t>
      </w:r>
    </w:p>
    <w:p w14:paraId="1EA14603">
      <w:pPr>
        <w:pStyle w:val="16"/>
        <w:numPr>
          <w:ilvl w:val="0"/>
          <w:numId w:val="29"/>
        </w:numPr>
        <w:ind w:firstLineChars="0"/>
      </w:pPr>
      <w:r>
        <w:t>审查、评价响应文件是否符合采购文件的商务、技术等实质性要求；</w:t>
      </w:r>
    </w:p>
    <w:p w14:paraId="2C07A5A7">
      <w:pPr>
        <w:pStyle w:val="16"/>
        <w:numPr>
          <w:ilvl w:val="0"/>
          <w:numId w:val="29"/>
        </w:numPr>
        <w:ind w:firstLineChars="0"/>
      </w:pPr>
      <w:r>
        <w:t>要求供应商对响应文件有关事项作出澄清或者说明；</w:t>
      </w:r>
    </w:p>
    <w:p w14:paraId="3C6AB2DD">
      <w:pPr>
        <w:pStyle w:val="16"/>
        <w:numPr>
          <w:ilvl w:val="0"/>
          <w:numId w:val="29"/>
        </w:numPr>
        <w:ind w:firstLineChars="0"/>
      </w:pPr>
      <w:r>
        <w:t>对响应文件进行比较和评价；</w:t>
      </w:r>
    </w:p>
    <w:p w14:paraId="645C8ECA">
      <w:pPr>
        <w:pStyle w:val="16"/>
        <w:numPr>
          <w:ilvl w:val="0"/>
          <w:numId w:val="29"/>
        </w:numPr>
        <w:ind w:firstLineChars="0"/>
      </w:pPr>
      <w:r>
        <w:t>推荐成交候选人或根据采购人委托直接确定成交供应商；</w:t>
      </w:r>
    </w:p>
    <w:p w14:paraId="4DDED8AA">
      <w:pPr>
        <w:pStyle w:val="16"/>
        <w:numPr>
          <w:ilvl w:val="0"/>
          <w:numId w:val="29"/>
        </w:numPr>
        <w:ind w:firstLineChars="0"/>
      </w:pPr>
      <w:r>
        <w:t>向采购人报告评审中发现的违法行为。</w:t>
      </w:r>
    </w:p>
    <w:p w14:paraId="792AC034">
      <w:pPr>
        <w:pStyle w:val="16"/>
        <w:numPr>
          <w:ilvl w:val="0"/>
          <w:numId w:val="28"/>
        </w:numPr>
        <w:ind w:firstLineChars="0"/>
      </w:pPr>
      <w:r>
        <w:t>评审委员会由采购人代表和有关技术、经济等方面的专家组成，独立开展评审工作。</w:t>
      </w:r>
    </w:p>
    <w:p w14:paraId="781C91E9">
      <w:pPr>
        <w:pStyle w:val="16"/>
        <w:numPr>
          <w:ilvl w:val="0"/>
          <w:numId w:val="27"/>
        </w:numPr>
        <w:ind w:firstLineChars="0"/>
        <w:rPr>
          <w:b/>
        </w:rPr>
      </w:pPr>
      <w:r>
        <w:rPr>
          <w:b/>
        </w:rPr>
        <w:t>评审程序</w:t>
      </w:r>
    </w:p>
    <w:p w14:paraId="7B167DC5">
      <w:pPr>
        <w:pStyle w:val="16"/>
        <w:numPr>
          <w:ilvl w:val="0"/>
          <w:numId w:val="30"/>
        </w:numPr>
        <w:ind w:firstLineChars="0"/>
        <w:rPr>
          <w:b/>
        </w:rPr>
      </w:pPr>
      <w:r>
        <w:rPr>
          <w:b/>
        </w:rPr>
        <w:t>响应文件的资格审查</w:t>
      </w:r>
    </w:p>
    <w:p w14:paraId="28E3DE96">
      <w:pPr>
        <w:pStyle w:val="16"/>
        <w:numPr>
          <w:ilvl w:val="0"/>
          <w:numId w:val="31"/>
        </w:numPr>
        <w:ind w:firstLineChars="0"/>
      </w:pPr>
      <w:r>
        <w:t>采购</w:t>
      </w:r>
      <w:r>
        <w:rPr>
          <w:rFonts w:hint="eastAsia"/>
        </w:rPr>
        <w:t>代理机构</w:t>
      </w:r>
      <w:r>
        <w:t>依法对供应商的资格进行审查。</w:t>
      </w:r>
    </w:p>
    <w:p w14:paraId="48DEE93F">
      <w:pPr>
        <w:pStyle w:val="16"/>
        <w:numPr>
          <w:ilvl w:val="0"/>
          <w:numId w:val="31"/>
        </w:numPr>
        <w:ind w:firstLineChars="0"/>
      </w:pPr>
      <w:r>
        <w:t>采购</w:t>
      </w:r>
      <w:r>
        <w:rPr>
          <w:rFonts w:hint="eastAsia"/>
        </w:rPr>
        <w:t>代理机构</w:t>
      </w:r>
      <w:r>
        <w:t>依据法律法规和采购文件的规定，对响应文件中的资格证明文件等进行审查，以确定供应商是否具备响应资格。</w:t>
      </w:r>
    </w:p>
    <w:p w14:paraId="2AA6FE0A">
      <w:pPr>
        <w:pStyle w:val="16"/>
        <w:numPr>
          <w:ilvl w:val="0"/>
          <w:numId w:val="31"/>
        </w:numPr>
        <w:ind w:firstLineChars="0"/>
      </w:pPr>
      <w:r>
        <w:t>在进行资格性审查的同时，将在</w:t>
      </w:r>
      <w:r>
        <w:rPr>
          <w:rFonts w:hint="eastAsia"/>
        </w:rPr>
        <w:t>“</w:t>
      </w:r>
      <w:r>
        <w:t>信用中国</w:t>
      </w:r>
      <w:r>
        <w:rPr>
          <w:rFonts w:hint="eastAsia"/>
        </w:rPr>
        <w:t>”</w:t>
      </w:r>
      <w:r>
        <w:t>网站</w:t>
      </w:r>
      <w:r>
        <w:rPr>
          <w:rFonts w:hint="eastAsia"/>
        </w:rPr>
        <w:t>(</w:t>
      </w:r>
      <w:r>
        <w:t>www.creditchina.gov.cn</w:t>
      </w:r>
      <w:r>
        <w:rPr>
          <w:rFonts w:hint="eastAsia"/>
        </w:rPr>
        <w:t>)</w:t>
      </w:r>
      <w:r>
        <w:t>、</w:t>
      </w:r>
      <w:r>
        <w:rPr>
          <w:rFonts w:hint="eastAsia"/>
        </w:rPr>
        <w:t>“</w:t>
      </w:r>
      <w:r>
        <w:t>中国政府采购网</w:t>
      </w:r>
      <w:r>
        <w:rPr>
          <w:rFonts w:hint="eastAsia"/>
        </w:rPr>
        <w:t>”(</w:t>
      </w:r>
      <w:r>
        <w:t>www.ccgp.gov.cn</w:t>
      </w:r>
      <w:r>
        <w:rPr>
          <w:rFonts w:hint="eastAsia"/>
        </w:rPr>
        <w:t>)</w:t>
      </w:r>
      <w:r>
        <w:t>对供应商是否被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列入失信被执行人、重大税收违法失信主体、政府采购严重违法失信行为记录名单进行查询，以确定供应商是否具备响应资格。查询结果将以网页打印的形式留存并归档。</w:t>
      </w:r>
    </w:p>
    <w:p w14:paraId="636C8B8A">
      <w:pPr>
        <w:pStyle w:val="16"/>
        <w:widowControl/>
        <w:numPr>
          <w:ilvl w:val="0"/>
          <w:numId w:val="31"/>
        </w:numPr>
        <w:ind w:firstLineChars="0"/>
        <w:rPr>
          <w:b/>
        </w:rPr>
      </w:pPr>
      <w:r>
        <w:rPr>
          <w:b/>
        </w:rPr>
        <w:t>响应文件有下列情况之一的，在资格审查时按照无效响应处理</w:t>
      </w:r>
    </w:p>
    <w:p w14:paraId="56321907">
      <w:pPr>
        <w:pStyle w:val="16"/>
        <w:widowControl/>
        <w:numPr>
          <w:ilvl w:val="0"/>
          <w:numId w:val="32"/>
        </w:numPr>
        <w:ind w:firstLineChars="0"/>
      </w:pPr>
      <w:r>
        <w:t>不具备采购文件规定资格条件的；</w:t>
      </w:r>
    </w:p>
    <w:p w14:paraId="5AF710F6">
      <w:pPr>
        <w:pStyle w:val="16"/>
        <w:widowControl/>
        <w:numPr>
          <w:ilvl w:val="0"/>
          <w:numId w:val="32"/>
        </w:numPr>
        <w:ind w:firstLineChars="0"/>
      </w:pPr>
      <w:r>
        <w:t>供应商被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3528B07">
      <w:pPr>
        <w:pStyle w:val="16"/>
        <w:numPr>
          <w:ilvl w:val="0"/>
          <w:numId w:val="30"/>
        </w:numPr>
        <w:ind w:firstLineChars="0"/>
        <w:rPr>
          <w:b/>
        </w:rPr>
      </w:pPr>
      <w:r>
        <w:rPr>
          <w:b/>
        </w:rPr>
        <w:t>响应文件的符合性审查</w:t>
      </w:r>
    </w:p>
    <w:p w14:paraId="20AC6755">
      <w:pPr>
        <w:pStyle w:val="16"/>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1104EEEA">
      <w:pPr>
        <w:pStyle w:val="16"/>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054E41FB">
      <w:pPr>
        <w:pStyle w:val="16"/>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2645EBCA">
      <w:pPr>
        <w:pStyle w:val="16"/>
        <w:ind w:firstLine="480" w:firstLineChars="0"/>
        <w:rPr>
          <w:b/>
        </w:rPr>
      </w:pPr>
      <w:r>
        <w:rPr>
          <w:b/>
        </w:rPr>
        <w:t>2</w:t>
      </w:r>
      <w:r>
        <w:rPr>
          <w:rFonts w:hint="eastAsia"/>
          <w:b/>
        </w:rPr>
        <w:t>0</w:t>
      </w:r>
      <w:r>
        <w:rPr>
          <w:b/>
        </w:rPr>
        <w:t>.2.2.4响应文件有下列情况之一的，在符合性审查时按照无效响应处理</w:t>
      </w:r>
    </w:p>
    <w:p w14:paraId="6373614C">
      <w:pPr>
        <w:pStyle w:val="16"/>
        <w:widowControl/>
        <w:numPr>
          <w:ilvl w:val="0"/>
          <w:numId w:val="33"/>
        </w:numPr>
        <w:ind w:firstLineChars="0"/>
      </w:pPr>
      <w:r>
        <w:rPr>
          <w:rFonts w:hint="eastAsia"/>
        </w:rPr>
        <w:t>未按照采购文件规定的要求密封、签署、盖章的；</w:t>
      </w:r>
    </w:p>
    <w:p w14:paraId="5C68944C">
      <w:pPr>
        <w:pStyle w:val="16"/>
        <w:widowControl/>
        <w:numPr>
          <w:ilvl w:val="0"/>
          <w:numId w:val="33"/>
        </w:numPr>
        <w:ind w:firstLineChars="0"/>
      </w:pPr>
      <w:r>
        <w:rPr>
          <w:rFonts w:hint="eastAsia"/>
        </w:rPr>
        <w:t>不具备采购文件中规定的资格要求的；</w:t>
      </w:r>
    </w:p>
    <w:p w14:paraId="330E12D5">
      <w:pPr>
        <w:pStyle w:val="16"/>
        <w:widowControl/>
        <w:numPr>
          <w:ilvl w:val="0"/>
          <w:numId w:val="33"/>
        </w:numPr>
        <w:ind w:firstLineChars="0"/>
      </w:pPr>
      <w:r>
        <w:rPr>
          <w:rFonts w:hint="eastAsia"/>
        </w:rPr>
        <w:t>报价超过采购文件中规定的预算金额或者最高限价的；</w:t>
      </w:r>
    </w:p>
    <w:p w14:paraId="3DF54C72">
      <w:pPr>
        <w:pStyle w:val="16"/>
        <w:widowControl/>
        <w:numPr>
          <w:ilvl w:val="0"/>
          <w:numId w:val="33"/>
        </w:numPr>
        <w:ind w:firstLineChars="0"/>
      </w:pPr>
      <w:r>
        <w:rPr>
          <w:rFonts w:hint="eastAsia"/>
        </w:rPr>
        <w:t>响应文件含有采购人不能接受的附加条件的；</w:t>
      </w:r>
    </w:p>
    <w:p w14:paraId="06828DCE">
      <w:pPr>
        <w:pStyle w:val="16"/>
        <w:widowControl/>
        <w:numPr>
          <w:ilvl w:val="0"/>
          <w:numId w:val="33"/>
        </w:numPr>
        <w:ind w:firstLineChars="0"/>
      </w:pPr>
      <w:r>
        <w:rPr>
          <w:rFonts w:hint="eastAsia"/>
        </w:rPr>
        <w:t>响应文件不符合采购文件中规定的其它实质性要求的；</w:t>
      </w:r>
    </w:p>
    <w:p w14:paraId="5986C9E3">
      <w:pPr>
        <w:pStyle w:val="16"/>
        <w:widowControl/>
        <w:numPr>
          <w:ilvl w:val="0"/>
          <w:numId w:val="33"/>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22FBF032">
      <w:pPr>
        <w:pStyle w:val="16"/>
        <w:ind w:firstLine="480" w:firstLineChars="0"/>
        <w:rPr>
          <w:b/>
        </w:rPr>
      </w:pPr>
      <w:r>
        <w:rPr>
          <w:b/>
        </w:rPr>
        <w:t>2</w:t>
      </w:r>
      <w:r>
        <w:rPr>
          <w:rFonts w:hint="eastAsia"/>
          <w:b/>
        </w:rPr>
        <w:t>0</w:t>
      </w:r>
      <w:r>
        <w:rPr>
          <w:b/>
        </w:rPr>
        <w:t>.2.2.</w:t>
      </w:r>
      <w:r>
        <w:rPr>
          <w:rFonts w:hint="eastAsia"/>
          <w:b/>
        </w:rPr>
        <w:t>5</w:t>
      </w:r>
      <w:r>
        <w:rPr>
          <w:b/>
        </w:rPr>
        <w:t>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363A62C4">
      <w:pPr>
        <w:pStyle w:val="16"/>
        <w:ind w:firstLine="480" w:firstLineChars="0"/>
        <w:rPr>
          <w:b/>
        </w:rPr>
      </w:pPr>
      <w:r>
        <w:rPr>
          <w:b/>
        </w:rPr>
        <w:t>2</w:t>
      </w:r>
      <w:r>
        <w:rPr>
          <w:rFonts w:hint="eastAsia"/>
          <w:b/>
        </w:rPr>
        <w:t>0</w:t>
      </w:r>
      <w:r>
        <w:rPr>
          <w:b/>
        </w:rPr>
        <w:t>.2.2.</w:t>
      </w:r>
      <w:r>
        <w:rPr>
          <w:rFonts w:hint="eastAsia"/>
          <w:b/>
        </w:rPr>
        <w:t>6</w:t>
      </w:r>
      <w:r>
        <w:rPr>
          <w:b/>
        </w:rPr>
        <w:t>有下列情形之一的予以废标，同时将废标理由通知所有供应商</w:t>
      </w:r>
    </w:p>
    <w:p w14:paraId="78EBC04F">
      <w:pPr>
        <w:pStyle w:val="16"/>
        <w:numPr>
          <w:ilvl w:val="0"/>
          <w:numId w:val="34"/>
        </w:numPr>
        <w:ind w:firstLineChars="0"/>
      </w:pPr>
      <w:r>
        <w:t>除</w:t>
      </w:r>
      <w:r>
        <w:rPr>
          <w:rFonts w:hint="eastAsia"/>
        </w:rPr>
        <w:t>19.10</w:t>
      </w:r>
      <w:r>
        <w:t>中规定的情形外，符合资格条件的供应商或者对采购文件作实质性响应的供应商不足三家的；</w:t>
      </w:r>
    </w:p>
    <w:p w14:paraId="073D7F01">
      <w:pPr>
        <w:pStyle w:val="16"/>
        <w:numPr>
          <w:ilvl w:val="0"/>
          <w:numId w:val="34"/>
        </w:numPr>
        <w:ind w:firstLineChars="0"/>
      </w:pPr>
      <w:r>
        <w:t>出现影响采购公正的违法、违规行为的；</w:t>
      </w:r>
    </w:p>
    <w:p w14:paraId="5D3DF6D8">
      <w:pPr>
        <w:pStyle w:val="16"/>
        <w:widowControl/>
        <w:numPr>
          <w:ilvl w:val="0"/>
          <w:numId w:val="34"/>
        </w:numPr>
        <w:ind w:firstLineChars="0"/>
      </w:pPr>
      <w:r>
        <w:t>因重大变故，采购任务取消的；</w:t>
      </w:r>
    </w:p>
    <w:p w14:paraId="2D33A020">
      <w:pPr>
        <w:pStyle w:val="16"/>
        <w:widowControl/>
        <w:numPr>
          <w:ilvl w:val="0"/>
          <w:numId w:val="34"/>
        </w:numPr>
        <w:ind w:firstLineChars="0"/>
      </w:pPr>
      <w:r>
        <w:t>采购文件存在歧义、重大缺陷，或者采购文件内容违反国家有关强制性规定的；</w:t>
      </w:r>
    </w:p>
    <w:p w14:paraId="48734ACB">
      <w:pPr>
        <w:pStyle w:val="16"/>
        <w:ind w:firstLine="480" w:firstLineChars="0"/>
        <w:rPr>
          <w:b/>
        </w:rPr>
      </w:pPr>
      <w:r>
        <w:rPr>
          <w:b/>
        </w:rPr>
        <w:t>2</w:t>
      </w:r>
      <w:r>
        <w:rPr>
          <w:rFonts w:hint="eastAsia"/>
          <w:b/>
        </w:rPr>
        <w:t>0</w:t>
      </w:r>
      <w:r>
        <w:rPr>
          <w:b/>
        </w:rPr>
        <w:t>.2.2.</w:t>
      </w:r>
      <w:r>
        <w:rPr>
          <w:rFonts w:hint="eastAsia"/>
          <w:b/>
        </w:rPr>
        <w:t>6采购文件第四章中指出的工艺、材料和设备的标准以及参照的品牌或型号仅起说明作用，并没有任何限制性。供应商在响应时可以选用替代标准、品牌或型号，但这些替代要实质上满足或超过采购文件的要求。</w:t>
      </w:r>
    </w:p>
    <w:p w14:paraId="3092B56E">
      <w:pPr>
        <w:pStyle w:val="16"/>
        <w:numPr>
          <w:ilvl w:val="0"/>
          <w:numId w:val="30"/>
        </w:numPr>
        <w:ind w:firstLineChars="0"/>
        <w:rPr>
          <w:b/>
        </w:rPr>
      </w:pPr>
      <w:r>
        <w:rPr>
          <w:b/>
        </w:rPr>
        <w:t>响应文件的进一步评审</w:t>
      </w:r>
    </w:p>
    <w:p w14:paraId="07471395">
      <w:pPr>
        <w:pStyle w:val="16"/>
        <w:numPr>
          <w:ilvl w:val="0"/>
          <w:numId w:val="35"/>
        </w:numPr>
        <w:ind w:firstLineChars="0"/>
      </w:pPr>
      <w:r>
        <w:t>评审委员会将对确定为实质性响应的响应文件进行进一步评审，看其是否有计算上或累加上的算术错误，修正错误的原则如下：</w:t>
      </w:r>
    </w:p>
    <w:p w14:paraId="4CC6EDB4">
      <w:pPr>
        <w:pStyle w:val="16"/>
        <w:numPr>
          <w:ilvl w:val="0"/>
          <w:numId w:val="36"/>
        </w:numPr>
        <w:ind w:firstLineChars="0"/>
      </w:pPr>
      <w:r>
        <w:t>如果用数字表示的金额和用文字表示的金额不一致时，应以文字表示的金额为准进行修正；</w:t>
      </w:r>
    </w:p>
    <w:p w14:paraId="069A0389">
      <w:pPr>
        <w:pStyle w:val="16"/>
        <w:numPr>
          <w:ilvl w:val="0"/>
          <w:numId w:val="36"/>
        </w:numPr>
        <w:ind w:firstLineChars="0"/>
      </w:pPr>
      <w:r>
        <w:t>当单价与数量的乘积和总价不一致时，以单价为准进行修正。只有在评审委员会认为单价有明显的小数点错误时，才能以标出的总价为准，并修改单价。</w:t>
      </w:r>
    </w:p>
    <w:p w14:paraId="5D865CE2">
      <w:pPr>
        <w:pStyle w:val="16"/>
        <w:numPr>
          <w:ilvl w:val="0"/>
          <w:numId w:val="35"/>
        </w:numPr>
        <w:ind w:firstLineChars="0"/>
      </w:pPr>
      <w:r>
        <w:t>评审委员会将按上述修正错误的方法调整响应文件中的响应价，调整后的价格应对供应商具有约束力。如果供应商不接受修正后的价格，则其响应将被拒绝。</w:t>
      </w:r>
    </w:p>
    <w:p w14:paraId="06A63A33">
      <w:pPr>
        <w:pStyle w:val="16"/>
        <w:numPr>
          <w:ilvl w:val="0"/>
          <w:numId w:val="35"/>
        </w:numPr>
        <w:ind w:firstLineChars="0"/>
      </w:pPr>
      <w:r>
        <w:t>评审委员会将允许修正响应文件中不构成重大偏离的、微小的、非正规的、不一致的或不规则的地方，但这些修改不能影响任何供应商相应的名次排列。</w:t>
      </w:r>
    </w:p>
    <w:p w14:paraId="32135FD0">
      <w:pPr>
        <w:pStyle w:val="16"/>
        <w:widowControl/>
        <w:numPr>
          <w:ilvl w:val="0"/>
          <w:numId w:val="35"/>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C4F8BA0">
      <w:pPr>
        <w:pStyle w:val="16"/>
        <w:widowControl/>
        <w:numPr>
          <w:ilvl w:val="0"/>
          <w:numId w:val="35"/>
        </w:numPr>
        <w:ind w:firstLineChars="0"/>
      </w:pPr>
      <w:r>
        <w:t>评价。按照采购文件中规定的评审方法和标准，对资格性检查和符合性检查合格的响应文件进行</w:t>
      </w:r>
      <w:r>
        <w:rPr>
          <w:rFonts w:hint="eastAsia"/>
        </w:rPr>
        <w:t>评价</w:t>
      </w:r>
      <w:r>
        <w:t>。</w:t>
      </w:r>
    </w:p>
    <w:p w14:paraId="02AC4388">
      <w:pPr>
        <w:pStyle w:val="16"/>
        <w:widowControl/>
        <w:numPr>
          <w:ilvl w:val="0"/>
          <w:numId w:val="27"/>
        </w:numPr>
        <w:ind w:firstLineChars="0"/>
        <w:rPr>
          <w:b/>
        </w:rPr>
      </w:pPr>
      <w:r>
        <w:rPr>
          <w:b/>
        </w:rPr>
        <w:t>评审方法和标准</w:t>
      </w:r>
    </w:p>
    <w:p w14:paraId="25A77A0C">
      <w:pPr>
        <w:pStyle w:val="16"/>
        <w:widowControl/>
        <w:numPr>
          <w:ilvl w:val="0"/>
          <w:numId w:val="37"/>
        </w:numPr>
        <w:ind w:firstLineChars="0"/>
      </w:pPr>
      <w:r>
        <w:t>采用综合评分法。即在响应文件满足采购文件全部实质性要求前提下，按照评审因素的量化指标评分。</w:t>
      </w:r>
    </w:p>
    <w:p w14:paraId="2501D656">
      <w:pPr>
        <w:pStyle w:val="16"/>
        <w:numPr>
          <w:ilvl w:val="0"/>
          <w:numId w:val="37"/>
        </w:numPr>
        <w:ind w:firstLineChars="0"/>
      </w:pPr>
      <w:r>
        <w:t>综合评分的主要因素是：价格</w:t>
      </w:r>
      <w:r>
        <w:rPr>
          <w:rFonts w:hint="eastAsia"/>
        </w:rPr>
        <w:t>、项目需求分析、项目实施方案、项目管理方案、售后服务方案、培训方案、项目人员配备方案、业绩、企业实力</w:t>
      </w:r>
      <w:r>
        <w:t>等。</w:t>
      </w:r>
    </w:p>
    <w:p w14:paraId="52885FA8">
      <w:pPr>
        <w:pStyle w:val="16"/>
        <w:numPr>
          <w:ilvl w:val="0"/>
          <w:numId w:val="37"/>
        </w:numPr>
        <w:ind w:firstLineChars="0"/>
      </w:pPr>
      <w:r>
        <w:t>评分标准详见文件第三章。</w:t>
      </w:r>
    </w:p>
    <w:p w14:paraId="54CA95A2">
      <w:pPr>
        <w:pStyle w:val="16"/>
        <w:numPr>
          <w:ilvl w:val="0"/>
          <w:numId w:val="25"/>
        </w:numPr>
        <w:ind w:firstLineChars="0"/>
        <w:rPr>
          <w:b/>
        </w:rPr>
      </w:pPr>
      <w:r>
        <w:rPr>
          <w:b/>
        </w:rPr>
        <w:t>确定成交供应商</w:t>
      </w:r>
    </w:p>
    <w:p w14:paraId="7ADB4D60">
      <w:pPr>
        <w:pStyle w:val="16"/>
        <w:numPr>
          <w:ilvl w:val="0"/>
          <w:numId w:val="38"/>
        </w:numPr>
        <w:ind w:firstLineChars="0"/>
      </w:pPr>
      <w:r>
        <w:t>在综合</w:t>
      </w:r>
      <w:r>
        <w:rPr>
          <w:rFonts w:hint="eastAsia"/>
        </w:rPr>
        <w:t>评审</w:t>
      </w:r>
      <w:r>
        <w:t>后按照得分由高到低顺序对供应商进行排序。评审委员会按综合得分排名推荐3名成交候选人。得分相同的，按响应报价由低到高顺序排列。按以下第</w:t>
      </w:r>
      <w:r>
        <w:rPr>
          <w:rFonts w:hint="eastAsia"/>
          <w:u w:val="single"/>
        </w:rPr>
        <w:t>(</w:t>
      </w:r>
      <w:r>
        <w:rPr>
          <w:u w:val="single"/>
        </w:rPr>
        <w:t>2</w:t>
      </w:r>
      <w:r>
        <w:rPr>
          <w:rFonts w:hint="eastAsia"/>
          <w:u w:val="single"/>
        </w:rPr>
        <w:t>)</w:t>
      </w:r>
      <w:r>
        <w:t>种方式确定成交供应商</w:t>
      </w:r>
    </w:p>
    <w:p w14:paraId="4A3460CC">
      <w:pPr>
        <w:pStyle w:val="16"/>
        <w:numPr>
          <w:ilvl w:val="0"/>
          <w:numId w:val="39"/>
        </w:numPr>
        <w:ind w:firstLineChars="0"/>
      </w:pPr>
      <w:r>
        <w:t>评审委员会直接确定排名第一的成交候选人为成交供应商；</w:t>
      </w:r>
    </w:p>
    <w:p w14:paraId="567254F0">
      <w:pPr>
        <w:pStyle w:val="16"/>
        <w:numPr>
          <w:ilvl w:val="0"/>
          <w:numId w:val="39"/>
        </w:numPr>
        <w:ind w:firstLineChars="0"/>
      </w:pPr>
      <w:r>
        <w:t>采购人项目单位在评审委员会推荐的成交候选人中按顺序确定成交供应商。</w:t>
      </w:r>
    </w:p>
    <w:p w14:paraId="7B316B6D">
      <w:pPr>
        <w:pStyle w:val="16"/>
        <w:ind w:firstLine="480"/>
      </w:pPr>
      <w: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31F3388C">
      <w:pPr>
        <w:pStyle w:val="16"/>
        <w:numPr>
          <w:ilvl w:val="0"/>
          <w:numId w:val="38"/>
        </w:numPr>
        <w:ind w:firstLineChars="0"/>
      </w:pPr>
      <w:r>
        <w:t>成交供应商确定之日起两个工作日内，将在</w:t>
      </w:r>
      <w:r>
        <w:rPr>
          <w:rFonts w:hint="eastAsia"/>
        </w:rPr>
        <w:t>“</w:t>
      </w:r>
      <w:r>
        <w:t>南京邮电大学</w:t>
      </w:r>
      <w:r>
        <w:rPr>
          <w:rFonts w:hint="eastAsia"/>
        </w:rPr>
        <w:t>采购招标管理办公室网站”</w:t>
      </w:r>
      <w:r>
        <w:t>发布公告，并向成交供应商发出《成交通知书》。</w:t>
      </w:r>
    </w:p>
    <w:p w14:paraId="5ACD27C0">
      <w:pPr>
        <w:pStyle w:val="16"/>
        <w:numPr>
          <w:ilvl w:val="0"/>
          <w:numId w:val="38"/>
        </w:numPr>
        <w:ind w:firstLineChars="0"/>
      </w:pPr>
      <w:r>
        <w:t>《成交通知书》对采购人和成交供应商具有同等法律效力。</w:t>
      </w:r>
    </w:p>
    <w:p w14:paraId="0B7AE93D">
      <w:pPr>
        <w:pStyle w:val="16"/>
        <w:numPr>
          <w:ilvl w:val="0"/>
          <w:numId w:val="38"/>
        </w:numPr>
        <w:ind w:firstLineChars="0"/>
      </w:pPr>
      <w:r>
        <w:t>《成交通知书》发出后，成交供应商无正当理由不与采购人签订合同的，应当依法承担法律责任。</w:t>
      </w:r>
    </w:p>
    <w:p w14:paraId="05527FA3">
      <w:pPr>
        <w:pStyle w:val="16"/>
        <w:numPr>
          <w:ilvl w:val="0"/>
          <w:numId w:val="38"/>
        </w:numPr>
        <w:ind w:firstLineChars="0"/>
      </w:pPr>
      <w:r>
        <w:t>代理机构和评审委员会对未成交的供应商不作未成交原因的解释。</w:t>
      </w:r>
    </w:p>
    <w:p w14:paraId="48F745B7">
      <w:pPr>
        <w:pStyle w:val="16"/>
        <w:numPr>
          <w:ilvl w:val="0"/>
          <w:numId w:val="38"/>
        </w:numPr>
        <w:ind w:firstLineChars="0"/>
      </w:pPr>
      <w:r>
        <w:t>所有响应文件不论成交与否均不退回。</w:t>
      </w:r>
    </w:p>
    <w:p w14:paraId="513A4B7B">
      <w:pPr>
        <w:pStyle w:val="16"/>
        <w:numPr>
          <w:ilvl w:val="0"/>
          <w:numId w:val="25"/>
        </w:numPr>
        <w:ind w:firstLineChars="0"/>
        <w:rPr>
          <w:b/>
        </w:rPr>
      </w:pPr>
      <w:r>
        <w:rPr>
          <w:b/>
        </w:rPr>
        <w:t>编写评审报告</w:t>
      </w:r>
    </w:p>
    <w:p w14:paraId="446E8AE5">
      <w:pPr>
        <w:pStyle w:val="16"/>
        <w:ind w:firstLine="480"/>
      </w:pPr>
      <w:r>
        <w:t>评审委员会根据全体评审成员签字的原始评审记录和评审结果编写评审报告。</w:t>
      </w:r>
    </w:p>
    <w:p w14:paraId="5FD34B88">
      <w:pPr>
        <w:pStyle w:val="16"/>
        <w:numPr>
          <w:ilvl w:val="0"/>
          <w:numId w:val="25"/>
        </w:numPr>
        <w:ind w:firstLineChars="0"/>
        <w:rPr>
          <w:b/>
        </w:rPr>
      </w:pPr>
      <w:r>
        <w:rPr>
          <w:b/>
        </w:rPr>
        <w:t>评审过程的保密</w:t>
      </w:r>
    </w:p>
    <w:p w14:paraId="4805802A">
      <w:pPr>
        <w:pStyle w:val="16"/>
        <w:numPr>
          <w:ilvl w:val="0"/>
          <w:numId w:val="40"/>
        </w:numPr>
        <w:ind w:firstLineChars="0"/>
      </w:pPr>
      <w:r>
        <w:t>代理机构将采取必要措施，保证评审在严格保密的情况下进行。</w:t>
      </w:r>
    </w:p>
    <w:p w14:paraId="1612AA58">
      <w:pPr>
        <w:pStyle w:val="16"/>
        <w:numPr>
          <w:ilvl w:val="0"/>
          <w:numId w:val="40"/>
        </w:numPr>
        <w:ind w:firstLineChars="0"/>
      </w:pPr>
      <w:r>
        <w:t>任何单位和个人不得非法干预、影响评审办法的确定，以及评审过程和结果。</w:t>
      </w:r>
    </w:p>
    <w:p w14:paraId="651DB8B3">
      <w:pPr>
        <w:pStyle w:val="16"/>
        <w:numPr>
          <w:ilvl w:val="0"/>
          <w:numId w:val="40"/>
        </w:numPr>
        <w:ind w:firstLineChars="0"/>
      </w:pPr>
      <w:r>
        <w:t>凡是与审查、澄清、评价和比较响应的有关资料等，均不得向供应商及与评审无关的人员透露。</w:t>
      </w:r>
    </w:p>
    <w:p w14:paraId="404396D9">
      <w:pPr>
        <w:pStyle w:val="16"/>
        <w:numPr>
          <w:ilvl w:val="0"/>
          <w:numId w:val="7"/>
        </w:numPr>
        <w:ind w:firstLineChars="0"/>
        <w:rPr>
          <w:b/>
        </w:rPr>
      </w:pPr>
      <w:r>
        <w:rPr>
          <w:b/>
        </w:rPr>
        <w:t>签订合同</w:t>
      </w:r>
    </w:p>
    <w:p w14:paraId="7BFEEB47">
      <w:pPr>
        <w:pStyle w:val="16"/>
        <w:ind w:firstLine="482"/>
        <w:rPr>
          <w:b/>
        </w:rPr>
      </w:pPr>
      <w:r>
        <w:rPr>
          <w:b/>
        </w:rPr>
        <w:t>24.签订合同</w:t>
      </w:r>
    </w:p>
    <w:p w14:paraId="7D950AEF">
      <w:pPr>
        <w:pStyle w:val="16"/>
        <w:numPr>
          <w:ilvl w:val="0"/>
          <w:numId w:val="41"/>
        </w:numPr>
        <w:ind w:firstLineChars="0"/>
      </w:pPr>
      <w: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59D174AC">
      <w:pPr>
        <w:pStyle w:val="16"/>
        <w:numPr>
          <w:ilvl w:val="0"/>
          <w:numId w:val="41"/>
        </w:numPr>
        <w:ind w:firstLineChars="0"/>
      </w:pPr>
      <w:r>
        <w:t>采购人不得向成交供应商提出任何不合理的要求作为签订合同的条件，不得与成交供应商私下订立背离合同实质性内容的协议。</w:t>
      </w:r>
    </w:p>
    <w:p w14:paraId="5375E272">
      <w:pPr>
        <w:pStyle w:val="16"/>
        <w:numPr>
          <w:ilvl w:val="0"/>
          <w:numId w:val="41"/>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C7D01D5">
      <w:pPr>
        <w:pStyle w:val="16"/>
        <w:numPr>
          <w:ilvl w:val="0"/>
          <w:numId w:val="41"/>
        </w:numPr>
        <w:ind w:firstLineChars="0"/>
      </w:pPr>
      <w:r>
        <w:t>采购合同履行中，采购人需追加与合同标的相同服务的，在不改变合同其他条款的前提下，可以与供应商协商签订补充合同，但所有补充合同的采购金额不得超过原合同采购金额的百分之十。</w:t>
      </w:r>
    </w:p>
    <w:p w14:paraId="12BC4117">
      <w:pPr>
        <w:pStyle w:val="16"/>
        <w:numPr>
          <w:ilvl w:val="0"/>
          <w:numId w:val="7"/>
        </w:numPr>
        <w:ind w:firstLineChars="0"/>
        <w:rPr>
          <w:b/>
        </w:rPr>
      </w:pPr>
      <w:r>
        <w:rPr>
          <w:b/>
        </w:rPr>
        <w:t>询问、质疑、投诉和诚实信用</w:t>
      </w:r>
    </w:p>
    <w:p w14:paraId="5B19DACF">
      <w:pPr>
        <w:pStyle w:val="16"/>
        <w:numPr>
          <w:ilvl w:val="0"/>
          <w:numId w:val="42"/>
        </w:numPr>
        <w:ind w:firstLineChars="0"/>
        <w:rPr>
          <w:b/>
        </w:rPr>
      </w:pPr>
      <w:r>
        <w:rPr>
          <w:b/>
        </w:rPr>
        <w:t>询问提出与答复</w:t>
      </w:r>
    </w:p>
    <w:p w14:paraId="09EC0DAC">
      <w:pPr>
        <w:pStyle w:val="16"/>
        <w:numPr>
          <w:ilvl w:val="0"/>
          <w:numId w:val="43"/>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w:t>
      </w:r>
      <w:r>
        <w:rPr>
          <w:rFonts w:hint="eastAsia"/>
        </w:rPr>
        <w:t>(</w:t>
      </w:r>
      <w:r>
        <w:t>以下简称被询问人</w:t>
      </w:r>
      <w:r>
        <w:rPr>
          <w:rFonts w:hint="eastAsia"/>
        </w:rPr>
        <w:t>)</w:t>
      </w:r>
      <w:r>
        <w:t>提出询问。</w:t>
      </w:r>
    </w:p>
    <w:p w14:paraId="3FD52420">
      <w:pPr>
        <w:pStyle w:val="16"/>
        <w:numPr>
          <w:ilvl w:val="0"/>
          <w:numId w:val="43"/>
        </w:numPr>
        <w:ind w:firstLineChars="0"/>
      </w:pPr>
      <w: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6ED7B2A5">
      <w:pPr>
        <w:pStyle w:val="16"/>
        <w:ind w:firstLine="480"/>
      </w:pPr>
      <w:r>
        <w:t>对采购文件资格条件、采购需求、评审办法等实质性内容提出的询问，被询问人可以按照审慎原则组织专家论证，参考论证意见进行澄清、修改和答复。</w:t>
      </w:r>
    </w:p>
    <w:p w14:paraId="63ED47AB">
      <w:pPr>
        <w:pStyle w:val="16"/>
        <w:numPr>
          <w:ilvl w:val="0"/>
          <w:numId w:val="43"/>
        </w:numPr>
        <w:ind w:firstLineChars="0"/>
      </w:pPr>
      <w:r>
        <w:t>如供应商询问事项涉及依法应当保密的内容，被询问人不予答复，向供应商说明理由和依据。</w:t>
      </w:r>
    </w:p>
    <w:p w14:paraId="20E36256">
      <w:pPr>
        <w:pStyle w:val="16"/>
        <w:numPr>
          <w:ilvl w:val="0"/>
          <w:numId w:val="42"/>
        </w:numPr>
        <w:ind w:firstLineChars="0"/>
        <w:rPr>
          <w:b/>
        </w:rPr>
      </w:pPr>
      <w:r>
        <w:rPr>
          <w:b/>
        </w:rPr>
        <w:t>质疑提出与答复</w:t>
      </w:r>
    </w:p>
    <w:p w14:paraId="4E403058">
      <w:pPr>
        <w:pStyle w:val="16"/>
        <w:numPr>
          <w:ilvl w:val="0"/>
          <w:numId w:val="44"/>
        </w:numPr>
        <w:ind w:firstLineChars="0"/>
      </w:pPr>
      <w:r>
        <w:t>供应商认为采购文件、采购过程、成交或者成交结果使自己的权益受到损害的，可以在知道或者应知其权益受到损害之日起规定质疑期5个工作日内，以书面形式向采购</w:t>
      </w:r>
      <w:r>
        <w:rPr>
          <w:rFonts w:hint="eastAsia"/>
        </w:rPr>
        <w:t>人</w:t>
      </w:r>
      <w:r>
        <w:t>、代理机构提出质疑。</w:t>
      </w:r>
    </w:p>
    <w:p w14:paraId="0F8B752A">
      <w:pPr>
        <w:pStyle w:val="16"/>
        <w:ind w:firstLine="480"/>
      </w:pPr>
      <w:r>
        <w:t>26.1.1供应商在规定质疑期内应一次性提出针对同一采购程序环节的质疑。</w:t>
      </w:r>
    </w:p>
    <w:p w14:paraId="741A93E3">
      <w:pPr>
        <w:pStyle w:val="16"/>
        <w:numPr>
          <w:ilvl w:val="0"/>
          <w:numId w:val="44"/>
        </w:numPr>
        <w:ind w:firstLineChars="0"/>
      </w:pPr>
      <w:r>
        <w:t>供应商知道或者应知其权益受到损害之日，是指：</w:t>
      </w:r>
    </w:p>
    <w:p w14:paraId="3AA85E2E">
      <w:pPr>
        <w:pStyle w:val="16"/>
        <w:numPr>
          <w:ilvl w:val="0"/>
          <w:numId w:val="45"/>
        </w:numPr>
        <w:ind w:firstLineChars="0"/>
      </w:pPr>
      <w:r>
        <w:t>对可以质疑的采购文件提出质疑的，为收到采购文件之日或者采购文件公告期限届满之日；</w:t>
      </w:r>
    </w:p>
    <w:p w14:paraId="6831E825">
      <w:pPr>
        <w:pStyle w:val="16"/>
        <w:numPr>
          <w:ilvl w:val="0"/>
          <w:numId w:val="45"/>
        </w:numPr>
        <w:ind w:firstLineChars="0"/>
      </w:pPr>
      <w:r>
        <w:t>对采购过程提出质疑的，为各采购程序环节结束之日；</w:t>
      </w:r>
    </w:p>
    <w:p w14:paraId="5DA3C0AF">
      <w:pPr>
        <w:pStyle w:val="16"/>
        <w:numPr>
          <w:ilvl w:val="0"/>
          <w:numId w:val="45"/>
        </w:numPr>
        <w:ind w:firstLineChars="0"/>
      </w:pPr>
      <w:r>
        <w:t>对成交或者成交结果提出质疑的，为成交或者成交结果公告期限届满之日。</w:t>
      </w:r>
    </w:p>
    <w:p w14:paraId="6E23F355">
      <w:pPr>
        <w:pStyle w:val="16"/>
        <w:numPr>
          <w:ilvl w:val="0"/>
          <w:numId w:val="44"/>
        </w:numPr>
        <w:ind w:firstLineChars="0"/>
      </w:pPr>
      <w:r>
        <w:t>提出质疑的供应商应当是参与所质疑项目采购活动的供应商。潜在供应商已依法获取其可质疑的采购文件的，可以对该文件提出质疑。</w:t>
      </w:r>
    </w:p>
    <w:p w14:paraId="743AE415">
      <w:pPr>
        <w:pStyle w:val="16"/>
        <w:numPr>
          <w:ilvl w:val="0"/>
          <w:numId w:val="44"/>
        </w:numPr>
        <w:ind w:firstLineChars="0"/>
      </w:pPr>
      <w:r>
        <w:t>供应商提出质疑应当提交质疑函和必要的证明材料。质疑函应当包括下列内容：</w:t>
      </w:r>
    </w:p>
    <w:p w14:paraId="124D0287">
      <w:pPr>
        <w:pStyle w:val="16"/>
        <w:numPr>
          <w:ilvl w:val="0"/>
          <w:numId w:val="46"/>
        </w:numPr>
        <w:ind w:firstLineChars="0"/>
      </w:pPr>
      <w:r>
        <w:t>供应商的姓名或者名称、地址、邮编、联系人及联系电话；</w:t>
      </w:r>
    </w:p>
    <w:p w14:paraId="2F66A320">
      <w:pPr>
        <w:pStyle w:val="16"/>
        <w:numPr>
          <w:ilvl w:val="0"/>
          <w:numId w:val="46"/>
        </w:numPr>
        <w:ind w:firstLineChars="0"/>
      </w:pPr>
      <w:r>
        <w:t>质疑项目的名称、编号；</w:t>
      </w:r>
    </w:p>
    <w:p w14:paraId="0F8CD14E">
      <w:pPr>
        <w:pStyle w:val="16"/>
        <w:numPr>
          <w:ilvl w:val="0"/>
          <w:numId w:val="46"/>
        </w:numPr>
        <w:ind w:firstLineChars="0"/>
      </w:pPr>
      <w:r>
        <w:t>具体、明确的质疑事项和与质疑事项相关的请求；</w:t>
      </w:r>
    </w:p>
    <w:p w14:paraId="2846462C">
      <w:pPr>
        <w:pStyle w:val="16"/>
        <w:numPr>
          <w:ilvl w:val="0"/>
          <w:numId w:val="46"/>
        </w:numPr>
        <w:ind w:firstLineChars="0"/>
      </w:pPr>
      <w:r>
        <w:t>事实依据；</w:t>
      </w:r>
    </w:p>
    <w:p w14:paraId="2AFEDF9A">
      <w:pPr>
        <w:pStyle w:val="16"/>
        <w:numPr>
          <w:ilvl w:val="0"/>
          <w:numId w:val="46"/>
        </w:numPr>
        <w:ind w:firstLineChars="0"/>
      </w:pPr>
      <w:r>
        <w:t>必要的法律依据；</w:t>
      </w:r>
    </w:p>
    <w:p w14:paraId="0ED4D3B7">
      <w:pPr>
        <w:pStyle w:val="16"/>
        <w:numPr>
          <w:ilvl w:val="0"/>
          <w:numId w:val="46"/>
        </w:numPr>
        <w:ind w:firstLineChars="0"/>
      </w:pPr>
      <w:r>
        <w:t>提出质疑的日期。</w:t>
      </w:r>
    </w:p>
    <w:p w14:paraId="15CAD2DF">
      <w:pPr>
        <w:pStyle w:val="16"/>
        <w:ind w:firstLine="480"/>
      </w:pPr>
      <w:r>
        <w:t>供应商为自然人的，应当由本人签字；供应商为法人或者其他组织的，应当由法定代表人、主要负责人，或者其授权代表签字或者盖章，并加盖公章。</w:t>
      </w:r>
    </w:p>
    <w:p w14:paraId="2108821D">
      <w:pPr>
        <w:pStyle w:val="16"/>
        <w:numPr>
          <w:ilvl w:val="0"/>
          <w:numId w:val="44"/>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5E7468DA">
      <w:pPr>
        <w:pStyle w:val="16"/>
        <w:numPr>
          <w:ilvl w:val="0"/>
          <w:numId w:val="44"/>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w:t>
      </w:r>
      <w:r>
        <w:rPr>
          <w:rFonts w:hint="eastAsia"/>
        </w:rPr>
        <w:t>(</w:t>
      </w:r>
      <w:r>
        <w:t>或代理人</w:t>
      </w:r>
      <w:r>
        <w:rPr>
          <w:rFonts w:hint="eastAsia"/>
        </w:rPr>
        <w:t>)</w:t>
      </w:r>
      <w:r>
        <w:t>需更正或补充的内容，要求其在规定质疑期内补正后提出。审查后发现质疑函存在下列情形之一的，采购</w:t>
      </w:r>
      <w:r>
        <w:rPr>
          <w:rFonts w:hint="eastAsia"/>
        </w:rPr>
        <w:t>人</w:t>
      </w:r>
      <w:r>
        <w:t>、代理机构不予受理，并书面告知理由：</w:t>
      </w:r>
    </w:p>
    <w:p w14:paraId="32E756A0">
      <w:pPr>
        <w:pStyle w:val="16"/>
        <w:numPr>
          <w:ilvl w:val="0"/>
          <w:numId w:val="47"/>
        </w:numPr>
        <w:ind w:firstLineChars="0"/>
      </w:pPr>
      <w:r>
        <w:t>供应商不是参与所质疑项目采购活动的供应商或依法获取可质疑采购文件的潜在供应商；</w:t>
      </w:r>
    </w:p>
    <w:p w14:paraId="6FF31363">
      <w:pPr>
        <w:pStyle w:val="16"/>
        <w:numPr>
          <w:ilvl w:val="0"/>
          <w:numId w:val="47"/>
        </w:numPr>
        <w:ind w:firstLineChars="0"/>
      </w:pPr>
      <w:r>
        <w:t>潜在供应商所质疑事项均为采购文件以外的事项；</w:t>
      </w:r>
    </w:p>
    <w:p w14:paraId="5B3B9FF2">
      <w:pPr>
        <w:pStyle w:val="16"/>
        <w:numPr>
          <w:ilvl w:val="0"/>
          <w:numId w:val="47"/>
        </w:numPr>
        <w:ind w:firstLineChars="0"/>
      </w:pPr>
      <w:r>
        <w:t>供应商提交质疑的时间已超过规定质疑期。</w:t>
      </w:r>
    </w:p>
    <w:p w14:paraId="1973DECF">
      <w:pPr>
        <w:pStyle w:val="16"/>
        <w:numPr>
          <w:ilvl w:val="0"/>
          <w:numId w:val="47"/>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0D376127">
      <w:pPr>
        <w:pStyle w:val="16"/>
        <w:numPr>
          <w:ilvl w:val="0"/>
          <w:numId w:val="47"/>
        </w:numPr>
        <w:ind w:firstLineChars="0"/>
      </w:pPr>
      <w:r>
        <w:t>其它不符合受理条件的情形。</w:t>
      </w:r>
    </w:p>
    <w:p w14:paraId="2096C041">
      <w:pPr>
        <w:pStyle w:val="16"/>
        <w:numPr>
          <w:ilvl w:val="0"/>
          <w:numId w:val="42"/>
        </w:numPr>
        <w:ind w:firstLineChars="0"/>
        <w:rPr>
          <w:b/>
        </w:rPr>
      </w:pPr>
      <w:r>
        <w:rPr>
          <w:b/>
        </w:rPr>
        <w:t>投诉提起与处理</w:t>
      </w:r>
    </w:p>
    <w:p w14:paraId="525A4219">
      <w:pPr>
        <w:pStyle w:val="16"/>
        <w:numPr>
          <w:ilvl w:val="0"/>
          <w:numId w:val="48"/>
        </w:numPr>
        <w:ind w:firstLineChars="0"/>
      </w:pPr>
      <w:r>
        <w:t>投诉提起</w:t>
      </w:r>
    </w:p>
    <w:p w14:paraId="6BA693AB">
      <w:pPr>
        <w:pStyle w:val="16"/>
        <w:ind w:firstLine="480"/>
      </w:pPr>
      <w:r>
        <w:t>质疑供应商对代理机构的答复不满意，或者代理机构未在规定时间内作出答复的，</w:t>
      </w:r>
      <w:r>
        <w:rPr>
          <w:rFonts w:hint="eastAsia"/>
        </w:rPr>
        <w:t>可以在答复期满后10日内</w:t>
      </w:r>
      <w:r>
        <w:t>向有关行政监督部门提起投诉。</w:t>
      </w:r>
    </w:p>
    <w:p w14:paraId="707BF81C">
      <w:pPr>
        <w:pStyle w:val="16"/>
        <w:numPr>
          <w:ilvl w:val="0"/>
          <w:numId w:val="48"/>
        </w:numPr>
        <w:ind w:firstLineChars="0"/>
      </w:pPr>
      <w:r>
        <w:t>供应商投诉时，应当提交投诉书和必要的证明材料。投诉书应当包括下列内容：</w:t>
      </w:r>
    </w:p>
    <w:p w14:paraId="5EEA4713">
      <w:pPr>
        <w:pStyle w:val="16"/>
        <w:ind w:firstLine="0" w:firstLineChars="0"/>
      </w:pPr>
      <w:r>
        <w:t>（1）投诉人和被投诉人的姓名或者名称、通讯地址、邮编、联系人及联系电话；</w:t>
      </w:r>
    </w:p>
    <w:p w14:paraId="5CB59C50">
      <w:pPr>
        <w:pStyle w:val="16"/>
        <w:ind w:firstLine="0" w:firstLineChars="0"/>
      </w:pPr>
      <w:r>
        <w:t>（2）质疑和质疑答复情况说明及相关证明材料；</w:t>
      </w:r>
    </w:p>
    <w:p w14:paraId="3E3A7EEE">
      <w:pPr>
        <w:pStyle w:val="16"/>
        <w:ind w:firstLine="0" w:firstLineChars="0"/>
      </w:pPr>
      <w:r>
        <w:t>（3）具体、明确的投诉事项和与投诉事项相关的投诉请求；</w:t>
      </w:r>
    </w:p>
    <w:p w14:paraId="65245071">
      <w:pPr>
        <w:pStyle w:val="16"/>
        <w:ind w:firstLine="0" w:firstLineChars="0"/>
      </w:pPr>
      <w:r>
        <w:t>（4）事实依据；</w:t>
      </w:r>
    </w:p>
    <w:p w14:paraId="3D2EF30A">
      <w:pPr>
        <w:pStyle w:val="16"/>
        <w:ind w:firstLine="0" w:firstLineChars="0"/>
      </w:pPr>
      <w:r>
        <w:t>（5）法律依据；</w:t>
      </w:r>
    </w:p>
    <w:p w14:paraId="4D2EA75D">
      <w:pPr>
        <w:pStyle w:val="16"/>
        <w:ind w:firstLine="0" w:firstLineChars="0"/>
      </w:pPr>
      <w:r>
        <w:t>（6）提起投诉的日期。</w:t>
      </w:r>
    </w:p>
    <w:p w14:paraId="11D787BC">
      <w:pPr>
        <w:pStyle w:val="16"/>
        <w:ind w:firstLine="480"/>
      </w:pPr>
      <w:r>
        <w:t>投诉人为自然人的，应当由本人签字；投诉人为法人或者其他组织的，应当由法定代表人、主要负责人，或者其授权代表签字或者盖章，并加盖公章。</w:t>
      </w:r>
    </w:p>
    <w:p w14:paraId="147EEED2">
      <w:pPr>
        <w:pStyle w:val="16"/>
        <w:numPr>
          <w:ilvl w:val="0"/>
          <w:numId w:val="42"/>
        </w:numPr>
        <w:ind w:firstLineChars="0"/>
        <w:rPr>
          <w:b/>
        </w:rPr>
      </w:pPr>
      <w:r>
        <w:rPr>
          <w:b/>
        </w:rPr>
        <w:t>诚实信用</w:t>
      </w:r>
    </w:p>
    <w:p w14:paraId="649CB89E">
      <w:pPr>
        <w:pStyle w:val="16"/>
        <w:numPr>
          <w:ilvl w:val="0"/>
          <w:numId w:val="49"/>
        </w:numPr>
        <w:ind w:firstLineChars="0"/>
      </w:pPr>
      <w:r>
        <w:t>供应商之间不得相互串通响应报价，不得妨碍其他供应商的公平竞争，不得损害采购人和其他供应商的合法权益。</w:t>
      </w:r>
    </w:p>
    <w:p w14:paraId="6B63666E">
      <w:pPr>
        <w:pStyle w:val="16"/>
        <w:numPr>
          <w:ilvl w:val="0"/>
          <w:numId w:val="49"/>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5F5D6C6A">
      <w:pPr>
        <w:pStyle w:val="16"/>
        <w:numPr>
          <w:ilvl w:val="0"/>
          <w:numId w:val="49"/>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E15126D">
      <w:pPr>
        <w:pStyle w:val="16"/>
        <w:numPr>
          <w:ilvl w:val="0"/>
          <w:numId w:val="49"/>
        </w:numPr>
        <w:ind w:firstLineChars="0"/>
      </w:pPr>
      <w:r>
        <w:t>供应商不得虚假承诺，否则，按照提供虚假材料谋取成交处理。</w:t>
      </w:r>
    </w:p>
    <w:p w14:paraId="29709300">
      <w:pPr>
        <w:rPr>
          <w:rFonts w:hint="eastAsia" w:ascii="宋体" w:hAnsi="宋体" w:cs="黑体"/>
          <w:b/>
          <w:sz w:val="36"/>
        </w:rPr>
      </w:pPr>
      <w:r>
        <w:rPr>
          <w:rFonts w:ascii="宋体" w:hAnsi="宋体" w:cs="黑体"/>
          <w:b/>
          <w:sz w:val="36"/>
        </w:rPr>
        <w:br w:type="page"/>
      </w:r>
    </w:p>
    <w:p w14:paraId="5EC431B4">
      <w:pPr>
        <w:pStyle w:val="264"/>
      </w:pPr>
      <w:r>
        <w:t>第三章  评</w:t>
      </w:r>
      <w:r>
        <w:rPr>
          <w:rFonts w:hint="eastAsia"/>
        </w:rPr>
        <w:t>审</w:t>
      </w:r>
      <w:r>
        <w:t>标准</w:t>
      </w:r>
    </w:p>
    <w:p w14:paraId="27B3A3E7">
      <w:pPr>
        <w:pStyle w:val="16"/>
        <w:numPr>
          <w:ilvl w:val="0"/>
          <w:numId w:val="50"/>
        </w:numPr>
        <w:ind w:firstLineChars="0"/>
        <w:rPr>
          <w:b/>
        </w:rPr>
      </w:pPr>
      <w:r>
        <w:rPr>
          <w:b/>
        </w:rPr>
        <w:t>评审方法与</w:t>
      </w:r>
      <w:r>
        <w:rPr>
          <w:rFonts w:hint="eastAsia"/>
          <w:b/>
        </w:rPr>
        <w:t>确定成交供应商</w:t>
      </w:r>
      <w:r>
        <w:rPr>
          <w:b/>
        </w:rPr>
        <w:t>原则</w:t>
      </w:r>
    </w:p>
    <w:p w14:paraId="31A3A2C5">
      <w:pPr>
        <w:pStyle w:val="16"/>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6DA82ED7">
      <w:pPr>
        <w:pStyle w:val="16"/>
        <w:ind w:firstLine="480"/>
      </w:pPr>
      <w:r>
        <w:rPr>
          <w:rFonts w:hint="eastAsia"/>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6819CEB0">
      <w:pPr>
        <w:pStyle w:val="16"/>
        <w:numPr>
          <w:ilvl w:val="0"/>
          <w:numId w:val="50"/>
        </w:numPr>
        <w:ind w:firstLineChars="0"/>
        <w:rPr>
          <w:b/>
        </w:rPr>
      </w:pPr>
      <w:r>
        <w:rPr>
          <w:b/>
        </w:rPr>
        <w:t>评分标准</w:t>
      </w:r>
    </w:p>
    <w:tbl>
      <w:tblPr>
        <w:tblStyle w:val="4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041"/>
        <w:gridCol w:w="6904"/>
        <w:gridCol w:w="985"/>
      </w:tblGrid>
      <w:tr w14:paraId="7F20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411B1506">
            <w:pPr>
              <w:widowControl/>
              <w:adjustRightInd w:val="0"/>
              <w:snapToGrid w:val="0"/>
              <w:spacing w:line="276" w:lineRule="auto"/>
              <w:rPr>
                <w:rFonts w:hint="eastAsia" w:ascii="宋体" w:hAnsi="宋体" w:cs="宋体"/>
                <w:b/>
                <w:bCs/>
                <w:szCs w:val="21"/>
              </w:rPr>
            </w:pPr>
            <w:r>
              <w:rPr>
                <w:rFonts w:hint="eastAsia" w:ascii="宋体" w:hAnsi="宋体" w:cs="宋体"/>
                <w:b/>
                <w:bCs/>
                <w:szCs w:val="21"/>
              </w:rPr>
              <w:t>序号</w:t>
            </w:r>
          </w:p>
        </w:tc>
        <w:tc>
          <w:tcPr>
            <w:tcW w:w="1041" w:type="dxa"/>
            <w:vAlign w:val="center"/>
          </w:tcPr>
          <w:p w14:paraId="47024DE9">
            <w:pPr>
              <w:widowControl/>
              <w:adjustRightInd w:val="0"/>
              <w:snapToGrid w:val="0"/>
              <w:spacing w:line="276" w:lineRule="auto"/>
              <w:jc w:val="center"/>
              <w:rPr>
                <w:rFonts w:hint="eastAsia" w:ascii="宋体" w:hAnsi="宋体" w:cs="宋体"/>
                <w:b/>
                <w:bCs/>
                <w:szCs w:val="21"/>
              </w:rPr>
            </w:pPr>
            <w:r>
              <w:rPr>
                <w:rFonts w:hint="eastAsia" w:ascii="宋体" w:hAnsi="宋体" w:cs="宋体"/>
                <w:b/>
                <w:bCs/>
                <w:szCs w:val="21"/>
              </w:rPr>
              <w:t>评分因素</w:t>
            </w:r>
          </w:p>
        </w:tc>
        <w:tc>
          <w:tcPr>
            <w:tcW w:w="6904" w:type="dxa"/>
            <w:vAlign w:val="center"/>
          </w:tcPr>
          <w:p w14:paraId="3E73CF77">
            <w:pPr>
              <w:widowControl/>
              <w:adjustRightInd w:val="0"/>
              <w:snapToGrid w:val="0"/>
              <w:spacing w:line="276" w:lineRule="auto"/>
              <w:jc w:val="center"/>
              <w:rPr>
                <w:rFonts w:hint="eastAsia" w:ascii="宋体" w:hAnsi="宋体" w:cs="宋体"/>
                <w:b/>
                <w:bCs/>
                <w:szCs w:val="21"/>
              </w:rPr>
            </w:pPr>
            <w:r>
              <w:rPr>
                <w:rFonts w:hint="eastAsia" w:ascii="宋体" w:hAnsi="宋体" w:cs="宋体"/>
                <w:b/>
                <w:bCs/>
                <w:szCs w:val="21"/>
              </w:rPr>
              <w:t>评审细则</w:t>
            </w:r>
          </w:p>
        </w:tc>
        <w:tc>
          <w:tcPr>
            <w:tcW w:w="985" w:type="dxa"/>
            <w:vAlign w:val="center"/>
          </w:tcPr>
          <w:p w14:paraId="7BEAF0AD">
            <w:pPr>
              <w:widowControl/>
              <w:adjustRightInd w:val="0"/>
              <w:snapToGrid w:val="0"/>
              <w:spacing w:line="276" w:lineRule="auto"/>
              <w:jc w:val="center"/>
              <w:rPr>
                <w:rFonts w:hint="eastAsia" w:ascii="宋体" w:hAnsi="宋体" w:cs="宋体"/>
                <w:b/>
                <w:bCs/>
                <w:szCs w:val="21"/>
              </w:rPr>
            </w:pPr>
            <w:r>
              <w:rPr>
                <w:rFonts w:hint="eastAsia" w:ascii="宋体" w:hAnsi="宋体" w:cs="宋体"/>
                <w:b/>
                <w:bCs/>
                <w:szCs w:val="21"/>
              </w:rPr>
              <w:t>分值</w:t>
            </w:r>
          </w:p>
        </w:tc>
      </w:tr>
      <w:tr w14:paraId="3387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F37FFC4">
            <w:pPr>
              <w:widowControl/>
              <w:adjustRightInd w:val="0"/>
              <w:snapToGrid w:val="0"/>
              <w:spacing w:line="276" w:lineRule="auto"/>
              <w:jc w:val="center"/>
              <w:rPr>
                <w:rFonts w:hint="eastAsia" w:ascii="宋体" w:hAnsi="宋体" w:cs="宋体"/>
                <w:szCs w:val="21"/>
              </w:rPr>
            </w:pPr>
            <w:r>
              <w:rPr>
                <w:rFonts w:hint="eastAsia" w:ascii="宋体" w:hAnsi="宋体" w:cs="宋体"/>
                <w:szCs w:val="21"/>
              </w:rPr>
              <w:t>1</w:t>
            </w:r>
          </w:p>
        </w:tc>
        <w:tc>
          <w:tcPr>
            <w:tcW w:w="1041" w:type="dxa"/>
            <w:vAlign w:val="center"/>
          </w:tcPr>
          <w:p w14:paraId="725BAD6F">
            <w:pPr>
              <w:widowControl/>
              <w:adjustRightInd w:val="0"/>
              <w:snapToGrid w:val="0"/>
              <w:spacing w:line="276" w:lineRule="auto"/>
              <w:jc w:val="center"/>
              <w:rPr>
                <w:rFonts w:hint="eastAsia" w:ascii="宋体" w:hAnsi="宋体" w:cs="宋体"/>
                <w:szCs w:val="21"/>
              </w:rPr>
            </w:pPr>
            <w:r>
              <w:rPr>
                <w:rFonts w:hint="eastAsia" w:ascii="宋体" w:hAnsi="宋体" w:cs="宋体"/>
                <w:szCs w:val="21"/>
              </w:rPr>
              <w:t>价格（40分）</w:t>
            </w:r>
          </w:p>
        </w:tc>
        <w:tc>
          <w:tcPr>
            <w:tcW w:w="6904" w:type="dxa"/>
            <w:vAlign w:val="center"/>
          </w:tcPr>
          <w:p w14:paraId="4219741C">
            <w:pPr>
              <w:widowControl/>
              <w:adjustRightInd w:val="0"/>
              <w:snapToGrid w:val="0"/>
              <w:spacing w:line="276" w:lineRule="auto"/>
              <w:jc w:val="left"/>
              <w:rPr>
                <w:rFonts w:hint="eastAsia" w:ascii="宋体" w:hAnsi="宋体" w:cs="宋体"/>
                <w:szCs w:val="21"/>
              </w:rPr>
            </w:pPr>
            <w:r>
              <w:rPr>
                <w:rFonts w:hint="eastAsia" w:ascii="宋体" w:hAnsi="宋体" w:cs="宋体"/>
                <w:szCs w:val="21"/>
              </w:rPr>
              <w:t>价格分采用低价优先法计算，即满足采购文件要求且最低的响应报价为评审基准价，其价格分为满分40分。其他供应商的价格分统一按照下列公式计算：响应报价得分=(评审基准价/响应报价)×40。(保留小数点后两位)。</w:t>
            </w:r>
          </w:p>
        </w:tc>
        <w:tc>
          <w:tcPr>
            <w:tcW w:w="985" w:type="dxa"/>
            <w:vAlign w:val="center"/>
          </w:tcPr>
          <w:p w14:paraId="65882884">
            <w:pPr>
              <w:widowControl/>
              <w:adjustRightInd w:val="0"/>
              <w:snapToGrid w:val="0"/>
              <w:spacing w:line="276" w:lineRule="auto"/>
              <w:jc w:val="center"/>
              <w:rPr>
                <w:rFonts w:hint="eastAsia" w:ascii="宋体" w:hAnsi="宋体" w:cs="宋体"/>
                <w:szCs w:val="21"/>
              </w:rPr>
            </w:pPr>
            <w:r>
              <w:rPr>
                <w:rFonts w:hint="eastAsia" w:ascii="宋体" w:hAnsi="宋体" w:cs="宋体"/>
                <w:szCs w:val="21"/>
              </w:rPr>
              <w:t>40</w:t>
            </w:r>
          </w:p>
        </w:tc>
      </w:tr>
      <w:tr w14:paraId="1717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2E13939">
            <w:pPr>
              <w:widowControl/>
              <w:adjustRightInd w:val="0"/>
              <w:snapToGrid w:val="0"/>
              <w:spacing w:line="276" w:lineRule="auto"/>
              <w:jc w:val="center"/>
              <w:rPr>
                <w:rFonts w:hint="eastAsia" w:ascii="宋体" w:hAnsi="宋体" w:cs="宋体"/>
                <w:szCs w:val="21"/>
              </w:rPr>
            </w:pPr>
            <w:r>
              <w:rPr>
                <w:rFonts w:hint="eastAsia" w:ascii="宋体" w:hAnsi="宋体" w:cs="宋体"/>
                <w:szCs w:val="21"/>
              </w:rPr>
              <w:t>2</w:t>
            </w:r>
          </w:p>
        </w:tc>
        <w:tc>
          <w:tcPr>
            <w:tcW w:w="1041" w:type="dxa"/>
            <w:vAlign w:val="center"/>
          </w:tcPr>
          <w:p w14:paraId="50EFC8A9">
            <w:pPr>
              <w:widowControl/>
              <w:adjustRightInd w:val="0"/>
              <w:snapToGrid w:val="0"/>
              <w:spacing w:line="276" w:lineRule="auto"/>
              <w:jc w:val="center"/>
              <w:rPr>
                <w:rFonts w:hint="eastAsia" w:ascii="宋体" w:hAnsi="宋体" w:cs="宋体"/>
                <w:szCs w:val="21"/>
              </w:rPr>
            </w:pPr>
            <w:r>
              <w:rPr>
                <w:rFonts w:hint="eastAsia" w:ascii="宋体" w:hAnsi="宋体" w:cs="宋体"/>
                <w:szCs w:val="21"/>
              </w:rPr>
              <w:t>主要设备技术参数要求和功能响应情况（2</w:t>
            </w:r>
            <w:r>
              <w:rPr>
                <w:rFonts w:hint="eastAsia" w:ascii="宋体" w:hAnsi="宋体" w:cs="宋体"/>
                <w:szCs w:val="21"/>
                <w:lang w:val="en-US" w:eastAsia="zh-CN"/>
              </w:rPr>
              <w:t>2</w:t>
            </w:r>
            <w:r>
              <w:rPr>
                <w:rFonts w:hint="eastAsia" w:ascii="宋体" w:hAnsi="宋体" w:cs="宋体"/>
                <w:szCs w:val="21"/>
              </w:rPr>
              <w:t>分）</w:t>
            </w:r>
          </w:p>
        </w:tc>
        <w:tc>
          <w:tcPr>
            <w:tcW w:w="6904" w:type="dxa"/>
            <w:vAlign w:val="center"/>
          </w:tcPr>
          <w:p w14:paraId="5F51E068">
            <w:pPr>
              <w:rPr>
                <w:rFonts w:hint="eastAsia" w:ascii="宋体" w:hAnsi="宋体" w:cs="宋体"/>
                <w:szCs w:val="21"/>
              </w:rPr>
            </w:pPr>
            <w:r>
              <w:rPr>
                <w:rFonts w:hint="eastAsia" w:ascii="宋体" w:hAnsi="宋体" w:cs="宋体"/>
                <w:szCs w:val="21"/>
              </w:rPr>
              <w:t>根据对采购文件第四章“二、技术参数”响应情况进行评分，全部满足得满分，采购文件中标注“★”为实质性指标，不满足为无效响应。</w:t>
            </w:r>
          </w:p>
          <w:p w14:paraId="2BE84F0E">
            <w:pPr>
              <w:rPr>
                <w:rFonts w:hint="eastAsia" w:ascii="宋体" w:hAnsi="宋体" w:cs="宋体"/>
                <w:color w:val="auto"/>
                <w:szCs w:val="21"/>
              </w:rPr>
            </w:pPr>
            <w:r>
              <w:rPr>
                <w:rFonts w:hint="eastAsia" w:ascii="宋体" w:hAnsi="宋体" w:cs="宋体"/>
                <w:szCs w:val="21"/>
              </w:rPr>
              <w:t>标▲号技术</w:t>
            </w:r>
            <w:r>
              <w:rPr>
                <w:rFonts w:hint="eastAsia" w:ascii="宋体" w:hAnsi="宋体" w:cs="宋体"/>
                <w:color w:val="auto"/>
                <w:szCs w:val="21"/>
              </w:rPr>
              <w:t>指标（3项）为重要技术条款，每有一项负偏离扣2分；其他未标记的指标项（16项）为一般技术条款，每有一项负偏离扣1分。</w:t>
            </w:r>
          </w:p>
          <w:p w14:paraId="5496683D">
            <w:pPr>
              <w:pStyle w:val="15"/>
              <w:pBdr>
                <w:top w:val="none" w:color="000000" w:sz="0" w:space="0"/>
                <w:left w:val="none" w:color="000000" w:sz="0" w:space="0"/>
                <w:right w:val="none" w:color="000000" w:sz="0" w:space="0"/>
              </w:pBdr>
              <w:rPr>
                <w:rFonts w:hint="eastAsia" w:ascii="宋体" w:hAnsi="宋体" w:cs="宋体"/>
                <w:b/>
                <w:bCs/>
                <w:color w:val="auto"/>
                <w:szCs w:val="21"/>
              </w:rPr>
            </w:pPr>
            <w:r>
              <w:rPr>
                <w:rFonts w:hint="eastAsia" w:ascii="宋体" w:hAnsi="宋体" w:cs="宋体"/>
                <w:b/>
                <w:bCs/>
                <w:color w:val="auto"/>
                <w:szCs w:val="21"/>
              </w:rPr>
              <w:t>注：</w:t>
            </w:r>
          </w:p>
          <w:p w14:paraId="7DA217C5">
            <w:pPr>
              <w:pStyle w:val="15"/>
              <w:pBdr>
                <w:top w:val="none" w:color="000000" w:sz="0" w:space="0"/>
                <w:left w:val="none" w:color="000000" w:sz="0" w:space="0"/>
                <w:right w:val="none" w:color="000000" w:sz="0" w:space="0"/>
              </w:pBdr>
              <w:rPr>
                <w:rFonts w:hint="eastAsia" w:ascii="宋体" w:hAnsi="宋体" w:cs="宋体"/>
                <w:b/>
                <w:bCs/>
                <w:szCs w:val="21"/>
              </w:rPr>
            </w:pPr>
            <w:r>
              <w:rPr>
                <w:rFonts w:hint="eastAsia" w:ascii="宋体" w:hAnsi="宋体" w:cs="宋体"/>
                <w:b/>
                <w:bCs/>
                <w:szCs w:val="21"/>
              </w:rPr>
              <w:t>（1）凡标有最低一级序号的指标项即为一项技术条款，无论是否隶属于上一级编号；</w:t>
            </w:r>
          </w:p>
          <w:p w14:paraId="3C68B64C">
            <w:pPr>
              <w:pStyle w:val="15"/>
              <w:pBdr>
                <w:top w:val="none" w:color="000000" w:sz="0" w:space="0"/>
                <w:left w:val="none" w:color="000000" w:sz="0" w:space="0"/>
                <w:right w:val="none" w:color="000000" w:sz="0" w:space="0"/>
              </w:pBdr>
              <w:rPr>
                <w:rFonts w:hint="eastAsia" w:ascii="宋体" w:hAnsi="宋体" w:cs="宋体"/>
                <w:b/>
                <w:bCs/>
                <w:szCs w:val="21"/>
              </w:rPr>
            </w:pPr>
            <w:r>
              <w:rPr>
                <w:rFonts w:hint="eastAsia" w:ascii="宋体" w:hAnsi="宋体" w:cs="宋体"/>
                <w:b/>
                <w:bCs/>
                <w:szCs w:val="21"/>
              </w:rPr>
              <w:t>（2）对标注“★”和“▲”项的技术要求</w:t>
            </w:r>
            <w:r>
              <w:rPr>
                <w:rFonts w:hint="eastAsia" w:ascii="宋体" w:hAnsi="宋体" w:cs="宋体"/>
                <w:szCs w:val="21"/>
              </w:rPr>
              <w:t>均应提供支撑资料（明确说明该技术内容的公开发行的产品彩页、产品说明书或第三方检测机构的检测报告等）</w:t>
            </w:r>
            <w:r>
              <w:rPr>
                <w:rFonts w:hint="eastAsia" w:ascii="宋体" w:hAnsi="宋体" w:cs="宋体"/>
                <w:b/>
                <w:bCs/>
                <w:szCs w:val="21"/>
              </w:rPr>
              <w:t>。未提供佐证资料的，评标时不予认可</w:t>
            </w:r>
            <w:r>
              <w:rPr>
                <w:rFonts w:hint="eastAsia" w:ascii="宋体" w:hAnsi="宋体" w:cs="宋体"/>
                <w:szCs w:val="21"/>
              </w:rPr>
              <w:t>：</w:t>
            </w:r>
            <w:r>
              <w:rPr>
                <w:rFonts w:hint="eastAsia" w:ascii="宋体" w:hAnsi="宋体" w:cs="宋体"/>
                <w:b/>
                <w:bCs/>
                <w:szCs w:val="21"/>
              </w:rPr>
              <w:t>加</w:t>
            </w:r>
            <w:r>
              <w:rPr>
                <w:rFonts w:hint="eastAsia" w:ascii="宋体" w:hAnsi="宋体" w:cs="宋体"/>
                <w:b/>
                <w:bCs/>
              </w:rPr>
              <w:t>“★”</w:t>
            </w:r>
            <w:r>
              <w:rPr>
                <w:rFonts w:hint="eastAsia" w:ascii="宋体" w:hAnsi="宋体" w:cs="宋体"/>
                <w:b/>
                <w:bCs/>
                <w:szCs w:val="21"/>
              </w:rPr>
              <w:t>未提供佐证材料或提供的佐证材料不满足要求，按无效标处理；“▲”未提供佐证材料或提供的佐证材料不满足要求的，按负偏离扣分处理。</w:t>
            </w:r>
          </w:p>
          <w:p w14:paraId="7E28D9FB">
            <w:pPr>
              <w:rPr>
                <w:rFonts w:hint="eastAsia" w:ascii="宋体" w:hAnsi="宋体" w:cs="宋体"/>
                <w:b/>
                <w:bCs/>
                <w:szCs w:val="21"/>
              </w:rPr>
            </w:pPr>
            <w:r>
              <w:rPr>
                <w:rFonts w:hint="eastAsia" w:ascii="宋体" w:hAnsi="宋体" w:cs="宋体"/>
                <w:b/>
                <w:bCs/>
                <w:szCs w:val="21"/>
              </w:rPr>
              <w:t>（3）一般技术条款以技术规格偏离表应答为准。</w:t>
            </w:r>
          </w:p>
          <w:p w14:paraId="36F4CB7A">
            <w:pPr>
              <w:rPr>
                <w:rFonts w:hint="eastAsia" w:ascii="宋体" w:hAnsi="宋体" w:cs="宋体"/>
                <w:szCs w:val="21"/>
              </w:rPr>
            </w:pPr>
            <w:r>
              <w:rPr>
                <w:rFonts w:hint="eastAsia" w:ascii="宋体" w:hAnsi="宋体" w:cs="宋体"/>
                <w:b/>
                <w:bCs/>
                <w:szCs w:val="21"/>
              </w:rPr>
              <w:t>所有证明材料应在技术规格偏离表中注明证明材料页码。</w:t>
            </w:r>
          </w:p>
        </w:tc>
        <w:tc>
          <w:tcPr>
            <w:tcW w:w="985" w:type="dxa"/>
            <w:vAlign w:val="center"/>
          </w:tcPr>
          <w:p w14:paraId="4B9DF85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szCs w:val="21"/>
              </w:rPr>
            </w:pPr>
            <w:r>
              <w:rPr>
                <w:rFonts w:hint="eastAsia" w:ascii="宋体" w:hAnsi="宋体" w:cs="宋体"/>
                <w:szCs w:val="21"/>
              </w:rPr>
              <w:t>22</w:t>
            </w:r>
          </w:p>
        </w:tc>
      </w:tr>
      <w:tr w14:paraId="6F78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34CD134">
            <w:pPr>
              <w:widowControl/>
              <w:adjustRightInd w:val="0"/>
              <w:snapToGrid w:val="0"/>
              <w:spacing w:line="276" w:lineRule="auto"/>
              <w:jc w:val="center"/>
              <w:rPr>
                <w:rFonts w:hint="eastAsia" w:ascii="宋体" w:hAnsi="宋体" w:cs="宋体"/>
                <w:szCs w:val="21"/>
              </w:rPr>
            </w:pPr>
            <w:r>
              <w:rPr>
                <w:rFonts w:hint="eastAsia" w:ascii="宋体" w:hAnsi="宋体" w:cs="宋体"/>
                <w:szCs w:val="21"/>
              </w:rPr>
              <w:t>3</w:t>
            </w:r>
          </w:p>
        </w:tc>
        <w:tc>
          <w:tcPr>
            <w:tcW w:w="1041" w:type="dxa"/>
            <w:vAlign w:val="center"/>
          </w:tcPr>
          <w:p w14:paraId="71D357F5">
            <w:pPr>
              <w:widowControl/>
              <w:adjustRightInd w:val="0"/>
              <w:snapToGrid w:val="0"/>
              <w:spacing w:line="276" w:lineRule="auto"/>
              <w:jc w:val="center"/>
              <w:rPr>
                <w:rFonts w:hint="eastAsia" w:ascii="宋体" w:hAnsi="宋体" w:cs="宋体"/>
                <w:szCs w:val="21"/>
              </w:rPr>
            </w:pPr>
            <w:r>
              <w:rPr>
                <w:rFonts w:hint="eastAsia" w:ascii="宋体" w:hAnsi="宋体" w:cs="宋体"/>
                <w:szCs w:val="21"/>
              </w:rPr>
              <w:t>业绩</w:t>
            </w:r>
          </w:p>
          <w:p w14:paraId="11969CFF">
            <w:pPr>
              <w:widowControl/>
              <w:adjustRightInd w:val="0"/>
              <w:snapToGrid w:val="0"/>
              <w:spacing w:line="276" w:lineRule="auto"/>
              <w:jc w:val="center"/>
              <w:rPr>
                <w:rFonts w:hint="eastAsia" w:ascii="宋体" w:hAnsi="宋体" w:cs="宋体"/>
                <w:szCs w:val="21"/>
              </w:rPr>
            </w:pPr>
            <w:r>
              <w:rPr>
                <w:rFonts w:hint="eastAsia" w:ascii="宋体" w:hAnsi="宋体" w:cs="宋体"/>
                <w:szCs w:val="21"/>
              </w:rPr>
              <w:t>（6分）</w:t>
            </w:r>
          </w:p>
        </w:tc>
        <w:tc>
          <w:tcPr>
            <w:tcW w:w="6904" w:type="dxa"/>
            <w:vAlign w:val="center"/>
          </w:tcPr>
          <w:p w14:paraId="4CBE32EC">
            <w:pPr>
              <w:rPr>
                <w:rFonts w:hint="eastAsia" w:ascii="宋体" w:hAnsi="宋体" w:cs="宋体"/>
                <w:szCs w:val="21"/>
              </w:rPr>
            </w:pPr>
            <w:r>
              <w:rPr>
                <w:rFonts w:hint="eastAsia" w:ascii="宋体" w:hAnsi="宋体" w:cs="宋体"/>
                <w:szCs w:val="21"/>
              </w:rPr>
              <w:t>供应商提供 2023 年9 月 1 日以来完成的类似产品业绩（以合同签订日期为准）。每提供 1 份完整的项目业绩证明材料计2分，共 6分。</w:t>
            </w:r>
          </w:p>
          <w:p w14:paraId="4AB26B6F">
            <w:pPr>
              <w:rPr>
                <w:rFonts w:hint="eastAsia" w:ascii="宋体" w:hAnsi="宋体" w:cs="宋体"/>
                <w:szCs w:val="21"/>
              </w:rPr>
            </w:pPr>
            <w:r>
              <w:rPr>
                <w:rFonts w:hint="eastAsia" w:ascii="宋体" w:hAnsi="宋体" w:cs="宋体"/>
                <w:szCs w:val="21"/>
              </w:rPr>
              <w:t>注：一份完整的业绩证明材料包括：需提供有效合同复印件及验收合格证明并加盖公章，提供不全不得分。</w:t>
            </w:r>
          </w:p>
        </w:tc>
        <w:tc>
          <w:tcPr>
            <w:tcW w:w="985" w:type="dxa"/>
            <w:vAlign w:val="center"/>
          </w:tcPr>
          <w:p w14:paraId="10B836B5">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szCs w:val="21"/>
              </w:rPr>
            </w:pPr>
            <w:r>
              <w:rPr>
                <w:rFonts w:hint="eastAsia" w:ascii="宋体" w:hAnsi="宋体" w:cs="宋体"/>
                <w:szCs w:val="21"/>
              </w:rPr>
              <w:t>6</w:t>
            </w:r>
          </w:p>
        </w:tc>
      </w:tr>
      <w:tr w14:paraId="7100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75F7CE55">
            <w:pPr>
              <w:widowControl/>
              <w:adjustRightInd w:val="0"/>
              <w:snapToGrid w:val="0"/>
              <w:spacing w:line="276" w:lineRule="auto"/>
              <w:jc w:val="center"/>
              <w:rPr>
                <w:rFonts w:hint="eastAsia" w:ascii="宋体" w:hAnsi="宋体" w:cs="宋体"/>
                <w:szCs w:val="21"/>
              </w:rPr>
            </w:pPr>
            <w:r>
              <w:rPr>
                <w:rFonts w:hint="eastAsia" w:ascii="宋体" w:hAnsi="宋体" w:cs="宋体"/>
                <w:szCs w:val="21"/>
              </w:rPr>
              <w:t>4</w:t>
            </w:r>
          </w:p>
        </w:tc>
        <w:tc>
          <w:tcPr>
            <w:tcW w:w="1041" w:type="dxa"/>
            <w:vAlign w:val="center"/>
          </w:tcPr>
          <w:p w14:paraId="0604CE6D">
            <w:pPr>
              <w:pBdr>
                <w:top w:val="none" w:color="000000" w:sz="0" w:space="0"/>
                <w:left w:val="none" w:color="000000" w:sz="0" w:space="0"/>
                <w:bottom w:val="none" w:color="000000" w:sz="0" w:space="0"/>
                <w:right w:val="none" w:color="000000" w:sz="0" w:space="0"/>
              </w:pBdr>
              <w:adjustRightInd w:val="0"/>
              <w:jc w:val="center"/>
              <w:rPr>
                <w:rFonts w:hint="eastAsia" w:ascii="宋体" w:hAnsi="宋体" w:cs="宋体"/>
                <w:bCs/>
                <w:szCs w:val="21"/>
              </w:rPr>
            </w:pPr>
            <w:r>
              <w:rPr>
                <w:rFonts w:hint="eastAsia" w:ascii="宋体" w:hAnsi="宋体" w:cs="宋体"/>
                <w:bCs/>
                <w:szCs w:val="21"/>
              </w:rPr>
              <w:t>项目实施方案</w:t>
            </w:r>
          </w:p>
          <w:p w14:paraId="411C2FA4">
            <w:pPr>
              <w:pBdr>
                <w:top w:val="none" w:color="000000" w:sz="0" w:space="0"/>
                <w:left w:val="none" w:color="000000" w:sz="0" w:space="0"/>
                <w:bottom w:val="none" w:color="000000" w:sz="0" w:space="0"/>
                <w:right w:val="none" w:color="000000" w:sz="0" w:space="0"/>
              </w:pBdr>
              <w:adjustRightInd w:val="0"/>
              <w:jc w:val="center"/>
              <w:rPr>
                <w:rFonts w:hint="eastAsia" w:ascii="宋体" w:hAnsi="宋体" w:cs="宋体"/>
                <w:szCs w:val="21"/>
              </w:rPr>
            </w:pPr>
            <w:r>
              <w:rPr>
                <w:rFonts w:hint="eastAsia" w:ascii="宋体" w:hAnsi="宋体" w:cs="宋体"/>
                <w:bCs/>
                <w:szCs w:val="21"/>
              </w:rPr>
              <w:t>（10分）</w:t>
            </w:r>
          </w:p>
        </w:tc>
        <w:tc>
          <w:tcPr>
            <w:tcW w:w="6904" w:type="dxa"/>
            <w:vAlign w:val="center"/>
          </w:tcPr>
          <w:p w14:paraId="1DA425E7">
            <w:pPr>
              <w:adjustRightInd w:val="0"/>
              <w:rPr>
                <w:rFonts w:hint="eastAsia" w:ascii="宋体" w:hAnsi="宋体" w:cs="宋体"/>
                <w:szCs w:val="21"/>
              </w:rPr>
            </w:pPr>
            <w:r>
              <w:rPr>
                <w:rFonts w:hint="eastAsia" w:ascii="宋体" w:hAnsi="宋体" w:cs="宋体"/>
                <w:szCs w:val="21"/>
              </w:rPr>
              <w:t>根据供应商所提供的项目实施方案（内容包括但不限于：设备安装方案、计划进度、项目管理以及验收方案等）进行评审：</w:t>
            </w:r>
          </w:p>
          <w:p w14:paraId="1E724676">
            <w:pPr>
              <w:adjustRightInd w:val="0"/>
              <w:rPr>
                <w:rFonts w:hint="eastAsia" w:ascii="宋体" w:hAnsi="宋体" w:cs="宋体"/>
                <w:szCs w:val="21"/>
              </w:rPr>
            </w:pPr>
            <w:r>
              <w:rPr>
                <w:rFonts w:hint="eastAsia" w:ascii="宋体" w:hAnsi="宋体" w:cs="宋体"/>
                <w:szCs w:val="21"/>
              </w:rPr>
              <w:t>方案内容完整、详细，进度控制合理，项目管理以及验收方案科学合理，可行性强且完全满足项目实际需求，得10分；</w:t>
            </w:r>
          </w:p>
          <w:p w14:paraId="38F72F82">
            <w:pPr>
              <w:adjustRightInd w:val="0"/>
              <w:rPr>
                <w:rFonts w:hint="eastAsia" w:ascii="宋体" w:hAnsi="宋体" w:cs="宋体"/>
                <w:strike/>
                <w:szCs w:val="21"/>
              </w:rPr>
            </w:pPr>
            <w:r>
              <w:rPr>
                <w:rFonts w:hint="eastAsia" w:ascii="宋体" w:hAnsi="宋体" w:cs="宋体"/>
                <w:szCs w:val="21"/>
              </w:rPr>
              <w:t>方案内容较完整，进度控制较合理，项目管理以及验收方案较为合理，可行性较强且满足项目实际需求，得8分；</w:t>
            </w:r>
          </w:p>
          <w:p w14:paraId="4C78C8BF">
            <w:pPr>
              <w:adjustRightInd w:val="0"/>
              <w:rPr>
                <w:rFonts w:hint="eastAsia" w:ascii="宋体" w:hAnsi="宋体" w:cs="宋体"/>
                <w:szCs w:val="21"/>
              </w:rPr>
            </w:pPr>
            <w:r>
              <w:rPr>
                <w:rFonts w:hint="eastAsia" w:ascii="宋体" w:hAnsi="宋体" w:cs="宋体"/>
                <w:szCs w:val="21"/>
              </w:rPr>
              <w:t>方案内容基本完整，有进度控制但略有瑕疵，项目管理以及验收方案基本合理，基本满足项目实际需求，得5分；</w:t>
            </w:r>
          </w:p>
          <w:p w14:paraId="7E879F20">
            <w:pPr>
              <w:adjustRightInd w:val="0"/>
              <w:rPr>
                <w:rFonts w:hint="eastAsia" w:ascii="宋体" w:hAnsi="宋体" w:cs="宋体"/>
                <w:szCs w:val="21"/>
              </w:rPr>
            </w:pPr>
            <w:r>
              <w:rPr>
                <w:rFonts w:hint="eastAsia" w:ascii="宋体" w:hAnsi="宋体" w:cs="宋体"/>
                <w:szCs w:val="21"/>
              </w:rPr>
              <w:t>方案内容有缺失，进度控制不明确，项目管理以及验收方案需进一步修改完善方可满足项目实际需求，得2分；</w:t>
            </w:r>
          </w:p>
          <w:p w14:paraId="7DE1BBBF">
            <w:pPr>
              <w:adjustRightInd w:val="0"/>
              <w:rPr>
                <w:rFonts w:hint="eastAsia" w:ascii="宋体" w:hAnsi="宋体" w:cs="宋体"/>
                <w:szCs w:val="20"/>
              </w:rPr>
            </w:pPr>
            <w:r>
              <w:rPr>
                <w:rFonts w:hint="eastAsia" w:ascii="宋体" w:hAnsi="宋体" w:cs="宋体"/>
                <w:szCs w:val="21"/>
              </w:rPr>
              <w:t>未提供不得分。</w:t>
            </w:r>
          </w:p>
        </w:tc>
        <w:tc>
          <w:tcPr>
            <w:tcW w:w="985" w:type="dxa"/>
            <w:vAlign w:val="center"/>
          </w:tcPr>
          <w:p w14:paraId="1BF4FDA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szCs w:val="21"/>
              </w:rPr>
            </w:pPr>
            <w:r>
              <w:rPr>
                <w:rFonts w:hint="eastAsia" w:ascii="宋体" w:hAnsi="宋体" w:cs="宋体"/>
                <w:szCs w:val="21"/>
              </w:rPr>
              <w:t>10</w:t>
            </w:r>
          </w:p>
        </w:tc>
      </w:tr>
      <w:tr w14:paraId="59EC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5A592552">
            <w:pPr>
              <w:widowControl/>
              <w:adjustRightInd w:val="0"/>
              <w:snapToGrid w:val="0"/>
              <w:spacing w:line="276" w:lineRule="auto"/>
              <w:jc w:val="center"/>
              <w:rPr>
                <w:rFonts w:hint="eastAsia" w:ascii="宋体" w:hAnsi="宋体" w:cs="宋体"/>
                <w:szCs w:val="21"/>
              </w:rPr>
            </w:pPr>
            <w:r>
              <w:rPr>
                <w:rFonts w:hint="eastAsia" w:ascii="宋体" w:hAnsi="宋体" w:cs="宋体"/>
                <w:szCs w:val="21"/>
              </w:rPr>
              <w:t>5</w:t>
            </w:r>
          </w:p>
        </w:tc>
        <w:tc>
          <w:tcPr>
            <w:tcW w:w="1041" w:type="dxa"/>
            <w:vAlign w:val="center"/>
          </w:tcPr>
          <w:p w14:paraId="77035ECB">
            <w:pPr>
              <w:widowControl/>
              <w:adjustRightInd w:val="0"/>
              <w:snapToGrid w:val="0"/>
              <w:spacing w:line="276" w:lineRule="auto"/>
              <w:jc w:val="center"/>
              <w:rPr>
                <w:rFonts w:hint="eastAsia" w:ascii="宋体" w:hAnsi="宋体" w:cs="宋体"/>
                <w:szCs w:val="21"/>
              </w:rPr>
            </w:pPr>
            <w:r>
              <w:rPr>
                <w:rFonts w:hint="eastAsia" w:ascii="宋体" w:hAnsi="宋体" w:cs="宋体"/>
                <w:szCs w:val="21"/>
              </w:rPr>
              <w:t>培训方案（10分）</w:t>
            </w:r>
          </w:p>
        </w:tc>
        <w:tc>
          <w:tcPr>
            <w:tcW w:w="6904" w:type="dxa"/>
            <w:vAlign w:val="center"/>
          </w:tcPr>
          <w:p w14:paraId="17889CDE">
            <w:pPr>
              <w:adjustRightInd w:val="0"/>
              <w:snapToGrid w:val="0"/>
              <w:rPr>
                <w:rFonts w:hint="eastAsia" w:ascii="宋体" w:hAnsi="宋体" w:cs="宋体"/>
                <w:szCs w:val="21"/>
              </w:rPr>
            </w:pPr>
            <w:r>
              <w:rPr>
                <w:rFonts w:hint="eastAsia" w:ascii="宋体" w:hAnsi="宋体" w:cs="宋体"/>
                <w:szCs w:val="21"/>
              </w:rPr>
              <w:t>根据供应商所提供的培训方案（内容包括但不限于：培训目标、培训内容、培训方式、培训计划、考核评估等）进行评审：</w:t>
            </w:r>
          </w:p>
          <w:p w14:paraId="12F04BE9">
            <w:pPr>
              <w:adjustRightInd w:val="0"/>
              <w:snapToGrid w:val="0"/>
              <w:rPr>
                <w:rFonts w:hint="eastAsia" w:ascii="宋体" w:hAnsi="宋体" w:cs="宋体"/>
                <w:szCs w:val="21"/>
              </w:rPr>
            </w:pPr>
            <w:r>
              <w:rPr>
                <w:rFonts w:hint="eastAsia" w:ascii="宋体" w:hAnsi="宋体" w:cs="宋体"/>
                <w:szCs w:val="21"/>
              </w:rPr>
              <w:t>方案内容完整、详细，培训目标明确，内容全面且针对性强，培训方式多样，师资力量雄厚，计划安排合理，考核评估机制科学有效，完全满足项目实际需求，得10分；</w:t>
            </w:r>
          </w:p>
          <w:p w14:paraId="013D75E7">
            <w:pPr>
              <w:adjustRightInd w:val="0"/>
              <w:snapToGrid w:val="0"/>
              <w:rPr>
                <w:rFonts w:hint="eastAsia" w:ascii="宋体" w:hAnsi="宋体" w:cs="宋体"/>
                <w:szCs w:val="21"/>
              </w:rPr>
            </w:pPr>
            <w:r>
              <w:rPr>
                <w:rFonts w:hint="eastAsia" w:ascii="宋体" w:hAnsi="宋体" w:cs="宋体"/>
                <w:szCs w:val="21"/>
              </w:rPr>
              <w:t>方案内容较完整，培训目标较明确，内容较全面，培训方式较合理，师资力量较强，计划安排较合理，有考核评估机制，满足项目实际需求，得8分；</w:t>
            </w:r>
          </w:p>
          <w:p w14:paraId="4A831E08">
            <w:pPr>
              <w:adjustRightInd w:val="0"/>
              <w:snapToGrid w:val="0"/>
              <w:rPr>
                <w:rFonts w:hint="eastAsia" w:ascii="宋体" w:hAnsi="宋体" w:cs="宋体"/>
                <w:szCs w:val="21"/>
              </w:rPr>
            </w:pPr>
            <w:r>
              <w:rPr>
                <w:rFonts w:hint="eastAsia" w:ascii="宋体" w:hAnsi="宋体" w:cs="宋体"/>
                <w:szCs w:val="21"/>
              </w:rPr>
              <w:t>方案内容基本完整，有培训目标和内容，培训方式和师资力量基本满足要求，计划安排基本合理，有简单的考核评估，基本满足项目实际需求，得5分；</w:t>
            </w:r>
          </w:p>
          <w:p w14:paraId="6AEA1022">
            <w:pPr>
              <w:adjustRightInd w:val="0"/>
              <w:snapToGrid w:val="0"/>
              <w:rPr>
                <w:rFonts w:hint="eastAsia" w:ascii="宋体" w:hAnsi="宋体" w:cs="宋体"/>
                <w:szCs w:val="21"/>
              </w:rPr>
            </w:pPr>
            <w:r>
              <w:rPr>
                <w:rFonts w:hint="eastAsia" w:ascii="宋体" w:hAnsi="宋体" w:cs="宋体"/>
                <w:szCs w:val="21"/>
              </w:rPr>
              <w:t>方案内容有缺失，培训目标不明确，内容不完整，培训方式和师资力量薄弱，计划安排不合理，缺少有效的考核评估，需进一步修改完善方可满足项目实际需求，得2分；</w:t>
            </w:r>
          </w:p>
          <w:p w14:paraId="7C3C49E5">
            <w:pPr>
              <w:adjustRightInd w:val="0"/>
              <w:snapToGrid w:val="0"/>
              <w:rPr>
                <w:rFonts w:hint="eastAsia" w:ascii="宋体" w:hAnsi="宋体" w:cs="宋体"/>
                <w:szCs w:val="21"/>
              </w:rPr>
            </w:pPr>
            <w:r>
              <w:rPr>
                <w:rFonts w:hint="eastAsia" w:ascii="宋体" w:hAnsi="宋体" w:cs="宋体"/>
                <w:szCs w:val="21"/>
              </w:rPr>
              <w:t>未提供不得分。</w:t>
            </w:r>
          </w:p>
        </w:tc>
        <w:tc>
          <w:tcPr>
            <w:tcW w:w="985" w:type="dxa"/>
            <w:vAlign w:val="center"/>
          </w:tcPr>
          <w:p w14:paraId="67D3149C">
            <w:pPr>
              <w:widowControl/>
              <w:snapToGrid w:val="0"/>
              <w:spacing w:line="420" w:lineRule="exact"/>
              <w:jc w:val="center"/>
              <w:rPr>
                <w:rFonts w:hint="eastAsia" w:ascii="宋体" w:hAnsi="宋体" w:cs="宋体"/>
                <w:szCs w:val="21"/>
              </w:rPr>
            </w:pPr>
            <w:r>
              <w:rPr>
                <w:rFonts w:hint="eastAsia" w:ascii="宋体" w:hAnsi="宋体" w:cs="宋体"/>
                <w:szCs w:val="21"/>
              </w:rPr>
              <w:t>10</w:t>
            </w:r>
          </w:p>
        </w:tc>
      </w:tr>
      <w:tr w14:paraId="3096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18188AE8">
            <w:pPr>
              <w:widowControl/>
              <w:adjustRightInd w:val="0"/>
              <w:snapToGrid w:val="0"/>
              <w:spacing w:line="276" w:lineRule="auto"/>
              <w:jc w:val="center"/>
              <w:rPr>
                <w:rFonts w:hint="eastAsia" w:ascii="宋体" w:hAnsi="宋体" w:cs="宋体"/>
                <w:szCs w:val="21"/>
              </w:rPr>
            </w:pPr>
            <w:r>
              <w:rPr>
                <w:rFonts w:hint="eastAsia" w:ascii="宋体" w:hAnsi="宋体" w:cs="宋体"/>
                <w:szCs w:val="21"/>
              </w:rPr>
              <w:t>6</w:t>
            </w:r>
          </w:p>
        </w:tc>
        <w:tc>
          <w:tcPr>
            <w:tcW w:w="1041" w:type="dxa"/>
            <w:vAlign w:val="center"/>
          </w:tcPr>
          <w:p w14:paraId="641B7D0F">
            <w:pPr>
              <w:pBdr>
                <w:top w:val="none" w:color="000000" w:sz="0" w:space="0"/>
                <w:left w:val="none" w:color="000000" w:sz="0" w:space="0"/>
                <w:bottom w:val="none" w:color="000000" w:sz="0" w:space="0"/>
                <w:right w:val="none" w:color="000000" w:sz="0" w:space="0"/>
              </w:pBdr>
              <w:adjustRightInd w:val="0"/>
              <w:jc w:val="center"/>
              <w:rPr>
                <w:rFonts w:hint="eastAsia" w:ascii="宋体" w:hAnsi="宋体" w:cs="宋体"/>
                <w:szCs w:val="21"/>
              </w:rPr>
            </w:pPr>
            <w:r>
              <w:rPr>
                <w:rFonts w:hint="eastAsia" w:ascii="宋体" w:hAnsi="宋体" w:cs="宋体"/>
                <w:szCs w:val="21"/>
              </w:rPr>
              <w:t>售后服务</w:t>
            </w:r>
          </w:p>
          <w:p w14:paraId="0095A899">
            <w:pPr>
              <w:pBdr>
                <w:top w:val="none" w:color="000000" w:sz="0" w:space="0"/>
                <w:left w:val="none" w:color="000000" w:sz="0" w:space="0"/>
                <w:bottom w:val="none" w:color="000000" w:sz="0" w:space="0"/>
                <w:right w:val="none" w:color="000000" w:sz="0" w:space="0"/>
              </w:pBdr>
              <w:adjustRightInd w:val="0"/>
              <w:jc w:val="center"/>
              <w:rPr>
                <w:rFonts w:hint="eastAsia" w:ascii="宋体" w:hAnsi="宋体" w:cs="宋体"/>
                <w:szCs w:val="21"/>
              </w:rPr>
            </w:pPr>
            <w:r>
              <w:rPr>
                <w:rFonts w:hint="eastAsia" w:ascii="宋体" w:hAnsi="宋体" w:cs="宋体"/>
                <w:szCs w:val="21"/>
              </w:rPr>
              <w:t>（10分）</w:t>
            </w:r>
          </w:p>
        </w:tc>
        <w:tc>
          <w:tcPr>
            <w:tcW w:w="6904" w:type="dxa"/>
            <w:vAlign w:val="center"/>
          </w:tcPr>
          <w:p w14:paraId="56DDA410">
            <w:pPr>
              <w:adjustRightInd w:val="0"/>
              <w:rPr>
                <w:rFonts w:hint="eastAsia" w:ascii="宋体" w:hAnsi="宋体" w:cs="宋体"/>
                <w:szCs w:val="21"/>
              </w:rPr>
            </w:pPr>
            <w:r>
              <w:rPr>
                <w:rFonts w:hint="eastAsia" w:ascii="宋体" w:hAnsi="宋体" w:cs="宋体"/>
                <w:szCs w:val="21"/>
              </w:rPr>
              <w:t>根据供应商所提供的售后服务方案（内容包括但不限于服务体系及服务内容、故障解决方案及响应时间、专业技术人员及服务保障等）进行评审：</w:t>
            </w:r>
          </w:p>
          <w:p w14:paraId="18082CC8">
            <w:pPr>
              <w:adjustRightInd w:val="0"/>
              <w:rPr>
                <w:rFonts w:hint="eastAsia" w:ascii="宋体" w:hAnsi="宋体" w:cs="宋体"/>
                <w:szCs w:val="21"/>
              </w:rPr>
            </w:pPr>
            <w:r>
              <w:rPr>
                <w:rFonts w:hint="eastAsia" w:ascii="宋体" w:hAnsi="宋体" w:cs="宋体"/>
                <w:szCs w:val="21"/>
              </w:rPr>
              <w:t>方案内容完整、详细，服务体系健全，服务内容全面且针对性强，故障解决方案科学合理，响应时间承诺优于项目要求，专业技术人员配置充足且资质过硬，服务保障措施完善，完全满足项目实际需求，得10分；</w:t>
            </w:r>
          </w:p>
          <w:p w14:paraId="10967EE2">
            <w:pPr>
              <w:adjustRightInd w:val="0"/>
              <w:rPr>
                <w:rFonts w:hint="eastAsia" w:ascii="宋体" w:hAnsi="宋体" w:cs="宋体"/>
                <w:szCs w:val="21"/>
              </w:rPr>
            </w:pPr>
            <w:r>
              <w:rPr>
                <w:rFonts w:hint="eastAsia" w:ascii="宋体" w:hAnsi="宋体" w:cs="宋体"/>
                <w:szCs w:val="21"/>
              </w:rPr>
              <w:t>方案内容较完整，服务体系较健全，服务内容较全面，故障解决方案较合理，响应时间承诺满足项目要求，专业技术人员配置较强，服务保障措施较好，满足项目实际需求，得8分；</w:t>
            </w:r>
          </w:p>
          <w:p w14:paraId="0ED0CE31">
            <w:pPr>
              <w:adjustRightInd w:val="0"/>
              <w:rPr>
                <w:rFonts w:hint="eastAsia" w:ascii="宋体" w:hAnsi="宋体" w:cs="宋体"/>
                <w:szCs w:val="21"/>
              </w:rPr>
            </w:pPr>
            <w:r>
              <w:rPr>
                <w:rFonts w:hint="eastAsia" w:ascii="宋体" w:hAnsi="宋体" w:cs="宋体"/>
                <w:szCs w:val="21"/>
              </w:rPr>
              <w:t>方案内容基本完整，有基本的服务体系和服务内容，故障解决方案基本合理，响应时间基本满足要求，有专业技术人员配置，服务保障措施基本可行，基本满足项目实际需求，得5分；</w:t>
            </w:r>
          </w:p>
          <w:p w14:paraId="7C659689">
            <w:pPr>
              <w:adjustRightInd w:val="0"/>
              <w:rPr>
                <w:rFonts w:hint="eastAsia" w:ascii="宋体" w:hAnsi="宋体" w:cs="宋体"/>
                <w:szCs w:val="21"/>
              </w:rPr>
            </w:pPr>
            <w:r>
              <w:rPr>
                <w:rFonts w:hint="eastAsia" w:ascii="宋体" w:hAnsi="宋体" w:cs="宋体"/>
                <w:szCs w:val="21"/>
              </w:rPr>
              <w:t>方案内容有缺失，服务体系不健全，服务内容不明确，故障解决方案不合理，响应时间不明确，专业技术人员配置薄弱，服务保障措施欠缺，需进一步修改完善方可满足项目实际需求，得2分；</w:t>
            </w:r>
          </w:p>
          <w:p w14:paraId="4A5A6EEB">
            <w:pPr>
              <w:adjustRightInd w:val="0"/>
              <w:rPr>
                <w:rFonts w:hint="eastAsia" w:ascii="宋体" w:hAnsi="宋体" w:cs="宋体"/>
                <w:szCs w:val="20"/>
              </w:rPr>
            </w:pPr>
            <w:r>
              <w:rPr>
                <w:rFonts w:hint="eastAsia" w:ascii="宋体" w:hAnsi="宋体" w:cs="宋体"/>
                <w:szCs w:val="21"/>
              </w:rPr>
              <w:t>未提供不得分。</w:t>
            </w:r>
          </w:p>
        </w:tc>
        <w:tc>
          <w:tcPr>
            <w:tcW w:w="985" w:type="dxa"/>
            <w:vAlign w:val="center"/>
          </w:tcPr>
          <w:p w14:paraId="0255CC9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szCs w:val="21"/>
              </w:rPr>
            </w:pPr>
            <w:r>
              <w:rPr>
                <w:rFonts w:hint="eastAsia" w:ascii="宋体" w:hAnsi="宋体" w:cs="宋体"/>
                <w:szCs w:val="21"/>
              </w:rPr>
              <w:t>10</w:t>
            </w:r>
          </w:p>
        </w:tc>
      </w:tr>
      <w:tr w14:paraId="0FBB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5662353">
            <w:pPr>
              <w:widowControl/>
              <w:adjustRightInd w:val="0"/>
              <w:snapToGrid w:val="0"/>
              <w:spacing w:line="276" w:lineRule="auto"/>
              <w:jc w:val="center"/>
              <w:rPr>
                <w:rFonts w:hint="eastAsia" w:ascii="宋体" w:hAnsi="宋体" w:cs="宋体"/>
                <w:szCs w:val="21"/>
              </w:rPr>
            </w:pPr>
            <w:r>
              <w:rPr>
                <w:rFonts w:hint="eastAsia" w:ascii="宋体" w:hAnsi="宋体" w:cs="宋体"/>
                <w:szCs w:val="21"/>
              </w:rPr>
              <w:t>7</w:t>
            </w:r>
          </w:p>
        </w:tc>
        <w:tc>
          <w:tcPr>
            <w:tcW w:w="1041" w:type="dxa"/>
            <w:vAlign w:val="center"/>
          </w:tcPr>
          <w:p w14:paraId="21053CD8">
            <w:pPr>
              <w:adjustRightInd w:val="0"/>
              <w:jc w:val="center"/>
              <w:rPr>
                <w:rFonts w:hint="eastAsia" w:ascii="宋体" w:hAnsi="宋体" w:cs="宋体"/>
                <w:szCs w:val="21"/>
              </w:rPr>
            </w:pPr>
            <w:r>
              <w:rPr>
                <w:rFonts w:hint="eastAsia" w:ascii="宋体" w:hAnsi="宋体" w:cs="宋体"/>
                <w:szCs w:val="21"/>
              </w:rPr>
              <w:t>质保期</w:t>
            </w:r>
          </w:p>
          <w:p w14:paraId="4E56BF13">
            <w:pPr>
              <w:adjustRightInd w:val="0"/>
              <w:jc w:val="center"/>
              <w:rPr>
                <w:rFonts w:hint="eastAsia" w:ascii="宋体" w:hAnsi="宋体" w:cs="宋体"/>
                <w:szCs w:val="21"/>
              </w:rPr>
            </w:pPr>
            <w:r>
              <w:rPr>
                <w:rFonts w:hint="eastAsia" w:ascii="宋体" w:hAnsi="宋体" w:cs="宋体"/>
                <w:szCs w:val="21"/>
              </w:rPr>
              <w:t>（2分）</w:t>
            </w:r>
          </w:p>
        </w:tc>
        <w:tc>
          <w:tcPr>
            <w:tcW w:w="6904" w:type="dxa"/>
            <w:vAlign w:val="center"/>
          </w:tcPr>
          <w:p w14:paraId="617E6D95">
            <w:pPr>
              <w:adjustRightInd w:val="0"/>
              <w:rPr>
                <w:rFonts w:hint="eastAsia" w:ascii="宋体" w:hAnsi="宋体" w:cs="宋体"/>
                <w:szCs w:val="21"/>
              </w:rPr>
            </w:pPr>
            <w:r>
              <w:rPr>
                <w:rFonts w:hint="eastAsia" w:ascii="宋体" w:hAnsi="宋体" w:cs="宋体"/>
                <w:szCs w:val="21"/>
              </w:rPr>
              <w:t>在满足采购文件要求的免费质保1年的基础上，每增加1年免费质保加1分，最多加2分。（提供质保承诺加盖供应商公章，格式自拟）</w:t>
            </w:r>
          </w:p>
        </w:tc>
        <w:tc>
          <w:tcPr>
            <w:tcW w:w="985" w:type="dxa"/>
            <w:vAlign w:val="center"/>
          </w:tcPr>
          <w:p w14:paraId="2C2B3A0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szCs w:val="21"/>
              </w:rPr>
            </w:pPr>
            <w:r>
              <w:rPr>
                <w:rFonts w:hint="eastAsia" w:ascii="宋体" w:hAnsi="宋体" w:cs="宋体"/>
                <w:szCs w:val="21"/>
              </w:rPr>
              <w:t>2</w:t>
            </w:r>
          </w:p>
        </w:tc>
      </w:tr>
    </w:tbl>
    <w:p w14:paraId="5A31D35D">
      <w:pPr>
        <w:widowControl/>
        <w:adjustRightInd w:val="0"/>
        <w:snapToGrid w:val="0"/>
        <w:jc w:val="left"/>
        <w:rPr>
          <w:rFonts w:hint="eastAsia" w:ascii="宋体" w:hAnsi="宋体" w:cs="宋体"/>
          <w:b/>
          <w:bCs/>
          <w:szCs w:val="21"/>
        </w:rPr>
      </w:pPr>
      <w:r>
        <w:rPr>
          <w:rFonts w:hint="eastAsia" w:ascii="宋体" w:hAnsi="宋体" w:cs="宋体"/>
          <w:b/>
          <w:bCs/>
          <w:szCs w:val="21"/>
        </w:rPr>
        <w:t>评审委员会启动异常低价投标（响应）审查的情形和具体要求，包括：</w:t>
      </w:r>
    </w:p>
    <w:p w14:paraId="58EA0EA9">
      <w:pPr>
        <w:widowControl/>
        <w:adjustRightInd w:val="0"/>
        <w:snapToGrid w:val="0"/>
        <w:jc w:val="left"/>
        <w:rPr>
          <w:rFonts w:hint="eastAsia" w:ascii="宋体" w:hAnsi="宋体" w:cs="宋体"/>
          <w:szCs w:val="21"/>
        </w:rPr>
      </w:pPr>
      <w:r>
        <w:rPr>
          <w:rFonts w:hint="eastAsia" w:ascii="宋体" w:hAnsi="宋体" w:cs="宋体"/>
          <w:szCs w:val="21"/>
        </w:rPr>
        <w:t>（1）评审过程中出现下列情形之一的，评审委员会应当启动异常低价投标(响应)审查程序：</w:t>
      </w:r>
    </w:p>
    <w:p w14:paraId="0B193EC1">
      <w:pPr>
        <w:widowControl/>
        <w:adjustRightInd w:val="0"/>
        <w:snapToGrid w:val="0"/>
        <w:jc w:val="left"/>
        <w:rPr>
          <w:rFonts w:hint="eastAsia" w:ascii="宋体" w:hAnsi="宋体" w:cs="宋体"/>
          <w:szCs w:val="21"/>
        </w:rPr>
      </w:pPr>
      <w:r>
        <w:rPr>
          <w:rFonts w:hint="eastAsia" w:ascii="宋体" w:hAnsi="宋体" w:cs="宋体"/>
          <w:szCs w:val="21"/>
        </w:rPr>
        <w:t>①投标（响应）报价低于全部通过符合性审查供应商投标（响应）报价平均值65%的，即投标（响应）报价&lt;全部通过符合性审查供应商投标（响应）报价平均值×65%；</w:t>
      </w:r>
    </w:p>
    <w:p w14:paraId="663AA2DA">
      <w:pPr>
        <w:widowControl/>
        <w:adjustRightInd w:val="0"/>
        <w:snapToGrid w:val="0"/>
        <w:jc w:val="left"/>
        <w:rPr>
          <w:rFonts w:hint="eastAsia" w:ascii="宋体" w:hAnsi="宋体" w:cs="宋体"/>
          <w:szCs w:val="21"/>
        </w:rPr>
      </w:pPr>
      <w:r>
        <w:rPr>
          <w:rFonts w:hint="eastAsia" w:ascii="宋体" w:hAnsi="宋体" w:cs="宋体"/>
          <w:szCs w:val="21"/>
        </w:rPr>
        <w:t>②投标（响应）报价低于通过符合性审查的次低报价供应商投标（响应）报价65%的，即投标（响应）报价&lt;通过符合性审查的次低报价供应商投标（响应）报价×65%;</w:t>
      </w:r>
    </w:p>
    <w:p w14:paraId="1A8D6F99">
      <w:pPr>
        <w:widowControl/>
        <w:adjustRightInd w:val="0"/>
        <w:snapToGrid w:val="0"/>
        <w:jc w:val="left"/>
        <w:rPr>
          <w:rFonts w:hint="eastAsia" w:ascii="宋体" w:hAnsi="宋体" w:cs="宋体"/>
          <w:szCs w:val="21"/>
        </w:rPr>
      </w:pPr>
      <w:r>
        <w:rPr>
          <w:rFonts w:hint="eastAsia" w:ascii="宋体" w:hAnsi="宋体" w:cs="宋体"/>
          <w:szCs w:val="21"/>
        </w:rPr>
        <w:t>③投标（响应）报价低于采购项目最高限价65%的，即投标（响应）报价&lt;采购项目最高限价×65%；</w:t>
      </w:r>
    </w:p>
    <w:p w14:paraId="525BFD4C">
      <w:pPr>
        <w:widowControl/>
        <w:adjustRightInd w:val="0"/>
        <w:snapToGrid w:val="0"/>
        <w:jc w:val="left"/>
        <w:rPr>
          <w:rFonts w:hint="eastAsia" w:ascii="宋体" w:hAnsi="宋体" w:cs="宋体"/>
          <w:szCs w:val="21"/>
        </w:rPr>
      </w:pPr>
      <w:r>
        <w:rPr>
          <w:rFonts w:hint="eastAsia" w:ascii="宋体" w:hAnsi="宋体" w:cs="宋体"/>
          <w:szCs w:val="21"/>
        </w:rPr>
        <w:t>④评审委员会基于专业判断，认为供应商报价过低，有可能影响产品质量或者不能诚信履约的其他情形。</w:t>
      </w:r>
    </w:p>
    <w:p w14:paraId="27D1B679">
      <w:pPr>
        <w:widowControl/>
        <w:adjustRightInd w:val="0"/>
        <w:snapToGrid w:val="0"/>
        <w:jc w:val="left"/>
        <w:rPr>
          <w:rFonts w:hint="eastAsia" w:ascii="宋体" w:hAnsi="宋体" w:cs="宋体"/>
          <w:szCs w:val="21"/>
        </w:rPr>
      </w:pPr>
      <w:r>
        <w:rPr>
          <w:rFonts w:hint="eastAsia" w:ascii="宋体" w:hAnsi="宋体" w:cs="宋体"/>
          <w:szCs w:val="21"/>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71CDF8E5">
      <w:pPr>
        <w:rPr>
          <w:rFonts w:hint="eastAsia" w:ascii="宋体" w:hAnsi="宋体" w:cs="黑体"/>
          <w:b/>
          <w:sz w:val="36"/>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FDEEA3">
      <w:pPr>
        <w:rPr>
          <w:rFonts w:hint="eastAsia" w:ascii="宋体" w:hAnsi="宋体" w:cs="黑体"/>
          <w:b/>
          <w:sz w:val="36"/>
        </w:rPr>
      </w:pPr>
      <w:r>
        <w:rPr>
          <w:rFonts w:hint="eastAsia" w:ascii="宋体" w:hAnsi="宋体" w:cs="黑体"/>
          <w:b/>
          <w:sz w:val="36"/>
        </w:rPr>
        <w:br w:type="page"/>
      </w:r>
    </w:p>
    <w:p w14:paraId="4FB8CFC9">
      <w:pPr>
        <w:pStyle w:val="264"/>
        <w:numPr>
          <w:ilvl w:val="0"/>
          <w:numId w:val="51"/>
        </w:numPr>
      </w:pPr>
      <w:r>
        <w:rPr>
          <w:rFonts w:hint="eastAsia"/>
        </w:rPr>
        <w:t xml:space="preserve"> </w:t>
      </w:r>
      <w:r>
        <w:t xml:space="preserve"> 采购需求</w:t>
      </w:r>
    </w:p>
    <w:p w14:paraId="19A1DD79">
      <w:pPr>
        <w:adjustRightInd w:val="0"/>
        <w:snapToGrid w:val="0"/>
        <w:spacing w:line="360" w:lineRule="auto"/>
        <w:ind w:firstLine="482" w:firstLineChars="200"/>
        <w:rPr>
          <w:rFonts w:hint="eastAsia" w:ascii="宋体" w:hAnsi="宋体" w:cs="宋体"/>
          <w:sz w:val="24"/>
          <w:szCs w:val="24"/>
        </w:rPr>
      </w:pPr>
      <w:r>
        <w:rPr>
          <w:rFonts w:hint="eastAsia" w:ascii="宋体" w:hAnsi="宋体" w:cs="宋体"/>
          <w:b/>
          <w:bCs/>
          <w:sz w:val="24"/>
          <w:szCs w:val="24"/>
        </w:rPr>
        <w:t>一、项目需求</w:t>
      </w:r>
    </w:p>
    <w:p w14:paraId="33DB414C">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1、变温可控（80K~325K）的电磁铁控制平台。</w:t>
      </w:r>
    </w:p>
    <w:p w14:paraId="62A4E02A">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2、该平台要求与现有的瞬态光谱仪FLS980进行搭配使用，监测样品在不同磁场下的光谱和寿命变化。</w:t>
      </w:r>
    </w:p>
    <w:p w14:paraId="041DF316">
      <w:pPr>
        <w:adjustRightInd w:val="0"/>
        <w:snapToGrid w:val="0"/>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二、技术参数</w:t>
      </w:r>
    </w:p>
    <w:p w14:paraId="7910CD11">
      <w:pPr>
        <w:adjustRightInd w:val="0"/>
        <w:snapToGrid w:val="0"/>
        <w:spacing w:line="360" w:lineRule="auto"/>
        <w:ind w:firstLine="480" w:firstLineChars="200"/>
        <w:rPr>
          <w:rFonts w:hint="eastAsia" w:ascii="宋体" w:hAnsi="宋体" w:cs="宋体"/>
          <w:sz w:val="24"/>
          <w:szCs w:val="24"/>
        </w:rPr>
      </w:pPr>
      <w:bookmarkStart w:id="6" w:name="OLE_LINK3"/>
      <w:r>
        <w:rPr>
          <w:rFonts w:hint="eastAsia" w:ascii="宋体" w:hAnsi="宋体" w:cs="宋体"/>
          <w:sz w:val="24"/>
          <w:szCs w:val="24"/>
        </w:rPr>
        <w:t>1.电磁铁平台</w:t>
      </w:r>
    </w:p>
    <w:p w14:paraId="6B5039EE">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★1.1磁场强度：磁极间距50mm时，磁场强度优于1T，磁场调控精度0.001mT。</w:t>
      </w:r>
    </w:p>
    <w:p w14:paraId="288C8867">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1.2可以连续在最大磁场24小时以上稳定运行。</w:t>
      </w:r>
    </w:p>
    <w:p w14:paraId="0EA55F48">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★1.3电磁铁磁间距：0-50mm可调。</w:t>
      </w:r>
    </w:p>
    <w:p w14:paraId="70E84BCE">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1.4线圈冷却方式：水冷。</w:t>
      </w:r>
    </w:p>
    <w:p w14:paraId="7051A407">
      <w:pPr>
        <w:adjustRightInd w:val="0"/>
        <w:snapToGrid w:val="0"/>
        <w:spacing w:line="360" w:lineRule="auto"/>
        <w:ind w:left="420" w:leftChars="200"/>
        <w:rPr>
          <w:rFonts w:hint="eastAsia" w:ascii="宋体" w:hAnsi="宋体" w:cs="宋体"/>
          <w:sz w:val="24"/>
          <w:szCs w:val="24"/>
        </w:rPr>
      </w:pPr>
      <w:r>
        <w:rPr>
          <w:rFonts w:hint="eastAsia" w:ascii="宋体" w:hAnsi="宋体" w:cs="宋体"/>
          <w:sz w:val="24"/>
          <w:szCs w:val="24"/>
        </w:rPr>
        <w:t>1.5电磁铁结构：</w:t>
      </w:r>
      <w:r>
        <w:rPr>
          <w:rFonts w:ascii="宋体" w:hAnsi="宋体" w:cs="宋体"/>
          <w:sz w:val="24"/>
          <w:szCs w:val="24"/>
        </w:rPr>
        <w:t>定制电磁铁，双极头极柱，在其中一侧极柱上加装电磁线圈，另一</w:t>
      </w:r>
      <w:r>
        <w:rPr>
          <w:rFonts w:hint="eastAsia" w:ascii="宋体" w:hAnsi="宋体" w:cs="宋体"/>
          <w:sz w:val="24"/>
          <w:szCs w:val="24"/>
        </w:rPr>
        <w:t xml:space="preserve"> </w:t>
      </w:r>
      <w:r>
        <w:rPr>
          <w:rFonts w:ascii="宋体" w:hAnsi="宋体" w:cs="宋体"/>
          <w:sz w:val="24"/>
          <w:szCs w:val="24"/>
        </w:rPr>
        <w:t>侧极柱不加装，可与实验室现有仪器配套使用</w:t>
      </w:r>
      <w:r>
        <w:rPr>
          <w:rFonts w:hint="eastAsia" w:ascii="宋体" w:hAnsi="宋体" w:cs="宋体"/>
          <w:sz w:val="24"/>
          <w:szCs w:val="24"/>
        </w:rPr>
        <w:t>。</w:t>
      </w:r>
    </w:p>
    <w:p w14:paraId="7159D657">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▲1.6</w:t>
      </w:r>
      <w:r>
        <w:rPr>
          <w:rFonts w:ascii="宋体" w:hAnsi="宋体" w:cs="宋体"/>
          <w:sz w:val="24"/>
          <w:szCs w:val="24"/>
        </w:rPr>
        <w:t>配备辅助升降或移动装置</w:t>
      </w:r>
      <w:r>
        <w:rPr>
          <w:rFonts w:hint="eastAsia" w:ascii="宋体" w:hAnsi="宋体" w:cs="宋体"/>
          <w:sz w:val="24"/>
          <w:szCs w:val="24"/>
        </w:rPr>
        <w:t>，可实现电磁铁的快速拆装、转移、临时停放功能。</w:t>
      </w:r>
    </w:p>
    <w:p w14:paraId="35CF0E93">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2.恒流电源</w:t>
      </w:r>
    </w:p>
    <w:p w14:paraId="382E3CC4">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▲2.1双极性恒流电源，电流±90A，电压±60V，水冷。</w:t>
      </w:r>
    </w:p>
    <w:p w14:paraId="76DE7B79">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 2.2可在(正常负载)≤1Hz情况下输出±90A输出正弦波/方波等。</w:t>
      </w:r>
    </w:p>
    <w:p w14:paraId="41C7CE30">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 2.3电流稳定度≤50ppm/h，电流平滑过零无断点。</w:t>
      </w:r>
    </w:p>
    <w:p w14:paraId="38B7286C">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sz w:val="24"/>
          <w:szCs w:val="24"/>
        </w:rPr>
        <w:t>★ 2.4</w:t>
      </w:r>
      <w:r>
        <w:rPr>
          <w:rFonts w:hint="eastAsia" w:ascii="宋体" w:hAnsi="宋体" w:cs="宋体"/>
          <w:color w:val="auto"/>
          <w:sz w:val="24"/>
          <w:szCs w:val="24"/>
        </w:rPr>
        <w:t>内置高灵敏度特斯拉计，控温精度≤0.1mK，支持磁场模式和电流模式控制输出。</w:t>
      </w:r>
    </w:p>
    <w:p w14:paraId="5B319B8F">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2.5带RS232接口或USB口。</w:t>
      </w:r>
    </w:p>
    <w:p w14:paraId="22BD87CD">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2.6显示分辨率：63/4位数字显示。</w:t>
      </w:r>
    </w:p>
    <w:p w14:paraId="0013290E">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2.7电流分辨率：0.1mA。</w:t>
      </w:r>
    </w:p>
    <w:p w14:paraId="1981C91D">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3.变温模块：</w:t>
      </w:r>
    </w:p>
    <w:p w14:paraId="70BDFE6B">
      <w:pPr>
        <w:adjustRightInd w:val="0"/>
        <w:snapToGrid w:val="0"/>
        <w:spacing w:line="360" w:lineRule="auto"/>
        <w:ind w:firstLine="480" w:firstLineChars="200"/>
        <w:rPr>
          <w:rFonts w:hint="eastAsia" w:ascii="宋体" w:hAnsi="宋体" w:cs="宋体"/>
          <w:color w:val="auto"/>
          <w:sz w:val="24"/>
          <w:szCs w:val="24"/>
          <w:lang w:val="en"/>
        </w:rPr>
      </w:pPr>
      <w:r>
        <w:rPr>
          <w:rFonts w:hint="eastAsia" w:ascii="宋体" w:hAnsi="宋体" w:cs="宋体"/>
          <w:color w:val="auto"/>
          <w:sz w:val="24"/>
          <w:szCs w:val="24"/>
        </w:rPr>
        <w:t>★3.1变温范围：80K~325K， 包括液氮恒温器、控温仪（</w:t>
      </w:r>
      <w:r>
        <w:rPr>
          <w:rFonts w:ascii="宋体" w:hAnsi="宋体" w:cs="宋体"/>
          <w:color w:val="auto"/>
          <w:sz w:val="24"/>
          <w:szCs w:val="24"/>
          <w:lang w:val="en"/>
        </w:rPr>
        <w:t>控温精度≥0.1K</w:t>
      </w:r>
      <w:r>
        <w:rPr>
          <w:rFonts w:hint="eastAsia" w:ascii="宋体" w:hAnsi="宋体" w:cs="宋体"/>
          <w:color w:val="auto"/>
          <w:sz w:val="24"/>
          <w:szCs w:val="24"/>
        </w:rPr>
        <w:t>）、安装支架及电缆等。</w:t>
      </w:r>
    </w:p>
    <w:p w14:paraId="4FA4A5CB">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3.2样品环境：真空。</w:t>
      </w:r>
    </w:p>
    <w:p w14:paraId="327D98A3">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★3.3样品冷却形式：通过液氮传导冷却样品。</w:t>
      </w:r>
    </w:p>
    <w:p w14:paraId="30504B72">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3.4紧凑型尾部，支持最大样品直径20mm。</w:t>
      </w:r>
    </w:p>
    <w:p w14:paraId="3C287B47">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3.5开窗要求：共需2个光窗，2个光窗相对角度为90°。</w:t>
      </w:r>
    </w:p>
    <w:p w14:paraId="6E7C00AB">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3.6安装标定过的铂电阻温度计，精度≤±0.1K。</w:t>
      </w:r>
    </w:p>
    <w:p w14:paraId="5C13EFAA">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3.7安装1个倾斜45度角样品托。</w:t>
      </w:r>
    </w:p>
    <w:p w14:paraId="2C58766E">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3.8预留8根磷青铜双绞线用于测量。</w:t>
      </w:r>
    </w:p>
    <w:p w14:paraId="136BA337">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3.9变温模块搭配电磁铁使用，不能影响电磁铁的拆装，且在不需要时，变温模块需便于拆除。</w:t>
      </w:r>
    </w:p>
    <w:p w14:paraId="0AEAE054">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3.10搭配一台温控仪，用于辅助变温模块测量需求。</w:t>
      </w:r>
    </w:p>
    <w:p w14:paraId="6A9A284D">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★3.11温控仪采用PID型温度控制，2路温度输入、1路控温（100W），最大输出功率100W。</w:t>
      </w:r>
    </w:p>
    <w:p w14:paraId="274835DF">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3.12温控仪测量分辨率为≤0.01K，测量速率≥20次/秒，可用于0.1K量级的温度测控。</w:t>
      </w:r>
    </w:p>
    <w:p w14:paraId="2EBF7DF6">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★4.风冷一体式水冷机组：制冷量≥7K</w:t>
      </w:r>
      <w:r>
        <w:rPr>
          <w:rFonts w:hint="eastAsia" w:ascii="宋体" w:hAnsi="宋体" w:cs="宋体"/>
          <w:color w:val="auto"/>
          <w:sz w:val="24"/>
          <w:szCs w:val="24"/>
        </w:rPr>
        <w:t>W，水箱容积80-100升，</w:t>
      </w:r>
      <w:r>
        <w:rPr>
          <w:rFonts w:hint="eastAsia" w:ascii="宋体" w:hAnsi="宋体" w:cs="宋体"/>
          <w:sz w:val="24"/>
          <w:szCs w:val="24"/>
        </w:rPr>
        <w:t>出水口温度5-35℃，控温精度±1℃。</w:t>
      </w:r>
    </w:p>
    <w:p w14:paraId="1099E523">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5.为便于变温模块的使用，需搭配一套自增压液氮罐，容积≥15L，搭配一根液氮输液管，可与变温模块输液口匹配。</w:t>
      </w:r>
      <w:bookmarkEnd w:id="6"/>
    </w:p>
    <w:p w14:paraId="2C016D37">
      <w:pPr>
        <w:spacing w:line="360" w:lineRule="auto"/>
        <w:ind w:left="210" w:leftChars="100"/>
        <w:contextualSpacing/>
        <w:rPr>
          <w:rFonts w:hint="eastAsia" w:asciiTheme="minorEastAsia" w:hAnsiTheme="minorEastAsia" w:eastAsiaTheme="minorEastAsia"/>
          <w:szCs w:val="21"/>
        </w:rPr>
      </w:pPr>
    </w:p>
    <w:p w14:paraId="5E60AB2A">
      <w:pPr>
        <w:spacing w:line="360" w:lineRule="auto"/>
        <w:ind w:left="210" w:leftChars="100"/>
        <w:contextualSpacing/>
        <w:rPr>
          <w:rFonts w:hint="eastAsia" w:asciiTheme="minorEastAsia" w:hAnsiTheme="minorEastAsia" w:eastAsiaTheme="minorEastAsia"/>
          <w:szCs w:val="21"/>
        </w:rPr>
      </w:pPr>
    </w:p>
    <w:p w14:paraId="3D93624C">
      <w:pPr>
        <w:spacing w:line="360" w:lineRule="auto"/>
        <w:ind w:left="210" w:leftChars="100"/>
        <w:contextualSpacing/>
        <w:rPr>
          <w:rFonts w:hint="eastAsia" w:asciiTheme="minorEastAsia" w:hAnsiTheme="minorEastAsia" w:eastAsiaTheme="minorEastAsia"/>
          <w:szCs w:val="21"/>
        </w:rPr>
      </w:pPr>
      <w:r>
        <w:rPr>
          <w:rFonts w:asciiTheme="minorEastAsia" w:hAnsiTheme="minorEastAsia" w:eastAsiaTheme="minorEastAsia"/>
          <w:b/>
          <w:szCs w:val="21"/>
        </w:rPr>
        <w:t>说明：</w:t>
      </w:r>
    </w:p>
    <w:p w14:paraId="5A2EC7A3">
      <w:pPr>
        <w:spacing w:line="360" w:lineRule="auto"/>
        <w:ind w:left="210" w:leftChars="100"/>
        <w:contextualSpacing/>
        <w:rPr>
          <w:rFonts w:hint="eastAsia" w:asciiTheme="minorEastAsia" w:hAnsiTheme="minorEastAsia" w:eastAsiaTheme="minorEastAsia"/>
          <w:szCs w:val="21"/>
        </w:rPr>
      </w:pPr>
      <w:r>
        <w:rPr>
          <w:rFonts w:asciiTheme="minorEastAsia" w:hAnsiTheme="minorEastAsia" w:eastAsiaTheme="minorEastAsia"/>
          <w:szCs w:val="21"/>
        </w:rPr>
        <w:t>（1）供应商须对本项目须提供的服务进行整体响应，任何只对其中的一部分内容进行的响应都被视为无效响应。</w:t>
      </w:r>
    </w:p>
    <w:p w14:paraId="4FADA3BC">
      <w:pPr>
        <w:spacing w:line="360" w:lineRule="auto"/>
        <w:ind w:left="210" w:leftChars="100"/>
        <w:contextualSpacing/>
        <w:rPr>
          <w:rFonts w:hint="eastAsia" w:asciiTheme="minorEastAsia" w:hAnsiTheme="minorEastAsia" w:eastAsiaTheme="minorEastAsia"/>
          <w:szCs w:val="21"/>
        </w:rPr>
      </w:pPr>
      <w:r>
        <w:rPr>
          <w:rFonts w:asciiTheme="minorEastAsia" w:hAnsiTheme="minorEastAsia" w:eastAsiaTheme="minorEastAsia"/>
          <w:szCs w:val="21"/>
        </w:rPr>
        <w:t>（2）采购人需求中打“</w:t>
      </w:r>
      <w:r>
        <w:rPr>
          <w:rFonts w:cs="Segoe UI Symbol" w:asciiTheme="minorEastAsia" w:hAnsiTheme="minorEastAsia" w:eastAsiaTheme="minorEastAsia"/>
          <w:szCs w:val="21"/>
        </w:rPr>
        <w:t>★</w:t>
      </w:r>
      <w:r>
        <w:rPr>
          <w:rFonts w:asciiTheme="minorEastAsia" w:hAnsiTheme="minorEastAsia" w:eastAsiaTheme="minorEastAsia"/>
          <w:szCs w:val="21"/>
        </w:rPr>
        <w:t>”号条款为实质性响应条款，供应商如有任何一条负偏离则导致投标无效。采购人需求中打“▲”号条款为重点评审响应条款，供应商如有任何一条负偏离则影响评分。所有对标“</w:t>
      </w:r>
      <w:r>
        <w:rPr>
          <w:rFonts w:cs="Segoe UI Symbol" w:asciiTheme="minorEastAsia" w:hAnsiTheme="minorEastAsia" w:eastAsiaTheme="minorEastAsia"/>
          <w:szCs w:val="21"/>
        </w:rPr>
        <w:t>★</w:t>
      </w:r>
      <w:r>
        <w:rPr>
          <w:rFonts w:asciiTheme="minorEastAsia" w:hAnsiTheme="minorEastAsia" w:eastAsiaTheme="minorEastAsia"/>
          <w:szCs w:val="21"/>
        </w:rPr>
        <w:t>”、“▲”技术内容的响应均应提供支撑资料（明确说明该技术内容的公开发行的产品彩页、产品说明书或第三方检测机构的检测报告等）</w:t>
      </w:r>
      <w:r>
        <w:rPr>
          <w:rFonts w:hint="eastAsia" w:asciiTheme="minorEastAsia" w:hAnsiTheme="minorEastAsia" w:eastAsiaTheme="minorEastAsia"/>
          <w:szCs w:val="21"/>
        </w:rPr>
        <w:t>。</w:t>
      </w:r>
    </w:p>
    <w:p w14:paraId="536F563C">
      <w:pPr>
        <w:spacing w:line="360" w:lineRule="auto"/>
        <w:ind w:left="210" w:leftChars="100"/>
        <w:contextualSpacing/>
        <w:rPr>
          <w:rFonts w:hint="eastAsia" w:asciiTheme="minorEastAsia" w:hAnsiTheme="minorEastAsia" w:eastAsiaTheme="minorEastAsia"/>
          <w:szCs w:val="21"/>
        </w:rPr>
      </w:pPr>
      <w:r>
        <w:rPr>
          <w:rFonts w:asciiTheme="minorEastAsia" w:hAnsiTheme="minorEastAsia" w:eastAsiaTheme="minorEastAsia"/>
          <w:szCs w:val="21"/>
        </w:rPr>
        <w:t>（3）凡属于政府强制采购节能产品，请供应商承诺在交货时提供《节能产品政府采购清单》中的产品。（注：《节能产品政府采购清单》供应商可查询中国政府采购网&lt;http://www.ccgp.gov.cn&gt;。）</w:t>
      </w:r>
    </w:p>
    <w:p w14:paraId="714C2E0F">
      <w:pPr>
        <w:spacing w:line="360" w:lineRule="auto"/>
        <w:ind w:left="210" w:leftChars="100"/>
        <w:contextualSpacing/>
        <w:rPr>
          <w:rFonts w:hint="eastAsia" w:asciiTheme="minorEastAsia" w:hAnsiTheme="minorEastAsia" w:eastAsiaTheme="minorEastAsia"/>
          <w:szCs w:val="21"/>
        </w:rPr>
      </w:pPr>
      <w:r>
        <w:rPr>
          <w:rFonts w:asciiTheme="minorEastAsia" w:hAnsiTheme="minorEastAsia" w:eastAsiaTheme="minorEastAsia"/>
          <w:szCs w:val="21"/>
        </w:rPr>
        <w:t>（4）凡属于《中华人民共和国实施强制性产品认证的产品目录》的产品，交货时不能提供超出此目录范畴外的替代品，产品还须同时具备国家认证认可监督管理委员会颁布《中国强制认证》（CCC认证）。</w:t>
      </w:r>
    </w:p>
    <w:p w14:paraId="128FF5BB">
      <w:pPr>
        <w:spacing w:line="360" w:lineRule="auto"/>
        <w:ind w:left="210" w:leftChars="100"/>
        <w:contextualSpacing/>
        <w:rPr>
          <w:rFonts w:hint="eastAsia" w:asciiTheme="minorEastAsia" w:hAnsiTheme="minorEastAsia" w:eastAsiaTheme="minorEastAsia"/>
          <w:szCs w:val="21"/>
        </w:rPr>
      </w:pPr>
      <w:r>
        <w:rPr>
          <w:rFonts w:asciiTheme="minorEastAsia" w:hAnsiTheme="minorEastAsia" w:eastAsiaTheme="minorEastAsia"/>
          <w:b/>
          <w:szCs w:val="21"/>
        </w:rPr>
        <w:t>三、商务条款</w:t>
      </w:r>
    </w:p>
    <w:p w14:paraId="37D2B936">
      <w:pPr>
        <w:spacing w:line="360" w:lineRule="auto"/>
        <w:ind w:left="210" w:leftChars="100"/>
        <w:contextualSpacing/>
        <w:rPr>
          <w:rFonts w:hint="eastAsia" w:asciiTheme="minorEastAsia" w:hAnsiTheme="minorEastAsia" w:eastAsiaTheme="minorEastAsia"/>
          <w:szCs w:val="21"/>
          <w:highlight w:val="none"/>
        </w:rPr>
      </w:pPr>
      <w:r>
        <w:rPr>
          <w:rFonts w:asciiTheme="minorEastAsia" w:hAnsiTheme="minorEastAsia" w:eastAsiaTheme="minorEastAsia"/>
          <w:szCs w:val="21"/>
        </w:rPr>
        <w:t>1、</w:t>
      </w:r>
      <w:r>
        <w:t>合同履行期限</w:t>
      </w:r>
      <w:r>
        <w:rPr>
          <w:rFonts w:asciiTheme="minorEastAsia" w:hAnsiTheme="minorEastAsia" w:eastAsiaTheme="minorEastAsia"/>
          <w:szCs w:val="21"/>
          <w:highlight w:val="none"/>
        </w:rPr>
        <w:t>：</w:t>
      </w:r>
      <w:r>
        <w:rPr>
          <w:rFonts w:hint="eastAsia"/>
          <w:szCs w:val="21"/>
          <w:highlight w:val="none"/>
        </w:rPr>
        <w:t>合同签订后3个月内</w:t>
      </w:r>
      <w:r>
        <w:rPr>
          <w:rFonts w:hint="eastAsia"/>
          <w:highlight w:val="none"/>
        </w:rPr>
        <w:t>完成交付</w:t>
      </w:r>
      <w:r>
        <w:rPr>
          <w:rFonts w:asciiTheme="minorEastAsia" w:hAnsiTheme="minorEastAsia" w:eastAsiaTheme="minorEastAsia"/>
          <w:szCs w:val="21"/>
          <w:highlight w:val="none"/>
        </w:rPr>
        <w:t>。</w:t>
      </w:r>
    </w:p>
    <w:p w14:paraId="2A1821E3">
      <w:pPr>
        <w:spacing w:line="360" w:lineRule="auto"/>
        <w:ind w:left="210" w:leftChars="100"/>
        <w:contextualSpacing/>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2、交货方式：供应商送货上门</w:t>
      </w:r>
      <w:r>
        <w:rPr>
          <w:rFonts w:hint="eastAsia" w:asciiTheme="minorEastAsia" w:hAnsiTheme="minorEastAsia" w:eastAsiaTheme="minorEastAsia"/>
          <w:szCs w:val="21"/>
          <w:highlight w:val="none"/>
        </w:rPr>
        <w:t>；</w:t>
      </w:r>
      <w:r>
        <w:rPr>
          <w:rFonts w:asciiTheme="minorEastAsia" w:hAnsiTheme="minorEastAsia" w:eastAsiaTheme="minorEastAsia"/>
          <w:szCs w:val="21"/>
          <w:highlight w:val="none"/>
        </w:rPr>
        <w:t>交货地点：采购人指定地点。</w:t>
      </w:r>
    </w:p>
    <w:p w14:paraId="7AD8D010">
      <w:pPr>
        <w:spacing w:line="360" w:lineRule="auto"/>
        <w:ind w:left="210" w:leftChars="100"/>
        <w:contextualSpacing/>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3、付款方式：</w:t>
      </w:r>
      <w:r>
        <w:rPr>
          <w:rFonts w:hint="eastAsia" w:asciiTheme="minorEastAsia" w:hAnsiTheme="minorEastAsia" w:eastAsiaTheme="minorEastAsia"/>
          <w:szCs w:val="21"/>
          <w:highlight w:val="none"/>
        </w:rPr>
        <w:t>验收合格后30日内支付合同总价的100%，付款金额不计利息</w:t>
      </w:r>
      <w:r>
        <w:rPr>
          <w:rFonts w:asciiTheme="minorEastAsia" w:hAnsiTheme="minorEastAsia" w:eastAsiaTheme="minorEastAsia"/>
          <w:szCs w:val="21"/>
          <w:highlight w:val="none"/>
        </w:rPr>
        <w:t>。</w:t>
      </w:r>
    </w:p>
    <w:p w14:paraId="6AB2E468">
      <w:pPr>
        <w:spacing w:line="360" w:lineRule="auto"/>
        <w:ind w:left="210" w:leftChars="100"/>
        <w:contextualSpacing/>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4、质保期：提供免费质保一年。</w:t>
      </w:r>
    </w:p>
    <w:p w14:paraId="24B39FA4">
      <w:pPr>
        <w:spacing w:line="360" w:lineRule="auto"/>
        <w:ind w:left="210" w:leftChars="100"/>
        <w:contextualSpacing/>
        <w:rPr>
          <w:rFonts w:hint="eastAsia" w:asciiTheme="minorEastAsia" w:hAnsiTheme="minorEastAsia" w:eastAsiaTheme="minorEastAsia"/>
          <w:color w:val="auto"/>
          <w:szCs w:val="21"/>
        </w:rPr>
      </w:pPr>
      <w:r>
        <w:rPr>
          <w:rFonts w:asciiTheme="minorEastAsia" w:hAnsiTheme="minorEastAsia" w:eastAsiaTheme="minorEastAsia"/>
          <w:color w:val="auto"/>
          <w:szCs w:val="21"/>
        </w:rPr>
        <w:t>5、</w:t>
      </w:r>
      <w:bookmarkStart w:id="7" w:name="OLE_LINK1"/>
      <w:r>
        <w:rPr>
          <w:rFonts w:asciiTheme="minorEastAsia" w:hAnsiTheme="minorEastAsia" w:eastAsiaTheme="minorEastAsia"/>
          <w:color w:val="auto"/>
          <w:szCs w:val="21"/>
        </w:rPr>
        <w:t>验收要求：</w:t>
      </w:r>
      <w:bookmarkEnd w:id="7"/>
      <w:r>
        <w:rPr>
          <w:rFonts w:hint="eastAsia" w:asciiTheme="minorEastAsia" w:hAnsiTheme="minorEastAsia" w:eastAsiaTheme="minorEastAsia"/>
          <w:color w:val="auto"/>
          <w:szCs w:val="21"/>
        </w:rPr>
        <w:t>安装调试完毕，由采购人组织验收，所有参数达到招标参数要求。检验不合格或不符合质量要求，供应商除无条件退货外，还应承担采购人的一切损失。</w:t>
      </w:r>
    </w:p>
    <w:p w14:paraId="509C31CA">
      <w:pPr>
        <w:spacing w:line="360" w:lineRule="auto"/>
        <w:ind w:left="210" w:leftChars="100"/>
        <w:contextualSpacing/>
        <w:rPr>
          <w:rFonts w:hint="eastAsia" w:asciiTheme="minorEastAsia" w:hAnsiTheme="minorEastAsia" w:eastAsiaTheme="minorEastAsia"/>
          <w:szCs w:val="21"/>
        </w:rPr>
      </w:pPr>
      <w:r>
        <w:rPr>
          <w:rFonts w:hint="eastAsia" w:asciiTheme="minorEastAsia" w:hAnsiTheme="minorEastAsia" w:eastAsiaTheme="minorEastAsia"/>
          <w:szCs w:val="21"/>
        </w:rPr>
        <w:t>6、培训要求：</w:t>
      </w:r>
    </w:p>
    <w:p w14:paraId="4D453901">
      <w:pPr>
        <w:spacing w:line="360" w:lineRule="auto"/>
        <w:ind w:left="210" w:leftChars="100"/>
        <w:contextualSpacing/>
        <w:rPr>
          <w:rFonts w:hint="eastAsia" w:asciiTheme="minorEastAsia" w:hAnsiTheme="minorEastAsia" w:eastAsiaTheme="minorEastAsia"/>
          <w:szCs w:val="21"/>
        </w:rPr>
      </w:pPr>
      <w:r>
        <w:rPr>
          <w:rFonts w:hint="eastAsia" w:asciiTheme="minorEastAsia" w:hAnsiTheme="minorEastAsia" w:eastAsiaTheme="minorEastAsia"/>
          <w:szCs w:val="21"/>
        </w:rPr>
        <w:t>（1）免费提供现场操作培训直至用户完全掌握设备使用，提供有关的全套技术文件。免费提供应用技术培训，免费国内培训3次，装机后首次培训不少于3天，单次培训人数不限。具体培训时间根据用户实际情况选择。</w:t>
      </w:r>
    </w:p>
    <w:p w14:paraId="331A0F7A">
      <w:pPr>
        <w:spacing w:line="360" w:lineRule="auto"/>
        <w:ind w:left="210" w:leftChars="100"/>
        <w:contextualSpacing/>
        <w:rPr>
          <w:rFonts w:hint="eastAsia" w:asciiTheme="minorEastAsia" w:hAnsiTheme="minorEastAsia" w:eastAsiaTheme="minorEastAsia"/>
          <w:szCs w:val="21"/>
        </w:rPr>
      </w:pPr>
      <w:r>
        <w:rPr>
          <w:rFonts w:hint="eastAsia" w:asciiTheme="minorEastAsia" w:hAnsiTheme="minorEastAsia" w:eastAsiaTheme="minorEastAsia"/>
          <w:szCs w:val="21"/>
        </w:rPr>
        <w:t>（2）免费为教师提供培训及咨询服务。免费提供所购软件的操作说明书及相关技术资料。</w:t>
      </w:r>
    </w:p>
    <w:p w14:paraId="7EE812AE">
      <w:pPr>
        <w:spacing w:line="360" w:lineRule="auto"/>
        <w:ind w:left="210" w:leftChars="100"/>
        <w:contextualSpacing/>
        <w:rPr>
          <w:rFonts w:hint="eastAsia" w:asciiTheme="minorEastAsia" w:hAnsiTheme="minorEastAsia" w:eastAsiaTheme="minorEastAsia"/>
          <w:szCs w:val="21"/>
        </w:rPr>
      </w:pPr>
    </w:p>
    <w:p w14:paraId="0F58FA78"/>
    <w:p w14:paraId="58CE4A50">
      <w:r>
        <w:rPr>
          <w:rFonts w:hint="eastAsia"/>
        </w:rPr>
        <w:br w:type="page"/>
      </w:r>
    </w:p>
    <w:p w14:paraId="4204F15B">
      <w:pPr>
        <w:pStyle w:val="264"/>
      </w:pPr>
      <w:r>
        <w:t>第五章  合同主要条款及格式</w:t>
      </w:r>
    </w:p>
    <w:p w14:paraId="59CCC3D8">
      <w:pPr>
        <w:pStyle w:val="16"/>
        <w:ind w:firstLine="480"/>
      </w:pPr>
      <w:bookmarkStart w:id="8" w:name="_Toc513029243"/>
      <w:bookmarkStart w:id="9" w:name="_Toc16938559"/>
      <w:bookmarkStart w:id="10" w:name="_Toc20823315"/>
      <w:r>
        <w:t>以下为成交后签订本项目合同的通用条款，成交人不得提出实质性的修改，关于专用条款将由采购人与成交人结合本项目具体情况协商后签订。</w:t>
      </w:r>
    </w:p>
    <w:bookmarkEnd w:id="8"/>
    <w:bookmarkEnd w:id="9"/>
    <w:bookmarkEnd w:id="10"/>
    <w:p w14:paraId="1F5B049F">
      <w:pPr>
        <w:widowControl/>
        <w:snapToGrid w:val="0"/>
        <w:spacing w:before="19"/>
        <w:ind w:left="-358" w:leftChars="-255" w:right="-334" w:rightChars="-159" w:hanging="177" w:hangingChars="49"/>
        <w:jc w:val="center"/>
        <w:rPr>
          <w:rFonts w:ascii="Times New Roman" w:hAnsi="Times New Roman" w:eastAsia="仿宋_GB2312"/>
          <w:b/>
          <w:sz w:val="36"/>
        </w:rPr>
      </w:pPr>
      <w:bookmarkStart w:id="11" w:name="_Hlt16619369"/>
      <w:bookmarkEnd w:id="11"/>
      <w:r>
        <w:rPr>
          <w:rFonts w:ascii="Times New Roman" w:hAnsi="Times New Roman" w:eastAsia="仿宋_GB2312"/>
          <w:b/>
          <w:sz w:val="36"/>
        </w:rPr>
        <w:t>南京邮电大学采购合同</w:t>
      </w:r>
    </w:p>
    <w:p w14:paraId="74E3A1D6">
      <w:pPr>
        <w:wordWrap w:val="0"/>
        <w:spacing w:line="240" w:lineRule="atLeast"/>
        <w:rPr>
          <w:rFonts w:ascii="Times New Roman" w:hAnsi="Times New Roman"/>
          <w:sz w:val="24"/>
        </w:rPr>
      </w:pPr>
      <w:r>
        <w:rPr>
          <w:rFonts w:ascii="Times New Roman" w:hAnsi="Times New Roman"/>
          <w:sz w:val="24"/>
        </w:rPr>
        <w:t>甲方：南京邮电大学                             签订地点：南京邮电大学</w:t>
      </w:r>
    </w:p>
    <w:p w14:paraId="17CB4259">
      <w:pPr>
        <w:widowControl/>
        <w:snapToGrid w:val="0"/>
        <w:spacing w:before="19"/>
        <w:rPr>
          <w:rFonts w:ascii="Times New Roman" w:hAnsi="Times New Roman"/>
          <w:sz w:val="24"/>
        </w:rPr>
      </w:pPr>
      <w:r>
        <w:rPr>
          <w:rFonts w:ascii="Times New Roman" w:hAnsi="Times New Roman"/>
          <w:sz w:val="24"/>
        </w:rPr>
        <w:t xml:space="preserve">乙方：                                          </w:t>
      </w:r>
    </w:p>
    <w:p w14:paraId="18B26E16">
      <w:pPr>
        <w:widowControl/>
        <w:snapToGrid w:val="0"/>
        <w:spacing w:before="19"/>
        <w:rPr>
          <w:rFonts w:ascii="Times New Roman" w:hAnsi="Times New Roman"/>
          <w:sz w:val="24"/>
        </w:rPr>
      </w:pPr>
      <w:r>
        <w:rPr>
          <w:rFonts w:ascii="Times New Roman" w:hAnsi="Times New Roman"/>
          <w:sz w:val="24"/>
        </w:rPr>
        <w:t xml:space="preserve">    甲乙双方根据</w:t>
      </w:r>
      <w:r>
        <w:rPr>
          <w:rFonts w:ascii="Times New Roman" w:hAnsi="Times New Roman"/>
          <w:sz w:val="24"/>
          <w:u w:val="single"/>
        </w:rPr>
        <w:t xml:space="preserve">                  </w:t>
      </w:r>
      <w:r>
        <w:rPr>
          <w:rFonts w:ascii="Times New Roman" w:hAnsi="Times New Roman"/>
          <w:sz w:val="24"/>
        </w:rPr>
        <w:t>项目采购结果,依据《中华人民共和国民法典》合同编及相关法律规定，达成如下货物购销合同:</w:t>
      </w:r>
    </w:p>
    <w:p w14:paraId="68B9DD1F">
      <w:pPr>
        <w:widowControl/>
        <w:snapToGrid w:val="0"/>
        <w:spacing w:before="19"/>
        <w:rPr>
          <w:rFonts w:ascii="Times New Roman" w:hAnsi="Times New Roman"/>
          <w:sz w:val="24"/>
        </w:rPr>
      </w:pPr>
      <w:r>
        <w:rPr>
          <w:rFonts w:ascii="Times New Roman" w:hAnsi="Times New Roman"/>
          <w:sz w:val="24"/>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4A240C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422CEFE4">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编号</w:t>
            </w:r>
          </w:p>
        </w:tc>
        <w:tc>
          <w:tcPr>
            <w:tcW w:w="1260" w:type="dxa"/>
            <w:tcBorders>
              <w:top w:val="single" w:color="auto" w:sz="18" w:space="0"/>
              <w:bottom w:val="single" w:color="auto" w:sz="18" w:space="0"/>
            </w:tcBorders>
            <w:shd w:val="pct10" w:color="auto" w:fill="FFFFFF"/>
            <w:vAlign w:val="center"/>
          </w:tcPr>
          <w:p w14:paraId="3DDBD3D7">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货物名称</w:t>
            </w:r>
          </w:p>
        </w:tc>
        <w:tc>
          <w:tcPr>
            <w:tcW w:w="4320" w:type="dxa"/>
            <w:tcBorders>
              <w:top w:val="single" w:color="auto" w:sz="18" w:space="0"/>
              <w:bottom w:val="single" w:color="auto" w:sz="18" w:space="0"/>
            </w:tcBorders>
            <w:shd w:val="pct10" w:color="auto" w:fill="FFFFFF"/>
            <w:vAlign w:val="center"/>
          </w:tcPr>
          <w:p w14:paraId="3264DDFD">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规 格 型 号（品牌）</w:t>
            </w:r>
          </w:p>
        </w:tc>
        <w:tc>
          <w:tcPr>
            <w:tcW w:w="1080" w:type="dxa"/>
            <w:tcBorders>
              <w:top w:val="single" w:color="auto" w:sz="18" w:space="0"/>
              <w:bottom w:val="single" w:color="auto" w:sz="18" w:space="0"/>
            </w:tcBorders>
            <w:shd w:val="pct10" w:color="auto" w:fill="FFFFFF"/>
            <w:vAlign w:val="center"/>
          </w:tcPr>
          <w:p w14:paraId="241FF264">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5C0C008C">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55EBD715">
            <w:pPr>
              <w:widowControl/>
              <w:jc w:val="left"/>
              <w:rPr>
                <w:rFonts w:ascii="Times New Roman" w:hAnsi="Times New Roman" w:eastAsia="楷体_GB2312"/>
                <w:b/>
                <w:sz w:val="24"/>
              </w:rPr>
            </w:pPr>
            <w:r>
              <w:rPr>
                <w:rFonts w:ascii="Times New Roman" w:hAnsi="Times New Roman" w:eastAsia="楷体_GB2312"/>
                <w:b/>
                <w:sz w:val="24"/>
              </w:rPr>
              <w:t>总价（元）</w:t>
            </w:r>
          </w:p>
        </w:tc>
      </w:tr>
      <w:tr w14:paraId="697184E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6D62D604">
            <w:pPr>
              <w:snapToGrid w:val="0"/>
              <w:spacing w:line="600" w:lineRule="atLeast"/>
              <w:rPr>
                <w:rFonts w:ascii="Times New Roman" w:hAnsi="Times New Roman"/>
                <w:b/>
                <w:sz w:val="24"/>
              </w:rPr>
            </w:pPr>
            <w:r>
              <w:rPr>
                <w:rFonts w:ascii="Times New Roman" w:hAnsi="Times New Roman"/>
                <w:b/>
                <w:sz w:val="24"/>
              </w:rPr>
              <w:t>1</w:t>
            </w:r>
          </w:p>
        </w:tc>
        <w:tc>
          <w:tcPr>
            <w:tcW w:w="1260" w:type="dxa"/>
            <w:tcBorders>
              <w:top w:val="nil"/>
              <w:bottom w:val="single" w:color="auto" w:sz="4" w:space="0"/>
            </w:tcBorders>
            <w:vAlign w:val="center"/>
          </w:tcPr>
          <w:p w14:paraId="42E1DE84">
            <w:pPr>
              <w:snapToGrid w:val="0"/>
              <w:spacing w:line="600" w:lineRule="atLeast"/>
              <w:jc w:val="center"/>
              <w:rPr>
                <w:rFonts w:ascii="Times New Roman" w:hAnsi="Times New Roman"/>
              </w:rPr>
            </w:pPr>
          </w:p>
        </w:tc>
        <w:tc>
          <w:tcPr>
            <w:tcW w:w="4320" w:type="dxa"/>
            <w:tcBorders>
              <w:top w:val="nil"/>
              <w:bottom w:val="single" w:color="auto" w:sz="4" w:space="0"/>
            </w:tcBorders>
            <w:vAlign w:val="center"/>
          </w:tcPr>
          <w:p w14:paraId="448BC97E">
            <w:pPr>
              <w:spacing w:line="360" w:lineRule="auto"/>
              <w:rPr>
                <w:rFonts w:ascii="Times New Roman" w:hAnsi="Times New Roman"/>
                <w:color w:val="000000"/>
                <w:szCs w:val="21"/>
              </w:rPr>
            </w:pPr>
          </w:p>
        </w:tc>
        <w:tc>
          <w:tcPr>
            <w:tcW w:w="1080" w:type="dxa"/>
            <w:tcBorders>
              <w:top w:val="nil"/>
              <w:bottom w:val="single" w:color="auto" w:sz="4" w:space="0"/>
            </w:tcBorders>
            <w:vAlign w:val="center"/>
          </w:tcPr>
          <w:p w14:paraId="51E93322">
            <w:pPr>
              <w:snapToGrid w:val="0"/>
              <w:spacing w:line="600" w:lineRule="atLeast"/>
              <w:ind w:firstLine="118" w:firstLineChars="49"/>
              <w:rPr>
                <w:rFonts w:ascii="Times New Roman" w:hAnsi="Times New Roman"/>
                <w:b/>
                <w:sz w:val="24"/>
              </w:rPr>
            </w:pPr>
          </w:p>
        </w:tc>
        <w:tc>
          <w:tcPr>
            <w:tcW w:w="1080" w:type="dxa"/>
            <w:tcBorders>
              <w:top w:val="nil"/>
              <w:bottom w:val="single" w:color="auto" w:sz="4" w:space="0"/>
              <w:right w:val="single" w:color="auto" w:sz="4" w:space="0"/>
            </w:tcBorders>
            <w:vAlign w:val="center"/>
          </w:tcPr>
          <w:p w14:paraId="2E239F5B">
            <w:pPr>
              <w:spacing w:line="240" w:lineRule="atLeast"/>
              <w:jc w:val="center"/>
              <w:rPr>
                <w:rFonts w:ascii="Times New Roman" w:hAnsi="Times New Roman"/>
                <w:b/>
              </w:rPr>
            </w:pPr>
          </w:p>
        </w:tc>
        <w:tc>
          <w:tcPr>
            <w:tcW w:w="1260" w:type="dxa"/>
            <w:tcBorders>
              <w:top w:val="nil"/>
              <w:bottom w:val="single" w:color="auto" w:sz="4" w:space="0"/>
              <w:right w:val="single" w:color="auto" w:sz="4" w:space="0"/>
            </w:tcBorders>
            <w:vAlign w:val="center"/>
          </w:tcPr>
          <w:p w14:paraId="551382AE">
            <w:pPr>
              <w:spacing w:line="360" w:lineRule="auto"/>
              <w:rPr>
                <w:rFonts w:ascii="Times New Roman" w:hAnsi="Times New Roman"/>
              </w:rPr>
            </w:pPr>
          </w:p>
        </w:tc>
      </w:tr>
      <w:tr w14:paraId="580487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287D03DA">
            <w:pPr>
              <w:snapToGrid w:val="0"/>
              <w:spacing w:line="600" w:lineRule="atLeast"/>
              <w:rPr>
                <w:rFonts w:ascii="Times New Roman" w:hAnsi="Times New Roman"/>
                <w:b/>
                <w:sz w:val="24"/>
              </w:rPr>
            </w:pPr>
            <w:r>
              <w:rPr>
                <w:rFonts w:ascii="Times New Roman" w:hAnsi="Times New Roman"/>
                <w:b/>
                <w:sz w:val="24"/>
              </w:rPr>
              <w:t>2</w:t>
            </w:r>
          </w:p>
        </w:tc>
        <w:tc>
          <w:tcPr>
            <w:tcW w:w="1260" w:type="dxa"/>
            <w:tcBorders>
              <w:top w:val="single" w:color="auto" w:sz="4" w:space="0"/>
              <w:bottom w:val="single" w:color="auto" w:sz="4" w:space="0"/>
            </w:tcBorders>
            <w:vAlign w:val="center"/>
          </w:tcPr>
          <w:p w14:paraId="547C1A6A">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39DB42D4">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642A4731">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11D9C14C">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3F83EA96">
            <w:pPr>
              <w:spacing w:line="360" w:lineRule="auto"/>
              <w:rPr>
                <w:rFonts w:ascii="Times New Roman" w:hAnsi="Times New Roman"/>
              </w:rPr>
            </w:pPr>
          </w:p>
        </w:tc>
      </w:tr>
      <w:tr w14:paraId="7D542E9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14FFAC34">
            <w:pPr>
              <w:snapToGrid w:val="0"/>
              <w:spacing w:line="600" w:lineRule="atLeast"/>
              <w:rPr>
                <w:rFonts w:ascii="Times New Roman" w:hAnsi="Times New Roman"/>
                <w:b/>
                <w:sz w:val="24"/>
              </w:rPr>
            </w:pPr>
            <w:r>
              <w:rPr>
                <w:rFonts w:ascii="Times New Roman" w:hAnsi="Times New Roman"/>
                <w:b/>
                <w:sz w:val="24"/>
              </w:rPr>
              <w:t>3</w:t>
            </w:r>
          </w:p>
        </w:tc>
        <w:tc>
          <w:tcPr>
            <w:tcW w:w="1260" w:type="dxa"/>
            <w:tcBorders>
              <w:top w:val="single" w:color="auto" w:sz="4" w:space="0"/>
              <w:bottom w:val="single" w:color="auto" w:sz="4" w:space="0"/>
            </w:tcBorders>
            <w:vAlign w:val="center"/>
          </w:tcPr>
          <w:p w14:paraId="2DE7B3C3">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31516C78">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10EC9577">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78BD9160">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33F63DED">
            <w:pPr>
              <w:spacing w:line="360" w:lineRule="auto"/>
              <w:rPr>
                <w:rFonts w:ascii="Times New Roman" w:hAnsi="Times New Roman"/>
              </w:rPr>
            </w:pPr>
          </w:p>
        </w:tc>
      </w:tr>
      <w:tr w14:paraId="566CC15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21221927">
            <w:pPr>
              <w:rPr>
                <w:rFonts w:ascii="Times New Roman" w:hAnsi="Times New Roman"/>
              </w:rPr>
            </w:pPr>
            <w:r>
              <w:rPr>
                <w:rFonts w:ascii="Times New Roman" w:hAnsi="Times New Roman"/>
                <w:b/>
                <w:sz w:val="18"/>
                <w:szCs w:val="18"/>
              </w:rPr>
              <w:t xml:space="preserve">总价（人民币大写）：                                     </w:t>
            </w:r>
            <w:r>
              <w:rPr>
                <w:rFonts w:ascii="Times New Roman" w:hAnsi="Times New Roman"/>
              </w:rPr>
              <w:t>合计（小写）：        元</w:t>
            </w:r>
          </w:p>
          <w:p w14:paraId="53E5B65A">
            <w:pPr>
              <w:rPr>
                <w:rFonts w:ascii="Times New Roman" w:hAnsi="Times New Roman"/>
              </w:rPr>
            </w:pPr>
            <w:r>
              <w:rPr>
                <w:rFonts w:ascii="Times New Roman" w:hAnsi="Times New Roman"/>
                <w:sz w:val="18"/>
              </w:rPr>
              <w:t>本合同总价款是货物设计、制造、包装、仓储、运输、安装及验收合格之前以及质保期内备品备件发生的所有含税费用。本合同总价款还包含乙方应当提供的伴随服务/售后服务费用。</w:t>
            </w:r>
          </w:p>
        </w:tc>
      </w:tr>
    </w:tbl>
    <w:p w14:paraId="02C47FAA">
      <w:pPr>
        <w:widowControl/>
        <w:snapToGrid w:val="0"/>
        <w:spacing w:before="19" w:line="400" w:lineRule="exact"/>
        <w:rPr>
          <w:rFonts w:ascii="Times New Roman" w:hAnsi="Times New Roman"/>
          <w:sz w:val="24"/>
        </w:rPr>
      </w:pPr>
      <w:r>
        <w:rPr>
          <w:rFonts w:ascii="Times New Roman" w:hAnsi="Times New Roman"/>
          <w:sz w:val="24"/>
        </w:rPr>
        <w:t>二、交货时间：</w:t>
      </w:r>
      <w:r>
        <w:rPr>
          <w:rFonts w:ascii="Times New Roman" w:hAnsi="Times New Roman"/>
          <w:sz w:val="24"/>
          <w:u w:val="single"/>
        </w:rPr>
        <w:t xml:space="preserve"> 在甲方指定时间供货。</w:t>
      </w:r>
    </w:p>
    <w:p w14:paraId="33348D36">
      <w:pPr>
        <w:widowControl/>
        <w:snapToGrid w:val="0"/>
        <w:spacing w:before="19" w:line="400" w:lineRule="exact"/>
        <w:rPr>
          <w:rFonts w:ascii="Times New Roman" w:hAnsi="Times New Roman"/>
          <w:sz w:val="24"/>
          <w:szCs w:val="24"/>
        </w:rPr>
      </w:pPr>
      <w:r>
        <w:rPr>
          <w:rFonts w:ascii="Times New Roman" w:hAnsi="Times New Roman"/>
          <w:sz w:val="24"/>
          <w:szCs w:val="24"/>
        </w:rPr>
        <w:t>三、交货地点：由乙方负责运输至</w:t>
      </w:r>
      <w:r>
        <w:rPr>
          <w:rFonts w:ascii="Times New Roman" w:hAnsi="Times New Roman"/>
          <w:sz w:val="24"/>
          <w:szCs w:val="24"/>
          <w:u w:val="single"/>
        </w:rPr>
        <w:t>甲方指定地点。</w:t>
      </w:r>
    </w:p>
    <w:p w14:paraId="41BEC4E0">
      <w:pPr>
        <w:widowControl/>
        <w:snapToGrid w:val="0"/>
        <w:spacing w:before="19" w:line="400" w:lineRule="exact"/>
        <w:rPr>
          <w:rFonts w:ascii="Times New Roman" w:hAnsi="Times New Roman"/>
          <w:sz w:val="24"/>
          <w:szCs w:val="24"/>
        </w:rPr>
      </w:pPr>
      <w:r>
        <w:rPr>
          <w:rFonts w:ascii="Times New Roman" w:hAnsi="Times New Roman"/>
          <w:sz w:val="24"/>
          <w:szCs w:val="24"/>
        </w:rPr>
        <w:t>四、合同定价方式及付款方式</w:t>
      </w:r>
    </w:p>
    <w:p w14:paraId="21DF0808">
      <w:pPr>
        <w:adjustRightInd w:val="0"/>
        <w:snapToGrid w:val="0"/>
        <w:spacing w:line="400" w:lineRule="exact"/>
        <w:rPr>
          <w:rFonts w:ascii="Times New Roman" w:hAnsi="Times New Roman"/>
          <w:sz w:val="24"/>
          <w:szCs w:val="24"/>
        </w:rPr>
      </w:pPr>
      <w:r>
        <w:rPr>
          <w:rFonts w:ascii="Times New Roman" w:hAnsi="Times New Roman"/>
          <w:sz w:val="24"/>
          <w:szCs w:val="24"/>
        </w:rPr>
        <w:t>1.合同定价方式：</w:t>
      </w:r>
    </w:p>
    <w:p w14:paraId="51AEC8DA">
      <w:pPr>
        <w:adjustRightInd w:val="0"/>
        <w:snapToGrid w:val="0"/>
        <w:spacing w:line="400" w:lineRule="exact"/>
        <w:rPr>
          <w:rFonts w:ascii="Times New Roman" w:hAnsi="Times New Roman"/>
          <w:sz w:val="24"/>
          <w:szCs w:val="24"/>
        </w:rPr>
      </w:pPr>
      <w:r>
        <w:rPr>
          <w:rFonts w:ascii="Times New Roman" w:hAnsi="Times New Roman"/>
          <w:iCs/>
          <w:sz w:val="24"/>
          <w:szCs w:val="24"/>
        </w:rPr>
        <w:sym w:font="Wingdings" w:char="00A8"/>
      </w:r>
      <w:r>
        <w:rPr>
          <w:rFonts w:ascii="Times New Roman" w:hAnsi="Times New Roman"/>
          <w:iCs/>
          <w:sz w:val="24"/>
          <w:szCs w:val="24"/>
        </w:rPr>
        <w:t xml:space="preserve">固定总价     </w:t>
      </w:r>
      <w:r>
        <w:rPr>
          <w:rFonts w:ascii="Times New Roman" w:hAnsi="Times New Roman"/>
          <w:iCs/>
          <w:sz w:val="24"/>
          <w:szCs w:val="24"/>
        </w:rPr>
        <w:sym w:font="Wingdings" w:char="00A8"/>
      </w:r>
      <w:r>
        <w:rPr>
          <w:rFonts w:ascii="Times New Roman" w:hAnsi="Times New Roman"/>
          <w:iCs/>
          <w:sz w:val="24"/>
          <w:szCs w:val="24"/>
        </w:rPr>
        <w:t xml:space="preserve">固定单价    </w:t>
      </w:r>
      <w:r>
        <w:rPr>
          <w:rFonts w:ascii="Times New Roman" w:hAnsi="Times New Roman"/>
          <w:iCs/>
          <w:sz w:val="24"/>
          <w:szCs w:val="24"/>
        </w:rPr>
        <w:sym w:font="Wingdings" w:char="00A8"/>
      </w:r>
      <w:r>
        <w:rPr>
          <w:rFonts w:ascii="Times New Roman" w:hAnsi="Times New Roman"/>
          <w:iCs/>
          <w:sz w:val="24"/>
          <w:szCs w:val="24"/>
        </w:rPr>
        <w:t xml:space="preserve">固定费率    </w:t>
      </w:r>
      <w:r>
        <w:rPr>
          <w:rFonts w:ascii="Times New Roman" w:hAnsi="Times New Roman"/>
          <w:iCs/>
          <w:sz w:val="24"/>
          <w:szCs w:val="24"/>
        </w:rPr>
        <w:sym w:font="Wingdings" w:char="00A8"/>
      </w:r>
      <w:r>
        <w:rPr>
          <w:rFonts w:ascii="Times New Roman" w:hAnsi="Times New Roman"/>
          <w:iCs/>
          <w:sz w:val="24"/>
          <w:szCs w:val="24"/>
        </w:rPr>
        <w:t>其他</w:t>
      </w:r>
      <w:r>
        <w:rPr>
          <w:rFonts w:ascii="Times New Roman" w:hAnsi="Times New Roman"/>
          <w:sz w:val="24"/>
          <w:szCs w:val="24"/>
          <w:u w:val="single"/>
        </w:rPr>
        <w:t xml:space="preserve">       </w:t>
      </w:r>
    </w:p>
    <w:p w14:paraId="5EC98332">
      <w:pPr>
        <w:widowControl/>
        <w:snapToGrid w:val="0"/>
        <w:spacing w:before="19" w:line="400" w:lineRule="exact"/>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付款方式</w:t>
      </w:r>
      <w:r>
        <w:rPr>
          <w:rFonts w:hint="eastAsia" w:ascii="Times New Roman" w:hAnsi="Times New Roman"/>
          <w:sz w:val="24"/>
          <w:szCs w:val="24"/>
        </w:rPr>
        <w:t>（可多选）：</w:t>
      </w:r>
    </w:p>
    <w:p w14:paraId="509B203E">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预付款： 合同签订后_______个工作日内支付合同金额的_______ % （有预付款的勾选并填写本项）；</w:t>
      </w:r>
    </w:p>
    <w:p w14:paraId="3A2AACAA">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进度款： ________________________________________________________支付合同金额的_______ % （分期支付进度款的勾选并填写本项，应明确分期支付合同款项的各期比例和支付条件，各期支付条件应与履约情况挂钩）；</w:t>
      </w:r>
    </w:p>
    <w:p w14:paraId="044C7C28">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FE"/>
      </w:r>
      <w:r>
        <w:rPr>
          <w:rStyle w:val="56"/>
          <w:rFonts w:hint="eastAsia" w:ascii="Times New Roman" w:hAnsi="Times New Roman"/>
          <w:sz w:val="24"/>
          <w:szCs w:val="24"/>
        </w:rPr>
        <w:t>验收合格后30日内支付合同总价的100%，付款金额不计利息。</w:t>
      </w:r>
      <w:r>
        <w:rPr>
          <w:rFonts w:ascii="Times New Roman" w:hAnsi="Times New Roman"/>
          <w:sz w:val="24"/>
          <w:szCs w:val="24"/>
        </w:rPr>
        <w:t>（</w:t>
      </w:r>
      <w:r>
        <w:rPr>
          <w:rFonts w:hint="eastAsia" w:ascii="Times New Roman" w:hAnsi="Times New Roman"/>
          <w:sz w:val="24"/>
          <w:szCs w:val="24"/>
        </w:rPr>
        <w:t>有验收的项目应当勾选本项，</w:t>
      </w:r>
      <w:r>
        <w:rPr>
          <w:rFonts w:ascii="Times New Roman" w:hAnsi="Times New Roman"/>
          <w:sz w:val="24"/>
          <w:szCs w:val="24"/>
        </w:rPr>
        <w:t>支付条件应与验收</w:t>
      </w:r>
      <w:r>
        <w:rPr>
          <w:rFonts w:hint="eastAsia" w:ascii="Times New Roman" w:hAnsi="Times New Roman"/>
          <w:sz w:val="24"/>
          <w:szCs w:val="24"/>
        </w:rPr>
        <w:t>合格</w:t>
      </w:r>
      <w:r>
        <w:rPr>
          <w:rFonts w:ascii="Times New Roman" w:hAnsi="Times New Roman"/>
          <w:sz w:val="24"/>
          <w:szCs w:val="24"/>
        </w:rPr>
        <w:t>挂钩）；</w:t>
      </w:r>
    </w:p>
    <w:p w14:paraId="73562A79">
      <w:pPr>
        <w:widowControl/>
        <w:snapToGrid w:val="0"/>
        <w:spacing w:before="19"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其他： ________________________________________________________。</w:t>
      </w:r>
    </w:p>
    <w:p w14:paraId="60313CB9">
      <w:pPr>
        <w:widowControl/>
        <w:snapToGrid w:val="0"/>
        <w:spacing w:before="19" w:line="400" w:lineRule="exact"/>
        <w:rPr>
          <w:rFonts w:ascii="Times New Roman" w:hAnsi="Times New Roman"/>
          <w:sz w:val="24"/>
          <w:szCs w:val="24"/>
        </w:rPr>
      </w:pPr>
      <w:r>
        <w:rPr>
          <w:rFonts w:ascii="Times New Roman" w:hAnsi="Times New Roman"/>
          <w:sz w:val="24"/>
          <w:szCs w:val="24"/>
        </w:rPr>
        <w:t>付款金额均不计利息。</w:t>
      </w:r>
    </w:p>
    <w:p w14:paraId="3AED0D91">
      <w:pPr>
        <w:widowControl/>
        <w:snapToGrid w:val="0"/>
        <w:spacing w:before="19" w:line="400" w:lineRule="exact"/>
        <w:rPr>
          <w:rFonts w:ascii="Times New Roman" w:hAnsi="Times New Roman"/>
          <w:sz w:val="24"/>
        </w:rPr>
      </w:pPr>
      <w:r>
        <w:rPr>
          <w:rFonts w:ascii="Times New Roman" w:hAnsi="Times New Roman"/>
          <w:sz w:val="24"/>
        </w:rPr>
        <w:t>五、质保期：_______(自验收合格之日起计。</w:t>
      </w:r>
      <w:r>
        <w:rPr>
          <w:rFonts w:ascii="Times New Roman" w:hAnsi="Times New Roman"/>
          <w:kern w:val="2"/>
          <w:sz w:val="24"/>
          <w:szCs w:val="24"/>
        </w:rPr>
        <w:t>在质量保证期内所发现的缺陷，</w:t>
      </w:r>
      <w:r>
        <w:rPr>
          <w:rFonts w:hint="eastAsia" w:ascii="Times New Roman" w:hAnsi="Times New Roman"/>
          <w:kern w:val="2"/>
          <w:sz w:val="24"/>
          <w:szCs w:val="24"/>
        </w:rPr>
        <w:t>乙方</w:t>
      </w:r>
      <w:r>
        <w:rPr>
          <w:rFonts w:ascii="Times New Roman" w:hAnsi="Times New Roman"/>
          <w:kern w:val="2"/>
          <w:sz w:val="24"/>
          <w:szCs w:val="24"/>
        </w:rPr>
        <w:t>应在</w:t>
      </w:r>
      <w:r>
        <w:rPr>
          <w:rFonts w:hint="eastAsia" w:ascii="Times New Roman" w:hAnsi="Times New Roman"/>
          <w:kern w:val="2"/>
          <w:sz w:val="24"/>
          <w:szCs w:val="24"/>
        </w:rPr>
        <w:t>约定</w:t>
      </w:r>
      <w:r>
        <w:rPr>
          <w:rFonts w:ascii="Times New Roman" w:hAnsi="Times New Roman"/>
          <w:kern w:val="2"/>
          <w:sz w:val="24"/>
          <w:szCs w:val="24"/>
        </w:rPr>
        <w:t>的响应时间内以合理的速度免费维修或更换有缺陷的货物或部件</w:t>
      </w:r>
      <w:r>
        <w:rPr>
          <w:rFonts w:ascii="Times New Roman" w:hAnsi="Times New Roman"/>
          <w:sz w:val="24"/>
        </w:rPr>
        <w:t>。)</w:t>
      </w:r>
    </w:p>
    <w:p w14:paraId="7304A130">
      <w:pPr>
        <w:widowControl/>
        <w:snapToGrid w:val="0"/>
        <w:spacing w:before="19" w:line="400" w:lineRule="exact"/>
        <w:rPr>
          <w:rFonts w:ascii="Times New Roman" w:hAnsi="Times New Roman"/>
          <w:sz w:val="24"/>
        </w:rPr>
      </w:pPr>
      <w:r>
        <w:rPr>
          <w:rFonts w:ascii="Times New Roman" w:hAnsi="Times New Roman"/>
          <w:sz w:val="24"/>
        </w:rPr>
        <w:t>六、质量要求、技术标准、乙方对质量负责的条件和期限：</w:t>
      </w:r>
    </w:p>
    <w:p w14:paraId="13BFE5A2">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乙方所提供的货物，若技术性能无特殊说明，则按生产企业或国家有关部门最新颁布的标准及规范为准。</w:t>
      </w:r>
    </w:p>
    <w:p w14:paraId="21B9C8C4">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E5CFF69">
      <w:pPr>
        <w:widowControl/>
        <w:snapToGrid w:val="0"/>
        <w:spacing w:before="19" w:line="400" w:lineRule="exact"/>
        <w:rPr>
          <w:rFonts w:ascii="Times New Roman" w:hAnsi="Times New Roman"/>
          <w:sz w:val="24"/>
        </w:rPr>
      </w:pPr>
      <w:r>
        <w:rPr>
          <w:rFonts w:ascii="Times New Roman" w:hAnsi="Times New Roman"/>
          <w:sz w:val="24"/>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7BBEDDB0">
      <w:pPr>
        <w:widowControl/>
        <w:snapToGrid w:val="0"/>
        <w:spacing w:before="19" w:line="400" w:lineRule="exact"/>
        <w:rPr>
          <w:rFonts w:ascii="Times New Roman" w:hAnsi="Times New Roman"/>
          <w:sz w:val="24"/>
        </w:rPr>
      </w:pPr>
      <w:r>
        <w:rPr>
          <w:rFonts w:ascii="Times New Roman" w:hAnsi="Times New Roman"/>
          <w:sz w:val="24"/>
        </w:rPr>
        <w:t>八、工程部分（两万元</w:t>
      </w:r>
      <w:r>
        <w:rPr>
          <w:rFonts w:hint="eastAsia" w:ascii="Times New Roman" w:hAnsi="Times New Roman"/>
          <w:sz w:val="24"/>
        </w:rPr>
        <w:t>及</w:t>
      </w:r>
      <w:r>
        <w:rPr>
          <w:rFonts w:ascii="Times New Roman" w:hAnsi="Times New Roman"/>
          <w:sz w:val="24"/>
        </w:rPr>
        <w:t>以上）需按南京邮电大学审计相关规定执行。</w:t>
      </w:r>
    </w:p>
    <w:p w14:paraId="364B14B7">
      <w:pPr>
        <w:widowControl/>
        <w:snapToGrid w:val="0"/>
        <w:spacing w:before="19" w:line="400" w:lineRule="exact"/>
        <w:rPr>
          <w:rFonts w:ascii="Times New Roman" w:hAnsi="Times New Roman"/>
          <w:sz w:val="24"/>
        </w:rPr>
      </w:pPr>
      <w:r>
        <w:rPr>
          <w:rFonts w:ascii="Times New Roman" w:hAnsi="Times New Roman"/>
          <w:sz w:val="24"/>
        </w:rPr>
        <w:t>九、本</w:t>
      </w:r>
      <w:r>
        <w:rPr>
          <w:rFonts w:hint="eastAsia" w:ascii="Times New Roman" w:hAnsi="Times New Roman"/>
          <w:sz w:val="24"/>
        </w:rPr>
        <w:t>合同</w:t>
      </w:r>
      <w:r>
        <w:rPr>
          <w:rFonts w:ascii="Times New Roman" w:hAnsi="Times New Roman"/>
          <w:sz w:val="24"/>
        </w:rPr>
        <w:t>与下列文件一起构成合同文件，如下述文件之间有任何抵触、矛盾或歧义，应按以下顺序解释：</w:t>
      </w:r>
    </w:p>
    <w:p w14:paraId="575F46A6">
      <w:pPr>
        <w:widowControl/>
        <w:snapToGrid w:val="0"/>
        <w:spacing w:before="19" w:line="400" w:lineRule="exact"/>
        <w:rPr>
          <w:rFonts w:ascii="Times New Roman" w:hAnsi="Times New Roman"/>
          <w:sz w:val="24"/>
        </w:rPr>
      </w:pPr>
      <w:r>
        <w:rPr>
          <w:rFonts w:hint="eastAsia" w:ascii="Times New Roman" w:hAnsi="Times New Roman"/>
          <w:sz w:val="24"/>
        </w:rPr>
        <w:t>1.本合同</w:t>
      </w:r>
      <w:r>
        <w:rPr>
          <w:rFonts w:ascii="Times New Roman" w:hAnsi="Times New Roman"/>
          <w:sz w:val="24"/>
        </w:rPr>
        <w:t>及其变更、补充协议</w:t>
      </w:r>
    </w:p>
    <w:p w14:paraId="72C2C60F">
      <w:pPr>
        <w:widowControl/>
        <w:snapToGrid w:val="0"/>
        <w:spacing w:before="19" w:line="400" w:lineRule="exact"/>
        <w:rPr>
          <w:rFonts w:ascii="Times New Roman" w:hAnsi="Times New Roman"/>
          <w:sz w:val="24"/>
        </w:rPr>
      </w:pPr>
      <w:r>
        <w:rPr>
          <w:rFonts w:hint="eastAsia" w:ascii="Times New Roman" w:hAnsi="Times New Roman"/>
          <w:sz w:val="24"/>
        </w:rPr>
        <w:t>2.</w:t>
      </w:r>
      <w:r>
        <w:rPr>
          <w:rFonts w:ascii="Times New Roman" w:hAnsi="Times New Roman"/>
          <w:sz w:val="24"/>
        </w:rPr>
        <w:t>中标（成交）通知书</w:t>
      </w:r>
    </w:p>
    <w:p w14:paraId="0EE260AF">
      <w:pPr>
        <w:widowControl/>
        <w:snapToGrid w:val="0"/>
        <w:spacing w:before="19" w:line="400" w:lineRule="exact"/>
        <w:rPr>
          <w:rFonts w:ascii="Times New Roman" w:hAnsi="Times New Roman"/>
          <w:sz w:val="24"/>
        </w:rPr>
      </w:pPr>
      <w:r>
        <w:rPr>
          <w:rFonts w:hint="eastAsia" w:ascii="Times New Roman" w:hAnsi="Times New Roman"/>
          <w:sz w:val="24"/>
        </w:rPr>
        <w:t>3.</w:t>
      </w:r>
      <w:r>
        <w:rPr>
          <w:rFonts w:ascii="Times New Roman" w:hAnsi="Times New Roman"/>
          <w:sz w:val="24"/>
        </w:rPr>
        <w:t>投标（响应）文件</w:t>
      </w:r>
    </w:p>
    <w:p w14:paraId="42C60245">
      <w:pPr>
        <w:widowControl/>
        <w:snapToGrid w:val="0"/>
        <w:spacing w:before="19" w:line="400" w:lineRule="exact"/>
        <w:rPr>
          <w:rFonts w:ascii="Times New Roman" w:hAnsi="Times New Roman"/>
          <w:sz w:val="24"/>
        </w:rPr>
      </w:pPr>
      <w:r>
        <w:rPr>
          <w:rFonts w:hint="eastAsia" w:ascii="Times New Roman" w:hAnsi="Times New Roman"/>
          <w:sz w:val="24"/>
        </w:rPr>
        <w:t>4.</w:t>
      </w:r>
      <w:r>
        <w:rPr>
          <w:rFonts w:ascii="Times New Roman" w:hAnsi="Times New Roman"/>
          <w:sz w:val="24"/>
        </w:rPr>
        <w:t>采购文件</w:t>
      </w:r>
    </w:p>
    <w:p w14:paraId="20033CC9">
      <w:pPr>
        <w:widowControl/>
        <w:snapToGrid w:val="0"/>
        <w:spacing w:before="19" w:line="400" w:lineRule="exact"/>
        <w:rPr>
          <w:rFonts w:ascii="Times New Roman" w:hAnsi="Times New Roman"/>
          <w:sz w:val="24"/>
        </w:rPr>
      </w:pPr>
      <w:r>
        <w:rPr>
          <w:rFonts w:hint="eastAsia" w:ascii="Times New Roman" w:hAnsi="Times New Roman"/>
          <w:sz w:val="24"/>
        </w:rPr>
        <w:t>5.</w:t>
      </w:r>
      <w:r>
        <w:rPr>
          <w:rFonts w:ascii="Times New Roman" w:hAnsi="Times New Roman"/>
          <w:sz w:val="24"/>
        </w:rPr>
        <w:t>有关技术文件，图纸</w:t>
      </w:r>
    </w:p>
    <w:p w14:paraId="0BA7206D">
      <w:pPr>
        <w:widowControl/>
        <w:snapToGrid w:val="0"/>
        <w:spacing w:before="19" w:line="400" w:lineRule="exact"/>
        <w:rPr>
          <w:rFonts w:ascii="Times New Roman" w:hAnsi="Times New Roman"/>
          <w:sz w:val="24"/>
        </w:rPr>
      </w:pPr>
      <w:r>
        <w:rPr>
          <w:rFonts w:hint="eastAsia" w:ascii="Times New Roman" w:hAnsi="Times New Roman"/>
          <w:sz w:val="24"/>
        </w:rPr>
        <w:t>6.</w:t>
      </w:r>
      <w:r>
        <w:rPr>
          <w:rFonts w:ascii="Times New Roman" w:hAnsi="Times New Roman"/>
          <w:sz w:val="24"/>
        </w:rPr>
        <w:t>国家法律、行政法规和规章制度规定或合同约定的作为合同组成部分的其他文件</w:t>
      </w:r>
    </w:p>
    <w:p w14:paraId="33E11C4D">
      <w:pPr>
        <w:widowControl/>
        <w:snapToGrid w:val="0"/>
        <w:spacing w:before="19" w:line="400" w:lineRule="exact"/>
        <w:rPr>
          <w:rFonts w:ascii="Times New Roman" w:hAnsi="Times New Roman"/>
          <w:sz w:val="24"/>
        </w:rPr>
      </w:pPr>
      <w:r>
        <w:rPr>
          <w:rFonts w:ascii="Times New Roman" w:hAnsi="Times New Roman"/>
          <w:sz w:val="24"/>
        </w:rPr>
        <w:t>十、违约责任</w:t>
      </w:r>
    </w:p>
    <w:p w14:paraId="6C6D52C0">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甲方无正当理由拒收货物、拒付货物款的，由甲方向乙方偿付合同总价的10%违约金。如乙方不能交付货物，乙方应向甲方支付合同总价10％的违约金。若该违约金不足以弥补甲方损失的，乙方还应予以赔偿。</w:t>
      </w:r>
    </w:p>
    <w:p w14:paraId="2D6821E2">
      <w:pPr>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乙方逾期交付货物的，乙方应按逾期交货总额每日</w:t>
      </w:r>
      <w:r>
        <w:rPr>
          <w:rFonts w:hint="eastAsia" w:ascii="Times New Roman" w:hAnsi="Times New Roman"/>
          <w:sz w:val="24"/>
          <w:u w:val="single"/>
        </w:rPr>
        <w:t xml:space="preserve">   5</w:t>
      </w:r>
      <w:r>
        <w:rPr>
          <w:rFonts w:ascii="Times New Roman" w:hAnsi="Times New Roman"/>
          <w:sz w:val="24"/>
          <w:u w:val="single"/>
        </w:rPr>
        <w:t>‰</w:t>
      </w:r>
      <w:r>
        <w:rPr>
          <w:rFonts w:hint="eastAsia" w:ascii="Times New Roman" w:hAnsi="Times New Roman"/>
          <w:sz w:val="24"/>
          <w:u w:val="single"/>
        </w:rPr>
        <w:t xml:space="preserve">   </w:t>
      </w:r>
      <w:r>
        <w:rPr>
          <w:rFonts w:ascii="Times New Roman" w:hAnsi="Times New Roman"/>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752CF0FB">
      <w:pPr>
        <w:spacing w:before="19" w:line="400" w:lineRule="exact"/>
        <w:rPr>
          <w:rFonts w:ascii="Times New Roman" w:hAnsi="Times New Roman"/>
          <w:sz w:val="24"/>
        </w:rPr>
      </w:pPr>
      <w:r>
        <w:rPr>
          <w:rFonts w:ascii="Times New Roman" w:hAnsi="Times New Roman"/>
          <w:sz w:val="24"/>
        </w:rPr>
        <w:t>3</w:t>
      </w:r>
      <w:r>
        <w:rPr>
          <w:rFonts w:hint="eastAsia" w:ascii="Times New Roman" w:hAnsi="Times New Roman"/>
          <w:sz w:val="24"/>
        </w:rPr>
        <w:t>.</w:t>
      </w:r>
      <w:r>
        <w:rPr>
          <w:rFonts w:ascii="Times New Roman" w:hAnsi="Times New Roman"/>
          <w:sz w:val="24"/>
        </w:rPr>
        <w:t>乙方所交的货物品种、型号、规格、技术参数、质量不符合合同规定及</w:t>
      </w:r>
      <w:r>
        <w:rPr>
          <w:rFonts w:hint="eastAsia" w:ascii="Times New Roman" w:hAnsi="Times New Roman"/>
          <w:sz w:val="24"/>
        </w:rPr>
        <w:t>采购</w:t>
      </w:r>
      <w:r>
        <w:rPr>
          <w:rFonts w:ascii="Times New Roman" w:hAnsi="Times New Roman"/>
          <w:sz w:val="24"/>
        </w:rPr>
        <w:t>文件</w:t>
      </w:r>
      <w:r>
        <w:rPr>
          <w:rFonts w:hint="eastAsia" w:ascii="Times New Roman" w:hAnsi="Times New Roman"/>
          <w:sz w:val="24"/>
        </w:rPr>
        <w:t>、响应文件</w:t>
      </w:r>
      <w:r>
        <w:rPr>
          <w:rFonts w:ascii="Times New Roman" w:hAnsi="Times New Roman"/>
          <w:sz w:val="24"/>
        </w:rPr>
        <w:t>标准的，甲方有权拒收该货物，乙方愿意更换货物但逾期交货的，按乙方逾期交货处理。乙方</w:t>
      </w:r>
      <w:r>
        <w:rPr>
          <w:rFonts w:hint="eastAsia" w:ascii="Times New Roman" w:hAnsi="Times New Roman"/>
          <w:sz w:val="24"/>
        </w:rPr>
        <w:t>不能</w:t>
      </w:r>
      <w:r>
        <w:rPr>
          <w:rFonts w:ascii="Times New Roman" w:hAnsi="Times New Roman"/>
          <w:sz w:val="24"/>
        </w:rPr>
        <w:t>更换货物的，甲方可单方面解除合同。</w:t>
      </w:r>
      <w:r>
        <w:rPr>
          <w:rFonts w:hint="eastAsia" w:ascii="Times New Roman" w:hAnsi="Times New Roman"/>
          <w:sz w:val="24"/>
        </w:rPr>
        <w:t>乙方</w:t>
      </w:r>
      <w:r>
        <w:rPr>
          <w:rFonts w:ascii="Times New Roman" w:hAnsi="Times New Roman"/>
          <w:sz w:val="24"/>
        </w:rPr>
        <w:t>承担由此给甲方造成的损失</w:t>
      </w:r>
    </w:p>
    <w:p w14:paraId="3CCB3D64">
      <w:pPr>
        <w:widowControl/>
        <w:snapToGrid w:val="0"/>
        <w:spacing w:before="19" w:line="400" w:lineRule="exact"/>
        <w:rPr>
          <w:rFonts w:ascii="Times New Roman" w:hAnsi="Times New Roman"/>
          <w:sz w:val="24"/>
        </w:rPr>
      </w:pPr>
      <w:r>
        <w:rPr>
          <w:rFonts w:ascii="Times New Roman" w:hAnsi="Times New Roman"/>
          <w:sz w:val="24"/>
        </w:rPr>
        <w:t>4</w:t>
      </w:r>
      <w:r>
        <w:rPr>
          <w:rFonts w:hint="eastAsia" w:ascii="Times New Roman" w:hAnsi="Times New Roman"/>
          <w:sz w:val="24"/>
        </w:rPr>
        <w:t>.</w:t>
      </w:r>
      <w:r>
        <w:rPr>
          <w:rFonts w:ascii="Times New Roman" w:hAnsi="Times New Roman"/>
          <w:sz w:val="24"/>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1F9F265E">
      <w:pPr>
        <w:widowControl/>
        <w:snapToGrid w:val="0"/>
        <w:spacing w:before="19" w:line="400" w:lineRule="exact"/>
        <w:rPr>
          <w:rFonts w:ascii="Times New Roman" w:hAnsi="Times New Roman"/>
          <w:sz w:val="24"/>
        </w:rPr>
      </w:pPr>
      <w:r>
        <w:rPr>
          <w:rFonts w:ascii="Times New Roman" w:hAnsi="Times New Roman"/>
          <w:sz w:val="24"/>
        </w:rPr>
        <w:t>十一、 合同的变更和终止</w:t>
      </w:r>
    </w:p>
    <w:p w14:paraId="4353D2D0">
      <w:pPr>
        <w:widowControl/>
        <w:snapToGrid w:val="0"/>
        <w:spacing w:before="19" w:line="400" w:lineRule="exact"/>
        <w:rPr>
          <w:rFonts w:ascii="Times New Roman" w:hAnsi="Times New Roman"/>
          <w:sz w:val="24"/>
        </w:rPr>
      </w:pPr>
      <w:r>
        <w:rPr>
          <w:rFonts w:ascii="Times New Roman" w:hAnsi="Times New Roman"/>
          <w:sz w:val="24"/>
        </w:rPr>
        <w:t>依据《政府采购法》第五十条，本合同一经签订，甲乙双方不得擅自变更、中止或终止合同。特殊情况确需变更且符合规定情形的，应由甲乙双方协商一致，并签订书面补充协议。</w:t>
      </w:r>
    </w:p>
    <w:p w14:paraId="10C9F4A6">
      <w:pPr>
        <w:widowControl/>
        <w:snapToGrid w:val="0"/>
        <w:spacing w:before="19" w:line="400" w:lineRule="exact"/>
        <w:rPr>
          <w:rFonts w:ascii="Times New Roman" w:hAnsi="Times New Roman"/>
          <w:sz w:val="24"/>
        </w:rPr>
      </w:pPr>
      <w:r>
        <w:rPr>
          <w:rFonts w:ascii="Times New Roman" w:hAnsi="Times New Roman"/>
          <w:sz w:val="24"/>
        </w:rPr>
        <w:t>十二、合同的转让</w:t>
      </w:r>
    </w:p>
    <w:p w14:paraId="466E7658">
      <w:pPr>
        <w:widowControl/>
        <w:snapToGrid w:val="0"/>
        <w:spacing w:before="19" w:line="400" w:lineRule="exact"/>
        <w:rPr>
          <w:rFonts w:ascii="Times New Roman" w:hAnsi="Times New Roman"/>
          <w:sz w:val="24"/>
        </w:rPr>
      </w:pPr>
      <w:r>
        <w:rPr>
          <w:rFonts w:ascii="Times New Roman" w:hAnsi="Times New Roman"/>
          <w:sz w:val="24"/>
        </w:rPr>
        <w:t>乙方不得擅自部分或全部转让其应履行的合同义务。</w:t>
      </w:r>
    </w:p>
    <w:p w14:paraId="21F86262">
      <w:pPr>
        <w:widowControl/>
        <w:snapToGrid w:val="0"/>
        <w:spacing w:before="19" w:line="400" w:lineRule="exact"/>
        <w:rPr>
          <w:rFonts w:ascii="Times New Roman" w:hAnsi="Times New Roman"/>
          <w:sz w:val="24"/>
        </w:rPr>
      </w:pPr>
      <w:r>
        <w:rPr>
          <w:rFonts w:ascii="Times New Roman" w:hAnsi="Times New Roman"/>
          <w:sz w:val="24"/>
        </w:rPr>
        <w:t>十三、 争议的解决</w:t>
      </w:r>
    </w:p>
    <w:p w14:paraId="7B945CB3">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5824C27E">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因履行本合同引起的或与本合同有关的争议，甲、乙双方应首先通过友好协商解决，如果协商不能解决争议，任何一方均可向甲方所在地人民法院起诉解决。</w:t>
      </w:r>
    </w:p>
    <w:p w14:paraId="2A8C06FB">
      <w:pPr>
        <w:widowControl/>
        <w:snapToGrid w:val="0"/>
        <w:spacing w:before="19" w:line="400" w:lineRule="exact"/>
        <w:rPr>
          <w:rFonts w:ascii="Times New Roman" w:hAnsi="Times New Roman"/>
          <w:sz w:val="24"/>
        </w:rPr>
      </w:pPr>
      <w:r>
        <w:rPr>
          <w:rFonts w:ascii="Times New Roman" w:hAnsi="Times New Roman"/>
          <w:sz w:val="24"/>
        </w:rPr>
        <w:t>十四、付款前乙方须提供</w:t>
      </w:r>
      <w:r>
        <w:rPr>
          <w:rFonts w:hint="eastAsia" w:ascii="Times New Roman" w:hAnsi="Times New Roman"/>
          <w:sz w:val="24"/>
          <w:u w:val="single"/>
        </w:rPr>
        <w:t xml:space="preserve">      </w:t>
      </w:r>
      <w:r>
        <w:rPr>
          <w:rFonts w:ascii="Times New Roman" w:hAnsi="Times New Roman"/>
          <w:sz w:val="24"/>
          <w:u w:val="single"/>
        </w:rPr>
        <w:t>增值税</w:t>
      </w:r>
      <w:r>
        <w:rPr>
          <w:rFonts w:hint="eastAsia" w:ascii="Times New Roman" w:hAnsi="Times New Roman"/>
          <w:sz w:val="24"/>
          <w:u w:val="single"/>
        </w:rPr>
        <w:t>专用</w:t>
      </w:r>
      <w:r>
        <w:rPr>
          <w:rFonts w:ascii="Times New Roman" w:hAnsi="Times New Roman"/>
          <w:sz w:val="24"/>
          <w:u w:val="single"/>
        </w:rPr>
        <w:t>发票</w:t>
      </w:r>
      <w:r>
        <w:rPr>
          <w:rFonts w:hint="eastAsia" w:ascii="Times New Roman" w:hAnsi="Times New Roman"/>
          <w:sz w:val="24"/>
          <w:u w:val="single"/>
        </w:rPr>
        <w:t xml:space="preserve">     </w:t>
      </w:r>
      <w:r>
        <w:rPr>
          <w:rFonts w:ascii="Times New Roman" w:hAnsi="Times New Roman"/>
          <w:sz w:val="24"/>
        </w:rPr>
        <w:t>，总价不变。</w:t>
      </w:r>
    </w:p>
    <w:p w14:paraId="164F4BB3">
      <w:pPr>
        <w:widowControl/>
        <w:snapToGrid w:val="0"/>
        <w:spacing w:before="19" w:line="400" w:lineRule="exact"/>
        <w:rPr>
          <w:rFonts w:ascii="Times New Roman" w:hAnsi="Times New Roman"/>
          <w:sz w:val="24"/>
        </w:rPr>
      </w:pPr>
      <w:r>
        <w:rPr>
          <w:rFonts w:ascii="Times New Roman" w:hAnsi="Times New Roman"/>
          <w:sz w:val="24"/>
        </w:rPr>
        <w:t>十五、本合同由甲、乙双方共同签订，合同一式</w:t>
      </w:r>
      <w:r>
        <w:rPr>
          <w:rFonts w:hint="eastAsia" w:ascii="Times New Roman" w:hAnsi="Times New Roman"/>
          <w:sz w:val="24"/>
          <w:u w:val="single"/>
        </w:rPr>
        <w:t xml:space="preserve">       </w:t>
      </w:r>
      <w:r>
        <w:rPr>
          <w:rFonts w:ascii="Times New Roman" w:hAnsi="Times New Roman"/>
          <w:sz w:val="24"/>
        </w:rPr>
        <w:t>份，甲方</w:t>
      </w:r>
      <w:r>
        <w:rPr>
          <w:rFonts w:hint="eastAsia" w:ascii="Times New Roman" w:hAnsi="Times New Roman"/>
          <w:sz w:val="24"/>
          <w:u w:val="single"/>
        </w:rPr>
        <w:t xml:space="preserve">    三   </w:t>
      </w:r>
      <w:r>
        <w:rPr>
          <w:rFonts w:ascii="Times New Roman" w:hAnsi="Times New Roman"/>
          <w:sz w:val="24"/>
        </w:rPr>
        <w:t>份、乙方</w:t>
      </w:r>
      <w:r>
        <w:rPr>
          <w:rFonts w:hint="eastAsia" w:ascii="Times New Roman" w:hAnsi="Times New Roman"/>
          <w:sz w:val="24"/>
          <w:u w:val="single"/>
        </w:rPr>
        <w:t xml:space="preserve">       </w:t>
      </w:r>
      <w:r>
        <w:rPr>
          <w:rFonts w:ascii="Times New Roman" w:hAnsi="Times New Roman"/>
          <w:sz w:val="24"/>
        </w:rPr>
        <w:t>份。自双方签字、盖章之日起生效。</w:t>
      </w:r>
    </w:p>
    <w:p w14:paraId="3965C153">
      <w:pPr>
        <w:widowControl/>
        <w:snapToGrid w:val="0"/>
        <w:spacing w:before="19" w:line="360" w:lineRule="auto"/>
        <w:ind w:firstLine="360" w:firstLineChars="200"/>
        <w:rPr>
          <w:rFonts w:ascii="Times New Roman" w:hAnsi="Times New Roman"/>
          <w:sz w:val="18"/>
        </w:rPr>
      </w:pPr>
    </w:p>
    <w:p w14:paraId="4781EB2E">
      <w:pPr>
        <w:widowControl/>
        <w:snapToGrid w:val="0"/>
        <w:spacing w:before="19" w:line="360" w:lineRule="auto"/>
        <w:ind w:firstLine="360" w:firstLineChars="200"/>
        <w:rPr>
          <w:rFonts w:ascii="Times New Roman" w:hAnsi="Times New Roman"/>
          <w:sz w:val="18"/>
        </w:rPr>
      </w:pPr>
    </w:p>
    <w:p w14:paraId="67FB55A4">
      <w:pPr>
        <w:widowControl/>
        <w:snapToGrid w:val="0"/>
        <w:spacing w:before="19" w:line="360" w:lineRule="auto"/>
        <w:ind w:firstLine="360" w:firstLineChars="200"/>
        <w:rPr>
          <w:rFonts w:ascii="Times New Roman" w:hAnsi="Times New Roman"/>
          <w:sz w:val="18"/>
        </w:rPr>
      </w:pPr>
      <w:r>
        <w:rPr>
          <w:rFonts w:ascii="Times New Roman" w:hAnsi="Times New Roman"/>
          <w:sz w:val="18"/>
        </w:rPr>
        <w:t>甲方                                               乙方</w:t>
      </w:r>
    </w:p>
    <w:p w14:paraId="2CF9D91A">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单位名称：南京邮电大学                             单位名称：</w:t>
      </w:r>
    </w:p>
    <w:p w14:paraId="7DF845C3">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单位地址：                                         单位地址：</w:t>
      </w:r>
    </w:p>
    <w:p w14:paraId="23CD3561">
      <w:pPr>
        <w:widowControl/>
        <w:snapToGrid w:val="0"/>
        <w:spacing w:before="19" w:line="360" w:lineRule="auto"/>
        <w:ind w:firstLine="360" w:firstLineChars="200"/>
        <w:rPr>
          <w:rFonts w:ascii="Times New Roman" w:hAnsi="Times New Roman"/>
          <w:sz w:val="18"/>
        </w:rPr>
      </w:pPr>
      <w:r>
        <w:rPr>
          <w:rFonts w:ascii="Times New Roman" w:hAnsi="Times New Roman"/>
          <w:sz w:val="18"/>
        </w:rPr>
        <w:t>法定代表人：                                       法定代表人：</w:t>
      </w:r>
    </w:p>
    <w:p w14:paraId="3A1815D2">
      <w:pPr>
        <w:widowControl/>
        <w:snapToGrid w:val="0"/>
        <w:spacing w:before="19" w:line="360" w:lineRule="auto"/>
        <w:ind w:firstLine="360" w:firstLineChars="200"/>
        <w:rPr>
          <w:rFonts w:ascii="Times New Roman" w:hAnsi="Times New Roman"/>
          <w:sz w:val="18"/>
        </w:rPr>
      </w:pPr>
      <w:r>
        <w:rPr>
          <w:rFonts w:ascii="Times New Roman" w:hAnsi="Times New Roman"/>
          <w:sz w:val="18"/>
        </w:rPr>
        <w:t>委托代理人（签字）：                                委托代理人（签字）：</w:t>
      </w:r>
    </w:p>
    <w:p w14:paraId="416BC36D">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联系电话：                                         联系电话：                                            </w:t>
      </w:r>
    </w:p>
    <w:p w14:paraId="0E735BCD">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开户银行：                                         开户银行： </w:t>
      </w:r>
    </w:p>
    <w:p w14:paraId="5ABE8B81">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户名： 南京邮电大学                                户名： </w:t>
      </w:r>
    </w:p>
    <w:p w14:paraId="2293D508">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账号： </w:t>
      </w:r>
    </w:p>
    <w:p w14:paraId="44CB4AB4">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行号：  </w:t>
      </w:r>
    </w:p>
    <w:p w14:paraId="6CACB24C">
      <w:pPr>
        <w:widowControl/>
        <w:snapToGrid w:val="0"/>
        <w:spacing w:before="19" w:line="360" w:lineRule="auto"/>
        <w:ind w:firstLine="360" w:firstLineChars="200"/>
        <w:rPr>
          <w:rFonts w:ascii="Times New Roman" w:hAnsi="Times New Roman"/>
          <w:sz w:val="18"/>
        </w:rPr>
      </w:pPr>
      <w:r>
        <w:rPr>
          <w:rFonts w:ascii="Times New Roman" w:hAnsi="Times New Roman"/>
          <w:sz w:val="18"/>
        </w:rPr>
        <w:t>地址、电话：南京市栖霞区文苑路9 号　025-85866388    项目联系人：</w:t>
      </w:r>
    </w:p>
    <w:p w14:paraId="37997182">
      <w:pPr>
        <w:widowControl/>
        <w:snapToGrid w:val="0"/>
        <w:spacing w:before="19" w:line="360" w:lineRule="auto"/>
        <w:ind w:firstLine="360" w:firstLineChars="200"/>
        <w:rPr>
          <w:rFonts w:ascii="Times New Roman" w:hAnsi="Times New Roman"/>
          <w:sz w:val="18"/>
        </w:rPr>
      </w:pPr>
      <w:r>
        <w:rPr>
          <w:rFonts w:ascii="Times New Roman" w:hAnsi="Times New Roman"/>
          <w:sz w:val="18"/>
        </w:rPr>
        <w:t>签约日期（即合同生效日期）：    年     月     日       联系电话：</w:t>
      </w:r>
    </w:p>
    <w:p w14:paraId="0887B0BB">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w:t>
      </w:r>
    </w:p>
    <w:p w14:paraId="58718EEA">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w:t>
      </w:r>
    </w:p>
    <w:p w14:paraId="17FA66AB"/>
    <w:p w14:paraId="59D0146B">
      <w:r>
        <w:rPr>
          <w:rFonts w:hint="eastAsia"/>
        </w:rPr>
        <w:br w:type="page"/>
      </w:r>
    </w:p>
    <w:p w14:paraId="1EAC260A">
      <w:pPr>
        <w:pStyle w:val="264"/>
      </w:pPr>
      <w:r>
        <w:rPr>
          <w:rFonts w:hint="eastAsia"/>
        </w:rPr>
        <w:t>第</w:t>
      </w:r>
      <w:r>
        <w:t>六章  响应文件格式及附件</w:t>
      </w:r>
    </w:p>
    <w:p w14:paraId="4D3C06F4">
      <w:pPr>
        <w:jc w:val="center"/>
        <w:rPr>
          <w:rFonts w:hint="eastAsia" w:ascii="宋体" w:hAnsi="宋体"/>
          <w:b/>
          <w:sz w:val="72"/>
        </w:rPr>
      </w:pPr>
    </w:p>
    <w:p w14:paraId="12E396C2">
      <w:pPr>
        <w:jc w:val="center"/>
        <w:rPr>
          <w:rFonts w:hint="eastAsia" w:ascii="宋体" w:hAnsi="宋体"/>
          <w:b/>
          <w:sz w:val="72"/>
          <w:szCs w:val="72"/>
        </w:rPr>
      </w:pPr>
      <w:r>
        <w:rPr>
          <w:rFonts w:hint="eastAsia" w:ascii="宋体" w:hAnsi="宋体"/>
          <w:b/>
          <w:sz w:val="72"/>
          <w:szCs w:val="72"/>
        </w:rPr>
        <w:t>响应文件</w:t>
      </w:r>
    </w:p>
    <w:p w14:paraId="401B5B55">
      <w:pPr>
        <w:ind w:firstLine="2472" w:firstLineChars="1026"/>
        <w:rPr>
          <w:rFonts w:hint="eastAsia" w:ascii="宋体" w:hAnsi="宋体"/>
          <w:b/>
          <w:sz w:val="24"/>
        </w:rPr>
      </w:pPr>
    </w:p>
    <w:p w14:paraId="748B90F6">
      <w:pPr>
        <w:jc w:val="center"/>
        <w:rPr>
          <w:rFonts w:hint="eastAsia" w:ascii="宋体" w:hAnsi="宋体"/>
          <w:b/>
          <w:sz w:val="24"/>
        </w:rPr>
      </w:pPr>
    </w:p>
    <w:p w14:paraId="29451957">
      <w:pPr>
        <w:jc w:val="center"/>
        <w:rPr>
          <w:rFonts w:hint="eastAsia" w:ascii="宋体" w:hAnsi="宋体"/>
          <w:b/>
          <w:sz w:val="24"/>
        </w:rPr>
      </w:pPr>
    </w:p>
    <w:p w14:paraId="5AE9EEB4">
      <w:pPr>
        <w:jc w:val="center"/>
        <w:rPr>
          <w:rFonts w:hint="eastAsia" w:ascii="宋体" w:hAnsi="宋体"/>
          <w:b/>
          <w:sz w:val="24"/>
        </w:rPr>
      </w:pPr>
    </w:p>
    <w:p w14:paraId="5B774FE6">
      <w:pPr>
        <w:spacing w:before="480" w:beforeLines="200"/>
        <w:jc w:val="center"/>
        <w:rPr>
          <w:rFonts w:hint="eastAsia" w:ascii="宋体" w:hAnsi="宋体" w:cs="宋体"/>
          <w:b/>
          <w:sz w:val="36"/>
        </w:rPr>
      </w:pPr>
      <w:r>
        <w:rPr>
          <w:rFonts w:hint="eastAsia" w:ascii="宋体" w:hAnsi="宋体" w:cs="宋体"/>
          <w:b/>
          <w:sz w:val="36"/>
        </w:rPr>
        <w:t>(正或副本)</w:t>
      </w:r>
    </w:p>
    <w:p w14:paraId="0B410299">
      <w:pPr>
        <w:jc w:val="center"/>
        <w:rPr>
          <w:rFonts w:hint="eastAsia" w:ascii="宋体" w:hAnsi="宋体"/>
          <w:b/>
          <w:sz w:val="24"/>
        </w:rPr>
      </w:pPr>
    </w:p>
    <w:p w14:paraId="580D6B77">
      <w:pPr>
        <w:jc w:val="center"/>
        <w:rPr>
          <w:rFonts w:hint="eastAsia" w:ascii="宋体" w:hAnsi="宋体"/>
          <w:b/>
          <w:sz w:val="24"/>
        </w:rPr>
      </w:pPr>
    </w:p>
    <w:p w14:paraId="15E0A3CD">
      <w:pPr>
        <w:jc w:val="center"/>
        <w:rPr>
          <w:rFonts w:hint="eastAsia" w:ascii="宋体" w:hAnsi="宋体"/>
          <w:b/>
          <w:sz w:val="24"/>
        </w:rPr>
      </w:pPr>
    </w:p>
    <w:p w14:paraId="65F8B4B4">
      <w:pPr>
        <w:jc w:val="center"/>
        <w:rPr>
          <w:rFonts w:hint="eastAsia" w:ascii="宋体" w:hAnsi="宋体"/>
          <w:b/>
          <w:sz w:val="24"/>
        </w:rPr>
      </w:pPr>
    </w:p>
    <w:p w14:paraId="1139574D">
      <w:pPr>
        <w:jc w:val="center"/>
        <w:rPr>
          <w:rFonts w:hint="eastAsia" w:ascii="宋体" w:hAnsi="宋体"/>
          <w:b/>
          <w:sz w:val="24"/>
        </w:rPr>
      </w:pPr>
    </w:p>
    <w:p w14:paraId="5FD6ECC1">
      <w:pPr>
        <w:jc w:val="center"/>
        <w:rPr>
          <w:rFonts w:hint="eastAsia" w:ascii="宋体" w:hAnsi="宋体"/>
          <w:b/>
          <w:sz w:val="24"/>
        </w:rPr>
      </w:pPr>
    </w:p>
    <w:p w14:paraId="53458267">
      <w:pPr>
        <w:jc w:val="center"/>
        <w:rPr>
          <w:rFonts w:hint="eastAsia" w:ascii="宋体" w:hAnsi="宋体"/>
          <w:b/>
          <w:sz w:val="24"/>
        </w:rPr>
      </w:pPr>
    </w:p>
    <w:p w14:paraId="2CA87E8A">
      <w:pPr>
        <w:ind w:firstLine="843" w:firstLineChars="300"/>
        <w:rPr>
          <w:rFonts w:hint="eastAsia" w:ascii="宋体" w:hAnsi="宋体"/>
          <w:b/>
          <w:sz w:val="28"/>
          <w:szCs w:val="28"/>
        </w:rPr>
      </w:pPr>
      <w:r>
        <w:rPr>
          <w:rFonts w:hint="eastAsia" w:ascii="宋体" w:hAnsi="宋体"/>
          <w:b/>
          <w:sz w:val="28"/>
          <w:szCs w:val="28"/>
        </w:rPr>
        <w:t>项目编号：</w:t>
      </w:r>
    </w:p>
    <w:p w14:paraId="570B34CB">
      <w:pPr>
        <w:ind w:firstLine="843" w:firstLineChars="300"/>
        <w:rPr>
          <w:rFonts w:hint="eastAsia" w:ascii="宋体" w:hAnsi="宋体"/>
          <w:b/>
          <w:sz w:val="28"/>
          <w:szCs w:val="28"/>
          <w:u w:val="single"/>
        </w:rPr>
      </w:pPr>
      <w:r>
        <w:rPr>
          <w:rFonts w:hint="eastAsia" w:ascii="宋体" w:hAnsi="宋体"/>
          <w:b/>
          <w:sz w:val="28"/>
          <w:szCs w:val="28"/>
        </w:rPr>
        <w:t>项目名称：</w:t>
      </w:r>
    </w:p>
    <w:p w14:paraId="63F54695">
      <w:pPr>
        <w:rPr>
          <w:rFonts w:hint="eastAsia" w:ascii="宋体" w:hAnsi="宋体"/>
          <w:b/>
          <w:sz w:val="28"/>
          <w:szCs w:val="28"/>
        </w:rPr>
      </w:pPr>
    </w:p>
    <w:p w14:paraId="53A19F1D">
      <w:pPr>
        <w:rPr>
          <w:rFonts w:hint="eastAsia" w:ascii="宋体" w:hAnsi="宋体"/>
          <w:b/>
          <w:sz w:val="28"/>
          <w:szCs w:val="28"/>
        </w:rPr>
      </w:pPr>
    </w:p>
    <w:p w14:paraId="7A620555">
      <w:pPr>
        <w:rPr>
          <w:rFonts w:hint="eastAsia" w:ascii="宋体" w:hAnsi="宋体"/>
          <w:b/>
          <w:sz w:val="28"/>
          <w:szCs w:val="28"/>
        </w:rPr>
      </w:pPr>
    </w:p>
    <w:p w14:paraId="1D737A01">
      <w:pPr>
        <w:rPr>
          <w:rFonts w:hint="eastAsia" w:ascii="宋体" w:hAnsi="宋体"/>
          <w:b/>
          <w:sz w:val="28"/>
          <w:szCs w:val="28"/>
        </w:rPr>
      </w:pPr>
    </w:p>
    <w:p w14:paraId="721C3008">
      <w:pPr>
        <w:rPr>
          <w:rFonts w:hint="eastAsia" w:ascii="宋体" w:hAnsi="宋体"/>
          <w:b/>
          <w:sz w:val="28"/>
          <w:szCs w:val="28"/>
        </w:rPr>
      </w:pPr>
    </w:p>
    <w:p w14:paraId="3E6BA189">
      <w:pPr>
        <w:rPr>
          <w:rFonts w:hint="eastAsia" w:ascii="宋体" w:hAnsi="宋体"/>
          <w:b/>
          <w:sz w:val="28"/>
          <w:szCs w:val="28"/>
        </w:rPr>
      </w:pPr>
    </w:p>
    <w:p w14:paraId="4220DDB6">
      <w:pPr>
        <w:rPr>
          <w:rFonts w:hint="eastAsia" w:ascii="宋体" w:hAnsi="宋体"/>
          <w:b/>
          <w:sz w:val="28"/>
          <w:szCs w:val="28"/>
          <w:u w:val="single"/>
        </w:rPr>
      </w:pPr>
      <w:r>
        <w:rPr>
          <w:rFonts w:hint="eastAsia" w:ascii="宋体" w:hAnsi="宋体"/>
          <w:b/>
          <w:sz w:val="28"/>
          <w:szCs w:val="28"/>
        </w:rPr>
        <w:t>供应商名称：</w:t>
      </w:r>
    </w:p>
    <w:p w14:paraId="01E659E6">
      <w:pPr>
        <w:rPr>
          <w:rFonts w:hint="eastAsia" w:ascii="宋体" w:hAnsi="宋体"/>
          <w:b/>
          <w:sz w:val="28"/>
          <w:szCs w:val="28"/>
        </w:rPr>
      </w:pPr>
      <w:r>
        <w:rPr>
          <w:rFonts w:hint="eastAsia" w:ascii="宋体" w:hAnsi="宋体"/>
          <w:b/>
          <w:sz w:val="28"/>
          <w:szCs w:val="28"/>
        </w:rPr>
        <w:t>日期：</w:t>
      </w:r>
    </w:p>
    <w:p w14:paraId="7D138AAB">
      <w:pPr>
        <w:jc w:val="center"/>
        <w:rPr>
          <w:rFonts w:hint="eastAsia" w:ascii="宋体" w:hAnsi="宋体"/>
          <w:b/>
          <w:bCs/>
          <w:sz w:val="24"/>
        </w:rPr>
      </w:pPr>
    </w:p>
    <w:p w14:paraId="71BBB237">
      <w:pPr>
        <w:pStyle w:val="267"/>
        <w:shd w:val="clear" w:color="auto" w:fill="auto"/>
        <w:rPr>
          <w:rFonts w:hint="eastAsia" w:asciiTheme="minorEastAsia" w:hAnsiTheme="minorEastAsia" w:eastAsiaTheme="minorEastAsia" w:cstheme="minorEastAsia"/>
        </w:rPr>
      </w:pPr>
      <w:r>
        <w:rPr>
          <w:sz w:val="36"/>
        </w:rPr>
        <w:br w:type="page"/>
      </w:r>
      <w:bookmarkStart w:id="12" w:name="_Toc405408732"/>
      <w:r>
        <w:rPr>
          <w:rFonts w:hint="eastAsia" w:asciiTheme="minorEastAsia" w:hAnsiTheme="minorEastAsia" w:eastAsiaTheme="minorEastAsia" w:cstheme="minorEastAsia"/>
        </w:rPr>
        <w:t>评审索引表</w:t>
      </w:r>
    </w:p>
    <w:tbl>
      <w:tblPr>
        <w:tblStyle w:val="45"/>
        <w:tblW w:w="48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6470"/>
        <w:gridCol w:w="1603"/>
      </w:tblGrid>
      <w:tr w14:paraId="34B4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48B0CEB5">
            <w:pPr>
              <w:jc w:val="center"/>
              <w:rPr>
                <w:rFonts w:hint="eastAsia" w:ascii="宋体" w:hAnsi="宋体" w:cs="宋体"/>
                <w:b/>
                <w:szCs w:val="21"/>
              </w:rPr>
            </w:pPr>
            <w:r>
              <w:rPr>
                <w:rFonts w:hint="eastAsia" w:ascii="宋体" w:hAnsi="宋体" w:cs="宋体"/>
                <w:b/>
                <w:szCs w:val="21"/>
              </w:rPr>
              <w:t>资格要求</w:t>
            </w:r>
          </w:p>
        </w:tc>
        <w:tc>
          <w:tcPr>
            <w:tcW w:w="869" w:type="pct"/>
          </w:tcPr>
          <w:p w14:paraId="41F6D0CB">
            <w:pPr>
              <w:jc w:val="center"/>
              <w:rPr>
                <w:rFonts w:hint="eastAsia" w:ascii="宋体" w:hAnsi="宋体" w:cs="宋体"/>
                <w:b/>
                <w:szCs w:val="21"/>
              </w:rPr>
            </w:pPr>
            <w:r>
              <w:rPr>
                <w:rFonts w:hint="eastAsia" w:ascii="宋体" w:hAnsi="宋体" w:cs="宋体"/>
                <w:b/>
                <w:szCs w:val="21"/>
              </w:rPr>
              <w:t>在响应文件中的页码位置</w:t>
            </w:r>
          </w:p>
        </w:tc>
      </w:tr>
      <w:tr w14:paraId="3167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16AF6179">
            <w:pPr>
              <w:pStyle w:val="16"/>
              <w:spacing w:after="0" w:line="240" w:lineRule="auto"/>
              <w:ind w:firstLine="0" w:firstLineChars="0"/>
              <w:rPr>
                <w:rFonts w:hint="eastAsia" w:ascii="宋体" w:hAnsi="宋体" w:cs="宋体"/>
                <w:sz w:val="21"/>
                <w:szCs w:val="21"/>
              </w:rPr>
            </w:pPr>
            <w:r>
              <w:rPr>
                <w:rFonts w:hint="eastAsia" w:ascii="宋体" w:hAnsi="宋体" w:cs="宋体"/>
                <w:sz w:val="21"/>
                <w:szCs w:val="21"/>
              </w:rPr>
              <w:t>具有独立承担民事责任的能力。(提供法人或者其他组织的营业执照等证明文件，自然人的身份证明复印件)</w:t>
            </w:r>
          </w:p>
        </w:tc>
        <w:tc>
          <w:tcPr>
            <w:tcW w:w="869" w:type="pct"/>
          </w:tcPr>
          <w:p w14:paraId="613B0CD0">
            <w:pPr>
              <w:jc w:val="center"/>
              <w:rPr>
                <w:rFonts w:hint="eastAsia" w:ascii="宋体" w:hAnsi="宋体" w:cs="宋体"/>
                <w:b/>
                <w:szCs w:val="21"/>
              </w:rPr>
            </w:pPr>
          </w:p>
        </w:tc>
      </w:tr>
      <w:tr w14:paraId="4239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701F339">
            <w:pPr>
              <w:pStyle w:val="16"/>
              <w:spacing w:after="0" w:line="240" w:lineRule="auto"/>
              <w:ind w:firstLine="0" w:firstLineChars="0"/>
              <w:rPr>
                <w:rFonts w:hint="eastAsia" w:ascii="宋体" w:hAnsi="宋体" w:cs="宋体"/>
                <w:sz w:val="21"/>
                <w:szCs w:val="21"/>
              </w:rPr>
            </w:pPr>
            <w:r>
              <w:rPr>
                <w:rFonts w:hint="eastAsia" w:ascii="宋体" w:hAnsi="宋体" w:cs="宋体"/>
                <w:sz w:val="21"/>
                <w:szCs w:val="21"/>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复印件或财政部门认可的政府采购专业担保机构出具的投标担保函)</w:t>
            </w:r>
          </w:p>
        </w:tc>
        <w:tc>
          <w:tcPr>
            <w:tcW w:w="869" w:type="pct"/>
          </w:tcPr>
          <w:p w14:paraId="50DCD08F">
            <w:pPr>
              <w:jc w:val="center"/>
              <w:rPr>
                <w:rFonts w:hint="eastAsia" w:ascii="宋体" w:hAnsi="宋体" w:cs="宋体"/>
                <w:b/>
                <w:szCs w:val="21"/>
              </w:rPr>
            </w:pPr>
          </w:p>
        </w:tc>
      </w:tr>
      <w:tr w14:paraId="0F61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311EFC9">
            <w:pPr>
              <w:pStyle w:val="16"/>
              <w:spacing w:after="0" w:line="240" w:lineRule="auto"/>
              <w:ind w:firstLine="0" w:firstLineChars="0"/>
              <w:rPr>
                <w:rFonts w:hint="eastAsia" w:ascii="宋体" w:hAnsi="宋体" w:cs="宋体"/>
                <w:sz w:val="21"/>
                <w:szCs w:val="21"/>
              </w:rPr>
            </w:pPr>
            <w:r>
              <w:rPr>
                <w:rFonts w:hint="eastAsia" w:ascii="宋体" w:hAnsi="宋体" w:cs="宋体"/>
                <w:sz w:val="21"/>
                <w:szCs w:val="21"/>
              </w:rPr>
              <w:t>依法缴纳税收和社会保障资金的相关材料。(有依法缴纳税收和社会保障资金的良好记录，提供本次采购活动前6个月内至少1个月缴纳税收和社会保险的凭证，依法享受免缴、缓缴的，提供证明材料)</w:t>
            </w:r>
          </w:p>
        </w:tc>
        <w:tc>
          <w:tcPr>
            <w:tcW w:w="869" w:type="pct"/>
          </w:tcPr>
          <w:p w14:paraId="2228B981">
            <w:pPr>
              <w:jc w:val="center"/>
              <w:rPr>
                <w:rFonts w:hint="eastAsia" w:ascii="宋体" w:hAnsi="宋体" w:cs="宋体"/>
                <w:b/>
                <w:szCs w:val="21"/>
              </w:rPr>
            </w:pPr>
          </w:p>
        </w:tc>
      </w:tr>
      <w:tr w14:paraId="1F3A2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4130" w:type="pct"/>
            <w:gridSpan w:val="2"/>
          </w:tcPr>
          <w:p w14:paraId="221EB166">
            <w:pPr>
              <w:pStyle w:val="16"/>
              <w:spacing w:after="0" w:line="240" w:lineRule="auto"/>
              <w:ind w:firstLine="0" w:firstLineChars="0"/>
              <w:rPr>
                <w:rFonts w:hint="eastAsia" w:ascii="宋体" w:hAnsi="宋体" w:cs="宋体"/>
                <w:sz w:val="21"/>
                <w:szCs w:val="21"/>
              </w:rPr>
            </w:pPr>
            <w:r>
              <w:rPr>
                <w:rFonts w:hint="eastAsia" w:ascii="宋体" w:hAnsi="宋体" w:cs="宋体"/>
                <w:sz w:val="21"/>
                <w:szCs w:val="21"/>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tc>
        <w:tc>
          <w:tcPr>
            <w:tcW w:w="869" w:type="pct"/>
          </w:tcPr>
          <w:p w14:paraId="0E885539">
            <w:pPr>
              <w:jc w:val="center"/>
              <w:rPr>
                <w:rFonts w:hint="eastAsia" w:ascii="宋体" w:hAnsi="宋体" w:cs="宋体"/>
                <w:b/>
                <w:szCs w:val="21"/>
              </w:rPr>
            </w:pPr>
          </w:p>
        </w:tc>
      </w:tr>
      <w:tr w14:paraId="1231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480379A">
            <w:pPr>
              <w:pStyle w:val="16"/>
              <w:spacing w:after="0" w:line="240" w:lineRule="auto"/>
              <w:ind w:firstLine="0" w:firstLineChars="0"/>
              <w:rPr>
                <w:rFonts w:hint="eastAsia" w:ascii="宋体" w:hAnsi="宋体" w:cs="宋体"/>
                <w:sz w:val="21"/>
                <w:szCs w:val="21"/>
              </w:rPr>
            </w:pPr>
            <w:r>
              <w:rPr>
                <w:rFonts w:hint="eastAsia" w:ascii="宋体" w:hAnsi="宋体" w:cs="宋体"/>
                <w:sz w:val="21"/>
                <w:szCs w:val="21"/>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tc>
        <w:tc>
          <w:tcPr>
            <w:tcW w:w="869" w:type="pct"/>
          </w:tcPr>
          <w:p w14:paraId="15E1CAE4">
            <w:pPr>
              <w:jc w:val="center"/>
              <w:rPr>
                <w:rFonts w:hint="eastAsia" w:ascii="宋体" w:hAnsi="宋体" w:cs="宋体"/>
                <w:b/>
                <w:szCs w:val="21"/>
              </w:rPr>
            </w:pPr>
          </w:p>
        </w:tc>
      </w:tr>
      <w:tr w14:paraId="635C8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0848AD52">
            <w:pPr>
              <w:pStyle w:val="16"/>
              <w:spacing w:after="0" w:line="240" w:lineRule="auto"/>
              <w:ind w:firstLine="0" w:firstLineChars="0"/>
              <w:rPr>
                <w:rFonts w:hint="eastAsia" w:ascii="宋体" w:hAnsi="宋体" w:cs="宋体"/>
                <w:sz w:val="21"/>
                <w:szCs w:val="21"/>
              </w:rPr>
            </w:pPr>
            <w:r>
              <w:rPr>
                <w:rFonts w:hint="eastAsia" w:ascii="宋体" w:hAnsi="宋体" w:cs="宋体"/>
                <w:sz w:val="21"/>
                <w:szCs w:val="21"/>
              </w:rPr>
              <w:t>法律、行政法规规定的其他条件：无。</w:t>
            </w:r>
          </w:p>
        </w:tc>
        <w:tc>
          <w:tcPr>
            <w:tcW w:w="869" w:type="pct"/>
          </w:tcPr>
          <w:p w14:paraId="672DCE9F">
            <w:pPr>
              <w:jc w:val="center"/>
              <w:rPr>
                <w:rFonts w:hint="eastAsia" w:ascii="宋体" w:hAnsi="宋体" w:cs="宋体"/>
                <w:b/>
                <w:szCs w:val="21"/>
              </w:rPr>
            </w:pPr>
          </w:p>
        </w:tc>
      </w:tr>
      <w:tr w14:paraId="745F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70AFCB6A">
            <w:pPr>
              <w:pStyle w:val="16"/>
              <w:spacing w:after="0" w:line="240" w:lineRule="auto"/>
              <w:ind w:firstLine="0" w:firstLineChars="0"/>
              <w:rPr>
                <w:rFonts w:hint="eastAsia" w:ascii="宋体" w:hAnsi="宋体" w:cs="宋体"/>
                <w:b/>
                <w:sz w:val="21"/>
                <w:szCs w:val="21"/>
              </w:rPr>
            </w:pPr>
            <w:r>
              <w:rPr>
                <w:rFonts w:hint="eastAsia" w:ascii="宋体" w:hAnsi="宋体" w:cs="宋体"/>
                <w:sz w:val="21"/>
                <w:szCs w:val="21"/>
              </w:rPr>
              <w:t>本项目的特定资格要求：无</w:t>
            </w:r>
          </w:p>
        </w:tc>
        <w:tc>
          <w:tcPr>
            <w:tcW w:w="869" w:type="pct"/>
          </w:tcPr>
          <w:p w14:paraId="231B9640">
            <w:pPr>
              <w:jc w:val="center"/>
              <w:rPr>
                <w:rFonts w:hint="eastAsia" w:ascii="宋体" w:hAnsi="宋体" w:cs="宋体"/>
                <w:b/>
                <w:szCs w:val="21"/>
              </w:rPr>
            </w:pPr>
          </w:p>
        </w:tc>
      </w:tr>
      <w:tr w14:paraId="6A28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9A4593F">
            <w:pPr>
              <w:pStyle w:val="16"/>
              <w:spacing w:after="0" w:line="240" w:lineRule="auto"/>
              <w:ind w:firstLine="0" w:firstLineChars="0"/>
              <w:jc w:val="left"/>
              <w:rPr>
                <w:rFonts w:hint="eastAsia" w:ascii="宋体" w:hAnsi="宋体" w:cs="宋体"/>
                <w:sz w:val="21"/>
                <w:szCs w:val="21"/>
              </w:rPr>
            </w:pPr>
            <w:r>
              <w:rPr>
                <w:rFonts w:hint="eastAsia" w:ascii="宋体" w:hAnsi="宋体" w:cs="宋体"/>
                <w:sz w:val="21"/>
                <w:szCs w:val="21"/>
              </w:rPr>
              <w:t>拒绝下述供应商参加本次采购：</w:t>
            </w:r>
          </w:p>
          <w:p w14:paraId="51007910">
            <w:pPr>
              <w:pStyle w:val="16"/>
              <w:spacing w:after="0" w:line="240" w:lineRule="auto"/>
              <w:ind w:firstLine="0" w:firstLineChars="0"/>
              <w:jc w:val="left"/>
              <w:rPr>
                <w:rFonts w:hint="eastAsia" w:ascii="宋体" w:hAnsi="宋体" w:cs="宋体"/>
                <w:sz w:val="21"/>
                <w:szCs w:val="21"/>
              </w:rPr>
            </w:pPr>
            <w:r>
              <w:rPr>
                <w:rFonts w:hint="eastAsia" w:ascii="宋体" w:hAnsi="宋体" w:cs="宋体"/>
                <w:sz w:val="21"/>
                <w:szCs w:val="21"/>
              </w:rPr>
              <w:t>①供应商单位负责人为同一人或者存在直接控股、管理关系的不同供应商，不得参加同一合同项下的采购或采购活动；</w:t>
            </w:r>
          </w:p>
          <w:p w14:paraId="1A3136FA">
            <w:pPr>
              <w:pStyle w:val="16"/>
              <w:spacing w:after="0" w:line="240" w:lineRule="auto"/>
              <w:ind w:firstLine="0" w:firstLineChars="0"/>
              <w:jc w:val="left"/>
              <w:rPr>
                <w:rFonts w:hint="eastAsia" w:ascii="宋体" w:hAnsi="宋体" w:cs="宋体"/>
                <w:sz w:val="21"/>
                <w:szCs w:val="21"/>
              </w:rPr>
            </w:pPr>
            <w:r>
              <w:rPr>
                <w:rFonts w:hint="eastAsia" w:ascii="宋体" w:hAnsi="宋体" w:cs="宋体"/>
                <w:sz w:val="21"/>
                <w:szCs w:val="21"/>
              </w:rPr>
              <w:t>②凡为本项目提供整体设计、规范编制或者项目管理、检测等服务的供应商，不得再参加本项目的采购或采购活动；</w:t>
            </w:r>
          </w:p>
          <w:p w14:paraId="6D16D854">
            <w:pPr>
              <w:jc w:val="left"/>
              <w:rPr>
                <w:rFonts w:hint="eastAsia" w:ascii="宋体" w:hAnsi="宋体" w:cs="宋体"/>
                <w:b/>
                <w:szCs w:val="21"/>
              </w:rPr>
            </w:pPr>
            <w:r>
              <w:rPr>
                <w:rFonts w:hint="eastAsia" w:ascii="宋体" w:hAnsi="宋体" w:cs="宋体"/>
                <w:szCs w:val="21"/>
              </w:rPr>
              <w:t>③供应商被“信用中国”网站(www.creditchina.gov.cn)列入失信被执行人、重大税收违法失信主体、严重违法失信行为记录名单。</w:t>
            </w:r>
          </w:p>
        </w:tc>
        <w:tc>
          <w:tcPr>
            <w:tcW w:w="869" w:type="pct"/>
          </w:tcPr>
          <w:p w14:paraId="2076019C">
            <w:pPr>
              <w:jc w:val="center"/>
              <w:rPr>
                <w:rFonts w:hint="eastAsia" w:ascii="宋体" w:hAnsi="宋体" w:cs="宋体"/>
                <w:b/>
                <w:szCs w:val="21"/>
              </w:rPr>
            </w:pPr>
          </w:p>
        </w:tc>
      </w:tr>
      <w:tr w14:paraId="0BAF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C89907A">
            <w:pPr>
              <w:jc w:val="center"/>
              <w:rPr>
                <w:rFonts w:hint="eastAsia" w:ascii="宋体" w:hAnsi="宋体" w:cs="宋体"/>
                <w:b/>
                <w:szCs w:val="21"/>
              </w:rPr>
            </w:pPr>
            <w:r>
              <w:rPr>
                <w:rFonts w:hint="eastAsia" w:ascii="宋体" w:hAnsi="宋体" w:cs="宋体"/>
                <w:b/>
                <w:szCs w:val="21"/>
              </w:rPr>
              <w:t>评分项目</w:t>
            </w:r>
          </w:p>
        </w:tc>
        <w:tc>
          <w:tcPr>
            <w:tcW w:w="869" w:type="pct"/>
          </w:tcPr>
          <w:p w14:paraId="347871B6">
            <w:pPr>
              <w:jc w:val="center"/>
              <w:rPr>
                <w:rFonts w:hint="eastAsia" w:ascii="宋体" w:hAnsi="宋体" w:cs="宋体"/>
                <w:b/>
                <w:szCs w:val="21"/>
              </w:rPr>
            </w:pPr>
            <w:r>
              <w:rPr>
                <w:rFonts w:hint="eastAsia" w:ascii="宋体" w:hAnsi="宋体" w:cs="宋体"/>
                <w:b/>
                <w:szCs w:val="21"/>
              </w:rPr>
              <w:t>在响应文件中的页码位置</w:t>
            </w:r>
          </w:p>
        </w:tc>
      </w:tr>
      <w:tr w14:paraId="332C2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3" w:type="pct"/>
            <w:vAlign w:val="center"/>
          </w:tcPr>
          <w:p w14:paraId="589EF8B8">
            <w:pPr>
              <w:widowControl/>
              <w:adjustRightInd w:val="0"/>
              <w:snapToGrid w:val="0"/>
              <w:spacing w:line="276" w:lineRule="auto"/>
              <w:jc w:val="center"/>
              <w:rPr>
                <w:rFonts w:hint="eastAsia" w:ascii="宋体" w:hAnsi="宋体" w:cs="宋体"/>
                <w:b/>
                <w:szCs w:val="21"/>
              </w:rPr>
            </w:pPr>
          </w:p>
        </w:tc>
        <w:tc>
          <w:tcPr>
            <w:tcW w:w="3506" w:type="pct"/>
            <w:vAlign w:val="center"/>
          </w:tcPr>
          <w:p w14:paraId="65B89D2F">
            <w:pPr>
              <w:widowControl/>
              <w:adjustRightInd w:val="0"/>
              <w:snapToGrid w:val="0"/>
              <w:spacing w:line="276" w:lineRule="auto"/>
              <w:jc w:val="left"/>
              <w:rPr>
                <w:rFonts w:hint="eastAsia" w:ascii="宋体" w:hAnsi="宋体" w:cs="宋体"/>
                <w:b/>
                <w:szCs w:val="21"/>
              </w:rPr>
            </w:pPr>
          </w:p>
        </w:tc>
        <w:tc>
          <w:tcPr>
            <w:tcW w:w="869" w:type="pct"/>
            <w:vAlign w:val="center"/>
          </w:tcPr>
          <w:p w14:paraId="7672F4F4">
            <w:pPr>
              <w:widowControl/>
              <w:adjustRightInd w:val="0"/>
              <w:snapToGrid w:val="0"/>
              <w:spacing w:line="276" w:lineRule="auto"/>
              <w:jc w:val="center"/>
              <w:rPr>
                <w:rFonts w:hint="eastAsia" w:ascii="宋体" w:hAnsi="宋体" w:cs="宋体"/>
                <w:b/>
                <w:szCs w:val="21"/>
              </w:rPr>
            </w:pPr>
          </w:p>
        </w:tc>
      </w:tr>
      <w:tr w14:paraId="38F0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3" w:type="pct"/>
            <w:vAlign w:val="center"/>
          </w:tcPr>
          <w:p w14:paraId="4127FD53">
            <w:pPr>
              <w:widowControl/>
              <w:adjustRightInd w:val="0"/>
              <w:snapToGrid w:val="0"/>
              <w:spacing w:line="276" w:lineRule="auto"/>
              <w:jc w:val="center"/>
              <w:rPr>
                <w:rFonts w:hint="eastAsia" w:asciiTheme="minorEastAsia" w:hAnsiTheme="minorEastAsia" w:eastAsiaTheme="minorEastAsia"/>
                <w:szCs w:val="20"/>
              </w:rPr>
            </w:pPr>
          </w:p>
        </w:tc>
        <w:tc>
          <w:tcPr>
            <w:tcW w:w="3506" w:type="pct"/>
            <w:vAlign w:val="center"/>
          </w:tcPr>
          <w:p w14:paraId="35F6F06F">
            <w:pPr>
              <w:rPr>
                <w:rFonts w:hint="eastAsia" w:ascii="宋体" w:hAnsi="宋体" w:cs="微软雅黑"/>
                <w:szCs w:val="21"/>
              </w:rPr>
            </w:pPr>
          </w:p>
        </w:tc>
        <w:tc>
          <w:tcPr>
            <w:tcW w:w="869" w:type="pct"/>
          </w:tcPr>
          <w:p w14:paraId="7766AC63">
            <w:pPr>
              <w:rPr>
                <w:rFonts w:hint="eastAsia" w:ascii="宋体" w:hAnsi="宋体" w:cs="宋体"/>
                <w:b/>
                <w:szCs w:val="21"/>
              </w:rPr>
            </w:pPr>
          </w:p>
        </w:tc>
      </w:tr>
      <w:tr w14:paraId="21BA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3" w:type="pct"/>
            <w:vAlign w:val="center"/>
          </w:tcPr>
          <w:p w14:paraId="54C45A85">
            <w:pPr>
              <w:widowControl/>
              <w:adjustRightInd w:val="0"/>
              <w:snapToGrid w:val="0"/>
              <w:spacing w:line="276" w:lineRule="auto"/>
              <w:jc w:val="center"/>
              <w:rPr>
                <w:rFonts w:hint="eastAsia" w:ascii="宋体" w:hAnsi="宋体" w:cs="微软雅黑"/>
                <w:szCs w:val="21"/>
              </w:rPr>
            </w:pPr>
          </w:p>
        </w:tc>
        <w:tc>
          <w:tcPr>
            <w:tcW w:w="3506" w:type="pct"/>
            <w:vAlign w:val="center"/>
          </w:tcPr>
          <w:p w14:paraId="46991C4A">
            <w:pPr>
              <w:rPr>
                <w:rFonts w:hint="eastAsia" w:asciiTheme="minorEastAsia" w:hAnsiTheme="minorEastAsia"/>
                <w:szCs w:val="20"/>
              </w:rPr>
            </w:pPr>
          </w:p>
        </w:tc>
        <w:tc>
          <w:tcPr>
            <w:tcW w:w="869" w:type="pct"/>
          </w:tcPr>
          <w:p w14:paraId="06B67BDE">
            <w:pPr>
              <w:rPr>
                <w:rFonts w:hint="eastAsia" w:ascii="宋体" w:hAnsi="宋体" w:cs="宋体"/>
                <w:b/>
                <w:szCs w:val="21"/>
              </w:rPr>
            </w:pPr>
          </w:p>
        </w:tc>
      </w:tr>
      <w:tr w14:paraId="123B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3" w:type="pct"/>
            <w:vAlign w:val="center"/>
          </w:tcPr>
          <w:p w14:paraId="5F09104E">
            <w:pPr>
              <w:pBdr>
                <w:top w:val="none" w:color="000000" w:sz="0" w:space="0"/>
                <w:left w:val="none" w:color="000000" w:sz="0" w:space="0"/>
                <w:bottom w:val="none" w:color="000000" w:sz="0" w:space="0"/>
                <w:right w:val="none" w:color="000000" w:sz="0" w:space="0"/>
              </w:pBdr>
              <w:adjustRightInd w:val="0"/>
              <w:jc w:val="center"/>
              <w:rPr>
                <w:rFonts w:hint="eastAsia" w:asciiTheme="minorEastAsia" w:hAnsiTheme="minorEastAsia" w:eastAsiaTheme="minorEastAsia"/>
                <w:szCs w:val="20"/>
              </w:rPr>
            </w:pPr>
          </w:p>
        </w:tc>
        <w:tc>
          <w:tcPr>
            <w:tcW w:w="3506" w:type="pct"/>
            <w:vAlign w:val="center"/>
          </w:tcPr>
          <w:p w14:paraId="3CF98DCC">
            <w:pPr>
              <w:adjustRightInd w:val="0"/>
              <w:rPr>
                <w:rFonts w:hint="eastAsia" w:asciiTheme="minorEastAsia" w:hAnsiTheme="minorEastAsia"/>
                <w:szCs w:val="20"/>
              </w:rPr>
            </w:pPr>
          </w:p>
        </w:tc>
        <w:tc>
          <w:tcPr>
            <w:tcW w:w="869" w:type="pct"/>
          </w:tcPr>
          <w:p w14:paraId="1426092F">
            <w:pPr>
              <w:rPr>
                <w:rFonts w:hint="eastAsia" w:ascii="宋体" w:hAnsi="宋体" w:cs="宋体"/>
                <w:b/>
                <w:szCs w:val="21"/>
              </w:rPr>
            </w:pPr>
          </w:p>
        </w:tc>
      </w:tr>
      <w:tr w14:paraId="1F45B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78" w:type="dxa"/>
            <w:vAlign w:val="center"/>
          </w:tcPr>
          <w:p w14:paraId="5BD5D7D4">
            <w:pPr>
              <w:widowControl/>
              <w:adjustRightInd w:val="0"/>
              <w:snapToGrid w:val="0"/>
              <w:spacing w:line="276" w:lineRule="auto"/>
              <w:jc w:val="center"/>
              <w:rPr>
                <w:szCs w:val="21"/>
              </w:rPr>
            </w:pPr>
          </w:p>
        </w:tc>
        <w:tc>
          <w:tcPr>
            <w:tcW w:w="6623" w:type="dxa"/>
            <w:vAlign w:val="center"/>
          </w:tcPr>
          <w:p w14:paraId="4841BEA7">
            <w:pPr>
              <w:adjustRightInd w:val="0"/>
              <w:snapToGrid w:val="0"/>
              <w:rPr>
                <w:szCs w:val="21"/>
              </w:rPr>
            </w:pPr>
          </w:p>
        </w:tc>
        <w:tc>
          <w:tcPr>
            <w:tcW w:w="1642" w:type="dxa"/>
            <w:vAlign w:val="center"/>
          </w:tcPr>
          <w:p w14:paraId="3A5D6072">
            <w:pPr>
              <w:widowControl/>
              <w:snapToGrid w:val="0"/>
              <w:spacing w:line="420" w:lineRule="exact"/>
              <w:jc w:val="center"/>
              <w:rPr>
                <w:rFonts w:hint="eastAsia" w:ascii="宋体" w:hAnsi="宋体" w:cs="宋体"/>
                <w:b/>
                <w:szCs w:val="21"/>
              </w:rPr>
            </w:pPr>
          </w:p>
        </w:tc>
      </w:tr>
      <w:tr w14:paraId="0374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3" w:type="pct"/>
            <w:vAlign w:val="center"/>
          </w:tcPr>
          <w:p w14:paraId="50627CF8">
            <w:pPr>
              <w:pBdr>
                <w:top w:val="none" w:color="000000" w:sz="0" w:space="0"/>
                <w:left w:val="none" w:color="000000" w:sz="0" w:space="0"/>
                <w:bottom w:val="none" w:color="000000" w:sz="0" w:space="0"/>
                <w:right w:val="none" w:color="000000" w:sz="0" w:space="0"/>
              </w:pBdr>
              <w:adjustRightInd w:val="0"/>
              <w:jc w:val="center"/>
              <w:rPr>
                <w:rFonts w:hint="eastAsia" w:ascii="宋体" w:hAnsi="宋体" w:cs="微软雅黑"/>
                <w:szCs w:val="21"/>
              </w:rPr>
            </w:pPr>
          </w:p>
        </w:tc>
        <w:tc>
          <w:tcPr>
            <w:tcW w:w="3506" w:type="pct"/>
            <w:vAlign w:val="center"/>
          </w:tcPr>
          <w:p w14:paraId="6BD680B1">
            <w:pPr>
              <w:adjustRightInd w:val="0"/>
              <w:rPr>
                <w:rFonts w:hint="eastAsia" w:ascii="宋体" w:hAnsi="宋体" w:cs="微软雅黑"/>
                <w:szCs w:val="21"/>
              </w:rPr>
            </w:pPr>
          </w:p>
        </w:tc>
        <w:tc>
          <w:tcPr>
            <w:tcW w:w="869" w:type="pct"/>
          </w:tcPr>
          <w:p w14:paraId="3081ED2B">
            <w:pPr>
              <w:rPr>
                <w:rFonts w:hint="eastAsia" w:ascii="宋体" w:hAnsi="宋体" w:cs="宋体"/>
                <w:b/>
                <w:szCs w:val="21"/>
              </w:rPr>
            </w:pPr>
          </w:p>
        </w:tc>
      </w:tr>
      <w:tr w14:paraId="3FC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3" w:type="pct"/>
            <w:vAlign w:val="center"/>
          </w:tcPr>
          <w:p w14:paraId="5EDAC95C">
            <w:pPr>
              <w:adjustRightInd w:val="0"/>
              <w:jc w:val="center"/>
              <w:rPr>
                <w:rFonts w:hint="eastAsia" w:ascii="宋体" w:hAnsi="宋体" w:cs="微软雅黑"/>
                <w:szCs w:val="21"/>
              </w:rPr>
            </w:pPr>
          </w:p>
        </w:tc>
        <w:tc>
          <w:tcPr>
            <w:tcW w:w="3506" w:type="pct"/>
            <w:vAlign w:val="center"/>
          </w:tcPr>
          <w:p w14:paraId="22B0A200">
            <w:pPr>
              <w:adjustRightInd w:val="0"/>
            </w:pPr>
          </w:p>
        </w:tc>
        <w:tc>
          <w:tcPr>
            <w:tcW w:w="869" w:type="pct"/>
          </w:tcPr>
          <w:p w14:paraId="755E5A9F">
            <w:pPr>
              <w:rPr>
                <w:rFonts w:hint="eastAsia" w:ascii="宋体" w:hAnsi="宋体" w:cs="宋体"/>
                <w:b/>
                <w:szCs w:val="21"/>
              </w:rPr>
            </w:pPr>
          </w:p>
        </w:tc>
      </w:tr>
    </w:tbl>
    <w:p w14:paraId="27A4E79D">
      <w:pPr>
        <w:rPr>
          <w:rFonts w:hint="eastAsia" w:asciiTheme="minorEastAsia" w:hAnsiTheme="minorEastAsia" w:eastAsiaTheme="minorEastAsia" w:cstheme="minorEastAsia"/>
        </w:rPr>
      </w:pPr>
    </w:p>
    <w:p w14:paraId="62660C72">
      <w:pPr>
        <w:jc w:val="center"/>
        <w:rPr>
          <w:rFonts w:hint="eastAsia"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r>
      <w:bookmarkStart w:id="13" w:name="_Toc489655320"/>
    </w:p>
    <w:p w14:paraId="7FF85AFC">
      <w:pPr>
        <w:pStyle w:val="263"/>
        <w:rPr>
          <w:rFonts w:hint="eastAsia" w:asciiTheme="minorEastAsia" w:hAnsiTheme="minorEastAsia" w:eastAsiaTheme="minorEastAsia" w:cstheme="minorEastAsia"/>
        </w:rPr>
      </w:pPr>
      <w:r>
        <w:rPr>
          <w:rFonts w:hint="eastAsia" w:asciiTheme="minorEastAsia" w:hAnsiTheme="minorEastAsia" w:eastAsiaTheme="minorEastAsia" w:cstheme="minorEastAsia"/>
        </w:rPr>
        <w:t>响应文件主要目录</w:t>
      </w:r>
      <w:bookmarkEnd w:id="12"/>
      <w:bookmarkEnd w:id="13"/>
      <w:r>
        <w:rPr>
          <w:rFonts w:hint="eastAsia" w:asciiTheme="minorEastAsia" w:hAnsiTheme="minorEastAsia" w:eastAsiaTheme="minorEastAsia" w:cstheme="minorEastAsia"/>
        </w:rPr>
        <w:t>及相关证明材料格式、附件</w:t>
      </w:r>
    </w:p>
    <w:p w14:paraId="75C77320">
      <w:pPr>
        <w:rPr>
          <w:rFonts w:hint="eastAsia" w:asciiTheme="minorEastAsia" w:hAnsiTheme="minorEastAsia" w:eastAsiaTheme="minorEastAsia" w:cstheme="minorEastAsia"/>
          <w:sz w:val="28"/>
          <w:szCs w:val="28"/>
        </w:rPr>
      </w:pPr>
    </w:p>
    <w:p w14:paraId="7F987CF2">
      <w:pPr>
        <w:spacing w:line="360" w:lineRule="auto"/>
        <w:ind w:left="2280" w:hanging="7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一、响应申请及声明</w:t>
      </w:r>
    </w:p>
    <w:p w14:paraId="17FE4687">
      <w:pPr>
        <w:spacing w:line="360" w:lineRule="auto"/>
        <w:ind w:left="2280" w:hanging="7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二、法定代表人授权书</w:t>
      </w:r>
    </w:p>
    <w:p w14:paraId="10E47134">
      <w:pPr>
        <w:spacing w:line="360" w:lineRule="auto"/>
        <w:ind w:left="2280" w:hanging="7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三、响应一览表</w:t>
      </w:r>
    </w:p>
    <w:p w14:paraId="26D7884C">
      <w:pPr>
        <w:spacing w:line="360" w:lineRule="auto"/>
        <w:ind w:left="2280" w:hanging="7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四、资格证明文件</w:t>
      </w:r>
    </w:p>
    <w:p w14:paraId="35948C20">
      <w:pPr>
        <w:spacing w:line="360" w:lineRule="auto"/>
        <w:ind w:left="2280" w:hanging="7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五、分项报价表</w:t>
      </w:r>
    </w:p>
    <w:p w14:paraId="1ED06A2A">
      <w:pPr>
        <w:spacing w:line="360" w:lineRule="auto"/>
        <w:ind w:left="2280" w:hanging="7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六、技术条款偏离表</w:t>
      </w:r>
    </w:p>
    <w:p w14:paraId="3C858C20">
      <w:pPr>
        <w:spacing w:line="360" w:lineRule="auto"/>
        <w:ind w:left="2280" w:hanging="7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七、商务条款偏离表</w:t>
      </w:r>
    </w:p>
    <w:p w14:paraId="6A5D6A4F">
      <w:pPr>
        <w:spacing w:line="360" w:lineRule="auto"/>
        <w:ind w:left="2280" w:hanging="7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八、服务方案</w:t>
      </w:r>
    </w:p>
    <w:p w14:paraId="1CC44BDE">
      <w:pPr>
        <w:spacing w:line="360" w:lineRule="auto"/>
        <w:ind w:left="2280" w:hanging="7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九、响应需要的其他证明文件及材料(若有)</w:t>
      </w:r>
    </w:p>
    <w:p w14:paraId="319F3E18">
      <w:pPr>
        <w:spacing w:line="360" w:lineRule="auto"/>
        <w:rPr>
          <w:rFonts w:hint="eastAsia" w:asciiTheme="minorEastAsia" w:hAnsiTheme="minorEastAsia" w:eastAsiaTheme="minorEastAsia" w:cstheme="minorEastAsia"/>
          <w:sz w:val="28"/>
          <w:szCs w:val="28"/>
        </w:rPr>
      </w:pPr>
    </w:p>
    <w:p w14:paraId="451DEC45">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附件一、无重大违法记录声明格式；</w:t>
      </w:r>
    </w:p>
    <w:p w14:paraId="27FDECD5">
      <w:pPr>
        <w:spacing w:line="360" w:lineRule="auto"/>
        <w:ind w:left="1679" w:leftChars="266" w:hanging="1120" w:hangingChars="400"/>
        <w:jc w:val="left"/>
        <w:rPr>
          <w:rFonts w:hint="eastAsia" w:ascii="宋体" w:hAnsi="宋体"/>
          <w:sz w:val="28"/>
          <w:szCs w:val="28"/>
        </w:rPr>
      </w:pPr>
      <w:r>
        <w:rPr>
          <w:rFonts w:hint="eastAsia" w:ascii="宋体" w:hAnsi="宋体"/>
          <w:sz w:val="28"/>
          <w:szCs w:val="28"/>
        </w:rPr>
        <w:t>附件二、具备履行合同所必需的设备和专业技术能力的声明格式及证明材料。</w:t>
      </w:r>
    </w:p>
    <w:p w14:paraId="53737215">
      <w:pPr>
        <w:spacing w:line="360" w:lineRule="auto"/>
        <w:ind w:left="2941" w:leftChars="267" w:hanging="2380" w:hangingChars="85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附件三、承诺书</w:t>
      </w:r>
    </w:p>
    <w:p w14:paraId="0EEC6D25">
      <w:pP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23CBEE">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目录一、响应申请及声明格式</w:t>
      </w:r>
    </w:p>
    <w:p w14:paraId="3B5338BC">
      <w:pPr>
        <w:pStyle w:val="265"/>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响应申请及声明</w:t>
      </w:r>
    </w:p>
    <w:p w14:paraId="02B464E2">
      <w:pPr>
        <w:pStyle w:val="16"/>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5D8EEABF">
      <w:pPr>
        <w:pStyle w:val="16"/>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根据贵方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)响应邀请，正式授权下述签字人(姓名和职务)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代表供应商(供应商名称)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，提交响应文件。</w:t>
      </w:r>
    </w:p>
    <w:p w14:paraId="4ED08784">
      <w:pPr>
        <w:pStyle w:val="16"/>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据此函，签字人兹宣布声明和承诺如下：</w:t>
      </w:r>
    </w:p>
    <w:p w14:paraId="30EBB389">
      <w:pPr>
        <w:pStyle w:val="16"/>
        <w:numPr>
          <w:ilvl w:val="0"/>
          <w:numId w:val="52"/>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b/>
        </w:rPr>
        <w:t>我们的资格条件完全符合本次采购要求</w:t>
      </w:r>
      <w:r>
        <w:rPr>
          <w:rFonts w:hint="eastAsia" w:asciiTheme="minorEastAsia" w:hAnsiTheme="minorEastAsia" w:eastAsiaTheme="minorEastAsia" w:cstheme="minorEastAsia"/>
        </w:rPr>
        <w:t>，我们同意并向贵方提供了与响应有关的所有证据和资料。</w:t>
      </w:r>
    </w:p>
    <w:p w14:paraId="5D536DC7">
      <w:pPr>
        <w:pStyle w:val="16"/>
        <w:numPr>
          <w:ilvl w:val="0"/>
          <w:numId w:val="52"/>
        </w:numPr>
        <w:ind w:firstLineChars="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按采购要求，我们的响应报价为：</w:t>
      </w:r>
      <w:r>
        <w:rPr>
          <w:rFonts w:hint="eastAsia" w:asciiTheme="minorEastAsia" w:hAnsiTheme="minorEastAsia" w:eastAsiaTheme="minorEastAsia" w:cstheme="minorEastAsia"/>
          <w:b/>
          <w:u w:val="single"/>
        </w:rPr>
        <w:t>(大写)人民币          (小写：       元人民币)</w:t>
      </w:r>
      <w:r>
        <w:rPr>
          <w:rFonts w:hint="eastAsia" w:asciiTheme="minorEastAsia" w:hAnsiTheme="minorEastAsia" w:eastAsiaTheme="minorEastAsia" w:cstheme="minorEastAsia"/>
          <w:b/>
        </w:rPr>
        <w:t>。</w:t>
      </w:r>
    </w:p>
    <w:p w14:paraId="64A7516B">
      <w:pPr>
        <w:pStyle w:val="16"/>
        <w:numPr>
          <w:ilvl w:val="0"/>
          <w:numId w:val="52"/>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rPr>
        <w:t>不对采购文件本身提出质疑</w:t>
      </w:r>
      <w:r>
        <w:rPr>
          <w:rFonts w:hint="eastAsia" w:asciiTheme="minorEastAsia" w:hAnsiTheme="minorEastAsia" w:eastAsiaTheme="minorEastAsia" w:cstheme="minorEastAsia"/>
        </w:rPr>
        <w:t>。</w:t>
      </w:r>
    </w:p>
    <w:p w14:paraId="01EB65D1">
      <w:pPr>
        <w:pStyle w:val="16"/>
        <w:numPr>
          <w:ilvl w:val="0"/>
          <w:numId w:val="52"/>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我们同意从规定的响应文件开启日期起遵循本响应文件，并在规定的响应有效期期满之前均具有约束力。</w:t>
      </w:r>
    </w:p>
    <w:p w14:paraId="3EADC4A3">
      <w:pPr>
        <w:pStyle w:val="16"/>
        <w:numPr>
          <w:ilvl w:val="0"/>
          <w:numId w:val="52"/>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一旦我方成交，我方将根据采购文件的规定严格履行合同，并保证于承诺的时间完成项目的启动等服务，交付采购人验收。</w:t>
      </w:r>
    </w:p>
    <w:p w14:paraId="2B5D8686">
      <w:pPr>
        <w:pStyle w:val="16"/>
        <w:numPr>
          <w:ilvl w:val="0"/>
          <w:numId w:val="52"/>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DFE7CF9">
      <w:pPr>
        <w:pStyle w:val="16"/>
        <w:numPr>
          <w:ilvl w:val="0"/>
          <w:numId w:val="52"/>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与本次响应有关的正式联系方式为：</w:t>
      </w:r>
    </w:p>
    <w:p w14:paraId="670D426F">
      <w:pPr>
        <w:pStyle w:val="16"/>
        <w:ind w:firstLine="48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地址：</w:t>
      </w:r>
    </w:p>
    <w:p w14:paraId="02BA7E56">
      <w:pPr>
        <w:pStyle w:val="16"/>
        <w:ind w:firstLine="48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电话：</w:t>
      </w:r>
    </w:p>
    <w:p w14:paraId="478D4CD5">
      <w:pPr>
        <w:pStyle w:val="16"/>
        <w:ind w:firstLine="48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传真：</w:t>
      </w:r>
    </w:p>
    <w:p w14:paraId="12C96BF0">
      <w:pPr>
        <w:pStyle w:val="16"/>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开户银行：</w:t>
      </w:r>
    </w:p>
    <w:p w14:paraId="543E9786">
      <w:pPr>
        <w:pStyle w:val="16"/>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银行账号：</w:t>
      </w:r>
    </w:p>
    <w:p w14:paraId="0047D882">
      <w:pPr>
        <w:autoSpaceDE w:val="0"/>
        <w:autoSpaceDN w:val="0"/>
        <w:adjustRightInd w:val="0"/>
        <w:spacing w:line="360" w:lineRule="auto"/>
        <w:ind w:firstLine="420"/>
        <w:rPr>
          <w:rFonts w:hint="eastAsia" w:asciiTheme="minorEastAsia" w:hAnsiTheme="minorEastAsia" w:eastAsiaTheme="minorEastAsia" w:cstheme="minorEastAsia"/>
          <w:sz w:val="24"/>
          <w:szCs w:val="21"/>
          <w:u w:val="single"/>
          <w:lang w:val="zh-CN"/>
        </w:rPr>
      </w:pPr>
      <w:r>
        <w:rPr>
          <w:rFonts w:hint="eastAsia" w:asciiTheme="minorEastAsia" w:hAnsiTheme="minorEastAsia" w:eastAsiaTheme="minorEastAsia" w:cstheme="minorEastAsia"/>
          <w:sz w:val="24"/>
          <w:szCs w:val="21"/>
          <w:lang w:val="zh-CN"/>
        </w:rPr>
        <w:t>供应商授权代表姓名(签字)：</w:t>
      </w:r>
    </w:p>
    <w:p w14:paraId="5F49AB1F">
      <w:pPr>
        <w:autoSpaceDE w:val="0"/>
        <w:autoSpaceDN w:val="0"/>
        <w:adjustRightInd w:val="0"/>
        <w:spacing w:line="360" w:lineRule="auto"/>
        <w:ind w:firstLine="420"/>
        <w:rPr>
          <w:rFonts w:hint="eastAsia"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2836B16F">
      <w:pPr>
        <w:autoSpaceDE w:val="0"/>
        <w:autoSpaceDN w:val="0"/>
        <w:adjustRightInd w:val="0"/>
        <w:spacing w:line="360" w:lineRule="auto"/>
        <w:ind w:firstLine="420"/>
        <w:rPr>
          <w:rFonts w:hint="eastAsia" w:asciiTheme="minorEastAsia" w:hAnsiTheme="minorEastAsia" w:eastAsiaTheme="minorEastAsia" w:cstheme="minorEastAsia"/>
          <w:b/>
          <w:sz w:val="24"/>
          <w:szCs w:val="21"/>
          <w:lang w:val="zh-CN"/>
        </w:rPr>
      </w:pPr>
      <w:r>
        <w:rPr>
          <w:rFonts w:hint="eastAsia" w:asciiTheme="minorEastAsia" w:hAnsiTheme="minorEastAsia" w:eastAsiaTheme="minorEastAsia" w:cstheme="minorEastAsia"/>
          <w:sz w:val="24"/>
          <w:szCs w:val="21"/>
          <w:lang w:val="zh-CN"/>
        </w:rPr>
        <w:t>日期：</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年</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月</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日</w:t>
      </w:r>
    </w:p>
    <w:p w14:paraId="5541CA23">
      <w:pPr>
        <w:jc w:val="left"/>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57F4803F">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目录二、法定代表人授权书格式</w:t>
      </w:r>
    </w:p>
    <w:p w14:paraId="59E8E16E">
      <w:pPr>
        <w:pStyle w:val="265"/>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法定代表人授权委托书</w:t>
      </w:r>
    </w:p>
    <w:p w14:paraId="561D0C0E">
      <w:pPr>
        <w:pStyle w:val="16"/>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33645FC9">
      <w:pPr>
        <w:pStyle w:val="16"/>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本授权书声明：注册于(供应商住址)</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的(供应商名称)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法定代表人(法定代表人姓名、职务)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代表本公司授权在下面签字的(供应商代表姓名、职务)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 xml:space="preserve">为本公司的合法代理人，就贵方组织的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(项目编号)进行响应，以本公司名义处理一切与之有关的事务。</w:t>
      </w:r>
    </w:p>
    <w:p w14:paraId="2CBB6EAC">
      <w:pPr>
        <w:pStyle w:val="16"/>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本授权书于</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签字生效，特此声明。</w:t>
      </w:r>
    </w:p>
    <w:p w14:paraId="2D918F5B">
      <w:pPr>
        <w:adjustRightInd w:val="0"/>
        <w:spacing w:line="360" w:lineRule="auto"/>
        <w:ind w:firstLine="408"/>
        <w:jc w:val="left"/>
        <w:rPr>
          <w:rFonts w:hint="eastAsia" w:asciiTheme="minorEastAsia" w:hAnsiTheme="minorEastAsia" w:eastAsiaTheme="minorEastAsia" w:cstheme="minorEastAsia"/>
          <w:szCs w:val="21"/>
          <w:lang w:val="zh-CN"/>
        </w:rPr>
      </w:pPr>
    </w:p>
    <w:p w14:paraId="44356BDA">
      <w:pPr>
        <w:adjustRightInd w:val="0"/>
        <w:spacing w:line="360" w:lineRule="auto"/>
        <w:ind w:firstLine="480" w:firstLineChars="200"/>
        <w:jc w:val="left"/>
        <w:rPr>
          <w:rFonts w:hint="eastAsia"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法定代表人(签字)：</w:t>
      </w:r>
    </w:p>
    <w:p w14:paraId="50776336">
      <w:pPr>
        <w:adjustRightInd w:val="0"/>
        <w:spacing w:line="360" w:lineRule="auto"/>
        <w:ind w:firstLine="480" w:firstLineChars="200"/>
        <w:jc w:val="left"/>
        <w:rPr>
          <w:rFonts w:hint="eastAsia"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授权委托人(签字)：</w:t>
      </w:r>
    </w:p>
    <w:p w14:paraId="0F25E05E">
      <w:pPr>
        <w:tabs>
          <w:tab w:val="left" w:pos="1440"/>
        </w:tabs>
        <w:adjustRightInd w:val="0"/>
        <w:spacing w:line="360" w:lineRule="auto"/>
        <w:ind w:firstLine="420"/>
        <w:jc w:val="left"/>
        <w:rPr>
          <w:rFonts w:hint="eastAsia"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日期：年 月 日</w:t>
      </w:r>
    </w:p>
    <w:p w14:paraId="3B1D3025">
      <w:pPr>
        <w:tabs>
          <w:tab w:val="left" w:pos="1440"/>
        </w:tabs>
        <w:adjustRightInd w:val="0"/>
        <w:spacing w:line="360" w:lineRule="auto"/>
        <w:ind w:firstLine="420"/>
        <w:jc w:val="left"/>
        <w:rPr>
          <w:rFonts w:hint="eastAsia" w:asciiTheme="minorEastAsia" w:hAnsiTheme="minorEastAsia" w:eastAsiaTheme="minorEastAsia" w:cstheme="minorEastAsia"/>
          <w:szCs w:val="21"/>
          <w:lang w:val="zh-CN"/>
        </w:rPr>
      </w:pPr>
    </w:p>
    <w:p w14:paraId="69CCC58B">
      <w:pPr>
        <w:spacing w:line="480" w:lineRule="auto"/>
        <w:rPr>
          <w:rFonts w:cs="Microsoft New Tai Lue"/>
        </w:rPr>
      </w:pPr>
      <w:r>
        <w:rPr>
          <w:rFonts w:hint="eastAsia"/>
          <w:szCs w:val="21"/>
        </w:rPr>
        <w:t>附：法定代表人(单位负责人)有效期内的</w:t>
      </w:r>
      <w:r>
        <w:rPr>
          <w:rFonts w:cs="Microsoft New Tai Lue"/>
        </w:rPr>
        <w:t>身份证复印件</w:t>
      </w:r>
      <w:r>
        <w:rPr>
          <w:rFonts w:hint="eastAsia" w:cs="Microsoft New Tai Lue"/>
        </w:rPr>
        <w:t>(</w:t>
      </w:r>
      <w:r>
        <w:rPr>
          <w:rFonts w:cs="Microsoft New Tai Lue"/>
        </w:rPr>
        <w:t>正反面</w:t>
      </w:r>
      <w:r>
        <w:rPr>
          <w:rFonts w:hint="eastAsia" w:cs="Microsoft New Tai Lue"/>
        </w:rPr>
        <w:t>)</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770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6FC357FC">
            <w:pPr>
              <w:pStyle w:val="16"/>
              <w:spacing w:line="300" w:lineRule="exact"/>
              <w:ind w:firstLine="0" w:firstLineChars="0"/>
              <w:jc w:val="center"/>
              <w:rPr>
                <w:i/>
                <w:sz w:val="20"/>
              </w:rPr>
            </w:pPr>
            <w:r>
              <w:rPr>
                <w:i/>
              </w:rPr>
              <w:t>身份证正面</w:t>
            </w:r>
          </w:p>
        </w:tc>
        <w:tc>
          <w:tcPr>
            <w:tcW w:w="284" w:type="dxa"/>
            <w:tcBorders>
              <w:top w:val="nil"/>
              <w:bottom w:val="nil"/>
            </w:tcBorders>
          </w:tcPr>
          <w:p w14:paraId="34134D5E">
            <w:pPr>
              <w:widowControl/>
              <w:spacing w:line="300" w:lineRule="exact"/>
              <w:jc w:val="left"/>
              <w:rPr>
                <w:sz w:val="20"/>
              </w:rPr>
            </w:pPr>
          </w:p>
        </w:tc>
        <w:tc>
          <w:tcPr>
            <w:tcW w:w="3868" w:type="dxa"/>
            <w:vAlign w:val="center"/>
          </w:tcPr>
          <w:p w14:paraId="638BDB80">
            <w:pPr>
              <w:widowControl/>
              <w:spacing w:line="300" w:lineRule="exact"/>
              <w:jc w:val="center"/>
              <w:rPr>
                <w:sz w:val="20"/>
              </w:rPr>
            </w:pPr>
            <w:r>
              <w:rPr>
                <w:i/>
                <w:sz w:val="24"/>
              </w:rPr>
              <w:t>身份证反面</w:t>
            </w:r>
          </w:p>
        </w:tc>
      </w:tr>
    </w:tbl>
    <w:p w14:paraId="05F1D034">
      <w:pPr>
        <w:spacing w:line="480" w:lineRule="auto"/>
        <w:rPr>
          <w:rFonts w:cs="Microsoft New Tai Lue"/>
        </w:rPr>
      </w:pPr>
      <w:r>
        <w:rPr>
          <w:szCs w:val="21"/>
        </w:rPr>
        <w:t>授权代表</w:t>
      </w:r>
      <w:r>
        <w:rPr>
          <w:rFonts w:hint="eastAsia"/>
          <w:szCs w:val="21"/>
        </w:rPr>
        <w:t>有效期内的身份证复印件</w:t>
      </w:r>
      <w:r>
        <w:rPr>
          <w:rFonts w:hint="eastAsia" w:cs="Microsoft New Tai Lue"/>
        </w:rPr>
        <w:t>(</w:t>
      </w:r>
      <w:r>
        <w:rPr>
          <w:rFonts w:cs="Microsoft New Tai Lue"/>
        </w:rPr>
        <w:t>正反面</w:t>
      </w:r>
      <w:r>
        <w:rPr>
          <w:rFonts w:hint="eastAsia" w:cs="Microsoft New Tai Lue"/>
        </w:rPr>
        <w:t>)</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2EA4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28CD0C0C">
            <w:pPr>
              <w:pStyle w:val="16"/>
              <w:spacing w:line="300" w:lineRule="exact"/>
              <w:ind w:firstLine="0" w:firstLineChars="0"/>
              <w:jc w:val="center"/>
              <w:rPr>
                <w:i/>
                <w:sz w:val="20"/>
              </w:rPr>
            </w:pPr>
            <w:r>
              <w:rPr>
                <w:i/>
              </w:rPr>
              <w:t>身份证正面</w:t>
            </w:r>
          </w:p>
        </w:tc>
        <w:tc>
          <w:tcPr>
            <w:tcW w:w="278" w:type="dxa"/>
            <w:tcBorders>
              <w:top w:val="nil"/>
              <w:bottom w:val="nil"/>
            </w:tcBorders>
          </w:tcPr>
          <w:p w14:paraId="5D53E1D4">
            <w:pPr>
              <w:widowControl/>
              <w:spacing w:line="300" w:lineRule="exact"/>
              <w:jc w:val="left"/>
              <w:rPr>
                <w:sz w:val="20"/>
              </w:rPr>
            </w:pPr>
          </w:p>
        </w:tc>
        <w:tc>
          <w:tcPr>
            <w:tcW w:w="3881" w:type="dxa"/>
            <w:vAlign w:val="center"/>
          </w:tcPr>
          <w:p w14:paraId="760B6811">
            <w:pPr>
              <w:widowControl/>
              <w:spacing w:line="300" w:lineRule="exact"/>
              <w:jc w:val="center"/>
              <w:rPr>
                <w:sz w:val="20"/>
              </w:rPr>
            </w:pPr>
            <w:r>
              <w:rPr>
                <w:i/>
                <w:sz w:val="24"/>
              </w:rPr>
              <w:t>身份证反面</w:t>
            </w:r>
          </w:p>
        </w:tc>
      </w:tr>
    </w:tbl>
    <w:p w14:paraId="6DCAC713">
      <w:pPr>
        <w:tabs>
          <w:tab w:val="left" w:pos="1440"/>
        </w:tabs>
        <w:adjustRightInd w:val="0"/>
        <w:spacing w:line="360" w:lineRule="auto"/>
        <w:ind w:firstLine="420"/>
        <w:jc w:val="left"/>
        <w:rPr>
          <w:rFonts w:hint="eastAsia" w:asciiTheme="minorEastAsia" w:hAnsiTheme="minorEastAsia" w:eastAsiaTheme="minorEastAsia" w:cstheme="minorEastAsia"/>
          <w:szCs w:val="21"/>
        </w:rPr>
      </w:pPr>
    </w:p>
    <w:p w14:paraId="17440FCD">
      <w:pPr>
        <w:tabs>
          <w:tab w:val="left" w:pos="1440"/>
        </w:tabs>
        <w:adjustRightInd w:val="0"/>
        <w:spacing w:line="360" w:lineRule="auto"/>
        <w:jc w:val="left"/>
        <w:rPr>
          <w:rFonts w:hint="eastAsia"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rPr>
        <w:t>供应商或分支机构近半年内任意一个月为</w:t>
      </w:r>
      <w:r>
        <w:rPr>
          <w:rFonts w:hint="eastAsia" w:asciiTheme="minorEastAsia" w:hAnsiTheme="minorEastAsia" w:eastAsiaTheme="minorEastAsia" w:cstheme="minorEastAsia"/>
          <w:b/>
          <w:bCs/>
          <w:sz w:val="24"/>
          <w:szCs w:val="21"/>
          <w:lang w:val="zh-CN"/>
        </w:rPr>
        <w:t>授权委托人</w:t>
      </w:r>
      <w:r>
        <w:rPr>
          <w:rFonts w:hint="eastAsia" w:asciiTheme="minorEastAsia" w:hAnsiTheme="minorEastAsia" w:eastAsiaTheme="minorEastAsia" w:cstheme="minorEastAsia"/>
          <w:b/>
          <w:bCs/>
          <w:sz w:val="24"/>
          <w:szCs w:val="21"/>
        </w:rPr>
        <w:t>缴纳社保的证明：</w:t>
      </w:r>
    </w:p>
    <w:p w14:paraId="291EF488">
      <w:pPr>
        <w:tabs>
          <w:tab w:val="left" w:pos="1440"/>
        </w:tabs>
        <w:adjustRightInd w:val="0"/>
        <w:spacing w:line="360" w:lineRule="auto"/>
        <w:ind w:firstLine="420"/>
        <w:jc w:val="left"/>
        <w:rPr>
          <w:rFonts w:hint="eastAsia" w:asciiTheme="minorEastAsia" w:hAnsiTheme="minorEastAsia" w:eastAsiaTheme="minorEastAsia" w:cstheme="minorEastAsia"/>
          <w:szCs w:val="21"/>
          <w:lang w:val="zh-CN"/>
        </w:rPr>
      </w:pPr>
    </w:p>
    <w:p w14:paraId="2397BCB5">
      <w:pPr>
        <w:tabs>
          <w:tab w:val="left" w:pos="1440"/>
        </w:tabs>
        <w:adjustRightInd w:val="0"/>
        <w:spacing w:line="360" w:lineRule="auto"/>
        <w:ind w:firstLine="420"/>
        <w:jc w:val="left"/>
        <w:rPr>
          <w:rFonts w:hint="eastAsia" w:asciiTheme="minorEastAsia" w:hAnsiTheme="minorEastAsia" w:eastAsiaTheme="minorEastAsia" w:cstheme="minorEastAsia"/>
          <w:szCs w:val="21"/>
          <w:lang w:val="zh-CN"/>
        </w:rPr>
      </w:pPr>
    </w:p>
    <w:p w14:paraId="0F2F212E">
      <w:pP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E18A8BF">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目录三、响应一览表格式</w:t>
      </w:r>
    </w:p>
    <w:p w14:paraId="330E625B">
      <w:pPr>
        <w:pStyle w:val="265"/>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响应一览表</w:t>
      </w:r>
    </w:p>
    <w:p w14:paraId="49E01506">
      <w:pPr>
        <w:pStyle w:val="33"/>
      </w:pPr>
      <w:r>
        <w:rPr>
          <w:rFonts w:hint="eastAsia"/>
        </w:rPr>
        <w:t>(</w:t>
      </w:r>
      <w:r>
        <w:t>请将</w:t>
      </w:r>
      <w:r>
        <w:rPr>
          <w:rFonts w:hint="eastAsia"/>
        </w:rPr>
        <w:t>响应</w:t>
      </w:r>
      <w:r>
        <w:t>一览表放置于响应文件首页</w:t>
      </w:r>
      <w:r>
        <w:rPr>
          <w:rFonts w:hint="eastAsia"/>
        </w:rPr>
        <w:t>)</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2E8F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34936A76">
            <w:pPr>
              <w:pStyle w:val="12"/>
              <w:spacing w:line="440" w:lineRule="exact"/>
              <w:ind w:firstLine="0"/>
              <w:jc w:val="center"/>
              <w:rPr>
                <w:rFonts w:hint="eastAsia" w:ascii="宋体" w:hAnsi="宋体" w:cs="宋体"/>
              </w:rPr>
            </w:pPr>
            <w:r>
              <w:rPr>
                <w:rFonts w:hint="eastAsia" w:ascii="宋体" w:hAnsi="宋体" w:cs="宋体"/>
              </w:rPr>
              <w:t>项目名称</w:t>
            </w:r>
          </w:p>
        </w:tc>
        <w:tc>
          <w:tcPr>
            <w:tcW w:w="5670" w:type="dxa"/>
            <w:vAlign w:val="center"/>
          </w:tcPr>
          <w:p w14:paraId="1667FE32">
            <w:pPr>
              <w:rPr>
                <w:rFonts w:hint="eastAsia" w:ascii="宋体" w:hAnsi="宋体" w:cs="宋体"/>
                <w:sz w:val="24"/>
                <w:szCs w:val="20"/>
              </w:rPr>
            </w:pPr>
          </w:p>
        </w:tc>
      </w:tr>
      <w:tr w14:paraId="1DC7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5388823F">
            <w:pPr>
              <w:pStyle w:val="12"/>
              <w:spacing w:line="440" w:lineRule="exact"/>
              <w:ind w:firstLine="0"/>
              <w:jc w:val="center"/>
              <w:rPr>
                <w:rFonts w:hint="eastAsia" w:ascii="宋体" w:hAnsi="宋体" w:cs="宋体"/>
              </w:rPr>
            </w:pPr>
            <w:r>
              <w:rPr>
                <w:rFonts w:hint="eastAsia" w:ascii="宋体" w:hAnsi="宋体" w:cs="宋体"/>
              </w:rPr>
              <w:t>项目编号</w:t>
            </w:r>
          </w:p>
        </w:tc>
        <w:tc>
          <w:tcPr>
            <w:tcW w:w="5670" w:type="dxa"/>
            <w:vAlign w:val="center"/>
          </w:tcPr>
          <w:p w14:paraId="36F98746">
            <w:pPr>
              <w:rPr>
                <w:rFonts w:hint="eastAsia" w:ascii="宋体" w:hAnsi="宋体" w:cs="宋体"/>
                <w:sz w:val="24"/>
                <w:szCs w:val="20"/>
              </w:rPr>
            </w:pPr>
          </w:p>
        </w:tc>
      </w:tr>
      <w:tr w14:paraId="0DD5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04DB2533">
            <w:pPr>
              <w:pStyle w:val="12"/>
              <w:spacing w:line="440" w:lineRule="exact"/>
              <w:ind w:firstLine="0"/>
              <w:jc w:val="center"/>
              <w:rPr>
                <w:bCs/>
              </w:rPr>
            </w:pPr>
            <w:r>
              <w:rPr>
                <w:rFonts w:hint="eastAsia" w:ascii="宋体" w:hAnsi="宋体" w:cs="宋体"/>
              </w:rPr>
              <w:t>响应总价：</w:t>
            </w:r>
          </w:p>
        </w:tc>
        <w:tc>
          <w:tcPr>
            <w:tcW w:w="5670" w:type="dxa"/>
            <w:vAlign w:val="center"/>
          </w:tcPr>
          <w:p w14:paraId="662ECA20">
            <w:pPr>
              <w:rPr>
                <w:sz w:val="24"/>
                <w:szCs w:val="20"/>
              </w:rPr>
            </w:pPr>
            <w:r>
              <w:rPr>
                <w:rFonts w:hint="eastAsia" w:ascii="宋体" w:hAnsi="宋体" w:cs="宋体"/>
                <w:sz w:val="24"/>
                <w:szCs w:val="20"/>
              </w:rPr>
              <w:t xml:space="preserve">小写：                   </w:t>
            </w:r>
          </w:p>
          <w:p w14:paraId="2C0D1B19">
            <w:pPr>
              <w:rPr>
                <w:sz w:val="24"/>
                <w:szCs w:val="20"/>
              </w:rPr>
            </w:pPr>
            <w:r>
              <w:rPr>
                <w:rFonts w:hint="eastAsia" w:ascii="宋体" w:hAnsi="宋体" w:cs="宋体"/>
                <w:sz w:val="24"/>
                <w:szCs w:val="20"/>
              </w:rPr>
              <w:t xml:space="preserve">大写：           人民币 </w:t>
            </w:r>
          </w:p>
        </w:tc>
      </w:tr>
      <w:tr w14:paraId="672D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3C549013">
            <w:pPr>
              <w:pStyle w:val="12"/>
              <w:spacing w:line="440" w:lineRule="exact"/>
              <w:ind w:firstLine="0"/>
              <w:jc w:val="center"/>
              <w:rPr>
                <w:rFonts w:hint="eastAsia" w:ascii="宋体" w:hAnsi="宋体" w:cs="宋体"/>
              </w:rPr>
            </w:pPr>
            <w:r>
              <w:rPr>
                <w:rFonts w:hint="eastAsia" w:ascii="宋体" w:hAnsi="宋体" w:cs="宋体"/>
              </w:rPr>
              <w:t>品牌</w:t>
            </w:r>
          </w:p>
        </w:tc>
        <w:tc>
          <w:tcPr>
            <w:tcW w:w="5670" w:type="dxa"/>
            <w:vAlign w:val="center"/>
          </w:tcPr>
          <w:p w14:paraId="27D20114">
            <w:pPr>
              <w:rPr>
                <w:rFonts w:hint="eastAsia" w:ascii="宋体" w:hAnsi="宋体" w:cs="宋体"/>
                <w:sz w:val="24"/>
                <w:szCs w:val="20"/>
              </w:rPr>
            </w:pPr>
          </w:p>
        </w:tc>
      </w:tr>
      <w:tr w14:paraId="6FF4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4B6BA3A9">
            <w:pPr>
              <w:pStyle w:val="12"/>
              <w:spacing w:line="440" w:lineRule="exact"/>
              <w:ind w:firstLine="0"/>
              <w:jc w:val="center"/>
              <w:rPr>
                <w:rFonts w:hint="eastAsia" w:ascii="宋体" w:hAnsi="宋体" w:cs="宋体"/>
              </w:rPr>
            </w:pPr>
            <w:r>
              <w:rPr>
                <w:rFonts w:hint="eastAsia" w:ascii="宋体" w:hAnsi="宋体" w:cs="宋体"/>
              </w:rPr>
              <w:t>合同履行期限：</w:t>
            </w:r>
          </w:p>
        </w:tc>
        <w:tc>
          <w:tcPr>
            <w:tcW w:w="5670" w:type="dxa"/>
            <w:vAlign w:val="center"/>
          </w:tcPr>
          <w:p w14:paraId="7B726E0C">
            <w:pPr>
              <w:rPr>
                <w:rFonts w:hint="eastAsia" w:ascii="宋体" w:hAnsi="宋体" w:cs="宋体"/>
                <w:sz w:val="24"/>
                <w:szCs w:val="20"/>
              </w:rPr>
            </w:pPr>
          </w:p>
        </w:tc>
      </w:tr>
      <w:tr w14:paraId="46FB3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31435D15">
            <w:pPr>
              <w:pStyle w:val="12"/>
              <w:spacing w:line="440" w:lineRule="exact"/>
              <w:ind w:firstLine="0"/>
              <w:jc w:val="center"/>
              <w:rPr>
                <w:rFonts w:hint="eastAsia" w:ascii="宋体" w:hAnsi="宋体" w:cs="宋体"/>
              </w:rPr>
            </w:pPr>
            <w:r>
              <w:rPr>
                <w:rFonts w:hint="eastAsia" w:ascii="宋体" w:hAnsi="宋体" w:cs="宋体"/>
              </w:rPr>
              <w:t>免费质保期</w:t>
            </w:r>
          </w:p>
        </w:tc>
        <w:tc>
          <w:tcPr>
            <w:tcW w:w="5670" w:type="dxa"/>
            <w:vAlign w:val="center"/>
          </w:tcPr>
          <w:p w14:paraId="0B8241C6">
            <w:pPr>
              <w:rPr>
                <w:rFonts w:hint="eastAsia" w:ascii="宋体" w:hAnsi="宋体" w:cs="宋体"/>
                <w:sz w:val="24"/>
                <w:szCs w:val="20"/>
              </w:rPr>
            </w:pPr>
          </w:p>
        </w:tc>
      </w:tr>
    </w:tbl>
    <w:p w14:paraId="303C89F1">
      <w:pPr>
        <w:pStyle w:val="15"/>
        <w:rPr>
          <w:b/>
          <w:bCs/>
        </w:rPr>
      </w:pPr>
    </w:p>
    <w:p w14:paraId="14270DEA">
      <w:pPr>
        <w:pStyle w:val="15"/>
        <w:rPr>
          <w:b/>
          <w:bCs/>
        </w:rPr>
      </w:pPr>
    </w:p>
    <w:p w14:paraId="394D8188">
      <w:pPr>
        <w:pStyle w:val="15"/>
        <w:rPr>
          <w:b/>
          <w:bCs/>
        </w:rPr>
      </w:pPr>
    </w:p>
    <w:p w14:paraId="6D6F1FBC">
      <w:pPr>
        <w:widowControl/>
        <w:spacing w:line="360" w:lineRule="auto"/>
        <w:rPr>
          <w:rFonts w:hint="eastAsia" w:ascii="宋体" w:hAnsi="宋体" w:cs="宋体"/>
          <w:sz w:val="24"/>
        </w:rPr>
      </w:pPr>
      <w:r>
        <w:rPr>
          <w:rFonts w:hint="eastAsia" w:ascii="宋体" w:hAnsi="宋体" w:cs="宋体"/>
          <w:sz w:val="24"/>
        </w:rPr>
        <w:t>供应商授权代表姓名(签字)：</w:t>
      </w:r>
    </w:p>
    <w:p w14:paraId="5B216DA0">
      <w:pPr>
        <w:widowControl/>
        <w:spacing w:line="360" w:lineRule="auto"/>
        <w:rPr>
          <w:rFonts w:hint="eastAsia" w:ascii="宋体" w:hAnsi="宋体" w:cs="宋体"/>
          <w:sz w:val="24"/>
        </w:rPr>
      </w:pPr>
      <w:r>
        <w:rPr>
          <w:rFonts w:hint="eastAsia" w:ascii="宋体" w:hAnsi="宋体" w:cs="宋体"/>
          <w:sz w:val="24"/>
        </w:rPr>
        <w:t>供应商名称(盖章)：</w:t>
      </w:r>
    </w:p>
    <w:p w14:paraId="2C77768E">
      <w:pPr>
        <w:widowControl/>
        <w:spacing w:line="360" w:lineRule="auto"/>
        <w:rPr>
          <w:sz w:val="24"/>
        </w:rPr>
      </w:pPr>
      <w:r>
        <w:rPr>
          <w:rFonts w:hint="eastAsia" w:ascii="宋体" w:hAnsi="宋体" w:cs="宋体"/>
          <w:sz w:val="24"/>
        </w:rPr>
        <w:t>日期：年月日</w:t>
      </w:r>
    </w:p>
    <w:p w14:paraId="7E0C00D8">
      <w:pPr>
        <w:widowControl/>
        <w:spacing w:line="360" w:lineRule="auto"/>
        <w:rPr>
          <w:rFonts w:hint="eastAsia" w:ascii="宋体" w:hAnsi="宋体" w:cs="宋体"/>
          <w:b/>
          <w:bCs/>
          <w:sz w:val="24"/>
        </w:rPr>
      </w:pPr>
    </w:p>
    <w:p w14:paraId="2D8967D0">
      <w:pPr>
        <w:widowControl/>
        <w:spacing w:line="360" w:lineRule="auto"/>
        <w:rPr>
          <w:b/>
          <w:bCs/>
          <w:sz w:val="24"/>
        </w:rPr>
      </w:pPr>
      <w:r>
        <w:rPr>
          <w:rFonts w:hint="eastAsia" w:ascii="宋体" w:hAnsi="宋体" w:cs="宋体"/>
          <w:b/>
          <w:bCs/>
          <w:sz w:val="24"/>
        </w:rPr>
        <w:t>说明：</w:t>
      </w:r>
    </w:p>
    <w:p w14:paraId="0B606E75">
      <w:pPr>
        <w:widowControl/>
        <w:adjustRightInd w:val="0"/>
        <w:snapToGrid w:val="0"/>
        <w:spacing w:line="360" w:lineRule="auto"/>
        <w:ind w:firstLine="422" w:firstLineChars="200"/>
        <w:rPr>
          <w:b/>
          <w:bCs/>
          <w:szCs w:val="21"/>
        </w:rPr>
      </w:pPr>
      <w:r>
        <w:rPr>
          <w:rFonts w:hint="eastAsia" w:ascii="宋体" w:hAnsi="宋体" w:cs="宋体"/>
          <w:b/>
          <w:bCs/>
          <w:szCs w:val="21"/>
        </w:rPr>
        <w:t>(1)响应报价应包含为完成本项目所发生的全部费用。</w:t>
      </w:r>
    </w:p>
    <w:p w14:paraId="0D7A3475">
      <w:pPr>
        <w:widowControl/>
        <w:adjustRightInd w:val="0"/>
        <w:snapToGrid w:val="0"/>
        <w:spacing w:line="360" w:lineRule="auto"/>
        <w:ind w:firstLine="422" w:firstLineChars="200"/>
        <w:rPr>
          <w:b/>
          <w:bCs/>
          <w:szCs w:val="21"/>
        </w:rPr>
      </w:pPr>
      <w:r>
        <w:rPr>
          <w:rFonts w:hint="eastAsia" w:ascii="宋体" w:hAnsi="宋体" w:cs="宋体"/>
          <w:b/>
          <w:bCs/>
          <w:szCs w:val="21"/>
        </w:rPr>
        <w:t>(2)供应商不得实质性改动报价一览表格式及内容。</w:t>
      </w:r>
    </w:p>
    <w:p w14:paraId="243B1797">
      <w:pPr>
        <w:spacing w:line="360" w:lineRule="auto"/>
        <w:ind w:right="420"/>
        <w:jc w:val="center"/>
        <w:rPr>
          <w:rFonts w:ascii="Times New Roman" w:hAnsi="Times New Roman" w:eastAsia="黑体"/>
          <w:b/>
          <w:kern w:val="2"/>
          <w:sz w:val="32"/>
          <w:szCs w:val="32"/>
        </w:rPr>
      </w:pPr>
    </w:p>
    <w:p w14:paraId="0A04C058">
      <w:pPr>
        <w:widowControl/>
        <w:spacing w:line="360" w:lineRule="auto"/>
        <w:jc w:val="left"/>
        <w:rPr>
          <w:rFonts w:hint="eastAsia" w:asciiTheme="minorEastAsia" w:hAnsiTheme="minorEastAsia" w:eastAsiaTheme="minorEastAsia" w:cstheme="minorEastAsia"/>
          <w:sz w:val="24"/>
          <w:lang w:val="zh-CN"/>
        </w:rPr>
      </w:pPr>
    </w:p>
    <w:p w14:paraId="7353A431">
      <w:pPr>
        <w:jc w:val="left"/>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6ACEDCCA">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目录四、资格证明文件</w:t>
      </w:r>
    </w:p>
    <w:p w14:paraId="1CF92E4A">
      <w:pPr>
        <w:pStyle w:val="267"/>
        <w:shd w:val="clear" w:color="auto" w:fill="auto"/>
        <w:outlineLvl w:val="9"/>
        <w:rPr>
          <w:rFonts w:hint="eastAsia" w:asciiTheme="minorEastAsia" w:hAnsiTheme="minorEastAsia" w:eastAsiaTheme="minorEastAsia" w:cstheme="minorEastAsia"/>
        </w:rPr>
      </w:pPr>
      <w:bookmarkStart w:id="14" w:name="_Toc489655335"/>
      <w:r>
        <w:rPr>
          <w:rFonts w:hint="eastAsia" w:asciiTheme="minorEastAsia" w:hAnsiTheme="minorEastAsia" w:eastAsiaTheme="minorEastAsia" w:cstheme="minorEastAsia"/>
        </w:rPr>
        <w:t>资格证明文件</w:t>
      </w:r>
      <w:bookmarkEnd w:id="14"/>
    </w:p>
    <w:p w14:paraId="1E719EEF">
      <w:pPr>
        <w:spacing w:before="240" w:after="60" w:line="240" w:lineRule="atLeast"/>
        <w:jc w:val="center"/>
        <w:rPr>
          <w:rFonts w:ascii="Times New Roman" w:hAnsi="Times New Roman" w:cs="Microsoft New Tai Lue"/>
          <w:b/>
          <w:kern w:val="2"/>
          <w:sz w:val="24"/>
          <w:szCs w:val="24"/>
        </w:rPr>
      </w:pPr>
      <w:bookmarkStart w:id="15" w:name="_Toc107246283"/>
      <w:bookmarkStart w:id="16" w:name="_Toc103848588"/>
      <w:bookmarkStart w:id="17" w:name="_Toc104560903"/>
      <w:r>
        <w:rPr>
          <w:rFonts w:hint="eastAsia" w:ascii="Times New Roman" w:hAnsi="Times New Roman" w:cs="Microsoft New Tai Lue"/>
          <w:b/>
          <w:kern w:val="2"/>
          <w:sz w:val="24"/>
          <w:szCs w:val="24"/>
        </w:rPr>
        <w:t>(1)</w:t>
      </w:r>
      <w:r>
        <w:rPr>
          <w:rFonts w:ascii="Times New Roman" w:hAnsi="Times New Roman" w:cs="Microsoft New Tai Lue"/>
          <w:b/>
          <w:kern w:val="2"/>
          <w:sz w:val="24"/>
          <w:szCs w:val="24"/>
        </w:rPr>
        <w:t>营业执照复印件或自然人的身份证明复印件</w:t>
      </w:r>
      <w:bookmarkEnd w:id="15"/>
      <w:bookmarkEnd w:id="16"/>
      <w:bookmarkEnd w:id="17"/>
    </w:p>
    <w:p w14:paraId="07EAE655">
      <w:pPr>
        <w:spacing w:line="360" w:lineRule="auto"/>
        <w:rPr>
          <w:rFonts w:ascii="Times New Roman" w:hAnsi="Times New Roman" w:cs="Microsoft New Tai Lue"/>
          <w:b/>
          <w:bCs/>
          <w:kern w:val="2"/>
          <w:szCs w:val="24"/>
        </w:rPr>
      </w:pPr>
      <w:bookmarkStart w:id="18" w:name="_Hlk33717720"/>
    </w:p>
    <w:p w14:paraId="5993047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提供营业执照副本</w:t>
      </w:r>
      <w:r>
        <w:rPr>
          <w:rFonts w:hint="eastAsia" w:ascii="Times New Roman" w:hAnsi="Times New Roman" w:cs="Microsoft New Tai Lue"/>
          <w:b/>
          <w:bCs/>
          <w:kern w:val="2"/>
          <w:szCs w:val="24"/>
        </w:rPr>
        <w:t>(</w:t>
      </w:r>
      <w:r>
        <w:rPr>
          <w:rFonts w:ascii="Times New Roman" w:hAnsi="Times New Roman" w:cs="Microsoft New Tai Lue"/>
          <w:b/>
          <w:bCs/>
          <w:kern w:val="2"/>
          <w:szCs w:val="24"/>
        </w:rPr>
        <w:t>或具有同等法律效力的证照</w:t>
      </w:r>
      <w:r>
        <w:rPr>
          <w:rFonts w:hint="eastAsia" w:ascii="Times New Roman" w:hAnsi="Times New Roman" w:cs="Microsoft New Tai Lue"/>
          <w:b/>
          <w:bCs/>
          <w:kern w:val="2"/>
          <w:szCs w:val="24"/>
        </w:rPr>
        <w:t>)</w:t>
      </w:r>
      <w:r>
        <w:rPr>
          <w:rFonts w:ascii="Times New Roman" w:hAnsi="Times New Roman" w:cs="Microsoft New Tai Lue"/>
          <w:b/>
          <w:bCs/>
          <w:kern w:val="2"/>
          <w:szCs w:val="24"/>
        </w:rPr>
        <w:t>复印件。复印件应能清晰显示</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名称。</w:t>
      </w:r>
      <w:bookmarkEnd w:id="18"/>
    </w:p>
    <w:p w14:paraId="7820701F">
      <w:pPr>
        <w:rPr>
          <w:rFonts w:ascii="Times New Roman" w:hAnsi="Times New Roman" w:cs="Microsoft New Tai Lue"/>
          <w:kern w:val="2"/>
          <w:szCs w:val="24"/>
        </w:rPr>
      </w:pPr>
    </w:p>
    <w:p w14:paraId="0F7A5C5C">
      <w:pPr>
        <w:ind w:firstLine="360"/>
        <w:jc w:val="center"/>
        <w:rPr>
          <w:rFonts w:ascii="Times New Roman" w:hAnsi="Times New Roman" w:eastAsia="幼圆"/>
          <w:b/>
          <w:bCs/>
          <w:kern w:val="2"/>
          <w:sz w:val="44"/>
          <w:szCs w:val="24"/>
        </w:rPr>
      </w:pPr>
    </w:p>
    <w:p w14:paraId="6435FC14">
      <w:pPr>
        <w:spacing w:before="240" w:after="60" w:line="240" w:lineRule="atLeast"/>
        <w:jc w:val="left"/>
        <w:rPr>
          <w:rFonts w:ascii="Times New Roman" w:hAnsi="Times New Roman" w:cs="Microsoft New Tai Lue"/>
          <w:b/>
          <w:kern w:val="2"/>
          <w:sz w:val="24"/>
          <w:szCs w:val="24"/>
          <w:u w:val="dotDash"/>
        </w:rPr>
      </w:pPr>
      <w:bookmarkStart w:id="19" w:name="_Toc107246284"/>
      <w:bookmarkStart w:id="20" w:name="_Toc102117320"/>
      <w:bookmarkStart w:id="21" w:name="_Toc104560904"/>
      <w:bookmarkStart w:id="22" w:name="_Toc103848589"/>
      <w:r>
        <w:rPr>
          <w:rFonts w:hint="eastAsia" w:ascii="Times New Roman" w:hAnsi="Times New Roman" w:cs="Microsoft New Tai Lue"/>
          <w:b/>
          <w:kern w:val="2"/>
          <w:sz w:val="24"/>
          <w:szCs w:val="24"/>
          <w:u w:val="dotDash"/>
        </w:rPr>
        <w:t xml:space="preserve">                                                                         </w:t>
      </w:r>
    </w:p>
    <w:p w14:paraId="0614701F">
      <w:pPr>
        <w:spacing w:before="240" w:after="60" w:line="240" w:lineRule="atLeast"/>
        <w:jc w:val="center"/>
        <w:rPr>
          <w:rFonts w:ascii="Times New Roman" w:hAnsi="Times New Roman" w:cs="Microsoft New Tai Lue"/>
          <w:bCs/>
          <w:kern w:val="2"/>
          <w:sz w:val="32"/>
          <w:szCs w:val="32"/>
        </w:rPr>
      </w:pPr>
      <w:r>
        <w:rPr>
          <w:rFonts w:hint="eastAsia" w:ascii="Times New Roman" w:hAnsi="Times New Roman" w:cs="Microsoft New Tai Lue"/>
          <w:b/>
          <w:kern w:val="2"/>
          <w:sz w:val="24"/>
          <w:szCs w:val="24"/>
        </w:rPr>
        <w:t>(1-1)</w:t>
      </w:r>
      <w:r>
        <w:rPr>
          <w:rFonts w:ascii="Times New Roman" w:hAnsi="Times New Roman" w:cs="Microsoft New Tai Lue"/>
          <w:b/>
          <w:kern w:val="2"/>
          <w:sz w:val="24"/>
          <w:szCs w:val="24"/>
        </w:rPr>
        <w:t>工商变更登记文件</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如需</w:t>
      </w:r>
      <w:bookmarkEnd w:id="19"/>
      <w:bookmarkEnd w:id="20"/>
      <w:bookmarkEnd w:id="21"/>
      <w:bookmarkEnd w:id="22"/>
      <w:r>
        <w:rPr>
          <w:rFonts w:hint="eastAsia" w:ascii="Times New Roman" w:hAnsi="Times New Roman" w:cs="Microsoft New Tai Lue"/>
          <w:b/>
          <w:kern w:val="2"/>
          <w:sz w:val="24"/>
          <w:szCs w:val="24"/>
        </w:rPr>
        <w:t>)</w:t>
      </w:r>
    </w:p>
    <w:p w14:paraId="591E1B78">
      <w:pPr>
        <w:spacing w:line="360" w:lineRule="auto"/>
        <w:rPr>
          <w:rFonts w:ascii="Times New Roman" w:hAnsi="Times New Roman" w:cs="Microsoft New Tai Lue"/>
          <w:b/>
          <w:bCs/>
          <w:kern w:val="2"/>
          <w:szCs w:val="24"/>
        </w:rPr>
      </w:pPr>
    </w:p>
    <w:p w14:paraId="7310ABF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注：如</w:t>
      </w:r>
      <w:r>
        <w:rPr>
          <w:rFonts w:hint="eastAsia" w:ascii="Times New Roman" w:hAnsi="Times New Roman" w:cs="Microsoft New Tai Lue"/>
          <w:b/>
          <w:bCs/>
          <w:kern w:val="2"/>
          <w:sz w:val="22"/>
        </w:rPr>
        <w:t>供应商比选</w:t>
      </w:r>
      <w:r>
        <w:rPr>
          <w:rFonts w:ascii="Times New Roman" w:hAnsi="Times New Roman" w:cs="Microsoft New Tai Lue"/>
          <w:b/>
          <w:bCs/>
          <w:kern w:val="2"/>
          <w:szCs w:val="24"/>
        </w:rPr>
        <w:t>文件资质、业绩等要求的时间期限内发生了单位名称等变更的，提供相关工商变更登记文件的复印件。如无，则可不提供。</w:t>
      </w:r>
    </w:p>
    <w:p w14:paraId="61A35AEF">
      <w:pPr>
        <w:ind w:firstLine="360"/>
        <w:jc w:val="center"/>
        <w:rPr>
          <w:rFonts w:ascii="Times New Roman" w:hAnsi="Times New Roman" w:eastAsia="幼圆"/>
          <w:b/>
          <w:bCs/>
          <w:kern w:val="2"/>
          <w:sz w:val="44"/>
          <w:szCs w:val="24"/>
        </w:rPr>
      </w:pPr>
    </w:p>
    <w:p w14:paraId="52E4620F">
      <w:pPr>
        <w:ind w:firstLine="360"/>
        <w:jc w:val="center"/>
        <w:rPr>
          <w:rFonts w:ascii="Times New Roman" w:hAnsi="Times New Roman" w:eastAsia="幼圆"/>
          <w:b/>
          <w:bCs/>
          <w:kern w:val="2"/>
          <w:sz w:val="44"/>
          <w:szCs w:val="24"/>
        </w:rPr>
      </w:pPr>
    </w:p>
    <w:p w14:paraId="1E92AE1F">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7C2E987A">
      <w:pPr>
        <w:spacing w:before="240" w:after="60" w:line="240" w:lineRule="atLeast"/>
        <w:jc w:val="center"/>
        <w:rPr>
          <w:rFonts w:ascii="Times New Roman" w:hAnsi="Times New Roman" w:cs="Microsoft New Tai Lue"/>
          <w:b/>
          <w:kern w:val="2"/>
          <w:sz w:val="24"/>
          <w:szCs w:val="24"/>
        </w:rPr>
      </w:pPr>
      <w:bookmarkStart w:id="23" w:name="_Toc103848590"/>
      <w:bookmarkStart w:id="24" w:name="_Toc107246285"/>
      <w:bookmarkStart w:id="25" w:name="_Toc102117321"/>
      <w:bookmarkStart w:id="26" w:name="_Toc104560905"/>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2</w:t>
      </w:r>
      <w:bookmarkEnd w:id="23"/>
      <w:bookmarkEnd w:id="24"/>
      <w:bookmarkEnd w:id="25"/>
      <w:bookmarkEnd w:id="26"/>
      <w:r>
        <w:rPr>
          <w:rFonts w:hint="eastAsia" w:ascii="Times New Roman" w:hAnsi="Times New Roman" w:cs="Microsoft New Tai Lue"/>
          <w:b/>
          <w:kern w:val="2"/>
          <w:sz w:val="24"/>
          <w:szCs w:val="24"/>
        </w:rPr>
        <w:t>)财务状况报告(或资信证明、担保函)</w:t>
      </w:r>
    </w:p>
    <w:p w14:paraId="229C6986">
      <w:pPr>
        <w:rPr>
          <w:rFonts w:ascii="Times New Roman" w:hAnsi="Times New Roman" w:cs="Microsoft New Tai Lue"/>
          <w:kern w:val="2"/>
          <w:szCs w:val="24"/>
        </w:rPr>
      </w:pPr>
    </w:p>
    <w:p w14:paraId="6588EE0D">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512167A7">
      <w:pPr>
        <w:spacing w:line="360" w:lineRule="auto"/>
        <w:rPr>
          <w:rFonts w:ascii="Times New Roman" w:hAnsi="Times New Roman" w:cs="Microsoft New Tai Lue"/>
          <w:b/>
          <w:bCs/>
          <w:kern w:val="2"/>
          <w:szCs w:val="24"/>
        </w:rPr>
      </w:pPr>
    </w:p>
    <w:p w14:paraId="09923FF9">
      <w:pPr>
        <w:ind w:firstLine="360"/>
        <w:jc w:val="center"/>
        <w:rPr>
          <w:rFonts w:ascii="Times New Roman" w:hAnsi="Times New Roman" w:eastAsia="幼圆"/>
          <w:b/>
          <w:bCs/>
          <w:kern w:val="2"/>
          <w:sz w:val="44"/>
          <w:szCs w:val="24"/>
        </w:rPr>
      </w:pPr>
    </w:p>
    <w:p w14:paraId="4AACDFD0">
      <w:pPr>
        <w:spacing w:before="240" w:after="60" w:line="240" w:lineRule="atLeast"/>
        <w:jc w:val="left"/>
        <w:rPr>
          <w:rFonts w:ascii="Times New Roman" w:hAnsi="Times New Roman" w:cs="Microsoft New Tai Lue"/>
          <w:b/>
          <w:kern w:val="2"/>
          <w:sz w:val="24"/>
          <w:szCs w:val="24"/>
          <w:u w:val="dotDash"/>
        </w:rPr>
      </w:pPr>
      <w:bookmarkStart w:id="27" w:name="_Toc102117322"/>
      <w:bookmarkStart w:id="28" w:name="_Toc103848593"/>
      <w:bookmarkStart w:id="29" w:name="_Toc104560908"/>
      <w:r>
        <w:rPr>
          <w:rFonts w:hint="eastAsia" w:ascii="Times New Roman" w:hAnsi="Times New Roman" w:cs="Microsoft New Tai Lue"/>
          <w:b/>
          <w:kern w:val="2"/>
          <w:sz w:val="24"/>
          <w:szCs w:val="24"/>
          <w:u w:val="dotDash"/>
        </w:rPr>
        <w:t xml:space="preserve">                                                                         </w:t>
      </w:r>
    </w:p>
    <w:p w14:paraId="65131CC8">
      <w:pPr>
        <w:spacing w:before="240" w:after="60" w:line="240" w:lineRule="atLeast"/>
        <w:jc w:val="left"/>
        <w:rPr>
          <w:rFonts w:ascii="Times New Roman" w:hAnsi="Times New Roman" w:cs="Microsoft New Tai Lue"/>
          <w:b/>
          <w:kern w:val="2"/>
          <w:sz w:val="24"/>
          <w:szCs w:val="24"/>
        </w:rPr>
      </w:pPr>
      <w:bookmarkStart w:id="30" w:name="_Toc107246286"/>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3</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具有履行合同所必需的设备和专业技术能力的相关证明材料或承诺函</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提供承诺函原件</w:t>
      </w:r>
      <w:bookmarkEnd w:id="27"/>
      <w:bookmarkEnd w:id="28"/>
      <w:bookmarkEnd w:id="29"/>
      <w:bookmarkEnd w:id="30"/>
      <w:r>
        <w:rPr>
          <w:rFonts w:hint="eastAsia" w:ascii="Times New Roman" w:hAnsi="Times New Roman" w:cs="Microsoft New Tai Lue"/>
          <w:b/>
          <w:kern w:val="2"/>
          <w:sz w:val="24"/>
          <w:szCs w:val="24"/>
        </w:rPr>
        <w:t>)</w:t>
      </w:r>
    </w:p>
    <w:p w14:paraId="294405EA">
      <w:pPr>
        <w:adjustRightInd w:val="0"/>
        <w:spacing w:before="120" w:after="120" w:line="360" w:lineRule="auto"/>
        <w:ind w:firstLine="480"/>
        <w:jc w:val="center"/>
        <w:textAlignment w:val="baseline"/>
        <w:rPr>
          <w:rFonts w:ascii="Times New Roman" w:hAnsi="Times New Roman" w:cs="Microsoft New Tai Lue"/>
          <w:b/>
          <w:kern w:val="2"/>
          <w:sz w:val="44"/>
          <w:szCs w:val="44"/>
        </w:rPr>
      </w:pPr>
    </w:p>
    <w:p w14:paraId="31A3B302">
      <w:pPr>
        <w:adjustRightInd w:val="0"/>
        <w:spacing w:before="120" w:after="120" w:line="360" w:lineRule="auto"/>
        <w:ind w:firstLine="480"/>
        <w:jc w:val="center"/>
        <w:textAlignment w:val="baseline"/>
        <w:rPr>
          <w:rFonts w:ascii="Times New Roman" w:hAnsi="Times New Roman" w:cs="Microsoft New Tai Lue"/>
          <w:kern w:val="2"/>
          <w:szCs w:val="24"/>
        </w:rPr>
      </w:pPr>
      <w:r>
        <w:rPr>
          <w:rFonts w:ascii="Times New Roman" w:hAnsi="Times New Roman" w:cs="Microsoft New Tai Lue"/>
          <w:kern w:val="2"/>
          <w:sz w:val="44"/>
          <w:szCs w:val="44"/>
        </w:rPr>
        <w:t>承 诺 函</w:t>
      </w:r>
    </w:p>
    <w:p w14:paraId="701714C3">
      <w:pPr>
        <w:pStyle w:val="16"/>
        <w:spacing w:line="360" w:lineRule="auto"/>
        <w:ind w:firstLine="480"/>
        <w:rPr>
          <w:rFonts w:hint="eastAsia" w:asciiTheme="minorEastAsia" w:hAnsiTheme="minorEastAsia" w:eastAsiaTheme="minorEastAsia" w:cstheme="minorEastAsia"/>
        </w:rPr>
      </w:pPr>
      <w:r>
        <w:rPr>
          <w:rFonts w:cs="Microsoft New Tai Lue"/>
          <w:kern w:val="2"/>
          <w:szCs w:val="24"/>
        </w:rPr>
        <w:t>我单位郑重承诺：</w:t>
      </w:r>
      <w:r>
        <w:rPr>
          <w:rFonts w:hint="eastAsia" w:asciiTheme="minorEastAsia" w:hAnsiTheme="minorEastAsia" w:eastAsiaTheme="minorEastAsia" w:cstheme="minorEastAsia"/>
        </w:rPr>
        <w:t>我单位具备履行本项采购合同所必需的设备和专业技术能力，为履行本项采购合同我单位具备如下主要设备和主要专业技术能力：</w:t>
      </w:r>
    </w:p>
    <w:p w14:paraId="40847028">
      <w:pPr>
        <w:pStyle w:val="16"/>
        <w:spacing w:line="360" w:lineRule="auto"/>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主要设备有：</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。(若有)</w:t>
      </w:r>
    </w:p>
    <w:p w14:paraId="33CF76FD">
      <w:pPr>
        <w:adjustRightInd w:val="0"/>
        <w:spacing w:before="120" w:after="120" w:line="360" w:lineRule="auto"/>
        <w:ind w:firstLine="480"/>
        <w:jc w:val="left"/>
        <w:textAlignment w:val="baseline"/>
        <w:rPr>
          <w:rFonts w:ascii="Times New Roman" w:hAnsi="Times New Roman" w:cs="Microsoft New Tai Lue"/>
          <w:kern w:val="2"/>
          <w:sz w:val="24"/>
          <w:szCs w:val="24"/>
        </w:rPr>
      </w:pPr>
      <w:r>
        <w:rPr>
          <w:rFonts w:hint="eastAsia" w:ascii="Times New Roman" w:hAnsi="Times New Roman" w:cs="Microsoft New Tai Lue"/>
          <w:kern w:val="2"/>
          <w:sz w:val="24"/>
          <w:szCs w:val="24"/>
        </w:rPr>
        <w:t>主要专业技术能力有：</w:t>
      </w:r>
      <w:r>
        <w:rPr>
          <w:rFonts w:hint="eastAsia" w:asciiTheme="minorEastAsia" w:hAnsiTheme="minorEastAsia" w:eastAsiaTheme="minorEastAsia" w:cstheme="minorEastAsia"/>
          <w:u w:val="single"/>
        </w:rPr>
        <w:t xml:space="preserve">         </w:t>
      </w:r>
      <w:r>
        <w:rPr>
          <w:rFonts w:hint="eastAsia" w:ascii="Times New Roman" w:hAnsi="Times New Roman" w:cs="Microsoft New Tai Lue"/>
          <w:kern w:val="2"/>
          <w:sz w:val="24"/>
          <w:szCs w:val="24"/>
          <w:u w:val="single"/>
        </w:rPr>
        <w:t xml:space="preserve">         </w:t>
      </w:r>
      <w:r>
        <w:rPr>
          <w:rFonts w:hint="eastAsia" w:ascii="Times New Roman" w:hAnsi="Times New Roman" w:cs="Microsoft New Tai Lue"/>
          <w:kern w:val="2"/>
          <w:sz w:val="24"/>
          <w:szCs w:val="24"/>
        </w:rPr>
        <w:t>。(若有)</w:t>
      </w:r>
    </w:p>
    <w:p w14:paraId="39149430">
      <w:pPr>
        <w:adjustRightInd w:val="0"/>
        <w:spacing w:before="120" w:after="120" w:line="360" w:lineRule="auto"/>
        <w:ind w:firstLine="480"/>
        <w:jc w:val="left"/>
        <w:textAlignment w:val="baseline"/>
        <w:rPr>
          <w:rFonts w:ascii="Times New Roman" w:hAnsi="Times New Roman" w:cs="Microsoft New Tai Lue"/>
          <w:kern w:val="2"/>
          <w:szCs w:val="24"/>
        </w:rPr>
      </w:pPr>
    </w:p>
    <w:p w14:paraId="6585CBD4">
      <w:pPr>
        <w:ind w:left="1260" w:leftChars="600"/>
        <w:rPr>
          <w:rFonts w:ascii="Times New Roman" w:hAnsi="Times New Roman"/>
          <w:b/>
          <w:position w:val="-10"/>
          <w:sz w:val="24"/>
          <w:szCs w:val="20"/>
        </w:rPr>
      </w:pPr>
    </w:p>
    <w:p w14:paraId="58E96E6A">
      <w:pPr>
        <w:rPr>
          <w:rFonts w:ascii="Times New Roman" w:hAnsi="Times New Roman"/>
          <w:kern w:val="2"/>
          <w:szCs w:val="24"/>
        </w:rPr>
      </w:pPr>
    </w:p>
    <w:p w14:paraId="0E3DAFA7">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：______________________</w:t>
      </w:r>
    </w:p>
    <w:p w14:paraId="6F8856A8">
      <w:pPr>
        <w:spacing w:line="276" w:lineRule="auto"/>
        <w:rPr>
          <w:rFonts w:ascii="Times New Roman" w:hAnsi="Times New Roman" w:cs="Microsoft New Tai Lue"/>
          <w:bCs/>
          <w:kern w:val="2"/>
          <w:szCs w:val="24"/>
        </w:rPr>
      </w:pPr>
    </w:p>
    <w:p w14:paraId="5C7165B0">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0556F81E">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74794EF1">
      <w:pPr>
        <w:spacing w:line="276" w:lineRule="auto"/>
        <w:ind w:firstLine="3780" w:firstLineChars="1800"/>
        <w:rPr>
          <w:rFonts w:ascii="Times New Roman" w:hAnsi="Times New Roman" w:cs="Microsoft New Tai Lue"/>
          <w:kern w:val="2"/>
          <w:szCs w:val="21"/>
          <w:u w:val="single"/>
        </w:rPr>
      </w:pPr>
    </w:p>
    <w:p w14:paraId="6CD66EA8">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79600DA7">
      <w:pPr>
        <w:ind w:firstLine="360"/>
        <w:jc w:val="center"/>
        <w:rPr>
          <w:rFonts w:ascii="Times New Roman" w:hAnsi="Times New Roman" w:eastAsia="幼圆"/>
          <w:b/>
          <w:bCs/>
          <w:kern w:val="2"/>
          <w:sz w:val="44"/>
          <w:szCs w:val="24"/>
        </w:rPr>
      </w:pPr>
    </w:p>
    <w:p w14:paraId="74F8ABC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02E3426C">
      <w:pPr>
        <w:spacing w:before="240" w:after="60" w:line="240" w:lineRule="atLeast"/>
        <w:jc w:val="center"/>
        <w:rPr>
          <w:rFonts w:ascii="Times New Roman" w:hAnsi="Times New Roman" w:eastAsia="黑体" w:cs="Microsoft New Tai Lue"/>
          <w:bCs/>
          <w:kern w:val="2"/>
          <w:sz w:val="32"/>
          <w:szCs w:val="32"/>
        </w:rPr>
      </w:pPr>
      <w:bookmarkStart w:id="31" w:name="_Toc104560906"/>
      <w:bookmarkStart w:id="32" w:name="_Toc107246287"/>
      <w:bookmarkStart w:id="33" w:name="_Toc103848591"/>
      <w:bookmarkStart w:id="34" w:name="_Toc102117323"/>
      <w:r>
        <w:rPr>
          <w:rFonts w:hint="eastAsia" w:ascii="Times New Roman" w:hAnsi="Times New Roman" w:cs="Microsoft New Tai Lue"/>
          <w:b/>
          <w:kern w:val="2"/>
          <w:sz w:val="24"/>
          <w:szCs w:val="24"/>
        </w:rPr>
        <w:t>(4-1)</w:t>
      </w:r>
      <w:r>
        <w:rPr>
          <w:rFonts w:ascii="Times New Roman" w:hAnsi="Times New Roman" w:cs="Microsoft New Tai Lue"/>
          <w:b/>
          <w:kern w:val="2"/>
          <w:sz w:val="24"/>
          <w:szCs w:val="24"/>
        </w:rPr>
        <w:t>依法缴纳税收的相关材料</w:t>
      </w:r>
      <w:bookmarkEnd w:id="31"/>
      <w:bookmarkEnd w:id="32"/>
      <w:bookmarkEnd w:id="33"/>
      <w:bookmarkEnd w:id="34"/>
    </w:p>
    <w:p w14:paraId="6377DB3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08218662">
      <w:pPr>
        <w:ind w:firstLine="360"/>
        <w:jc w:val="center"/>
        <w:rPr>
          <w:rFonts w:ascii="Times New Roman" w:hAnsi="Times New Roman" w:eastAsia="幼圆"/>
          <w:b/>
          <w:bCs/>
          <w:kern w:val="2"/>
          <w:sz w:val="44"/>
          <w:szCs w:val="24"/>
        </w:rPr>
      </w:pPr>
    </w:p>
    <w:p w14:paraId="092D06F7">
      <w:pPr>
        <w:spacing w:before="240" w:after="60" w:line="240" w:lineRule="atLeast"/>
        <w:jc w:val="left"/>
        <w:rPr>
          <w:rFonts w:ascii="Times New Roman" w:hAnsi="Times New Roman" w:cs="Microsoft New Tai Lue"/>
          <w:b/>
          <w:kern w:val="2"/>
          <w:sz w:val="24"/>
          <w:szCs w:val="24"/>
          <w:u w:val="dotDash"/>
        </w:rPr>
      </w:pPr>
      <w:bookmarkStart w:id="35" w:name="_Toc107246288"/>
      <w:bookmarkStart w:id="36" w:name="_Toc102117324"/>
      <w:bookmarkStart w:id="37" w:name="_Toc103848592"/>
      <w:bookmarkStart w:id="38" w:name="_Toc104560907"/>
      <w:r>
        <w:rPr>
          <w:rFonts w:hint="eastAsia" w:ascii="Times New Roman" w:hAnsi="Times New Roman" w:cs="Microsoft New Tai Lue"/>
          <w:b/>
          <w:kern w:val="2"/>
          <w:sz w:val="24"/>
          <w:szCs w:val="24"/>
          <w:u w:val="dotDash"/>
        </w:rPr>
        <w:t xml:space="preserve">                                                                         </w:t>
      </w:r>
    </w:p>
    <w:p w14:paraId="1F70EF66">
      <w:pPr>
        <w:spacing w:before="240" w:after="60" w:line="240" w:lineRule="atLeast"/>
        <w:jc w:val="center"/>
        <w:rPr>
          <w:rFonts w:ascii="Times New Roman" w:hAnsi="Times New Roman" w:cs="Microsoft New Tai Lue"/>
          <w:b/>
          <w:kern w:val="2"/>
          <w:sz w:val="24"/>
          <w:szCs w:val="24"/>
        </w:rPr>
      </w:pPr>
      <w:r>
        <w:rPr>
          <w:rFonts w:hint="eastAsia" w:ascii="Times New Roman" w:hAnsi="Times New Roman" w:cs="Microsoft New Tai Lue"/>
          <w:b/>
          <w:kern w:val="2"/>
          <w:sz w:val="24"/>
          <w:szCs w:val="24"/>
        </w:rPr>
        <w:t>(4-2)</w:t>
      </w:r>
      <w:r>
        <w:rPr>
          <w:rFonts w:ascii="Times New Roman" w:hAnsi="Times New Roman" w:cs="Microsoft New Tai Lue"/>
          <w:b/>
          <w:kern w:val="2"/>
          <w:sz w:val="24"/>
          <w:szCs w:val="24"/>
        </w:rPr>
        <w:t>依法缴纳社会保障资金的相关材料</w:t>
      </w:r>
      <w:bookmarkEnd w:id="35"/>
      <w:bookmarkEnd w:id="36"/>
      <w:bookmarkEnd w:id="37"/>
      <w:bookmarkEnd w:id="38"/>
    </w:p>
    <w:p w14:paraId="4A9CE25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7FA3E59D">
      <w:pPr>
        <w:spacing w:line="360" w:lineRule="auto"/>
        <w:rPr>
          <w:rFonts w:ascii="Times New Roman" w:hAnsi="Times New Roman" w:cs="Microsoft New Tai Lue"/>
          <w:b/>
          <w:bCs/>
          <w:kern w:val="2"/>
          <w:szCs w:val="24"/>
        </w:rPr>
      </w:pPr>
    </w:p>
    <w:p w14:paraId="4DACB936">
      <w:pPr>
        <w:spacing w:before="240" w:after="60" w:line="240" w:lineRule="atLeast"/>
        <w:jc w:val="left"/>
        <w:rPr>
          <w:rFonts w:ascii="Times New Roman" w:hAnsi="Times New Roman" w:cs="Microsoft New Tai Lue"/>
          <w:b/>
          <w:kern w:val="2"/>
          <w:sz w:val="24"/>
          <w:szCs w:val="24"/>
          <w:u w:val="dotDash"/>
        </w:rPr>
      </w:pPr>
      <w:bookmarkStart w:id="39" w:name="_Toc103848594"/>
      <w:bookmarkStart w:id="40" w:name="_Toc107246289"/>
      <w:bookmarkStart w:id="41" w:name="_Toc104560909"/>
      <w:bookmarkStart w:id="42" w:name="_Toc102117325"/>
      <w:r>
        <w:rPr>
          <w:rFonts w:hint="eastAsia" w:ascii="Times New Roman" w:hAnsi="Times New Roman" w:cs="Microsoft New Tai Lue"/>
          <w:b/>
          <w:kern w:val="2"/>
          <w:sz w:val="24"/>
          <w:szCs w:val="24"/>
          <w:u w:val="dotDash"/>
        </w:rPr>
        <w:t xml:space="preserve">                                                                         </w:t>
      </w:r>
    </w:p>
    <w:p w14:paraId="764A2C26">
      <w:pPr>
        <w:spacing w:before="240" w:after="60" w:line="240" w:lineRule="atLeast"/>
        <w:jc w:val="center"/>
        <w:rPr>
          <w:rFonts w:ascii="Times New Roman" w:hAnsi="Times New Roman" w:cs="Microsoft New Tai Lue"/>
          <w:bCs/>
          <w:kern w:val="2"/>
          <w:sz w:val="24"/>
          <w:szCs w:val="32"/>
        </w:rPr>
      </w:pPr>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(5)</w:t>
      </w:r>
      <w:r>
        <w:rPr>
          <w:rFonts w:ascii="Times New Roman" w:hAnsi="Times New Roman" w:cs="Microsoft New Tai Lue"/>
          <w:b/>
          <w:kern w:val="2"/>
          <w:sz w:val="24"/>
          <w:szCs w:val="24"/>
        </w:rPr>
        <w:t>没有重大违法记录的书面声明</w:t>
      </w:r>
      <w:bookmarkEnd w:id="39"/>
      <w:bookmarkEnd w:id="40"/>
      <w:bookmarkEnd w:id="41"/>
      <w:bookmarkEnd w:id="42"/>
    </w:p>
    <w:p w14:paraId="168C9E5A">
      <w:pPr>
        <w:spacing w:line="360" w:lineRule="auto"/>
        <w:rPr>
          <w:rFonts w:ascii="Times New Roman" w:hAnsi="Times New Roman" w:cs="Microsoft New Tai Lue"/>
          <w:b/>
          <w:bCs/>
          <w:kern w:val="2"/>
          <w:szCs w:val="24"/>
        </w:rPr>
      </w:pPr>
    </w:p>
    <w:p w14:paraId="2BA38F94">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注：参加政府采购活动前3年内在经营活动中没有重大违法记录的书面声明</w:t>
      </w:r>
      <w:r>
        <w:rPr>
          <w:rFonts w:hint="eastAsia" w:ascii="Times New Roman" w:hAnsi="Times New Roman" w:cs="Microsoft New Tai Lue"/>
          <w:b/>
          <w:bCs/>
          <w:kern w:val="2"/>
          <w:szCs w:val="24"/>
        </w:rPr>
        <w:t>(</w:t>
      </w:r>
      <w:r>
        <w:rPr>
          <w:rFonts w:ascii="Times New Roman" w:hAnsi="Times New Roman" w:cs="Microsoft New Tai Lue"/>
          <w:b/>
          <w:bCs/>
          <w:kern w:val="2"/>
          <w:szCs w:val="24"/>
        </w:rPr>
        <w:t>提供声明函原件</w:t>
      </w:r>
      <w:r>
        <w:rPr>
          <w:rFonts w:hint="eastAsia" w:ascii="Times New Roman" w:hAnsi="Times New Roman" w:cs="Microsoft New Tai Lue"/>
          <w:b/>
          <w:bCs/>
          <w:kern w:val="2"/>
          <w:szCs w:val="24"/>
        </w:rPr>
        <w:t>)</w:t>
      </w:r>
      <w:r>
        <w:rPr>
          <w:rFonts w:ascii="Times New Roman" w:hAnsi="Times New Roman" w:cs="Microsoft New Tai Lue"/>
          <w:b/>
          <w:bCs/>
          <w:kern w:val="2"/>
          <w:szCs w:val="24"/>
        </w:rPr>
        <w:t>。</w:t>
      </w:r>
    </w:p>
    <w:p w14:paraId="3CC7F30A">
      <w:pPr>
        <w:adjustRightInd w:val="0"/>
        <w:snapToGrid w:val="0"/>
        <w:spacing w:line="360" w:lineRule="auto"/>
        <w:jc w:val="center"/>
        <w:rPr>
          <w:rFonts w:ascii="Times New Roman" w:hAnsi="Times New Roman" w:eastAsia="黑体" w:cs="Microsoft New Tai Lue"/>
          <w:b/>
          <w:kern w:val="2"/>
          <w:sz w:val="32"/>
          <w:szCs w:val="32"/>
        </w:rPr>
      </w:pPr>
    </w:p>
    <w:p w14:paraId="5DC38B0A">
      <w:pPr>
        <w:spacing w:line="360" w:lineRule="auto"/>
        <w:jc w:val="center"/>
        <w:rPr>
          <w:rFonts w:ascii="Times New Roman" w:hAnsi="Times New Roman" w:cs="Microsoft New Tai Lue"/>
          <w:bCs/>
          <w:kern w:val="2"/>
          <w:sz w:val="44"/>
          <w:szCs w:val="44"/>
        </w:rPr>
      </w:pPr>
      <w:r>
        <w:rPr>
          <w:rFonts w:ascii="Times New Roman" w:hAnsi="Times New Roman" w:cs="Microsoft New Tai Lue"/>
          <w:bCs/>
          <w:kern w:val="2"/>
          <w:sz w:val="44"/>
          <w:szCs w:val="44"/>
        </w:rPr>
        <w:t>声  明</w:t>
      </w:r>
    </w:p>
    <w:p w14:paraId="31B9F89E">
      <w:pPr>
        <w:rPr>
          <w:rFonts w:ascii="Times New Roman" w:hAnsi="Times New Roman" w:eastAsia="楷体_GB2312" w:cs="Microsoft New Tai Lue"/>
          <w:kern w:val="2"/>
          <w:sz w:val="28"/>
          <w:szCs w:val="28"/>
        </w:rPr>
      </w:pPr>
    </w:p>
    <w:p w14:paraId="46839426">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ab/>
      </w:r>
      <w:r>
        <w:rPr>
          <w:rFonts w:ascii="Times New Roman" w:hAnsi="Times New Roman" w:cs="Microsoft New Tai Lue"/>
          <w:bCs/>
          <w:kern w:val="2"/>
          <w:szCs w:val="24"/>
        </w:rPr>
        <w:t>我单位郑重声明：参加本次政府采购活动前</w:t>
      </w:r>
      <w:r>
        <w:rPr>
          <w:rFonts w:hint="eastAsia" w:ascii="Times New Roman" w:hAnsi="Times New Roman" w:cs="Microsoft New Tai Lue"/>
          <w:bCs/>
          <w:kern w:val="2"/>
          <w:szCs w:val="24"/>
        </w:rPr>
        <w:t>3</w:t>
      </w:r>
      <w:r>
        <w:rPr>
          <w:rFonts w:ascii="Times New Roman" w:hAnsi="Times New Roman" w:cs="Microsoft New Tai Lue"/>
          <w:bCs/>
          <w:kern w:val="2"/>
          <w:szCs w:val="24"/>
        </w:rPr>
        <w:t>年内，我单位在经营活动中没有因违法经营受到刑事处罚或者责令停产停业、吊销许可证或者执照、较大数额罚款等行政处罚。</w:t>
      </w:r>
    </w:p>
    <w:p w14:paraId="40D74BF9">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1E8A64F4">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3E4FA1C8">
      <w:pPr>
        <w:spacing w:line="360" w:lineRule="auto"/>
        <w:ind w:firstLine="3990" w:firstLineChars="1900"/>
        <w:rPr>
          <w:rFonts w:ascii="Times New Roman" w:hAnsi="Times New Roman" w:cs="Microsoft New Tai Lue"/>
          <w:bCs/>
          <w:kern w:val="2"/>
          <w:szCs w:val="24"/>
        </w:rPr>
      </w:pP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0FFE57E4">
      <w:pPr>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2B7E7E53">
      <w:pPr>
        <w:ind w:firstLine="3990" w:firstLineChars="1900"/>
        <w:rPr>
          <w:rFonts w:ascii="Times New Roman" w:hAnsi="Times New Roman" w:cs="Microsoft New Tai Lue"/>
          <w:kern w:val="2"/>
          <w:szCs w:val="21"/>
        </w:rPr>
      </w:pPr>
    </w:p>
    <w:p w14:paraId="2EC10E58">
      <w:pPr>
        <w:ind w:firstLine="3990" w:firstLineChars="19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3F5017CA">
      <w:pPr>
        <w:ind w:firstLine="3990" w:firstLineChars="1900"/>
        <w:rPr>
          <w:rFonts w:ascii="Times New Roman" w:hAnsi="Times New Roman" w:cs="Microsoft New Tai Lue"/>
          <w:kern w:val="2"/>
          <w:szCs w:val="21"/>
          <w:u w:val="single"/>
        </w:rPr>
      </w:pPr>
    </w:p>
    <w:p w14:paraId="7EAD87B5">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bCs/>
          <w:kern w:val="2"/>
          <w:szCs w:val="24"/>
        </w:rPr>
        <w:t>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623C171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364F0D19">
      <w:pPr>
        <w:rPr>
          <w:rFonts w:ascii="Times New Roman" w:hAnsi="Times New Roman"/>
          <w:kern w:val="2"/>
          <w:szCs w:val="24"/>
        </w:rPr>
      </w:pPr>
      <w:bookmarkStart w:id="43" w:name="_Toc104560910"/>
      <w:bookmarkStart w:id="44" w:name="_Toc107246290"/>
    </w:p>
    <w:p w14:paraId="11B64AF5">
      <w:pPr>
        <w:spacing w:line="360" w:lineRule="auto"/>
        <w:rPr>
          <w:rFonts w:ascii="Times New Roman" w:hAnsi="Times New Roman" w:cs="Microsoft New Tai Lue"/>
          <w:bCs/>
          <w:kern w:val="2"/>
          <w:szCs w:val="24"/>
        </w:rPr>
      </w:pPr>
      <w:r>
        <w:rPr>
          <w:rFonts w:hint="eastAsia" w:ascii="Times New Roman" w:hAnsi="Times New Roman" w:cs="Microsoft New Tai Lue"/>
          <w:b/>
          <w:kern w:val="2"/>
          <w:sz w:val="24"/>
          <w:szCs w:val="24"/>
        </w:rPr>
        <w:br w:type="page"/>
      </w:r>
      <w:bookmarkEnd w:id="43"/>
      <w:bookmarkEnd w:id="44"/>
    </w:p>
    <w:p w14:paraId="19664870">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目录五、分项报价表格式</w:t>
      </w:r>
    </w:p>
    <w:p w14:paraId="03F5A358">
      <w:pPr>
        <w:pStyle w:val="265"/>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分项报价表</w:t>
      </w:r>
    </w:p>
    <w:p w14:paraId="0188125B">
      <w:pPr>
        <w:pStyle w:val="246"/>
        <w:jc w:val="center"/>
        <w:rPr>
          <w:b/>
          <w:sz w:val="24"/>
        </w:rPr>
      </w:pPr>
      <w:r>
        <w:rPr>
          <w:rFonts w:hint="eastAsia"/>
          <w:b/>
          <w:sz w:val="24"/>
        </w:rPr>
        <w:t>(5-1)分项报价表（如有）</w:t>
      </w:r>
    </w:p>
    <w:p w14:paraId="5C34E70D">
      <w:pPr>
        <w:pStyle w:val="275"/>
        <w:ind w:firstLine="420"/>
        <w:rPr>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82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638"/>
        <w:gridCol w:w="1738"/>
        <w:gridCol w:w="869"/>
        <w:gridCol w:w="1310"/>
        <w:gridCol w:w="1511"/>
        <w:gridCol w:w="428"/>
        <w:gridCol w:w="633"/>
        <w:gridCol w:w="1253"/>
        <w:gridCol w:w="1448"/>
      </w:tblGrid>
      <w:tr w14:paraId="4615122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31D4ACE1">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序号</w:t>
            </w:r>
          </w:p>
        </w:tc>
        <w:tc>
          <w:tcPr>
            <w:tcW w:w="1738" w:type="dxa"/>
            <w:tcBorders>
              <w:top w:val="single" w:color="auto" w:sz="4" w:space="0"/>
              <w:left w:val="single" w:color="auto" w:sz="4" w:space="0"/>
              <w:bottom w:val="single" w:color="auto" w:sz="4" w:space="0"/>
              <w:right w:val="single" w:color="auto" w:sz="4" w:space="0"/>
            </w:tcBorders>
            <w:vAlign w:val="center"/>
          </w:tcPr>
          <w:p w14:paraId="67F9483C">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名 称</w:t>
            </w:r>
          </w:p>
        </w:tc>
        <w:tc>
          <w:tcPr>
            <w:tcW w:w="869" w:type="dxa"/>
            <w:tcBorders>
              <w:top w:val="single" w:color="auto" w:sz="4" w:space="0"/>
              <w:left w:val="single" w:color="auto" w:sz="4" w:space="0"/>
              <w:bottom w:val="single" w:color="auto" w:sz="4" w:space="0"/>
              <w:right w:val="single" w:color="auto" w:sz="4" w:space="0"/>
            </w:tcBorders>
            <w:vAlign w:val="center"/>
          </w:tcPr>
          <w:p w14:paraId="5BC95792">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品牌</w:t>
            </w:r>
          </w:p>
        </w:tc>
        <w:tc>
          <w:tcPr>
            <w:tcW w:w="1310" w:type="dxa"/>
            <w:tcBorders>
              <w:top w:val="single" w:color="auto" w:sz="4" w:space="0"/>
              <w:left w:val="single" w:color="auto" w:sz="4" w:space="0"/>
              <w:bottom w:val="single" w:color="auto" w:sz="4" w:space="0"/>
              <w:right w:val="single" w:color="auto" w:sz="4" w:space="0"/>
            </w:tcBorders>
            <w:vAlign w:val="center"/>
          </w:tcPr>
          <w:p w14:paraId="41A6DED8">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规格或型号</w:t>
            </w:r>
          </w:p>
        </w:tc>
        <w:tc>
          <w:tcPr>
            <w:tcW w:w="1511" w:type="dxa"/>
            <w:tcBorders>
              <w:top w:val="single" w:color="auto" w:sz="4" w:space="0"/>
              <w:left w:val="single" w:color="auto" w:sz="4" w:space="0"/>
              <w:bottom w:val="single" w:color="auto" w:sz="4" w:space="0"/>
              <w:right w:val="single" w:color="auto" w:sz="4" w:space="0"/>
            </w:tcBorders>
            <w:vAlign w:val="center"/>
          </w:tcPr>
          <w:p w14:paraId="419065FB">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原产地和</w:t>
            </w:r>
          </w:p>
          <w:p w14:paraId="6EBCBE5C">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制造商名称</w:t>
            </w:r>
          </w:p>
        </w:tc>
        <w:tc>
          <w:tcPr>
            <w:tcW w:w="428" w:type="dxa"/>
            <w:tcBorders>
              <w:top w:val="single" w:color="auto" w:sz="4" w:space="0"/>
              <w:left w:val="single" w:color="auto" w:sz="4" w:space="0"/>
              <w:bottom w:val="single" w:color="auto" w:sz="4" w:space="0"/>
              <w:right w:val="single" w:color="auto" w:sz="4" w:space="0"/>
            </w:tcBorders>
            <w:vAlign w:val="center"/>
          </w:tcPr>
          <w:p w14:paraId="05BBB329">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数量</w:t>
            </w:r>
          </w:p>
        </w:tc>
        <w:tc>
          <w:tcPr>
            <w:tcW w:w="633" w:type="dxa"/>
            <w:tcBorders>
              <w:top w:val="single" w:color="auto" w:sz="4" w:space="0"/>
              <w:left w:val="single" w:color="auto" w:sz="4" w:space="0"/>
              <w:bottom w:val="single" w:color="auto" w:sz="4" w:space="0"/>
              <w:right w:val="single" w:color="auto" w:sz="4" w:space="0"/>
            </w:tcBorders>
            <w:vAlign w:val="center"/>
          </w:tcPr>
          <w:p w14:paraId="0B1324AE">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单位</w:t>
            </w:r>
          </w:p>
        </w:tc>
        <w:tc>
          <w:tcPr>
            <w:tcW w:w="1253" w:type="dxa"/>
            <w:tcBorders>
              <w:top w:val="single" w:color="auto" w:sz="4" w:space="0"/>
              <w:left w:val="single" w:color="auto" w:sz="4" w:space="0"/>
              <w:bottom w:val="single" w:color="auto" w:sz="4" w:space="0"/>
              <w:right w:val="single" w:color="auto" w:sz="4" w:space="0"/>
            </w:tcBorders>
            <w:vAlign w:val="center"/>
          </w:tcPr>
          <w:p w14:paraId="377D0CB8">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单项金额（元）</w:t>
            </w:r>
          </w:p>
        </w:tc>
        <w:tc>
          <w:tcPr>
            <w:tcW w:w="1448" w:type="dxa"/>
            <w:tcBorders>
              <w:top w:val="single" w:color="auto" w:sz="4" w:space="0"/>
              <w:left w:val="single" w:color="auto" w:sz="4" w:space="0"/>
              <w:bottom w:val="single" w:color="auto" w:sz="4" w:space="0"/>
              <w:right w:val="single" w:color="auto" w:sz="4" w:space="0"/>
            </w:tcBorders>
            <w:vAlign w:val="center"/>
          </w:tcPr>
          <w:p w14:paraId="434BB667">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总价金额（元）</w:t>
            </w:r>
          </w:p>
        </w:tc>
      </w:tr>
      <w:tr w14:paraId="01AF5FA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2366C0B7">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1</w:t>
            </w:r>
          </w:p>
        </w:tc>
        <w:tc>
          <w:tcPr>
            <w:tcW w:w="1738" w:type="dxa"/>
            <w:tcBorders>
              <w:top w:val="single" w:color="auto" w:sz="4" w:space="0"/>
              <w:left w:val="single" w:color="auto" w:sz="4" w:space="0"/>
              <w:bottom w:val="single" w:color="auto" w:sz="4" w:space="0"/>
              <w:right w:val="single" w:color="auto" w:sz="4" w:space="0"/>
            </w:tcBorders>
            <w:vAlign w:val="center"/>
          </w:tcPr>
          <w:p w14:paraId="68D0AC7D">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869" w:type="dxa"/>
            <w:tcBorders>
              <w:top w:val="single" w:color="auto" w:sz="4" w:space="0"/>
              <w:left w:val="single" w:color="auto" w:sz="4" w:space="0"/>
              <w:bottom w:val="single" w:color="auto" w:sz="4" w:space="0"/>
              <w:right w:val="single" w:color="auto" w:sz="4" w:space="0"/>
            </w:tcBorders>
            <w:vAlign w:val="center"/>
          </w:tcPr>
          <w:p w14:paraId="03A0360A">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310" w:type="dxa"/>
            <w:tcBorders>
              <w:top w:val="single" w:color="auto" w:sz="4" w:space="0"/>
              <w:left w:val="single" w:color="auto" w:sz="4" w:space="0"/>
              <w:bottom w:val="single" w:color="auto" w:sz="4" w:space="0"/>
              <w:right w:val="single" w:color="auto" w:sz="4" w:space="0"/>
            </w:tcBorders>
            <w:vAlign w:val="center"/>
          </w:tcPr>
          <w:p w14:paraId="3CAED5E2">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511" w:type="dxa"/>
            <w:tcBorders>
              <w:top w:val="single" w:color="auto" w:sz="4" w:space="0"/>
              <w:left w:val="single" w:color="auto" w:sz="4" w:space="0"/>
              <w:bottom w:val="single" w:color="auto" w:sz="4" w:space="0"/>
              <w:right w:val="single" w:color="auto" w:sz="4" w:space="0"/>
            </w:tcBorders>
            <w:vAlign w:val="center"/>
          </w:tcPr>
          <w:p w14:paraId="27CB5927">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428" w:type="dxa"/>
            <w:tcBorders>
              <w:top w:val="single" w:color="auto" w:sz="4" w:space="0"/>
              <w:left w:val="single" w:color="auto" w:sz="4" w:space="0"/>
              <w:bottom w:val="single" w:color="auto" w:sz="4" w:space="0"/>
              <w:right w:val="single" w:color="auto" w:sz="4" w:space="0"/>
            </w:tcBorders>
            <w:vAlign w:val="center"/>
          </w:tcPr>
          <w:p w14:paraId="14D434FA">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33" w:type="dxa"/>
            <w:tcBorders>
              <w:top w:val="single" w:color="auto" w:sz="4" w:space="0"/>
              <w:left w:val="single" w:color="auto" w:sz="4" w:space="0"/>
              <w:bottom w:val="single" w:color="auto" w:sz="4" w:space="0"/>
              <w:right w:val="single" w:color="auto" w:sz="4" w:space="0"/>
            </w:tcBorders>
            <w:vAlign w:val="center"/>
          </w:tcPr>
          <w:p w14:paraId="24750ECD">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253" w:type="dxa"/>
            <w:tcBorders>
              <w:top w:val="single" w:color="auto" w:sz="4" w:space="0"/>
              <w:left w:val="single" w:color="auto" w:sz="4" w:space="0"/>
              <w:bottom w:val="single" w:color="auto" w:sz="4" w:space="0"/>
              <w:right w:val="single" w:color="auto" w:sz="4" w:space="0"/>
            </w:tcBorders>
            <w:vAlign w:val="center"/>
          </w:tcPr>
          <w:p w14:paraId="7494054D">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448" w:type="dxa"/>
            <w:tcBorders>
              <w:top w:val="single" w:color="auto" w:sz="4" w:space="0"/>
              <w:left w:val="single" w:color="auto" w:sz="4" w:space="0"/>
              <w:bottom w:val="single" w:color="auto" w:sz="4" w:space="0"/>
              <w:right w:val="single" w:color="auto" w:sz="4" w:space="0"/>
            </w:tcBorders>
            <w:vAlign w:val="center"/>
          </w:tcPr>
          <w:p w14:paraId="59AF5FC5">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r>
      <w:tr w14:paraId="0D4409C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vAlign w:val="center"/>
          </w:tcPr>
          <w:p w14:paraId="3B2AECED">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2</w:t>
            </w:r>
          </w:p>
        </w:tc>
        <w:tc>
          <w:tcPr>
            <w:tcW w:w="1738" w:type="dxa"/>
            <w:tcBorders>
              <w:top w:val="single" w:color="auto" w:sz="4" w:space="0"/>
              <w:left w:val="single" w:color="auto" w:sz="4" w:space="0"/>
              <w:bottom w:val="single" w:color="auto" w:sz="4" w:space="0"/>
              <w:right w:val="single" w:color="auto" w:sz="4" w:space="0"/>
            </w:tcBorders>
            <w:vAlign w:val="center"/>
          </w:tcPr>
          <w:p w14:paraId="42E8BB95">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869" w:type="dxa"/>
            <w:tcBorders>
              <w:top w:val="single" w:color="auto" w:sz="4" w:space="0"/>
              <w:left w:val="single" w:color="auto" w:sz="4" w:space="0"/>
              <w:bottom w:val="single" w:color="auto" w:sz="4" w:space="0"/>
              <w:right w:val="single" w:color="auto" w:sz="4" w:space="0"/>
            </w:tcBorders>
            <w:vAlign w:val="center"/>
          </w:tcPr>
          <w:p w14:paraId="18EACD8E">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310" w:type="dxa"/>
            <w:tcBorders>
              <w:top w:val="single" w:color="auto" w:sz="4" w:space="0"/>
              <w:left w:val="single" w:color="auto" w:sz="4" w:space="0"/>
              <w:bottom w:val="single" w:color="auto" w:sz="4" w:space="0"/>
              <w:right w:val="single" w:color="auto" w:sz="4" w:space="0"/>
            </w:tcBorders>
            <w:vAlign w:val="center"/>
          </w:tcPr>
          <w:p w14:paraId="3EA7B2A6">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511" w:type="dxa"/>
            <w:tcBorders>
              <w:top w:val="single" w:color="auto" w:sz="4" w:space="0"/>
              <w:left w:val="single" w:color="auto" w:sz="4" w:space="0"/>
              <w:bottom w:val="single" w:color="auto" w:sz="4" w:space="0"/>
              <w:right w:val="single" w:color="auto" w:sz="4" w:space="0"/>
            </w:tcBorders>
            <w:vAlign w:val="center"/>
          </w:tcPr>
          <w:p w14:paraId="000CBA8A">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428" w:type="dxa"/>
            <w:tcBorders>
              <w:top w:val="single" w:color="auto" w:sz="4" w:space="0"/>
              <w:left w:val="single" w:color="auto" w:sz="4" w:space="0"/>
              <w:bottom w:val="single" w:color="auto" w:sz="4" w:space="0"/>
              <w:right w:val="single" w:color="auto" w:sz="4" w:space="0"/>
            </w:tcBorders>
            <w:vAlign w:val="center"/>
          </w:tcPr>
          <w:p w14:paraId="376411E3">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33" w:type="dxa"/>
            <w:tcBorders>
              <w:top w:val="single" w:color="auto" w:sz="4" w:space="0"/>
              <w:left w:val="single" w:color="auto" w:sz="4" w:space="0"/>
              <w:bottom w:val="single" w:color="auto" w:sz="4" w:space="0"/>
              <w:right w:val="single" w:color="auto" w:sz="4" w:space="0"/>
            </w:tcBorders>
            <w:vAlign w:val="center"/>
          </w:tcPr>
          <w:p w14:paraId="1C4E8A99">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253" w:type="dxa"/>
            <w:tcBorders>
              <w:top w:val="single" w:color="auto" w:sz="4" w:space="0"/>
              <w:left w:val="single" w:color="auto" w:sz="4" w:space="0"/>
              <w:bottom w:val="single" w:color="auto" w:sz="4" w:space="0"/>
              <w:right w:val="single" w:color="auto" w:sz="4" w:space="0"/>
            </w:tcBorders>
            <w:vAlign w:val="center"/>
          </w:tcPr>
          <w:p w14:paraId="6F253530">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448" w:type="dxa"/>
            <w:tcBorders>
              <w:top w:val="single" w:color="auto" w:sz="4" w:space="0"/>
              <w:left w:val="single" w:color="auto" w:sz="4" w:space="0"/>
              <w:bottom w:val="single" w:color="auto" w:sz="4" w:space="0"/>
              <w:right w:val="single" w:color="auto" w:sz="4" w:space="0"/>
            </w:tcBorders>
            <w:vAlign w:val="center"/>
          </w:tcPr>
          <w:p w14:paraId="1C817BFD">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r>
      <w:tr w14:paraId="1F2FBAE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555" w:type="dxa"/>
            <w:gridSpan w:val="4"/>
            <w:tcBorders>
              <w:top w:val="single" w:color="auto" w:sz="4" w:space="0"/>
              <w:left w:val="single" w:color="auto" w:sz="4" w:space="0"/>
              <w:bottom w:val="single" w:color="auto" w:sz="4" w:space="0"/>
              <w:right w:val="single" w:color="auto" w:sz="4" w:space="0"/>
            </w:tcBorders>
            <w:vAlign w:val="center"/>
          </w:tcPr>
          <w:p w14:paraId="438BC973">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响应报价（元）：</w:t>
            </w:r>
          </w:p>
        </w:tc>
        <w:tc>
          <w:tcPr>
            <w:tcW w:w="5273" w:type="dxa"/>
            <w:gridSpan w:val="5"/>
            <w:tcBorders>
              <w:top w:val="single" w:color="auto" w:sz="4" w:space="0"/>
              <w:left w:val="single" w:color="auto" w:sz="4" w:space="0"/>
              <w:bottom w:val="single" w:color="auto" w:sz="4" w:space="0"/>
              <w:right w:val="single" w:color="auto" w:sz="4" w:space="0"/>
            </w:tcBorders>
            <w:vAlign w:val="center"/>
          </w:tcPr>
          <w:p w14:paraId="4789C865">
            <w:pPr>
              <w:adjustRightInd w:val="0"/>
              <w:jc w:val="center"/>
              <w:rPr>
                <w:rFonts w:hint="eastAsia" w:asciiTheme="minorEastAsia" w:hAnsiTheme="minorEastAsia" w:eastAsiaTheme="minorEastAsia" w:cstheme="minorEastAsia"/>
                <w:color w:val="000000" w:themeColor="text1"/>
                <w14:textFill>
                  <w14:solidFill>
                    <w14:schemeClr w14:val="tx1"/>
                  </w14:solidFill>
                </w14:textFill>
              </w:rPr>
            </w:pPr>
          </w:p>
        </w:tc>
      </w:tr>
    </w:tbl>
    <w:p w14:paraId="2CC1E8EC">
      <w:pPr>
        <w:widowControl/>
        <w:adjustRightInd w:val="0"/>
        <w:spacing w:line="360" w:lineRule="auto"/>
        <w:jc w:val="left"/>
        <w:rPr>
          <w:rFonts w:ascii="宋体" w:cs="宋体"/>
          <w:bCs/>
        </w:rPr>
      </w:pPr>
      <w:r>
        <w:rPr>
          <w:rFonts w:hint="eastAsia" w:ascii="宋体" w:cs="宋体"/>
          <w:bCs/>
        </w:rPr>
        <w:t>注：1.本表“响应报价”须与《响应一览表》中“响应总价”保持一致。</w:t>
      </w:r>
    </w:p>
    <w:p w14:paraId="2611686C">
      <w:pPr>
        <w:pStyle w:val="42"/>
        <w:spacing w:line="240" w:lineRule="atLeast"/>
        <w:jc w:val="left"/>
        <w:rPr>
          <w:rFonts w:eastAsia="宋体" w:cs="Microsoft New Tai Lue"/>
          <w:sz w:val="24"/>
          <w:szCs w:val="24"/>
          <w:u w:val="dotDash"/>
        </w:rPr>
      </w:pPr>
      <w:r>
        <w:rPr>
          <w:rFonts w:hint="eastAsia" w:cs="Microsoft New Tai Lue"/>
          <w:sz w:val="24"/>
          <w:szCs w:val="24"/>
          <w:u w:val="dotDash"/>
        </w:rPr>
        <w:t xml:space="preserve">                                                                            </w:t>
      </w:r>
    </w:p>
    <w:p w14:paraId="04DFC40A">
      <w:pPr>
        <w:pStyle w:val="246"/>
        <w:spacing w:line="400" w:lineRule="exact"/>
        <w:jc w:val="center"/>
        <w:rPr>
          <w:rFonts w:hint="eastAsia" w:ascii="宋体" w:hAnsi="宋体"/>
          <w:b/>
          <w:sz w:val="36"/>
          <w:szCs w:val="36"/>
        </w:rPr>
      </w:pPr>
    </w:p>
    <w:p w14:paraId="17706E14">
      <w:pPr>
        <w:pStyle w:val="246"/>
        <w:spacing w:line="400" w:lineRule="exact"/>
        <w:jc w:val="center"/>
        <w:rPr>
          <w:b/>
          <w:sz w:val="24"/>
        </w:rPr>
      </w:pPr>
      <w:r>
        <w:rPr>
          <w:rFonts w:hint="eastAsia"/>
          <w:b/>
          <w:sz w:val="24"/>
        </w:rPr>
        <w:t>(5-2)易损件、备品备件分项报价表</w:t>
      </w:r>
    </w:p>
    <w:p w14:paraId="4F3BC2D1">
      <w:pPr>
        <w:pStyle w:val="275"/>
        <w:ind w:firstLine="420"/>
        <w:rPr>
          <w:rFonts w:hint="eastAsia" w:hAnsi="宋体"/>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6692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2ADA5B1">
            <w:pPr>
              <w:adjustRightInd w:val="0"/>
              <w:snapToGrid w:val="0"/>
              <w:jc w:val="center"/>
              <w:rPr>
                <w:rFonts w:hint="eastAsia" w:ascii="宋体" w:hAnsi="宋体"/>
                <w:szCs w:val="21"/>
              </w:rPr>
            </w:pPr>
            <w:r>
              <w:rPr>
                <w:rFonts w:hint="eastAsia" w:ascii="宋体" w:hAnsi="宋体"/>
                <w:szCs w:val="21"/>
              </w:rPr>
              <w:t>序号</w:t>
            </w:r>
          </w:p>
        </w:tc>
        <w:tc>
          <w:tcPr>
            <w:tcW w:w="1907" w:type="dxa"/>
            <w:vAlign w:val="center"/>
          </w:tcPr>
          <w:p w14:paraId="1ABA4202">
            <w:pPr>
              <w:adjustRightInd w:val="0"/>
              <w:snapToGrid w:val="0"/>
              <w:jc w:val="center"/>
              <w:rPr>
                <w:rFonts w:hint="eastAsia" w:ascii="宋体" w:hAnsi="宋体"/>
                <w:szCs w:val="21"/>
              </w:rPr>
            </w:pPr>
            <w:r>
              <w:rPr>
                <w:rFonts w:hint="eastAsia" w:ascii="宋体" w:hAnsi="宋体"/>
                <w:szCs w:val="21"/>
              </w:rPr>
              <w:t>名称</w:t>
            </w:r>
          </w:p>
        </w:tc>
        <w:tc>
          <w:tcPr>
            <w:tcW w:w="1400" w:type="dxa"/>
            <w:vAlign w:val="center"/>
          </w:tcPr>
          <w:p w14:paraId="7682FDDF">
            <w:pPr>
              <w:widowControl/>
              <w:jc w:val="center"/>
              <w:rPr>
                <w:rFonts w:hint="eastAsia" w:ascii="宋体" w:hAnsi="宋体"/>
                <w:kern w:val="2"/>
                <w:szCs w:val="21"/>
              </w:rPr>
            </w:pPr>
            <w:r>
              <w:rPr>
                <w:rFonts w:hint="eastAsia" w:ascii="宋体" w:hAnsi="宋体" w:cs="宋体"/>
                <w:sz w:val="20"/>
                <w:szCs w:val="20"/>
                <w:lang w:bidi="ar"/>
              </w:rPr>
              <w:t>品牌、制造商</w:t>
            </w:r>
          </w:p>
        </w:tc>
        <w:tc>
          <w:tcPr>
            <w:tcW w:w="1514" w:type="dxa"/>
            <w:vAlign w:val="center"/>
          </w:tcPr>
          <w:p w14:paraId="1A52483A">
            <w:pPr>
              <w:widowControl/>
              <w:jc w:val="center"/>
              <w:rPr>
                <w:rFonts w:hint="eastAsia" w:ascii="宋体" w:hAnsi="宋体"/>
                <w:kern w:val="2"/>
                <w:szCs w:val="21"/>
              </w:rPr>
            </w:pPr>
            <w:r>
              <w:rPr>
                <w:rFonts w:hint="eastAsia" w:ascii="宋体" w:hAnsi="宋体" w:cs="宋体"/>
                <w:sz w:val="20"/>
                <w:szCs w:val="20"/>
                <w:lang w:bidi="ar"/>
              </w:rPr>
              <w:t>规格或型号或分项目</w:t>
            </w:r>
          </w:p>
        </w:tc>
        <w:tc>
          <w:tcPr>
            <w:tcW w:w="771" w:type="dxa"/>
            <w:vAlign w:val="center"/>
          </w:tcPr>
          <w:p w14:paraId="61A9A86B">
            <w:pPr>
              <w:adjustRightInd w:val="0"/>
              <w:snapToGrid w:val="0"/>
              <w:jc w:val="center"/>
              <w:rPr>
                <w:rFonts w:hint="eastAsia" w:ascii="宋体" w:hAnsi="宋体"/>
                <w:szCs w:val="21"/>
              </w:rPr>
            </w:pPr>
            <w:r>
              <w:rPr>
                <w:rFonts w:hint="eastAsia" w:ascii="宋体" w:hAnsi="宋体"/>
                <w:szCs w:val="21"/>
              </w:rPr>
              <w:t>数量</w:t>
            </w:r>
          </w:p>
        </w:tc>
        <w:tc>
          <w:tcPr>
            <w:tcW w:w="1315" w:type="dxa"/>
            <w:vAlign w:val="center"/>
          </w:tcPr>
          <w:p w14:paraId="44AEF86C">
            <w:pPr>
              <w:adjustRightInd w:val="0"/>
              <w:snapToGrid w:val="0"/>
              <w:jc w:val="center"/>
              <w:rPr>
                <w:rFonts w:hint="eastAsia" w:ascii="宋体" w:hAnsi="宋体"/>
                <w:szCs w:val="21"/>
              </w:rPr>
            </w:pPr>
            <w:r>
              <w:rPr>
                <w:rFonts w:hint="eastAsia" w:ascii="宋体" w:hAnsi="宋体"/>
                <w:szCs w:val="21"/>
              </w:rPr>
              <w:t>单价(元)</w:t>
            </w:r>
          </w:p>
        </w:tc>
        <w:tc>
          <w:tcPr>
            <w:tcW w:w="1400" w:type="dxa"/>
            <w:vAlign w:val="center"/>
          </w:tcPr>
          <w:p w14:paraId="077D2220">
            <w:pPr>
              <w:adjustRightInd w:val="0"/>
              <w:snapToGrid w:val="0"/>
              <w:jc w:val="center"/>
              <w:rPr>
                <w:rFonts w:hint="eastAsia" w:ascii="宋体" w:hAnsi="宋体"/>
                <w:szCs w:val="21"/>
              </w:rPr>
            </w:pPr>
            <w:r>
              <w:rPr>
                <w:rFonts w:hint="eastAsia" w:ascii="宋体" w:hAnsi="宋体"/>
                <w:szCs w:val="21"/>
              </w:rPr>
              <w:t>折扣率</w:t>
            </w:r>
          </w:p>
        </w:tc>
      </w:tr>
      <w:tr w14:paraId="7B37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C855643">
            <w:pPr>
              <w:adjustRightInd w:val="0"/>
              <w:snapToGrid w:val="0"/>
              <w:jc w:val="center"/>
              <w:rPr>
                <w:rFonts w:hint="eastAsia" w:ascii="宋体" w:hAnsi="宋体"/>
                <w:szCs w:val="21"/>
              </w:rPr>
            </w:pPr>
            <w:r>
              <w:rPr>
                <w:rFonts w:hint="eastAsia" w:ascii="宋体" w:hAnsi="宋体"/>
                <w:szCs w:val="21"/>
              </w:rPr>
              <w:t>1</w:t>
            </w:r>
          </w:p>
        </w:tc>
        <w:tc>
          <w:tcPr>
            <w:tcW w:w="1907" w:type="dxa"/>
            <w:vAlign w:val="center"/>
          </w:tcPr>
          <w:p w14:paraId="124B1BD0">
            <w:pPr>
              <w:adjustRightInd w:val="0"/>
              <w:snapToGrid w:val="0"/>
              <w:jc w:val="center"/>
              <w:rPr>
                <w:rFonts w:hint="eastAsia" w:ascii="宋体" w:hAnsi="宋体"/>
                <w:szCs w:val="21"/>
              </w:rPr>
            </w:pPr>
          </w:p>
        </w:tc>
        <w:tc>
          <w:tcPr>
            <w:tcW w:w="1400" w:type="dxa"/>
            <w:vAlign w:val="center"/>
          </w:tcPr>
          <w:p w14:paraId="6676BB60">
            <w:pPr>
              <w:adjustRightInd w:val="0"/>
              <w:snapToGrid w:val="0"/>
              <w:jc w:val="center"/>
              <w:rPr>
                <w:rFonts w:hint="eastAsia" w:ascii="宋体" w:hAnsi="宋体"/>
                <w:szCs w:val="21"/>
              </w:rPr>
            </w:pPr>
          </w:p>
        </w:tc>
        <w:tc>
          <w:tcPr>
            <w:tcW w:w="1514" w:type="dxa"/>
            <w:vAlign w:val="center"/>
          </w:tcPr>
          <w:p w14:paraId="73FF3048">
            <w:pPr>
              <w:adjustRightInd w:val="0"/>
              <w:snapToGrid w:val="0"/>
              <w:jc w:val="center"/>
              <w:rPr>
                <w:rFonts w:hint="eastAsia" w:ascii="宋体" w:hAnsi="宋体"/>
                <w:szCs w:val="21"/>
              </w:rPr>
            </w:pPr>
          </w:p>
        </w:tc>
        <w:tc>
          <w:tcPr>
            <w:tcW w:w="771" w:type="dxa"/>
            <w:vAlign w:val="center"/>
          </w:tcPr>
          <w:p w14:paraId="1FEC3544">
            <w:pPr>
              <w:adjustRightInd w:val="0"/>
              <w:snapToGrid w:val="0"/>
              <w:jc w:val="center"/>
              <w:rPr>
                <w:rFonts w:hint="eastAsia" w:ascii="宋体" w:hAnsi="宋体"/>
                <w:szCs w:val="21"/>
              </w:rPr>
            </w:pPr>
          </w:p>
        </w:tc>
        <w:tc>
          <w:tcPr>
            <w:tcW w:w="1315" w:type="dxa"/>
            <w:vAlign w:val="center"/>
          </w:tcPr>
          <w:p w14:paraId="43C435F7">
            <w:pPr>
              <w:adjustRightInd w:val="0"/>
              <w:snapToGrid w:val="0"/>
              <w:jc w:val="center"/>
              <w:rPr>
                <w:rFonts w:hint="eastAsia" w:ascii="宋体" w:hAnsi="宋体"/>
                <w:szCs w:val="21"/>
              </w:rPr>
            </w:pPr>
          </w:p>
        </w:tc>
        <w:tc>
          <w:tcPr>
            <w:tcW w:w="1400" w:type="dxa"/>
            <w:vAlign w:val="center"/>
          </w:tcPr>
          <w:p w14:paraId="59570A6A">
            <w:pPr>
              <w:adjustRightInd w:val="0"/>
              <w:snapToGrid w:val="0"/>
              <w:jc w:val="center"/>
              <w:rPr>
                <w:rFonts w:hint="eastAsia" w:ascii="宋体" w:hAnsi="宋体"/>
                <w:szCs w:val="21"/>
              </w:rPr>
            </w:pPr>
          </w:p>
        </w:tc>
      </w:tr>
      <w:tr w14:paraId="1CEB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5BE12EC">
            <w:pPr>
              <w:adjustRightInd w:val="0"/>
              <w:snapToGrid w:val="0"/>
              <w:jc w:val="center"/>
              <w:rPr>
                <w:rFonts w:hint="eastAsia" w:ascii="宋体" w:hAnsi="宋体"/>
                <w:szCs w:val="21"/>
              </w:rPr>
            </w:pPr>
            <w:r>
              <w:rPr>
                <w:rFonts w:hint="eastAsia" w:ascii="宋体" w:hAnsi="宋体"/>
                <w:szCs w:val="21"/>
              </w:rPr>
              <w:t>2</w:t>
            </w:r>
          </w:p>
        </w:tc>
        <w:tc>
          <w:tcPr>
            <w:tcW w:w="1907" w:type="dxa"/>
            <w:vAlign w:val="center"/>
          </w:tcPr>
          <w:p w14:paraId="37E89DE9">
            <w:pPr>
              <w:adjustRightInd w:val="0"/>
              <w:snapToGrid w:val="0"/>
              <w:jc w:val="center"/>
              <w:rPr>
                <w:rFonts w:hint="eastAsia" w:ascii="宋体" w:hAnsi="宋体"/>
                <w:szCs w:val="21"/>
              </w:rPr>
            </w:pPr>
          </w:p>
        </w:tc>
        <w:tc>
          <w:tcPr>
            <w:tcW w:w="1400" w:type="dxa"/>
            <w:vAlign w:val="center"/>
          </w:tcPr>
          <w:p w14:paraId="71FEB3A1">
            <w:pPr>
              <w:adjustRightInd w:val="0"/>
              <w:snapToGrid w:val="0"/>
              <w:jc w:val="center"/>
              <w:rPr>
                <w:rFonts w:hint="eastAsia" w:ascii="宋体" w:hAnsi="宋体"/>
                <w:szCs w:val="21"/>
              </w:rPr>
            </w:pPr>
          </w:p>
        </w:tc>
        <w:tc>
          <w:tcPr>
            <w:tcW w:w="1514" w:type="dxa"/>
            <w:vAlign w:val="center"/>
          </w:tcPr>
          <w:p w14:paraId="533E2C56">
            <w:pPr>
              <w:adjustRightInd w:val="0"/>
              <w:snapToGrid w:val="0"/>
              <w:jc w:val="center"/>
              <w:rPr>
                <w:rFonts w:hint="eastAsia" w:ascii="宋体" w:hAnsi="宋体"/>
                <w:szCs w:val="21"/>
              </w:rPr>
            </w:pPr>
          </w:p>
        </w:tc>
        <w:tc>
          <w:tcPr>
            <w:tcW w:w="771" w:type="dxa"/>
            <w:vAlign w:val="center"/>
          </w:tcPr>
          <w:p w14:paraId="1337BB08">
            <w:pPr>
              <w:adjustRightInd w:val="0"/>
              <w:snapToGrid w:val="0"/>
              <w:jc w:val="center"/>
              <w:rPr>
                <w:rFonts w:hint="eastAsia" w:ascii="宋体" w:hAnsi="宋体"/>
                <w:szCs w:val="21"/>
              </w:rPr>
            </w:pPr>
          </w:p>
        </w:tc>
        <w:tc>
          <w:tcPr>
            <w:tcW w:w="1315" w:type="dxa"/>
            <w:vAlign w:val="center"/>
          </w:tcPr>
          <w:p w14:paraId="5C0EE8F0">
            <w:pPr>
              <w:adjustRightInd w:val="0"/>
              <w:snapToGrid w:val="0"/>
              <w:jc w:val="center"/>
              <w:rPr>
                <w:rFonts w:hint="eastAsia" w:ascii="宋体" w:hAnsi="宋体"/>
                <w:szCs w:val="21"/>
              </w:rPr>
            </w:pPr>
          </w:p>
        </w:tc>
        <w:tc>
          <w:tcPr>
            <w:tcW w:w="1400" w:type="dxa"/>
            <w:vAlign w:val="center"/>
          </w:tcPr>
          <w:p w14:paraId="430B2085">
            <w:pPr>
              <w:adjustRightInd w:val="0"/>
              <w:snapToGrid w:val="0"/>
              <w:jc w:val="center"/>
              <w:rPr>
                <w:rFonts w:hint="eastAsia" w:ascii="宋体" w:hAnsi="宋体"/>
                <w:szCs w:val="21"/>
              </w:rPr>
            </w:pPr>
          </w:p>
        </w:tc>
      </w:tr>
      <w:tr w14:paraId="6ACE9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DBFBB71">
            <w:pPr>
              <w:adjustRightInd w:val="0"/>
              <w:snapToGrid w:val="0"/>
              <w:jc w:val="center"/>
              <w:rPr>
                <w:rFonts w:hint="eastAsia" w:ascii="宋体" w:hAnsi="宋体"/>
                <w:szCs w:val="21"/>
              </w:rPr>
            </w:pPr>
            <w:r>
              <w:rPr>
                <w:rFonts w:hint="eastAsia" w:ascii="宋体" w:hAnsi="宋体"/>
                <w:szCs w:val="21"/>
              </w:rPr>
              <w:t>3</w:t>
            </w:r>
          </w:p>
        </w:tc>
        <w:tc>
          <w:tcPr>
            <w:tcW w:w="1907" w:type="dxa"/>
            <w:vAlign w:val="center"/>
          </w:tcPr>
          <w:p w14:paraId="0F868504">
            <w:pPr>
              <w:adjustRightInd w:val="0"/>
              <w:snapToGrid w:val="0"/>
              <w:jc w:val="center"/>
              <w:rPr>
                <w:rFonts w:hint="eastAsia" w:ascii="宋体" w:hAnsi="宋体"/>
                <w:szCs w:val="21"/>
              </w:rPr>
            </w:pPr>
          </w:p>
        </w:tc>
        <w:tc>
          <w:tcPr>
            <w:tcW w:w="1400" w:type="dxa"/>
            <w:vAlign w:val="center"/>
          </w:tcPr>
          <w:p w14:paraId="36A9AF50">
            <w:pPr>
              <w:adjustRightInd w:val="0"/>
              <w:snapToGrid w:val="0"/>
              <w:jc w:val="center"/>
              <w:rPr>
                <w:rFonts w:hint="eastAsia" w:ascii="宋体" w:hAnsi="宋体"/>
                <w:szCs w:val="21"/>
              </w:rPr>
            </w:pPr>
          </w:p>
        </w:tc>
        <w:tc>
          <w:tcPr>
            <w:tcW w:w="1514" w:type="dxa"/>
            <w:vAlign w:val="center"/>
          </w:tcPr>
          <w:p w14:paraId="26B76722">
            <w:pPr>
              <w:adjustRightInd w:val="0"/>
              <w:snapToGrid w:val="0"/>
              <w:jc w:val="center"/>
              <w:rPr>
                <w:rFonts w:hint="eastAsia" w:ascii="宋体" w:hAnsi="宋体"/>
                <w:szCs w:val="21"/>
              </w:rPr>
            </w:pPr>
          </w:p>
        </w:tc>
        <w:tc>
          <w:tcPr>
            <w:tcW w:w="771" w:type="dxa"/>
            <w:vAlign w:val="center"/>
          </w:tcPr>
          <w:p w14:paraId="64FC395F">
            <w:pPr>
              <w:adjustRightInd w:val="0"/>
              <w:snapToGrid w:val="0"/>
              <w:jc w:val="center"/>
              <w:rPr>
                <w:rFonts w:hint="eastAsia" w:ascii="宋体" w:hAnsi="宋体"/>
                <w:szCs w:val="21"/>
              </w:rPr>
            </w:pPr>
          </w:p>
        </w:tc>
        <w:tc>
          <w:tcPr>
            <w:tcW w:w="1315" w:type="dxa"/>
            <w:vAlign w:val="center"/>
          </w:tcPr>
          <w:p w14:paraId="3B31F04A">
            <w:pPr>
              <w:adjustRightInd w:val="0"/>
              <w:snapToGrid w:val="0"/>
              <w:jc w:val="center"/>
              <w:rPr>
                <w:rFonts w:hint="eastAsia" w:ascii="宋体" w:hAnsi="宋体"/>
                <w:szCs w:val="21"/>
              </w:rPr>
            </w:pPr>
          </w:p>
        </w:tc>
        <w:tc>
          <w:tcPr>
            <w:tcW w:w="1400" w:type="dxa"/>
            <w:vAlign w:val="center"/>
          </w:tcPr>
          <w:p w14:paraId="05DC2D9D">
            <w:pPr>
              <w:adjustRightInd w:val="0"/>
              <w:snapToGrid w:val="0"/>
              <w:jc w:val="center"/>
              <w:rPr>
                <w:rFonts w:hint="eastAsia" w:ascii="宋体" w:hAnsi="宋体"/>
                <w:szCs w:val="21"/>
              </w:rPr>
            </w:pPr>
          </w:p>
        </w:tc>
      </w:tr>
      <w:tr w14:paraId="747D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228F853">
            <w:pPr>
              <w:adjustRightInd w:val="0"/>
              <w:snapToGrid w:val="0"/>
              <w:jc w:val="center"/>
              <w:rPr>
                <w:rFonts w:hint="eastAsia" w:ascii="宋体" w:hAnsi="宋体"/>
                <w:szCs w:val="21"/>
              </w:rPr>
            </w:pPr>
            <w:r>
              <w:rPr>
                <w:rFonts w:hint="eastAsia" w:ascii="宋体" w:hAnsi="宋体"/>
                <w:szCs w:val="21"/>
              </w:rPr>
              <w:t>4</w:t>
            </w:r>
          </w:p>
        </w:tc>
        <w:tc>
          <w:tcPr>
            <w:tcW w:w="1907" w:type="dxa"/>
            <w:vAlign w:val="center"/>
          </w:tcPr>
          <w:p w14:paraId="48CB4A2A">
            <w:pPr>
              <w:adjustRightInd w:val="0"/>
              <w:snapToGrid w:val="0"/>
              <w:jc w:val="center"/>
              <w:rPr>
                <w:rFonts w:hint="eastAsia" w:ascii="宋体" w:hAnsi="宋体"/>
                <w:szCs w:val="21"/>
              </w:rPr>
            </w:pPr>
          </w:p>
        </w:tc>
        <w:tc>
          <w:tcPr>
            <w:tcW w:w="1400" w:type="dxa"/>
            <w:vAlign w:val="center"/>
          </w:tcPr>
          <w:p w14:paraId="39E90812">
            <w:pPr>
              <w:adjustRightInd w:val="0"/>
              <w:snapToGrid w:val="0"/>
              <w:jc w:val="center"/>
              <w:rPr>
                <w:rFonts w:hint="eastAsia" w:ascii="宋体" w:hAnsi="宋体"/>
                <w:szCs w:val="21"/>
              </w:rPr>
            </w:pPr>
          </w:p>
        </w:tc>
        <w:tc>
          <w:tcPr>
            <w:tcW w:w="1514" w:type="dxa"/>
            <w:vAlign w:val="center"/>
          </w:tcPr>
          <w:p w14:paraId="3BE77A13">
            <w:pPr>
              <w:adjustRightInd w:val="0"/>
              <w:snapToGrid w:val="0"/>
              <w:jc w:val="center"/>
              <w:rPr>
                <w:rFonts w:hint="eastAsia" w:ascii="宋体" w:hAnsi="宋体"/>
                <w:szCs w:val="21"/>
              </w:rPr>
            </w:pPr>
          </w:p>
        </w:tc>
        <w:tc>
          <w:tcPr>
            <w:tcW w:w="771" w:type="dxa"/>
            <w:vAlign w:val="center"/>
          </w:tcPr>
          <w:p w14:paraId="3A42F515">
            <w:pPr>
              <w:adjustRightInd w:val="0"/>
              <w:snapToGrid w:val="0"/>
              <w:jc w:val="center"/>
              <w:rPr>
                <w:rFonts w:hint="eastAsia" w:ascii="宋体" w:hAnsi="宋体"/>
                <w:szCs w:val="21"/>
              </w:rPr>
            </w:pPr>
          </w:p>
        </w:tc>
        <w:tc>
          <w:tcPr>
            <w:tcW w:w="1315" w:type="dxa"/>
            <w:vAlign w:val="center"/>
          </w:tcPr>
          <w:p w14:paraId="35C0F9BA">
            <w:pPr>
              <w:adjustRightInd w:val="0"/>
              <w:snapToGrid w:val="0"/>
              <w:jc w:val="center"/>
              <w:rPr>
                <w:rFonts w:hint="eastAsia" w:ascii="宋体" w:hAnsi="宋体"/>
                <w:szCs w:val="21"/>
              </w:rPr>
            </w:pPr>
          </w:p>
        </w:tc>
        <w:tc>
          <w:tcPr>
            <w:tcW w:w="1400" w:type="dxa"/>
            <w:vAlign w:val="center"/>
          </w:tcPr>
          <w:p w14:paraId="473918E8">
            <w:pPr>
              <w:adjustRightInd w:val="0"/>
              <w:snapToGrid w:val="0"/>
              <w:jc w:val="center"/>
              <w:rPr>
                <w:rFonts w:hint="eastAsia" w:ascii="宋体" w:hAnsi="宋体"/>
                <w:szCs w:val="21"/>
              </w:rPr>
            </w:pPr>
          </w:p>
        </w:tc>
      </w:tr>
      <w:tr w14:paraId="599A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563CBB3">
            <w:pPr>
              <w:adjustRightInd w:val="0"/>
              <w:snapToGrid w:val="0"/>
              <w:jc w:val="center"/>
              <w:rPr>
                <w:rFonts w:hint="eastAsia" w:ascii="宋体" w:hAnsi="宋体"/>
                <w:szCs w:val="21"/>
              </w:rPr>
            </w:pPr>
            <w:r>
              <w:rPr>
                <w:rFonts w:hint="eastAsia" w:ascii="宋体" w:hAnsi="宋体"/>
                <w:szCs w:val="21"/>
              </w:rPr>
              <w:t>5</w:t>
            </w:r>
          </w:p>
        </w:tc>
        <w:tc>
          <w:tcPr>
            <w:tcW w:w="1907" w:type="dxa"/>
            <w:vAlign w:val="center"/>
          </w:tcPr>
          <w:p w14:paraId="608A419B">
            <w:pPr>
              <w:adjustRightInd w:val="0"/>
              <w:snapToGrid w:val="0"/>
              <w:jc w:val="center"/>
              <w:rPr>
                <w:rFonts w:hint="eastAsia" w:ascii="宋体" w:hAnsi="宋体"/>
                <w:szCs w:val="21"/>
              </w:rPr>
            </w:pPr>
          </w:p>
        </w:tc>
        <w:tc>
          <w:tcPr>
            <w:tcW w:w="1400" w:type="dxa"/>
            <w:vAlign w:val="center"/>
          </w:tcPr>
          <w:p w14:paraId="3303BE43">
            <w:pPr>
              <w:adjustRightInd w:val="0"/>
              <w:snapToGrid w:val="0"/>
              <w:jc w:val="center"/>
              <w:rPr>
                <w:rFonts w:hint="eastAsia" w:ascii="宋体" w:hAnsi="宋体"/>
                <w:szCs w:val="21"/>
              </w:rPr>
            </w:pPr>
          </w:p>
        </w:tc>
        <w:tc>
          <w:tcPr>
            <w:tcW w:w="1514" w:type="dxa"/>
            <w:vAlign w:val="center"/>
          </w:tcPr>
          <w:p w14:paraId="31A6D9D8">
            <w:pPr>
              <w:adjustRightInd w:val="0"/>
              <w:snapToGrid w:val="0"/>
              <w:jc w:val="center"/>
              <w:rPr>
                <w:rFonts w:hint="eastAsia" w:ascii="宋体" w:hAnsi="宋体"/>
                <w:szCs w:val="21"/>
              </w:rPr>
            </w:pPr>
          </w:p>
        </w:tc>
        <w:tc>
          <w:tcPr>
            <w:tcW w:w="771" w:type="dxa"/>
            <w:vAlign w:val="center"/>
          </w:tcPr>
          <w:p w14:paraId="69001493">
            <w:pPr>
              <w:adjustRightInd w:val="0"/>
              <w:snapToGrid w:val="0"/>
              <w:jc w:val="center"/>
              <w:rPr>
                <w:rFonts w:hint="eastAsia" w:ascii="宋体" w:hAnsi="宋体"/>
                <w:szCs w:val="21"/>
              </w:rPr>
            </w:pPr>
          </w:p>
        </w:tc>
        <w:tc>
          <w:tcPr>
            <w:tcW w:w="1315" w:type="dxa"/>
            <w:vAlign w:val="center"/>
          </w:tcPr>
          <w:p w14:paraId="432234D4">
            <w:pPr>
              <w:adjustRightInd w:val="0"/>
              <w:snapToGrid w:val="0"/>
              <w:jc w:val="center"/>
              <w:rPr>
                <w:rFonts w:hint="eastAsia" w:ascii="宋体" w:hAnsi="宋体"/>
                <w:szCs w:val="21"/>
              </w:rPr>
            </w:pPr>
          </w:p>
        </w:tc>
        <w:tc>
          <w:tcPr>
            <w:tcW w:w="1400" w:type="dxa"/>
            <w:vAlign w:val="center"/>
          </w:tcPr>
          <w:p w14:paraId="1251724C">
            <w:pPr>
              <w:adjustRightInd w:val="0"/>
              <w:snapToGrid w:val="0"/>
              <w:jc w:val="center"/>
              <w:rPr>
                <w:rFonts w:hint="eastAsia" w:ascii="宋体" w:hAnsi="宋体"/>
                <w:szCs w:val="21"/>
              </w:rPr>
            </w:pPr>
          </w:p>
        </w:tc>
      </w:tr>
      <w:tr w14:paraId="1AD3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B0B8FFD">
            <w:pPr>
              <w:adjustRightInd w:val="0"/>
              <w:snapToGrid w:val="0"/>
              <w:jc w:val="center"/>
              <w:rPr>
                <w:rFonts w:hint="eastAsia" w:ascii="宋体" w:hAnsi="宋体"/>
                <w:szCs w:val="21"/>
              </w:rPr>
            </w:pPr>
            <w:r>
              <w:rPr>
                <w:rFonts w:hint="eastAsia" w:ascii="宋体" w:hAnsi="宋体"/>
                <w:szCs w:val="21"/>
              </w:rPr>
              <w:t>6</w:t>
            </w:r>
          </w:p>
        </w:tc>
        <w:tc>
          <w:tcPr>
            <w:tcW w:w="1907" w:type="dxa"/>
            <w:vAlign w:val="center"/>
          </w:tcPr>
          <w:p w14:paraId="259FA511">
            <w:pPr>
              <w:adjustRightInd w:val="0"/>
              <w:snapToGrid w:val="0"/>
              <w:jc w:val="center"/>
              <w:rPr>
                <w:rFonts w:hint="eastAsia" w:ascii="宋体" w:hAnsi="宋体"/>
                <w:szCs w:val="21"/>
              </w:rPr>
            </w:pPr>
          </w:p>
        </w:tc>
        <w:tc>
          <w:tcPr>
            <w:tcW w:w="1400" w:type="dxa"/>
            <w:vAlign w:val="center"/>
          </w:tcPr>
          <w:p w14:paraId="788C53F1">
            <w:pPr>
              <w:adjustRightInd w:val="0"/>
              <w:snapToGrid w:val="0"/>
              <w:jc w:val="center"/>
              <w:rPr>
                <w:rFonts w:hint="eastAsia" w:ascii="宋体" w:hAnsi="宋体"/>
                <w:szCs w:val="21"/>
              </w:rPr>
            </w:pPr>
          </w:p>
        </w:tc>
        <w:tc>
          <w:tcPr>
            <w:tcW w:w="1514" w:type="dxa"/>
            <w:vAlign w:val="center"/>
          </w:tcPr>
          <w:p w14:paraId="3A7D2B6E">
            <w:pPr>
              <w:adjustRightInd w:val="0"/>
              <w:snapToGrid w:val="0"/>
              <w:jc w:val="center"/>
              <w:rPr>
                <w:rFonts w:hint="eastAsia" w:ascii="宋体" w:hAnsi="宋体"/>
                <w:szCs w:val="21"/>
              </w:rPr>
            </w:pPr>
          </w:p>
        </w:tc>
        <w:tc>
          <w:tcPr>
            <w:tcW w:w="771" w:type="dxa"/>
            <w:vAlign w:val="center"/>
          </w:tcPr>
          <w:p w14:paraId="6EF7DD92">
            <w:pPr>
              <w:adjustRightInd w:val="0"/>
              <w:snapToGrid w:val="0"/>
              <w:jc w:val="center"/>
              <w:rPr>
                <w:rFonts w:hint="eastAsia" w:ascii="宋体" w:hAnsi="宋体"/>
                <w:szCs w:val="21"/>
              </w:rPr>
            </w:pPr>
          </w:p>
        </w:tc>
        <w:tc>
          <w:tcPr>
            <w:tcW w:w="1315" w:type="dxa"/>
            <w:vAlign w:val="center"/>
          </w:tcPr>
          <w:p w14:paraId="35FC163D">
            <w:pPr>
              <w:adjustRightInd w:val="0"/>
              <w:snapToGrid w:val="0"/>
              <w:jc w:val="center"/>
              <w:rPr>
                <w:rFonts w:hint="eastAsia" w:ascii="宋体" w:hAnsi="宋体"/>
                <w:szCs w:val="21"/>
              </w:rPr>
            </w:pPr>
          </w:p>
        </w:tc>
        <w:tc>
          <w:tcPr>
            <w:tcW w:w="1400" w:type="dxa"/>
            <w:vAlign w:val="center"/>
          </w:tcPr>
          <w:p w14:paraId="22EDE0BA">
            <w:pPr>
              <w:adjustRightInd w:val="0"/>
              <w:snapToGrid w:val="0"/>
              <w:jc w:val="center"/>
              <w:rPr>
                <w:rFonts w:hint="eastAsia" w:ascii="宋体" w:hAnsi="宋体"/>
                <w:szCs w:val="21"/>
              </w:rPr>
            </w:pPr>
          </w:p>
        </w:tc>
      </w:tr>
      <w:tr w14:paraId="6B58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D9CD8AD">
            <w:pPr>
              <w:adjustRightInd w:val="0"/>
              <w:snapToGrid w:val="0"/>
              <w:jc w:val="center"/>
              <w:rPr>
                <w:rFonts w:hint="eastAsia" w:ascii="宋体" w:hAnsi="宋体"/>
                <w:szCs w:val="21"/>
              </w:rPr>
            </w:pPr>
            <w:r>
              <w:rPr>
                <w:rFonts w:hint="eastAsia" w:ascii="宋体" w:hAnsi="宋体"/>
                <w:szCs w:val="21"/>
              </w:rPr>
              <w:t>……</w:t>
            </w:r>
          </w:p>
        </w:tc>
        <w:tc>
          <w:tcPr>
            <w:tcW w:w="1907" w:type="dxa"/>
            <w:vAlign w:val="center"/>
          </w:tcPr>
          <w:p w14:paraId="75311DCA">
            <w:pPr>
              <w:adjustRightInd w:val="0"/>
              <w:snapToGrid w:val="0"/>
              <w:jc w:val="center"/>
              <w:rPr>
                <w:rFonts w:hint="eastAsia" w:ascii="宋体" w:hAnsi="宋体"/>
                <w:szCs w:val="21"/>
              </w:rPr>
            </w:pPr>
          </w:p>
        </w:tc>
        <w:tc>
          <w:tcPr>
            <w:tcW w:w="1400" w:type="dxa"/>
            <w:vAlign w:val="center"/>
          </w:tcPr>
          <w:p w14:paraId="7850D061">
            <w:pPr>
              <w:adjustRightInd w:val="0"/>
              <w:snapToGrid w:val="0"/>
              <w:jc w:val="center"/>
              <w:rPr>
                <w:rFonts w:hint="eastAsia" w:ascii="宋体" w:hAnsi="宋体"/>
                <w:szCs w:val="21"/>
              </w:rPr>
            </w:pPr>
          </w:p>
        </w:tc>
        <w:tc>
          <w:tcPr>
            <w:tcW w:w="1514" w:type="dxa"/>
            <w:vAlign w:val="center"/>
          </w:tcPr>
          <w:p w14:paraId="4F571F22">
            <w:pPr>
              <w:adjustRightInd w:val="0"/>
              <w:snapToGrid w:val="0"/>
              <w:jc w:val="center"/>
              <w:rPr>
                <w:rFonts w:hint="eastAsia" w:ascii="宋体" w:hAnsi="宋体"/>
                <w:szCs w:val="21"/>
              </w:rPr>
            </w:pPr>
          </w:p>
        </w:tc>
        <w:tc>
          <w:tcPr>
            <w:tcW w:w="771" w:type="dxa"/>
            <w:vAlign w:val="center"/>
          </w:tcPr>
          <w:p w14:paraId="5C524BF8">
            <w:pPr>
              <w:adjustRightInd w:val="0"/>
              <w:snapToGrid w:val="0"/>
              <w:jc w:val="center"/>
              <w:rPr>
                <w:rFonts w:hint="eastAsia" w:ascii="宋体" w:hAnsi="宋体"/>
                <w:szCs w:val="21"/>
              </w:rPr>
            </w:pPr>
          </w:p>
        </w:tc>
        <w:tc>
          <w:tcPr>
            <w:tcW w:w="1315" w:type="dxa"/>
            <w:vAlign w:val="center"/>
          </w:tcPr>
          <w:p w14:paraId="5C394328">
            <w:pPr>
              <w:adjustRightInd w:val="0"/>
              <w:snapToGrid w:val="0"/>
              <w:jc w:val="center"/>
              <w:rPr>
                <w:rFonts w:hint="eastAsia" w:ascii="宋体" w:hAnsi="宋体"/>
                <w:szCs w:val="21"/>
              </w:rPr>
            </w:pPr>
          </w:p>
        </w:tc>
        <w:tc>
          <w:tcPr>
            <w:tcW w:w="1400" w:type="dxa"/>
            <w:vAlign w:val="center"/>
          </w:tcPr>
          <w:p w14:paraId="1BD23C1C">
            <w:pPr>
              <w:adjustRightInd w:val="0"/>
              <w:snapToGrid w:val="0"/>
              <w:jc w:val="center"/>
              <w:rPr>
                <w:rFonts w:hint="eastAsia" w:ascii="宋体" w:hAnsi="宋体"/>
                <w:szCs w:val="21"/>
              </w:rPr>
            </w:pPr>
          </w:p>
        </w:tc>
      </w:tr>
    </w:tbl>
    <w:p w14:paraId="487832E0">
      <w:pPr>
        <w:adjustRightInd w:val="0"/>
        <w:spacing w:line="360" w:lineRule="auto"/>
        <w:jc w:val="left"/>
        <w:rPr>
          <w:rFonts w:ascii="Times New Roman" w:hAnsi="Times New Roman"/>
          <w:sz w:val="24"/>
          <w:szCs w:val="21"/>
          <w:lang w:val="zh-CN"/>
        </w:rPr>
      </w:pPr>
    </w:p>
    <w:p w14:paraId="4644A300">
      <w:pPr>
        <w:rPr>
          <w:rFonts w:hint="eastAsia" w:asciiTheme="minorEastAsia" w:hAnsiTheme="minorEastAsia" w:eastAsiaTheme="minorEastAsia" w:cstheme="minorEastAsia"/>
          <w:b/>
          <w:szCs w:val="21"/>
          <w:lang w:val="zh-CN"/>
        </w:rPr>
      </w:pPr>
    </w:p>
    <w:p w14:paraId="522E18DB">
      <w:pPr>
        <w:rPr>
          <w:rFonts w:hint="eastAsia" w:asciiTheme="minorEastAsia" w:hAnsiTheme="minorEastAsia" w:eastAsiaTheme="minorEastAsia" w:cstheme="minorEastAsia"/>
          <w:b/>
          <w:szCs w:val="21"/>
          <w:lang w:val="zh-CN"/>
        </w:rPr>
      </w:pPr>
    </w:p>
    <w:p w14:paraId="4D7C6BF0">
      <w:pPr>
        <w:rPr>
          <w:rFonts w:hint="eastAsia" w:asciiTheme="minorEastAsia" w:hAnsiTheme="minorEastAsia" w:eastAsiaTheme="minorEastAsia" w:cstheme="minorEastAsia"/>
          <w:b/>
          <w:szCs w:val="21"/>
          <w:lang w:val="zh-CN"/>
        </w:rPr>
      </w:pPr>
    </w:p>
    <w:p w14:paraId="3945C2FC">
      <w:pP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4560D7F">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目录六、技术条款偏离表格式</w:t>
      </w:r>
    </w:p>
    <w:p w14:paraId="345093B5">
      <w:pPr>
        <w:pStyle w:val="265"/>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08F72ED1">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123F670A">
            <w:pPr>
              <w:adjustRightInd w:val="0"/>
              <w:jc w:val="lef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519" w:type="pct"/>
            <w:gridSpan w:val="2"/>
            <w:tcBorders>
              <w:top w:val="nil"/>
              <w:left w:val="nil"/>
              <w:bottom w:val="single" w:color="auto" w:sz="6" w:space="0"/>
              <w:right w:val="nil"/>
            </w:tcBorders>
            <w:vAlign w:val="center"/>
          </w:tcPr>
          <w:p w14:paraId="2560ADC5">
            <w:pPr>
              <w:adjustRightInd w:val="0"/>
              <w:jc w:val="lef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0D73F6A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DCBD003">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5EF7AC86">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EA27BAD">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文件要求的技术</w:t>
            </w:r>
            <w:r>
              <w:rPr>
                <w:rFonts w:hint="eastAsia" w:asciiTheme="minorEastAsia" w:hAnsiTheme="minorEastAsia" w:eastAsiaTheme="minorEastAsia" w:cstheme="minorEastAsia"/>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A6F8460">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r>
              <w:rPr>
                <w:rFonts w:hint="eastAsia" w:asciiTheme="minorEastAsia" w:hAnsiTheme="minorEastAsia" w:eastAsiaTheme="minorEastAsia" w:cstheme="minorEastAsia"/>
                <w:b/>
                <w:szCs w:val="21"/>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43361943">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7AC0387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4C96FC8">
            <w:pPr>
              <w:adjustRightInd w:val="0"/>
              <w:jc w:val="center"/>
              <w:rPr>
                <w:rFonts w:hint="eastAsia"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ED217B6">
            <w:pPr>
              <w:adjustRightInd w:val="0"/>
              <w:jc w:val="center"/>
              <w:rPr>
                <w:rFonts w:hint="eastAsia"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CE4629B">
            <w:pPr>
              <w:adjustRightInd w:val="0"/>
              <w:jc w:val="center"/>
              <w:rPr>
                <w:rFonts w:hint="eastAsia"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0A7A4B4">
            <w:pPr>
              <w:adjustRightInd w:val="0"/>
              <w:jc w:val="center"/>
              <w:rPr>
                <w:rFonts w:hint="eastAsia"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A6689C5">
            <w:pPr>
              <w:adjustRightInd w:val="0"/>
              <w:jc w:val="center"/>
              <w:rPr>
                <w:rFonts w:hint="eastAsia" w:asciiTheme="minorEastAsia" w:hAnsiTheme="minorEastAsia" w:eastAsiaTheme="minorEastAsia" w:cstheme="minorEastAsia"/>
                <w:szCs w:val="21"/>
                <w:lang w:val="zh-CN"/>
              </w:rPr>
            </w:pPr>
          </w:p>
        </w:tc>
      </w:tr>
      <w:tr w14:paraId="772DEE8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B43D8CB">
            <w:pPr>
              <w:adjustRightInd w:val="0"/>
              <w:jc w:val="center"/>
              <w:rPr>
                <w:rFonts w:hint="eastAsia"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4E0C561">
            <w:pPr>
              <w:adjustRightInd w:val="0"/>
              <w:jc w:val="center"/>
              <w:rPr>
                <w:rFonts w:hint="eastAsia"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E00E7B7">
            <w:pPr>
              <w:adjustRightInd w:val="0"/>
              <w:jc w:val="center"/>
              <w:rPr>
                <w:rFonts w:hint="eastAsia"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3C62A46">
            <w:pPr>
              <w:adjustRightInd w:val="0"/>
              <w:jc w:val="center"/>
              <w:rPr>
                <w:rFonts w:hint="eastAsia"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50B49F">
            <w:pPr>
              <w:adjustRightInd w:val="0"/>
              <w:jc w:val="center"/>
              <w:rPr>
                <w:rFonts w:hint="eastAsia" w:asciiTheme="minorEastAsia" w:hAnsiTheme="minorEastAsia" w:eastAsiaTheme="minorEastAsia" w:cstheme="minorEastAsia"/>
                <w:szCs w:val="21"/>
                <w:lang w:val="zh-CN"/>
              </w:rPr>
            </w:pPr>
          </w:p>
        </w:tc>
      </w:tr>
      <w:tr w14:paraId="02811A8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824CF24">
            <w:pPr>
              <w:adjustRightInd w:val="0"/>
              <w:jc w:val="center"/>
              <w:rPr>
                <w:rFonts w:hint="eastAsia"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72B7C1B">
            <w:pPr>
              <w:adjustRightInd w:val="0"/>
              <w:jc w:val="center"/>
              <w:rPr>
                <w:rFonts w:hint="eastAsia"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A450474">
            <w:pPr>
              <w:adjustRightInd w:val="0"/>
              <w:jc w:val="center"/>
              <w:rPr>
                <w:rFonts w:hint="eastAsia"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4C8BEAB">
            <w:pPr>
              <w:adjustRightInd w:val="0"/>
              <w:jc w:val="center"/>
              <w:rPr>
                <w:rFonts w:hint="eastAsia"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4476882">
            <w:pPr>
              <w:adjustRightInd w:val="0"/>
              <w:jc w:val="center"/>
              <w:rPr>
                <w:rFonts w:hint="eastAsia" w:asciiTheme="minorEastAsia" w:hAnsiTheme="minorEastAsia" w:eastAsiaTheme="minorEastAsia" w:cstheme="minorEastAsia"/>
                <w:szCs w:val="21"/>
                <w:lang w:val="zh-CN"/>
              </w:rPr>
            </w:pPr>
          </w:p>
        </w:tc>
      </w:tr>
      <w:tr w14:paraId="01EAC1C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DE32B3F">
            <w:pPr>
              <w:adjustRightInd w:val="0"/>
              <w:jc w:val="center"/>
              <w:rPr>
                <w:rFonts w:hint="eastAsia"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EFEDBF0">
            <w:pPr>
              <w:adjustRightInd w:val="0"/>
              <w:jc w:val="center"/>
              <w:rPr>
                <w:rFonts w:hint="eastAsia"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248850B">
            <w:pPr>
              <w:adjustRightInd w:val="0"/>
              <w:jc w:val="center"/>
              <w:rPr>
                <w:rFonts w:hint="eastAsia"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324BE68">
            <w:pPr>
              <w:adjustRightInd w:val="0"/>
              <w:jc w:val="center"/>
              <w:rPr>
                <w:rFonts w:hint="eastAsia"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3A9533B">
            <w:pPr>
              <w:adjustRightInd w:val="0"/>
              <w:jc w:val="center"/>
              <w:rPr>
                <w:rFonts w:hint="eastAsia" w:asciiTheme="minorEastAsia" w:hAnsiTheme="minorEastAsia" w:eastAsiaTheme="minorEastAsia" w:cstheme="minorEastAsia"/>
                <w:szCs w:val="21"/>
                <w:lang w:val="zh-CN"/>
              </w:rPr>
            </w:pPr>
          </w:p>
        </w:tc>
      </w:tr>
      <w:tr w14:paraId="5AAE434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61984E7">
            <w:pPr>
              <w:adjustRightInd w:val="0"/>
              <w:jc w:val="center"/>
              <w:rPr>
                <w:rFonts w:hint="eastAsia"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C0C6AF0">
            <w:pPr>
              <w:adjustRightInd w:val="0"/>
              <w:jc w:val="center"/>
              <w:rPr>
                <w:rFonts w:hint="eastAsia"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36F3B93">
            <w:pPr>
              <w:adjustRightInd w:val="0"/>
              <w:jc w:val="center"/>
              <w:rPr>
                <w:rFonts w:hint="eastAsia"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D4D4DB2">
            <w:pPr>
              <w:adjustRightInd w:val="0"/>
              <w:jc w:val="center"/>
              <w:rPr>
                <w:rFonts w:hint="eastAsia"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9AA7098">
            <w:pPr>
              <w:adjustRightInd w:val="0"/>
              <w:jc w:val="center"/>
              <w:rPr>
                <w:rFonts w:hint="eastAsia" w:asciiTheme="minorEastAsia" w:hAnsiTheme="minorEastAsia" w:eastAsiaTheme="minorEastAsia" w:cstheme="minorEastAsia"/>
                <w:szCs w:val="21"/>
                <w:lang w:val="zh-CN"/>
              </w:rPr>
            </w:pPr>
          </w:p>
        </w:tc>
      </w:tr>
      <w:tr w14:paraId="4298E62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A5795EA">
            <w:pPr>
              <w:adjustRightInd w:val="0"/>
              <w:jc w:val="center"/>
              <w:rPr>
                <w:rFonts w:hint="eastAsia"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1F28C5">
            <w:pPr>
              <w:adjustRightInd w:val="0"/>
              <w:jc w:val="center"/>
              <w:rPr>
                <w:rFonts w:hint="eastAsia"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F6BE395">
            <w:pPr>
              <w:adjustRightInd w:val="0"/>
              <w:jc w:val="center"/>
              <w:rPr>
                <w:rFonts w:hint="eastAsia"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906B90D">
            <w:pPr>
              <w:adjustRightInd w:val="0"/>
              <w:jc w:val="center"/>
              <w:rPr>
                <w:rFonts w:hint="eastAsia"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1F5ED2F">
            <w:pPr>
              <w:adjustRightInd w:val="0"/>
              <w:jc w:val="center"/>
              <w:rPr>
                <w:rFonts w:hint="eastAsia" w:asciiTheme="minorEastAsia" w:hAnsiTheme="minorEastAsia" w:eastAsiaTheme="minorEastAsia" w:cstheme="minorEastAsia"/>
                <w:szCs w:val="21"/>
                <w:lang w:val="zh-CN"/>
              </w:rPr>
            </w:pPr>
          </w:p>
        </w:tc>
      </w:tr>
    </w:tbl>
    <w:p w14:paraId="7EC294AC">
      <w:pPr>
        <w:adjustRightInd w:val="0"/>
        <w:spacing w:line="360" w:lineRule="auto"/>
        <w:jc w:val="left"/>
        <w:rPr>
          <w:rFonts w:hint="eastAsia" w:asciiTheme="minorEastAsia" w:hAnsiTheme="minorEastAsia" w:eastAsiaTheme="minorEastAsia" w:cstheme="minorEastAsia"/>
          <w:szCs w:val="21"/>
          <w:lang w:val="zh-CN"/>
        </w:rPr>
      </w:pPr>
    </w:p>
    <w:p w14:paraId="09CE8C44">
      <w:pPr>
        <w:adjustRightInd w:val="0"/>
        <w:spacing w:line="360" w:lineRule="auto"/>
        <w:jc w:val="left"/>
        <w:rPr>
          <w:rFonts w:hint="eastAsia"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3E7B0E5">
      <w:pPr>
        <w:widowControl/>
        <w:spacing w:line="360" w:lineRule="auto"/>
        <w:jc w:val="left"/>
        <w:rPr>
          <w:rFonts w:hint="eastAsia" w:asciiTheme="minorEastAsia" w:hAnsiTheme="minorEastAsia" w:eastAsiaTheme="minorEastAsia" w:cstheme="minorEastAsia"/>
          <w:szCs w:val="21"/>
          <w:lang w:val="zh-CN"/>
        </w:rPr>
      </w:pPr>
    </w:p>
    <w:p w14:paraId="7A7A10C3">
      <w:pPr>
        <w:pStyle w:val="16"/>
        <w:widowControl/>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说明：</w:t>
      </w:r>
    </w:p>
    <w:p w14:paraId="37E2054C">
      <w:pPr>
        <w:pStyle w:val="16"/>
        <w:widowControl/>
        <w:numPr>
          <w:ilvl w:val="0"/>
          <w:numId w:val="53"/>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74F20335">
      <w:pPr>
        <w:pStyle w:val="16"/>
        <w:widowControl/>
        <w:numPr>
          <w:ilvl w:val="0"/>
          <w:numId w:val="53"/>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0371F6DA">
      <w:pPr>
        <w:pStyle w:val="16"/>
        <w:widowControl/>
        <w:numPr>
          <w:ilvl w:val="0"/>
          <w:numId w:val="53"/>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响应内容作为响应文件重要的组成部分，不应通过简单拷贝或简单标注“符合”“满足”。</w:t>
      </w:r>
    </w:p>
    <w:p w14:paraId="4617C091">
      <w:pP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8435D6F">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目录七、商务条款偏离表格式</w:t>
      </w:r>
    </w:p>
    <w:p w14:paraId="6B642E3C">
      <w:pPr>
        <w:pStyle w:val="265"/>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1842"/>
        <w:gridCol w:w="2866"/>
        <w:gridCol w:w="1158"/>
        <w:gridCol w:w="1422"/>
        <w:gridCol w:w="1343"/>
      </w:tblGrid>
      <w:tr w14:paraId="4D91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7D4E9580">
            <w:pPr>
              <w:adjustRightInd w:val="0"/>
              <w:jc w:val="lef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462" w:type="pct"/>
            <w:gridSpan w:val="2"/>
            <w:tcBorders>
              <w:top w:val="nil"/>
              <w:left w:val="nil"/>
              <w:right w:val="nil"/>
            </w:tcBorders>
            <w:vAlign w:val="center"/>
          </w:tcPr>
          <w:p w14:paraId="4ACA4A4F">
            <w:pPr>
              <w:adjustRightInd w:val="0"/>
              <w:jc w:val="lef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77D0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061CF1">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74" w:type="pct"/>
            <w:vAlign w:val="center"/>
          </w:tcPr>
          <w:p w14:paraId="7C914567">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515" w:type="pct"/>
            <w:vAlign w:val="center"/>
          </w:tcPr>
          <w:p w14:paraId="6C208A49">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文件要求的商务条款</w:t>
            </w:r>
          </w:p>
        </w:tc>
        <w:tc>
          <w:tcPr>
            <w:tcW w:w="1364" w:type="pct"/>
            <w:gridSpan w:val="2"/>
            <w:vAlign w:val="center"/>
          </w:tcPr>
          <w:p w14:paraId="3765F4C0">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p>
        </w:tc>
        <w:tc>
          <w:tcPr>
            <w:tcW w:w="709" w:type="pct"/>
            <w:vAlign w:val="center"/>
          </w:tcPr>
          <w:p w14:paraId="5D6B48AF">
            <w:pPr>
              <w:adjustRightInd w:val="0"/>
              <w:jc w:val="center"/>
              <w:rPr>
                <w:rFonts w:hint="eastAsia"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0EE3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B503A00">
            <w:pPr>
              <w:adjustRightInd w:val="0"/>
              <w:jc w:val="center"/>
              <w:rPr>
                <w:rFonts w:hint="eastAsia" w:asciiTheme="minorEastAsia" w:hAnsiTheme="minorEastAsia" w:eastAsiaTheme="minorEastAsia" w:cstheme="minorEastAsia"/>
                <w:szCs w:val="21"/>
                <w:lang w:val="zh-CN"/>
              </w:rPr>
            </w:pPr>
          </w:p>
        </w:tc>
        <w:tc>
          <w:tcPr>
            <w:tcW w:w="974" w:type="pct"/>
            <w:vAlign w:val="center"/>
          </w:tcPr>
          <w:p w14:paraId="1FCDD36A">
            <w:pPr>
              <w:adjustRightInd w:val="0"/>
              <w:jc w:val="center"/>
              <w:rPr>
                <w:rFonts w:hint="eastAsia" w:asciiTheme="minorEastAsia" w:hAnsiTheme="minorEastAsia" w:eastAsiaTheme="minorEastAsia" w:cstheme="minorEastAsia"/>
                <w:szCs w:val="21"/>
                <w:lang w:val="zh-CN"/>
              </w:rPr>
            </w:pPr>
          </w:p>
        </w:tc>
        <w:tc>
          <w:tcPr>
            <w:tcW w:w="1515" w:type="pct"/>
            <w:vAlign w:val="center"/>
          </w:tcPr>
          <w:p w14:paraId="363452F0">
            <w:pPr>
              <w:adjustRightInd w:val="0"/>
              <w:jc w:val="center"/>
              <w:rPr>
                <w:rFonts w:hint="eastAsia" w:asciiTheme="minorEastAsia" w:hAnsiTheme="minorEastAsia" w:eastAsiaTheme="minorEastAsia" w:cstheme="minorEastAsia"/>
                <w:szCs w:val="21"/>
                <w:lang w:val="zh-CN"/>
              </w:rPr>
            </w:pPr>
          </w:p>
        </w:tc>
        <w:tc>
          <w:tcPr>
            <w:tcW w:w="1364" w:type="pct"/>
            <w:gridSpan w:val="2"/>
            <w:vAlign w:val="center"/>
          </w:tcPr>
          <w:p w14:paraId="105E9B54">
            <w:pPr>
              <w:adjustRightInd w:val="0"/>
              <w:jc w:val="center"/>
              <w:rPr>
                <w:rFonts w:hint="eastAsia" w:asciiTheme="minorEastAsia" w:hAnsiTheme="minorEastAsia" w:eastAsiaTheme="minorEastAsia" w:cstheme="minorEastAsia"/>
                <w:szCs w:val="21"/>
                <w:lang w:val="zh-CN"/>
              </w:rPr>
            </w:pPr>
          </w:p>
        </w:tc>
        <w:tc>
          <w:tcPr>
            <w:tcW w:w="709" w:type="pct"/>
            <w:vAlign w:val="center"/>
          </w:tcPr>
          <w:p w14:paraId="1879ACB3">
            <w:pPr>
              <w:adjustRightInd w:val="0"/>
              <w:jc w:val="center"/>
              <w:rPr>
                <w:rFonts w:hint="eastAsia" w:asciiTheme="minorEastAsia" w:hAnsiTheme="minorEastAsia" w:eastAsiaTheme="minorEastAsia" w:cstheme="minorEastAsia"/>
                <w:szCs w:val="21"/>
                <w:lang w:val="zh-CN"/>
              </w:rPr>
            </w:pPr>
          </w:p>
        </w:tc>
      </w:tr>
      <w:tr w14:paraId="2C3A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19FB8C">
            <w:pPr>
              <w:adjustRightInd w:val="0"/>
              <w:jc w:val="center"/>
              <w:rPr>
                <w:rFonts w:hint="eastAsia" w:asciiTheme="minorEastAsia" w:hAnsiTheme="minorEastAsia" w:eastAsiaTheme="minorEastAsia" w:cstheme="minorEastAsia"/>
                <w:szCs w:val="21"/>
                <w:lang w:val="zh-CN"/>
              </w:rPr>
            </w:pPr>
          </w:p>
        </w:tc>
        <w:tc>
          <w:tcPr>
            <w:tcW w:w="974" w:type="pct"/>
            <w:vAlign w:val="center"/>
          </w:tcPr>
          <w:p w14:paraId="34D40DE4">
            <w:pPr>
              <w:adjustRightInd w:val="0"/>
              <w:jc w:val="center"/>
              <w:rPr>
                <w:rFonts w:hint="eastAsia" w:asciiTheme="minorEastAsia" w:hAnsiTheme="minorEastAsia" w:eastAsiaTheme="minorEastAsia" w:cstheme="minorEastAsia"/>
                <w:szCs w:val="21"/>
                <w:lang w:val="zh-CN"/>
              </w:rPr>
            </w:pPr>
          </w:p>
        </w:tc>
        <w:tc>
          <w:tcPr>
            <w:tcW w:w="1515" w:type="pct"/>
            <w:vAlign w:val="center"/>
          </w:tcPr>
          <w:p w14:paraId="4625AA1C">
            <w:pPr>
              <w:adjustRightInd w:val="0"/>
              <w:jc w:val="center"/>
              <w:rPr>
                <w:rFonts w:hint="eastAsia" w:asciiTheme="minorEastAsia" w:hAnsiTheme="minorEastAsia" w:eastAsiaTheme="minorEastAsia" w:cstheme="minorEastAsia"/>
                <w:szCs w:val="21"/>
                <w:lang w:val="zh-CN"/>
              </w:rPr>
            </w:pPr>
          </w:p>
        </w:tc>
        <w:tc>
          <w:tcPr>
            <w:tcW w:w="1364" w:type="pct"/>
            <w:gridSpan w:val="2"/>
            <w:vAlign w:val="center"/>
          </w:tcPr>
          <w:p w14:paraId="2DFBDC8C">
            <w:pPr>
              <w:adjustRightInd w:val="0"/>
              <w:jc w:val="center"/>
              <w:rPr>
                <w:rFonts w:hint="eastAsia" w:asciiTheme="minorEastAsia" w:hAnsiTheme="minorEastAsia" w:eastAsiaTheme="minorEastAsia" w:cstheme="minorEastAsia"/>
                <w:szCs w:val="21"/>
                <w:lang w:val="zh-CN"/>
              </w:rPr>
            </w:pPr>
          </w:p>
        </w:tc>
        <w:tc>
          <w:tcPr>
            <w:tcW w:w="709" w:type="pct"/>
            <w:vAlign w:val="center"/>
          </w:tcPr>
          <w:p w14:paraId="3248C1AC">
            <w:pPr>
              <w:adjustRightInd w:val="0"/>
              <w:jc w:val="center"/>
              <w:rPr>
                <w:rFonts w:hint="eastAsia" w:asciiTheme="minorEastAsia" w:hAnsiTheme="minorEastAsia" w:eastAsiaTheme="minorEastAsia" w:cstheme="minorEastAsia"/>
                <w:szCs w:val="21"/>
                <w:lang w:val="zh-CN"/>
              </w:rPr>
            </w:pPr>
          </w:p>
        </w:tc>
      </w:tr>
      <w:tr w14:paraId="41AB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55860FE">
            <w:pPr>
              <w:adjustRightInd w:val="0"/>
              <w:jc w:val="center"/>
              <w:rPr>
                <w:rFonts w:hint="eastAsia" w:asciiTheme="minorEastAsia" w:hAnsiTheme="minorEastAsia" w:eastAsiaTheme="minorEastAsia" w:cstheme="minorEastAsia"/>
                <w:szCs w:val="21"/>
                <w:lang w:val="zh-CN"/>
              </w:rPr>
            </w:pPr>
          </w:p>
        </w:tc>
        <w:tc>
          <w:tcPr>
            <w:tcW w:w="974" w:type="pct"/>
            <w:vAlign w:val="center"/>
          </w:tcPr>
          <w:p w14:paraId="0A8DE9BC">
            <w:pPr>
              <w:adjustRightInd w:val="0"/>
              <w:jc w:val="center"/>
              <w:rPr>
                <w:rFonts w:hint="eastAsia" w:asciiTheme="minorEastAsia" w:hAnsiTheme="minorEastAsia" w:eastAsiaTheme="minorEastAsia" w:cstheme="minorEastAsia"/>
                <w:szCs w:val="21"/>
                <w:lang w:val="zh-CN"/>
              </w:rPr>
            </w:pPr>
          </w:p>
        </w:tc>
        <w:tc>
          <w:tcPr>
            <w:tcW w:w="1515" w:type="pct"/>
            <w:vAlign w:val="center"/>
          </w:tcPr>
          <w:p w14:paraId="014C95A3">
            <w:pPr>
              <w:adjustRightInd w:val="0"/>
              <w:jc w:val="center"/>
              <w:rPr>
                <w:rFonts w:hint="eastAsia" w:asciiTheme="minorEastAsia" w:hAnsiTheme="minorEastAsia" w:eastAsiaTheme="minorEastAsia" w:cstheme="minorEastAsia"/>
                <w:szCs w:val="21"/>
                <w:lang w:val="zh-CN"/>
              </w:rPr>
            </w:pPr>
          </w:p>
        </w:tc>
        <w:tc>
          <w:tcPr>
            <w:tcW w:w="1364" w:type="pct"/>
            <w:gridSpan w:val="2"/>
            <w:vAlign w:val="center"/>
          </w:tcPr>
          <w:p w14:paraId="72153480">
            <w:pPr>
              <w:adjustRightInd w:val="0"/>
              <w:jc w:val="center"/>
              <w:rPr>
                <w:rFonts w:hint="eastAsia" w:asciiTheme="minorEastAsia" w:hAnsiTheme="minorEastAsia" w:eastAsiaTheme="minorEastAsia" w:cstheme="minorEastAsia"/>
                <w:szCs w:val="21"/>
                <w:lang w:val="zh-CN"/>
              </w:rPr>
            </w:pPr>
          </w:p>
        </w:tc>
        <w:tc>
          <w:tcPr>
            <w:tcW w:w="709" w:type="pct"/>
            <w:vAlign w:val="center"/>
          </w:tcPr>
          <w:p w14:paraId="328C0BBC">
            <w:pPr>
              <w:adjustRightInd w:val="0"/>
              <w:jc w:val="center"/>
              <w:rPr>
                <w:rFonts w:hint="eastAsia" w:asciiTheme="minorEastAsia" w:hAnsiTheme="minorEastAsia" w:eastAsiaTheme="minorEastAsia" w:cstheme="minorEastAsia"/>
                <w:szCs w:val="21"/>
                <w:lang w:val="zh-CN"/>
              </w:rPr>
            </w:pPr>
          </w:p>
        </w:tc>
      </w:tr>
      <w:tr w14:paraId="2CFD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A105474">
            <w:pPr>
              <w:adjustRightInd w:val="0"/>
              <w:jc w:val="center"/>
              <w:rPr>
                <w:rFonts w:hint="eastAsia" w:asciiTheme="minorEastAsia" w:hAnsiTheme="minorEastAsia" w:eastAsiaTheme="minorEastAsia" w:cstheme="minorEastAsia"/>
                <w:szCs w:val="21"/>
                <w:lang w:val="zh-CN"/>
              </w:rPr>
            </w:pPr>
          </w:p>
        </w:tc>
        <w:tc>
          <w:tcPr>
            <w:tcW w:w="974" w:type="pct"/>
            <w:vAlign w:val="center"/>
          </w:tcPr>
          <w:p w14:paraId="3F84C96C">
            <w:pPr>
              <w:adjustRightInd w:val="0"/>
              <w:jc w:val="center"/>
              <w:rPr>
                <w:rFonts w:hint="eastAsia" w:asciiTheme="minorEastAsia" w:hAnsiTheme="minorEastAsia" w:eastAsiaTheme="minorEastAsia" w:cstheme="minorEastAsia"/>
                <w:szCs w:val="21"/>
                <w:lang w:val="zh-CN"/>
              </w:rPr>
            </w:pPr>
          </w:p>
        </w:tc>
        <w:tc>
          <w:tcPr>
            <w:tcW w:w="1515" w:type="pct"/>
            <w:vAlign w:val="center"/>
          </w:tcPr>
          <w:p w14:paraId="6430018F">
            <w:pPr>
              <w:adjustRightInd w:val="0"/>
              <w:jc w:val="center"/>
              <w:rPr>
                <w:rFonts w:hint="eastAsia" w:asciiTheme="minorEastAsia" w:hAnsiTheme="minorEastAsia" w:eastAsiaTheme="minorEastAsia" w:cstheme="minorEastAsia"/>
                <w:szCs w:val="21"/>
                <w:lang w:val="zh-CN"/>
              </w:rPr>
            </w:pPr>
          </w:p>
        </w:tc>
        <w:tc>
          <w:tcPr>
            <w:tcW w:w="1364" w:type="pct"/>
            <w:gridSpan w:val="2"/>
            <w:vAlign w:val="center"/>
          </w:tcPr>
          <w:p w14:paraId="20B8B62D">
            <w:pPr>
              <w:adjustRightInd w:val="0"/>
              <w:jc w:val="center"/>
              <w:rPr>
                <w:rFonts w:hint="eastAsia" w:asciiTheme="minorEastAsia" w:hAnsiTheme="minorEastAsia" w:eastAsiaTheme="minorEastAsia" w:cstheme="minorEastAsia"/>
                <w:szCs w:val="21"/>
                <w:lang w:val="zh-CN"/>
              </w:rPr>
            </w:pPr>
          </w:p>
        </w:tc>
        <w:tc>
          <w:tcPr>
            <w:tcW w:w="709" w:type="pct"/>
            <w:vAlign w:val="center"/>
          </w:tcPr>
          <w:p w14:paraId="69318D0D">
            <w:pPr>
              <w:adjustRightInd w:val="0"/>
              <w:jc w:val="center"/>
              <w:rPr>
                <w:rFonts w:hint="eastAsia" w:asciiTheme="minorEastAsia" w:hAnsiTheme="minorEastAsia" w:eastAsiaTheme="minorEastAsia" w:cstheme="minorEastAsia"/>
                <w:szCs w:val="21"/>
                <w:lang w:val="zh-CN"/>
              </w:rPr>
            </w:pPr>
          </w:p>
        </w:tc>
      </w:tr>
      <w:tr w14:paraId="6010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22CF297">
            <w:pPr>
              <w:adjustRightInd w:val="0"/>
              <w:jc w:val="center"/>
              <w:rPr>
                <w:rFonts w:hint="eastAsia" w:asciiTheme="minorEastAsia" w:hAnsiTheme="minorEastAsia" w:eastAsiaTheme="minorEastAsia" w:cstheme="minorEastAsia"/>
                <w:szCs w:val="21"/>
                <w:lang w:val="zh-CN"/>
              </w:rPr>
            </w:pPr>
          </w:p>
        </w:tc>
        <w:tc>
          <w:tcPr>
            <w:tcW w:w="974" w:type="pct"/>
            <w:vAlign w:val="center"/>
          </w:tcPr>
          <w:p w14:paraId="11634B39">
            <w:pPr>
              <w:adjustRightInd w:val="0"/>
              <w:jc w:val="center"/>
              <w:rPr>
                <w:rFonts w:hint="eastAsia" w:asciiTheme="minorEastAsia" w:hAnsiTheme="minorEastAsia" w:eastAsiaTheme="minorEastAsia" w:cstheme="minorEastAsia"/>
                <w:szCs w:val="21"/>
                <w:lang w:val="zh-CN"/>
              </w:rPr>
            </w:pPr>
          </w:p>
        </w:tc>
        <w:tc>
          <w:tcPr>
            <w:tcW w:w="1515" w:type="pct"/>
            <w:vAlign w:val="center"/>
          </w:tcPr>
          <w:p w14:paraId="29497E50">
            <w:pPr>
              <w:adjustRightInd w:val="0"/>
              <w:jc w:val="center"/>
              <w:rPr>
                <w:rFonts w:hint="eastAsia" w:asciiTheme="minorEastAsia" w:hAnsiTheme="minorEastAsia" w:eastAsiaTheme="minorEastAsia" w:cstheme="minorEastAsia"/>
                <w:szCs w:val="21"/>
                <w:lang w:val="zh-CN"/>
              </w:rPr>
            </w:pPr>
          </w:p>
        </w:tc>
        <w:tc>
          <w:tcPr>
            <w:tcW w:w="1364" w:type="pct"/>
            <w:gridSpan w:val="2"/>
            <w:vAlign w:val="center"/>
          </w:tcPr>
          <w:p w14:paraId="037F7AD0">
            <w:pPr>
              <w:adjustRightInd w:val="0"/>
              <w:jc w:val="center"/>
              <w:rPr>
                <w:rFonts w:hint="eastAsia" w:asciiTheme="minorEastAsia" w:hAnsiTheme="minorEastAsia" w:eastAsiaTheme="minorEastAsia" w:cstheme="minorEastAsia"/>
                <w:szCs w:val="21"/>
                <w:lang w:val="zh-CN"/>
              </w:rPr>
            </w:pPr>
          </w:p>
        </w:tc>
        <w:tc>
          <w:tcPr>
            <w:tcW w:w="709" w:type="pct"/>
            <w:vAlign w:val="center"/>
          </w:tcPr>
          <w:p w14:paraId="4C97366F">
            <w:pPr>
              <w:adjustRightInd w:val="0"/>
              <w:jc w:val="center"/>
              <w:rPr>
                <w:rFonts w:hint="eastAsia" w:asciiTheme="minorEastAsia" w:hAnsiTheme="minorEastAsia" w:eastAsiaTheme="minorEastAsia" w:cstheme="minorEastAsia"/>
                <w:szCs w:val="21"/>
                <w:lang w:val="zh-CN"/>
              </w:rPr>
            </w:pPr>
          </w:p>
        </w:tc>
      </w:tr>
      <w:tr w14:paraId="05E7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40237DA">
            <w:pPr>
              <w:adjustRightInd w:val="0"/>
              <w:jc w:val="center"/>
              <w:rPr>
                <w:rFonts w:hint="eastAsia" w:asciiTheme="minorEastAsia" w:hAnsiTheme="minorEastAsia" w:eastAsiaTheme="minorEastAsia" w:cstheme="minorEastAsia"/>
                <w:szCs w:val="21"/>
                <w:lang w:val="zh-CN"/>
              </w:rPr>
            </w:pPr>
          </w:p>
        </w:tc>
        <w:tc>
          <w:tcPr>
            <w:tcW w:w="974" w:type="pct"/>
            <w:vAlign w:val="center"/>
          </w:tcPr>
          <w:p w14:paraId="44258F65">
            <w:pPr>
              <w:adjustRightInd w:val="0"/>
              <w:jc w:val="center"/>
              <w:rPr>
                <w:rFonts w:hint="eastAsia" w:asciiTheme="minorEastAsia" w:hAnsiTheme="minorEastAsia" w:eastAsiaTheme="minorEastAsia" w:cstheme="minorEastAsia"/>
                <w:szCs w:val="21"/>
                <w:lang w:val="zh-CN"/>
              </w:rPr>
            </w:pPr>
          </w:p>
        </w:tc>
        <w:tc>
          <w:tcPr>
            <w:tcW w:w="1515" w:type="pct"/>
            <w:vAlign w:val="center"/>
          </w:tcPr>
          <w:p w14:paraId="6FFAF06D">
            <w:pPr>
              <w:adjustRightInd w:val="0"/>
              <w:jc w:val="center"/>
              <w:rPr>
                <w:rFonts w:hint="eastAsia" w:asciiTheme="minorEastAsia" w:hAnsiTheme="minorEastAsia" w:eastAsiaTheme="minorEastAsia" w:cstheme="minorEastAsia"/>
                <w:szCs w:val="21"/>
                <w:lang w:val="zh-CN"/>
              </w:rPr>
            </w:pPr>
          </w:p>
        </w:tc>
        <w:tc>
          <w:tcPr>
            <w:tcW w:w="1364" w:type="pct"/>
            <w:gridSpan w:val="2"/>
            <w:vAlign w:val="center"/>
          </w:tcPr>
          <w:p w14:paraId="08E68488">
            <w:pPr>
              <w:adjustRightInd w:val="0"/>
              <w:jc w:val="center"/>
              <w:rPr>
                <w:rFonts w:hint="eastAsia" w:asciiTheme="minorEastAsia" w:hAnsiTheme="minorEastAsia" w:eastAsiaTheme="minorEastAsia" w:cstheme="minorEastAsia"/>
                <w:szCs w:val="21"/>
                <w:lang w:val="zh-CN"/>
              </w:rPr>
            </w:pPr>
          </w:p>
        </w:tc>
        <w:tc>
          <w:tcPr>
            <w:tcW w:w="709" w:type="pct"/>
            <w:vAlign w:val="center"/>
          </w:tcPr>
          <w:p w14:paraId="0E76FD7F">
            <w:pPr>
              <w:adjustRightInd w:val="0"/>
              <w:jc w:val="center"/>
              <w:rPr>
                <w:rFonts w:hint="eastAsia" w:asciiTheme="minorEastAsia" w:hAnsiTheme="minorEastAsia" w:eastAsiaTheme="minorEastAsia" w:cstheme="minorEastAsia"/>
                <w:szCs w:val="21"/>
                <w:lang w:val="zh-CN"/>
              </w:rPr>
            </w:pPr>
          </w:p>
        </w:tc>
      </w:tr>
      <w:tr w14:paraId="5722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3A880F1">
            <w:pPr>
              <w:jc w:val="center"/>
              <w:rPr>
                <w:rFonts w:hint="eastAsia" w:asciiTheme="minorEastAsia" w:hAnsiTheme="minorEastAsia" w:eastAsiaTheme="minorEastAsia" w:cstheme="minorEastAsia"/>
                <w:szCs w:val="21"/>
              </w:rPr>
            </w:pPr>
          </w:p>
        </w:tc>
        <w:tc>
          <w:tcPr>
            <w:tcW w:w="974" w:type="pct"/>
            <w:vAlign w:val="center"/>
          </w:tcPr>
          <w:p w14:paraId="12675932">
            <w:pPr>
              <w:jc w:val="center"/>
              <w:rPr>
                <w:rFonts w:hint="eastAsia" w:asciiTheme="minorEastAsia" w:hAnsiTheme="minorEastAsia" w:eastAsiaTheme="minorEastAsia" w:cstheme="minorEastAsia"/>
                <w:szCs w:val="21"/>
              </w:rPr>
            </w:pPr>
          </w:p>
        </w:tc>
        <w:tc>
          <w:tcPr>
            <w:tcW w:w="1515" w:type="pct"/>
            <w:vAlign w:val="center"/>
          </w:tcPr>
          <w:p w14:paraId="21D59D1F">
            <w:pPr>
              <w:jc w:val="center"/>
              <w:rPr>
                <w:rFonts w:hint="eastAsia" w:asciiTheme="minorEastAsia" w:hAnsiTheme="minorEastAsia" w:eastAsiaTheme="minorEastAsia" w:cstheme="minorEastAsia"/>
                <w:szCs w:val="21"/>
              </w:rPr>
            </w:pPr>
          </w:p>
        </w:tc>
        <w:tc>
          <w:tcPr>
            <w:tcW w:w="1364" w:type="pct"/>
            <w:gridSpan w:val="2"/>
            <w:vAlign w:val="center"/>
          </w:tcPr>
          <w:p w14:paraId="1AF96C74">
            <w:pPr>
              <w:jc w:val="center"/>
              <w:rPr>
                <w:rFonts w:hint="eastAsia" w:asciiTheme="minorEastAsia" w:hAnsiTheme="minorEastAsia" w:eastAsiaTheme="minorEastAsia" w:cstheme="minorEastAsia"/>
                <w:szCs w:val="21"/>
              </w:rPr>
            </w:pPr>
          </w:p>
        </w:tc>
        <w:tc>
          <w:tcPr>
            <w:tcW w:w="709" w:type="pct"/>
            <w:vAlign w:val="center"/>
          </w:tcPr>
          <w:p w14:paraId="6DC26ED6">
            <w:pPr>
              <w:jc w:val="center"/>
              <w:rPr>
                <w:rFonts w:hint="eastAsia" w:asciiTheme="minorEastAsia" w:hAnsiTheme="minorEastAsia" w:eastAsiaTheme="minorEastAsia" w:cstheme="minorEastAsia"/>
                <w:szCs w:val="21"/>
              </w:rPr>
            </w:pPr>
          </w:p>
        </w:tc>
      </w:tr>
    </w:tbl>
    <w:p w14:paraId="73CF9949">
      <w:pPr>
        <w:adjustRightInd w:val="0"/>
        <w:spacing w:line="360" w:lineRule="auto"/>
        <w:jc w:val="left"/>
        <w:rPr>
          <w:rFonts w:hint="eastAsia" w:asciiTheme="minorEastAsia" w:hAnsiTheme="minorEastAsia" w:eastAsiaTheme="minorEastAsia" w:cstheme="minorEastAsia"/>
          <w:szCs w:val="21"/>
          <w:lang w:val="zh-CN"/>
        </w:rPr>
      </w:pPr>
    </w:p>
    <w:p w14:paraId="7E3872C3">
      <w:pPr>
        <w:adjustRightInd w:val="0"/>
        <w:spacing w:line="360" w:lineRule="auto"/>
        <w:jc w:val="left"/>
        <w:rPr>
          <w:rFonts w:hint="eastAsia"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6979CBF">
      <w:pPr>
        <w:widowControl/>
        <w:spacing w:line="360" w:lineRule="auto"/>
        <w:jc w:val="left"/>
        <w:rPr>
          <w:rFonts w:hint="eastAsia" w:asciiTheme="minorEastAsia" w:hAnsiTheme="minorEastAsia" w:eastAsiaTheme="minorEastAsia" w:cstheme="minorEastAsia"/>
          <w:szCs w:val="21"/>
          <w:lang w:val="zh-CN"/>
        </w:rPr>
      </w:pPr>
    </w:p>
    <w:p w14:paraId="1165399C">
      <w:pPr>
        <w:pStyle w:val="16"/>
        <w:widowControl/>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说明：</w:t>
      </w:r>
    </w:p>
    <w:p w14:paraId="735FD090">
      <w:pPr>
        <w:pStyle w:val="16"/>
        <w:widowControl/>
        <w:numPr>
          <w:ilvl w:val="0"/>
          <w:numId w:val="54"/>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3DD11BAC">
      <w:pPr>
        <w:pStyle w:val="16"/>
        <w:widowControl/>
        <w:numPr>
          <w:ilvl w:val="0"/>
          <w:numId w:val="54"/>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1A1F7CF7">
      <w:pPr>
        <w:pStyle w:val="16"/>
        <w:widowControl/>
        <w:numPr>
          <w:ilvl w:val="0"/>
          <w:numId w:val="54"/>
        </w:numPr>
        <w:ind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响应作为响应文件重要的组成部分，不应通过简单拷贝或简单标注“符合”“满足”。</w:t>
      </w:r>
    </w:p>
    <w:p w14:paraId="4509BD49">
      <w:pP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21AF8425">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目录八、服务方案或承诺</w:t>
      </w:r>
    </w:p>
    <w:p w14:paraId="656D451F">
      <w:pPr>
        <w:spacing w:line="240" w:lineRule="atLeast"/>
        <w:rPr>
          <w:rFonts w:hint="eastAsia" w:asciiTheme="minorEastAsia" w:hAnsiTheme="minorEastAsia" w:eastAsiaTheme="minorEastAsia" w:cstheme="minorEastAsia"/>
          <w:b/>
        </w:rPr>
      </w:pPr>
    </w:p>
    <w:p w14:paraId="2C01B39E">
      <w:pPr>
        <w:pStyle w:val="42"/>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服务方案或承诺</w:t>
      </w:r>
    </w:p>
    <w:p w14:paraId="585489D1">
      <w:pPr>
        <w:spacing w:line="240" w:lineRule="atLeast"/>
        <w:rPr>
          <w:rFonts w:hint="eastAsia" w:asciiTheme="minorEastAsia" w:hAnsiTheme="minorEastAsia" w:eastAsiaTheme="minorEastAsia" w:cstheme="minorEastAsia"/>
          <w:sz w:val="36"/>
          <w:szCs w:val="36"/>
          <w:lang w:val="zh-CN"/>
        </w:rPr>
      </w:pPr>
    </w:p>
    <w:p w14:paraId="3E37F376">
      <w:pPr>
        <w:spacing w:line="240" w:lineRule="atLeast"/>
        <w:rPr>
          <w:rFonts w:hint="eastAsia" w:asciiTheme="minorEastAsia" w:hAnsiTheme="minorEastAsia" w:eastAsiaTheme="minorEastAsia" w:cstheme="minorEastAsia"/>
          <w:sz w:val="36"/>
          <w:szCs w:val="36"/>
        </w:rPr>
      </w:pPr>
    </w:p>
    <w:p w14:paraId="0383DC39">
      <w:pPr>
        <w:spacing w:line="240" w:lineRule="atLeast"/>
        <w:rPr>
          <w:rFonts w:hint="eastAsia" w:asciiTheme="minorEastAsia" w:hAnsiTheme="minorEastAsia" w:eastAsiaTheme="minorEastAsia" w:cstheme="minorEastAsia"/>
          <w:sz w:val="36"/>
          <w:szCs w:val="36"/>
        </w:rPr>
      </w:pPr>
    </w:p>
    <w:p w14:paraId="74A42ED3">
      <w:pPr>
        <w:pStyle w:val="44"/>
        <w:ind w:firstLine="720"/>
        <w:rPr>
          <w:rFonts w:hint="eastAsia" w:asciiTheme="minorEastAsia" w:hAnsiTheme="minorEastAsia" w:eastAsiaTheme="minorEastAsia" w:cstheme="minorEastAsia"/>
          <w:sz w:val="36"/>
          <w:szCs w:val="36"/>
        </w:rPr>
      </w:pPr>
    </w:p>
    <w:p w14:paraId="59A556BA">
      <w:pPr>
        <w:rPr>
          <w:rFonts w:hint="eastAsia" w:asciiTheme="minorEastAsia" w:hAnsiTheme="minorEastAsia" w:eastAsiaTheme="minorEastAsia" w:cstheme="minorEastAsia"/>
        </w:rPr>
      </w:pPr>
    </w:p>
    <w:p w14:paraId="36FD0400">
      <w:pPr>
        <w:spacing w:line="240" w:lineRule="atLeast"/>
        <w:rPr>
          <w:rFonts w:hint="eastAsia" w:asciiTheme="minorEastAsia" w:hAnsiTheme="minorEastAsia" w:eastAsiaTheme="minorEastAsia" w:cstheme="minorEastAsia"/>
          <w:sz w:val="36"/>
          <w:szCs w:val="36"/>
        </w:rPr>
      </w:pPr>
    </w:p>
    <w:p w14:paraId="238F3317">
      <w:pP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7A7D0F2">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目录九、拟投入本项目人员一览表(如需)</w:t>
      </w:r>
    </w:p>
    <w:p w14:paraId="0C07BAB8">
      <w:pPr>
        <w:widowControl/>
        <w:adjustRightInd w:val="0"/>
        <w:spacing w:line="440" w:lineRule="exact"/>
        <w:rPr>
          <w:rFonts w:hint="eastAsia" w:asciiTheme="minorEastAsia" w:hAnsiTheme="minorEastAsia" w:eastAsiaTheme="minorEastAsia" w:cstheme="minorEastAsia"/>
          <w:b/>
          <w:bCs/>
          <w:sz w:val="24"/>
        </w:rPr>
      </w:pPr>
    </w:p>
    <w:p w14:paraId="1F92E06A">
      <w:pPr>
        <w:pStyle w:val="265"/>
        <w:widowControl/>
        <w:outlineLvl w:val="9"/>
        <w:rPr>
          <w:rFonts w:hint="eastAsia" w:asciiTheme="minorEastAsia" w:hAnsiTheme="minorEastAsia" w:eastAsiaTheme="minorEastAsia" w:cstheme="minorEastAsia"/>
        </w:rPr>
      </w:pPr>
      <w:bookmarkStart w:id="45" w:name="_Toc14092"/>
      <w:bookmarkStart w:id="46" w:name="_Toc32681"/>
      <w:r>
        <w:rPr>
          <w:rFonts w:hint="eastAsia" w:asciiTheme="minorEastAsia" w:hAnsiTheme="minorEastAsia" w:eastAsiaTheme="minorEastAsia" w:cstheme="minorEastAsia"/>
        </w:rPr>
        <w:t>拟投入本项目人员一览表</w:t>
      </w:r>
      <w:bookmarkEnd w:id="45"/>
      <w:bookmarkEnd w:id="46"/>
    </w:p>
    <w:p w14:paraId="60B8057E">
      <w:pPr>
        <w:widowControl/>
        <w:adjustRightInd w:val="0"/>
        <w:spacing w:line="440" w:lineRule="exact"/>
        <w:jc w:val="center"/>
        <w:rPr>
          <w:rFonts w:hint="eastAsia" w:asciiTheme="minorEastAsia" w:hAnsiTheme="minorEastAsia" w:eastAsiaTheme="minorEastAsia" w:cstheme="minorEastAsia"/>
          <w:b/>
          <w:bCs/>
          <w:szCs w:val="21"/>
        </w:rPr>
      </w:pPr>
    </w:p>
    <w:p w14:paraId="0EB79B74">
      <w:pPr>
        <w:widowControl/>
        <w:adjustRightInd w:val="0"/>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                                 项目编号：</w:t>
      </w:r>
    </w:p>
    <w:tbl>
      <w:tblPr>
        <w:tblStyle w:val="45"/>
        <w:tblW w:w="4996" w:type="pct"/>
        <w:jc w:val="center"/>
        <w:tblLayout w:type="autofit"/>
        <w:tblCellMar>
          <w:top w:w="0" w:type="dxa"/>
          <w:left w:w="108" w:type="dxa"/>
          <w:bottom w:w="0" w:type="dxa"/>
          <w:right w:w="108" w:type="dxa"/>
        </w:tblCellMar>
      </w:tblPr>
      <w:tblGrid>
        <w:gridCol w:w="593"/>
        <w:gridCol w:w="1003"/>
        <w:gridCol w:w="738"/>
        <w:gridCol w:w="791"/>
        <w:gridCol w:w="1270"/>
        <w:gridCol w:w="1039"/>
        <w:gridCol w:w="1142"/>
        <w:gridCol w:w="984"/>
        <w:gridCol w:w="949"/>
        <w:gridCol w:w="951"/>
      </w:tblGrid>
      <w:tr w14:paraId="6D3061D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4D35B1A">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530" w:type="pct"/>
            <w:tcBorders>
              <w:top w:val="single" w:color="000000" w:sz="4" w:space="0"/>
              <w:left w:val="nil"/>
              <w:bottom w:val="single" w:color="000000" w:sz="4" w:space="0"/>
              <w:right w:val="single" w:color="000000" w:sz="4" w:space="0"/>
            </w:tcBorders>
            <w:vAlign w:val="center"/>
          </w:tcPr>
          <w:p w14:paraId="2B5AC37F">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390" w:type="pct"/>
            <w:tcBorders>
              <w:top w:val="single" w:color="000000" w:sz="4" w:space="0"/>
              <w:left w:val="nil"/>
              <w:bottom w:val="single" w:color="000000" w:sz="4" w:space="0"/>
              <w:right w:val="single" w:color="000000" w:sz="4" w:space="0"/>
            </w:tcBorders>
            <w:vAlign w:val="center"/>
          </w:tcPr>
          <w:p w14:paraId="540AAAD0">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性别</w:t>
            </w:r>
          </w:p>
        </w:tc>
        <w:tc>
          <w:tcPr>
            <w:tcW w:w="418" w:type="pct"/>
            <w:tcBorders>
              <w:top w:val="single" w:color="000000" w:sz="4" w:space="0"/>
              <w:left w:val="nil"/>
              <w:bottom w:val="single" w:color="000000" w:sz="4" w:space="0"/>
              <w:right w:val="single" w:color="000000" w:sz="4" w:space="0"/>
            </w:tcBorders>
            <w:vAlign w:val="center"/>
          </w:tcPr>
          <w:p w14:paraId="3847D8EF">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71" w:type="pct"/>
            <w:tcBorders>
              <w:top w:val="single" w:color="000000" w:sz="4" w:space="0"/>
              <w:left w:val="nil"/>
              <w:bottom w:val="single" w:color="000000" w:sz="4" w:space="0"/>
              <w:right w:val="single" w:color="000000" w:sz="4" w:space="0"/>
            </w:tcBorders>
            <w:vAlign w:val="center"/>
          </w:tcPr>
          <w:p w14:paraId="375A2DD4">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专业</w:t>
            </w:r>
          </w:p>
        </w:tc>
        <w:tc>
          <w:tcPr>
            <w:tcW w:w="549" w:type="pct"/>
            <w:tcBorders>
              <w:top w:val="single" w:color="000000" w:sz="4" w:space="0"/>
              <w:left w:val="nil"/>
              <w:bottom w:val="single" w:color="000000" w:sz="4" w:space="0"/>
              <w:right w:val="single" w:color="000000" w:sz="4" w:space="0"/>
            </w:tcBorders>
            <w:vAlign w:val="center"/>
          </w:tcPr>
          <w:p w14:paraId="199CF22A">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603" w:type="pct"/>
            <w:tcBorders>
              <w:top w:val="single" w:color="000000" w:sz="4" w:space="0"/>
              <w:left w:val="nil"/>
              <w:bottom w:val="single" w:color="000000" w:sz="4" w:space="0"/>
              <w:right w:val="single" w:color="000000" w:sz="4" w:space="0"/>
            </w:tcBorders>
            <w:vAlign w:val="center"/>
          </w:tcPr>
          <w:p w14:paraId="3502E80F">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B8D6722">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0ABA5B79">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2A53D573">
            <w:pPr>
              <w:widowControl/>
              <w:adjustRightIn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3DE2F46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42720E4">
            <w:pPr>
              <w:widowControl/>
              <w:adjustRightInd w:val="0"/>
              <w:rPr>
                <w:rFonts w:hint="eastAsia"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C25C14B">
            <w:pPr>
              <w:widowControl/>
              <w:adjustRightInd w:val="0"/>
              <w:rPr>
                <w:rFonts w:hint="eastAsia"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F751476">
            <w:pPr>
              <w:widowControl/>
              <w:adjustRightInd w:val="0"/>
              <w:rPr>
                <w:rFonts w:hint="eastAsia"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799EF83D">
            <w:pPr>
              <w:widowControl/>
              <w:adjustRightInd w:val="0"/>
              <w:rPr>
                <w:rFonts w:hint="eastAsia"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2A62249">
            <w:pPr>
              <w:widowControl/>
              <w:adjustRightInd w:val="0"/>
              <w:rPr>
                <w:rFonts w:hint="eastAsia"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A7E3A8A">
            <w:pPr>
              <w:widowControl/>
              <w:adjustRightInd w:val="0"/>
              <w:rPr>
                <w:rFonts w:hint="eastAsia"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79888CF">
            <w:pPr>
              <w:widowControl/>
              <w:adjustRightInd w:val="0"/>
              <w:rPr>
                <w:rFonts w:hint="eastAsia"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31C574BF">
            <w:pPr>
              <w:widowControl/>
              <w:adjustRightInd w:val="0"/>
              <w:rPr>
                <w:rFonts w:hint="eastAsia"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F1C8D7D">
            <w:pPr>
              <w:widowControl/>
              <w:adjustRightInd w:val="0"/>
              <w:rPr>
                <w:rFonts w:hint="eastAsia"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056CE6E8">
            <w:pPr>
              <w:widowControl/>
              <w:adjustRightInd w:val="0"/>
              <w:rPr>
                <w:rFonts w:hint="eastAsia" w:asciiTheme="minorEastAsia" w:hAnsiTheme="minorEastAsia" w:eastAsiaTheme="minorEastAsia" w:cstheme="minorEastAsia"/>
                <w:szCs w:val="21"/>
              </w:rPr>
            </w:pPr>
          </w:p>
        </w:tc>
      </w:tr>
      <w:tr w14:paraId="4515142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C5D327">
            <w:pPr>
              <w:widowControl/>
              <w:adjustRightInd w:val="0"/>
              <w:rPr>
                <w:rFonts w:hint="eastAsia"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2E425590">
            <w:pPr>
              <w:widowControl/>
              <w:adjustRightInd w:val="0"/>
              <w:rPr>
                <w:rFonts w:hint="eastAsia"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1D93959">
            <w:pPr>
              <w:widowControl/>
              <w:adjustRightInd w:val="0"/>
              <w:rPr>
                <w:rFonts w:hint="eastAsia"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4579E279">
            <w:pPr>
              <w:widowControl/>
              <w:adjustRightInd w:val="0"/>
              <w:rPr>
                <w:rFonts w:hint="eastAsia"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FF21F4F">
            <w:pPr>
              <w:widowControl/>
              <w:adjustRightInd w:val="0"/>
              <w:rPr>
                <w:rFonts w:hint="eastAsia"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6A8145C">
            <w:pPr>
              <w:widowControl/>
              <w:adjustRightInd w:val="0"/>
              <w:rPr>
                <w:rFonts w:hint="eastAsia"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6921CE3C">
            <w:pPr>
              <w:widowControl/>
              <w:adjustRightInd w:val="0"/>
              <w:rPr>
                <w:rFonts w:hint="eastAsia"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0F1B235">
            <w:pPr>
              <w:widowControl/>
              <w:adjustRightInd w:val="0"/>
              <w:rPr>
                <w:rFonts w:hint="eastAsia"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634E6FFF">
            <w:pPr>
              <w:widowControl/>
              <w:adjustRightInd w:val="0"/>
              <w:rPr>
                <w:rFonts w:hint="eastAsia"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532B742F">
            <w:pPr>
              <w:widowControl/>
              <w:adjustRightInd w:val="0"/>
              <w:rPr>
                <w:rFonts w:hint="eastAsia" w:asciiTheme="minorEastAsia" w:hAnsiTheme="minorEastAsia" w:eastAsiaTheme="minorEastAsia" w:cstheme="minorEastAsia"/>
                <w:szCs w:val="21"/>
              </w:rPr>
            </w:pPr>
          </w:p>
        </w:tc>
      </w:tr>
      <w:tr w14:paraId="178CC48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4B2F748">
            <w:pPr>
              <w:widowControl/>
              <w:adjustRightInd w:val="0"/>
              <w:rPr>
                <w:rFonts w:hint="eastAsia"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70C55A32">
            <w:pPr>
              <w:widowControl/>
              <w:adjustRightInd w:val="0"/>
              <w:rPr>
                <w:rFonts w:hint="eastAsia"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5E223695">
            <w:pPr>
              <w:widowControl/>
              <w:adjustRightInd w:val="0"/>
              <w:rPr>
                <w:rFonts w:hint="eastAsia"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6194ED3C">
            <w:pPr>
              <w:widowControl/>
              <w:adjustRightInd w:val="0"/>
              <w:rPr>
                <w:rFonts w:hint="eastAsia"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295E0159">
            <w:pPr>
              <w:widowControl/>
              <w:adjustRightInd w:val="0"/>
              <w:rPr>
                <w:rFonts w:hint="eastAsia"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666720D">
            <w:pPr>
              <w:widowControl/>
              <w:adjustRightInd w:val="0"/>
              <w:rPr>
                <w:rFonts w:hint="eastAsia"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3321178">
            <w:pPr>
              <w:widowControl/>
              <w:adjustRightInd w:val="0"/>
              <w:rPr>
                <w:rFonts w:hint="eastAsia"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2D52400">
            <w:pPr>
              <w:widowControl/>
              <w:adjustRightInd w:val="0"/>
              <w:rPr>
                <w:rFonts w:hint="eastAsia"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25D2F423">
            <w:pPr>
              <w:widowControl/>
              <w:adjustRightInd w:val="0"/>
              <w:rPr>
                <w:rFonts w:hint="eastAsia"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8EC97EA">
            <w:pPr>
              <w:widowControl/>
              <w:adjustRightInd w:val="0"/>
              <w:rPr>
                <w:rFonts w:hint="eastAsia" w:asciiTheme="minorEastAsia" w:hAnsiTheme="minorEastAsia" w:eastAsiaTheme="minorEastAsia" w:cstheme="minorEastAsia"/>
                <w:szCs w:val="21"/>
              </w:rPr>
            </w:pPr>
          </w:p>
        </w:tc>
      </w:tr>
      <w:tr w14:paraId="0C72BF1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E5B29D6">
            <w:pPr>
              <w:widowControl/>
              <w:adjustRightInd w:val="0"/>
              <w:rPr>
                <w:rFonts w:hint="eastAsia"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60A738">
            <w:pPr>
              <w:widowControl/>
              <w:adjustRightInd w:val="0"/>
              <w:rPr>
                <w:rFonts w:hint="eastAsia"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8FBFD30">
            <w:pPr>
              <w:widowControl/>
              <w:adjustRightInd w:val="0"/>
              <w:rPr>
                <w:rFonts w:hint="eastAsia"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62CFF38">
            <w:pPr>
              <w:widowControl/>
              <w:adjustRightInd w:val="0"/>
              <w:rPr>
                <w:rFonts w:hint="eastAsia"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0747C696">
            <w:pPr>
              <w:widowControl/>
              <w:adjustRightInd w:val="0"/>
              <w:rPr>
                <w:rFonts w:hint="eastAsia"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79A27A8">
            <w:pPr>
              <w:widowControl/>
              <w:adjustRightInd w:val="0"/>
              <w:rPr>
                <w:rFonts w:hint="eastAsia"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F03698">
            <w:pPr>
              <w:widowControl/>
              <w:adjustRightInd w:val="0"/>
              <w:rPr>
                <w:rFonts w:hint="eastAsia"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D6B2189">
            <w:pPr>
              <w:widowControl/>
              <w:adjustRightInd w:val="0"/>
              <w:rPr>
                <w:rFonts w:hint="eastAsia"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1F26713">
            <w:pPr>
              <w:widowControl/>
              <w:adjustRightInd w:val="0"/>
              <w:rPr>
                <w:rFonts w:hint="eastAsia"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7B6929BA">
            <w:pPr>
              <w:widowControl/>
              <w:adjustRightInd w:val="0"/>
              <w:rPr>
                <w:rFonts w:hint="eastAsia" w:asciiTheme="minorEastAsia" w:hAnsiTheme="minorEastAsia" w:eastAsiaTheme="minorEastAsia" w:cstheme="minorEastAsia"/>
                <w:szCs w:val="21"/>
              </w:rPr>
            </w:pPr>
          </w:p>
        </w:tc>
      </w:tr>
      <w:tr w14:paraId="6F77CB0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9193B82">
            <w:pPr>
              <w:widowControl/>
              <w:adjustRightInd w:val="0"/>
              <w:rPr>
                <w:rFonts w:hint="eastAsia"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480CAA84">
            <w:pPr>
              <w:widowControl/>
              <w:adjustRightInd w:val="0"/>
              <w:rPr>
                <w:rFonts w:hint="eastAsia"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28F65DF3">
            <w:pPr>
              <w:widowControl/>
              <w:adjustRightInd w:val="0"/>
              <w:rPr>
                <w:rFonts w:hint="eastAsia"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E7EFE82">
            <w:pPr>
              <w:widowControl/>
              <w:adjustRightInd w:val="0"/>
              <w:rPr>
                <w:rFonts w:hint="eastAsia"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38F682CA">
            <w:pPr>
              <w:widowControl/>
              <w:adjustRightInd w:val="0"/>
              <w:rPr>
                <w:rFonts w:hint="eastAsia"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40456BF">
            <w:pPr>
              <w:widowControl/>
              <w:adjustRightInd w:val="0"/>
              <w:rPr>
                <w:rFonts w:hint="eastAsia"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580D5A6">
            <w:pPr>
              <w:widowControl/>
              <w:adjustRightInd w:val="0"/>
              <w:rPr>
                <w:rFonts w:hint="eastAsia"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0A91093D">
            <w:pPr>
              <w:widowControl/>
              <w:adjustRightInd w:val="0"/>
              <w:rPr>
                <w:rFonts w:hint="eastAsia"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91C2B05">
            <w:pPr>
              <w:widowControl/>
              <w:adjustRightInd w:val="0"/>
              <w:rPr>
                <w:rFonts w:hint="eastAsia"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8AB520E">
            <w:pPr>
              <w:widowControl/>
              <w:adjustRightInd w:val="0"/>
              <w:rPr>
                <w:rFonts w:hint="eastAsia" w:asciiTheme="minorEastAsia" w:hAnsiTheme="minorEastAsia" w:eastAsiaTheme="minorEastAsia" w:cstheme="minorEastAsia"/>
                <w:szCs w:val="21"/>
              </w:rPr>
            </w:pPr>
          </w:p>
        </w:tc>
      </w:tr>
      <w:tr w14:paraId="4838393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B40974">
            <w:pPr>
              <w:widowControl/>
              <w:adjustRightInd w:val="0"/>
              <w:rPr>
                <w:rFonts w:hint="eastAsia"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2DB9F8D">
            <w:pPr>
              <w:widowControl/>
              <w:adjustRightInd w:val="0"/>
              <w:rPr>
                <w:rFonts w:hint="eastAsia"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E84BA17">
            <w:pPr>
              <w:widowControl/>
              <w:adjustRightInd w:val="0"/>
              <w:rPr>
                <w:rFonts w:hint="eastAsia"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4E3E456">
            <w:pPr>
              <w:widowControl/>
              <w:adjustRightInd w:val="0"/>
              <w:rPr>
                <w:rFonts w:hint="eastAsia"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45BBAB3B">
            <w:pPr>
              <w:widowControl/>
              <w:adjustRightInd w:val="0"/>
              <w:rPr>
                <w:rFonts w:hint="eastAsia"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4BA4D72A">
            <w:pPr>
              <w:widowControl/>
              <w:adjustRightInd w:val="0"/>
              <w:rPr>
                <w:rFonts w:hint="eastAsia"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0DDF5335">
            <w:pPr>
              <w:widowControl/>
              <w:adjustRightInd w:val="0"/>
              <w:rPr>
                <w:rFonts w:hint="eastAsia"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B87CFC7">
            <w:pPr>
              <w:widowControl/>
              <w:adjustRightInd w:val="0"/>
              <w:rPr>
                <w:rFonts w:hint="eastAsia"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343ACF9F">
            <w:pPr>
              <w:widowControl/>
              <w:adjustRightInd w:val="0"/>
              <w:rPr>
                <w:rFonts w:hint="eastAsia"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F3BE7CB">
            <w:pPr>
              <w:widowControl/>
              <w:adjustRightInd w:val="0"/>
              <w:rPr>
                <w:rFonts w:hint="eastAsia" w:asciiTheme="minorEastAsia" w:hAnsiTheme="minorEastAsia" w:eastAsiaTheme="minorEastAsia" w:cstheme="minorEastAsia"/>
                <w:szCs w:val="21"/>
              </w:rPr>
            </w:pPr>
          </w:p>
        </w:tc>
      </w:tr>
      <w:tr w14:paraId="5F4C32B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FF74D4B">
            <w:pPr>
              <w:widowControl/>
              <w:adjustRightInd w:val="0"/>
              <w:rPr>
                <w:rFonts w:hint="eastAsia"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3D5D0213">
            <w:pPr>
              <w:widowControl/>
              <w:adjustRightInd w:val="0"/>
              <w:rPr>
                <w:rFonts w:hint="eastAsia"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342565D9">
            <w:pPr>
              <w:widowControl/>
              <w:adjustRightInd w:val="0"/>
              <w:rPr>
                <w:rFonts w:hint="eastAsia"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9C11299">
            <w:pPr>
              <w:widowControl/>
              <w:adjustRightInd w:val="0"/>
              <w:rPr>
                <w:rFonts w:hint="eastAsia"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EF3261D">
            <w:pPr>
              <w:widowControl/>
              <w:adjustRightInd w:val="0"/>
              <w:rPr>
                <w:rFonts w:hint="eastAsia"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7109F8A7">
            <w:pPr>
              <w:widowControl/>
              <w:adjustRightInd w:val="0"/>
              <w:rPr>
                <w:rFonts w:hint="eastAsia"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269521DF">
            <w:pPr>
              <w:widowControl/>
              <w:adjustRightInd w:val="0"/>
              <w:rPr>
                <w:rFonts w:hint="eastAsia"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2411D96">
            <w:pPr>
              <w:widowControl/>
              <w:adjustRightInd w:val="0"/>
              <w:rPr>
                <w:rFonts w:hint="eastAsia"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5718D876">
            <w:pPr>
              <w:widowControl/>
              <w:adjustRightInd w:val="0"/>
              <w:rPr>
                <w:rFonts w:hint="eastAsia"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6F34FFF4">
            <w:pPr>
              <w:widowControl/>
              <w:adjustRightInd w:val="0"/>
              <w:rPr>
                <w:rFonts w:hint="eastAsia" w:asciiTheme="minorEastAsia" w:hAnsiTheme="minorEastAsia" w:eastAsiaTheme="minorEastAsia" w:cstheme="minorEastAsia"/>
                <w:szCs w:val="21"/>
              </w:rPr>
            </w:pPr>
          </w:p>
        </w:tc>
      </w:tr>
      <w:tr w14:paraId="554E55C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9429916">
            <w:pPr>
              <w:widowControl/>
              <w:adjustRightInd w:val="0"/>
              <w:rPr>
                <w:rFonts w:hint="eastAsia"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F7851B">
            <w:pPr>
              <w:widowControl/>
              <w:adjustRightInd w:val="0"/>
              <w:rPr>
                <w:rFonts w:hint="eastAsia"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4BA4BC7">
            <w:pPr>
              <w:widowControl/>
              <w:adjustRightInd w:val="0"/>
              <w:rPr>
                <w:rFonts w:hint="eastAsia"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9F9EB81">
            <w:pPr>
              <w:widowControl/>
              <w:adjustRightInd w:val="0"/>
              <w:rPr>
                <w:rFonts w:hint="eastAsia"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3CCA860">
            <w:pPr>
              <w:widowControl/>
              <w:adjustRightInd w:val="0"/>
              <w:rPr>
                <w:rFonts w:hint="eastAsia"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D645606">
            <w:pPr>
              <w:widowControl/>
              <w:adjustRightInd w:val="0"/>
              <w:rPr>
                <w:rFonts w:hint="eastAsia"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4D44F447">
            <w:pPr>
              <w:widowControl/>
              <w:adjustRightInd w:val="0"/>
              <w:rPr>
                <w:rFonts w:hint="eastAsia"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95C284C">
            <w:pPr>
              <w:widowControl/>
              <w:adjustRightInd w:val="0"/>
              <w:rPr>
                <w:rFonts w:hint="eastAsia"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0F82EA04">
            <w:pPr>
              <w:widowControl/>
              <w:adjustRightInd w:val="0"/>
              <w:rPr>
                <w:rFonts w:hint="eastAsia"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C585F57">
            <w:pPr>
              <w:widowControl/>
              <w:adjustRightInd w:val="0"/>
              <w:rPr>
                <w:rFonts w:hint="eastAsia" w:asciiTheme="minorEastAsia" w:hAnsiTheme="minorEastAsia" w:eastAsiaTheme="minorEastAsia" w:cstheme="minorEastAsia"/>
                <w:szCs w:val="21"/>
              </w:rPr>
            </w:pPr>
          </w:p>
        </w:tc>
      </w:tr>
    </w:tbl>
    <w:p w14:paraId="393ED1CC">
      <w:pPr>
        <w:widowControl/>
        <w:adjustRightInd w:val="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供应商名称：</w:t>
      </w:r>
      <w:r>
        <w:rPr>
          <w:rFonts w:hint="eastAsia" w:asciiTheme="minorEastAsia" w:hAnsiTheme="minorEastAsia" w:eastAsiaTheme="minorEastAsia" w:cstheme="minorEastAsia"/>
          <w:sz w:val="24"/>
          <w:szCs w:val="21"/>
          <w:u w:val="single"/>
        </w:rPr>
        <w:t>                  </w:t>
      </w:r>
      <w:r>
        <w:rPr>
          <w:rFonts w:hint="eastAsia" w:asciiTheme="minorEastAsia" w:hAnsiTheme="minorEastAsia" w:eastAsiaTheme="minorEastAsia" w:cstheme="minorEastAsia"/>
          <w:sz w:val="24"/>
          <w:szCs w:val="21"/>
        </w:rPr>
        <w:t>(公章)</w:t>
      </w:r>
    </w:p>
    <w:p w14:paraId="3A0352A8">
      <w:pPr>
        <w:pStyle w:val="22"/>
        <w:rPr>
          <w:rFonts w:hint="eastAsia" w:asciiTheme="minorEastAsia" w:hAnsiTheme="minorEastAsia" w:eastAsiaTheme="minorEastAsia" w:cstheme="minorEastAsia"/>
          <w:szCs w:val="21"/>
        </w:rPr>
      </w:pPr>
    </w:p>
    <w:p w14:paraId="2C86BED0">
      <w:pPr>
        <w:pStyle w:val="16"/>
        <w:widowControl/>
        <w:ind w:firstLine="482"/>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说明：如果行数不够，请自行增加。</w:t>
      </w:r>
    </w:p>
    <w:p w14:paraId="48530BDA">
      <w:pPr>
        <w:spacing w:line="240" w:lineRule="atLeast"/>
        <w:rPr>
          <w:rFonts w:hint="eastAsia" w:asciiTheme="minorEastAsia" w:hAnsiTheme="minorEastAsia" w:eastAsiaTheme="minorEastAsia" w:cstheme="minorEastAsia"/>
          <w:b/>
        </w:rPr>
      </w:pPr>
    </w:p>
    <w:p w14:paraId="34FA7F51">
      <w:pP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08F30718">
      <w:pPr>
        <w:pStyle w:val="267"/>
        <w:shd w:val="clear" w:color="auto" w:fill="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目录十、响应需要的其他证明文件及材料</w:t>
      </w:r>
    </w:p>
    <w:p w14:paraId="6E63CDD3">
      <w:pPr>
        <w:spacing w:line="240" w:lineRule="atLeast"/>
        <w:rPr>
          <w:rFonts w:hint="eastAsia" w:asciiTheme="minorEastAsia" w:hAnsiTheme="minorEastAsia" w:eastAsiaTheme="minorEastAsia" w:cstheme="minorEastAsia"/>
          <w:b/>
        </w:rPr>
      </w:pPr>
    </w:p>
    <w:p w14:paraId="7261B0B8">
      <w:pPr>
        <w:spacing w:line="240" w:lineRule="atLeast"/>
        <w:rPr>
          <w:rFonts w:hint="eastAsia" w:asciiTheme="minorEastAsia" w:hAnsiTheme="minorEastAsia" w:eastAsiaTheme="minorEastAsia" w:cstheme="minorEastAsia"/>
          <w:b/>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幼圆">
    <w:panose1 w:val="0201050906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92D2E">
    <w:pPr>
      <w:pStyle w:val="28"/>
      <w:jc w:val="center"/>
    </w:pPr>
  </w:p>
  <w:p w14:paraId="7896F90D">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84686">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4D15235">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4D15235">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9CA29">
    <w:pPr>
      <w:pStyle w:val="30"/>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2">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3">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4">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5">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6">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7">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8">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29">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0">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1">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2">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3">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4">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5">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6">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7">
    <w:nsid w:val="318533B0"/>
    <w:multiLevelType w:val="singleLevel"/>
    <w:tmpl w:val="318533B0"/>
    <w:lvl w:ilvl="0" w:tentative="0">
      <w:start w:val="4"/>
      <w:numFmt w:val="chineseCounting"/>
      <w:suff w:val="space"/>
      <w:lvlText w:val="第%1章"/>
      <w:lvlJc w:val="left"/>
      <w:rPr>
        <w:rFonts w:hint="eastAsia"/>
      </w:rPr>
    </w:lvl>
  </w:abstractNum>
  <w:abstractNum w:abstractNumId="38">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39">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0">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1">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2">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3">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4">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6">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7">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8">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49">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0">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1">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2">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3">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4"/>
  </w:num>
  <w:num w:numId="2">
    <w:abstractNumId w:val="12"/>
  </w:num>
  <w:num w:numId="3">
    <w:abstractNumId w:val="34"/>
  </w:num>
  <w:num w:numId="4">
    <w:abstractNumId w:val="52"/>
  </w:num>
  <w:num w:numId="5">
    <w:abstractNumId w:val="30"/>
  </w:num>
  <w:num w:numId="6">
    <w:abstractNumId w:val="19"/>
  </w:num>
  <w:num w:numId="7">
    <w:abstractNumId w:val="40"/>
  </w:num>
  <w:num w:numId="8">
    <w:abstractNumId w:val="36"/>
  </w:num>
  <w:num w:numId="9">
    <w:abstractNumId w:val="8"/>
  </w:num>
  <w:num w:numId="10">
    <w:abstractNumId w:val="15"/>
  </w:num>
  <w:num w:numId="11">
    <w:abstractNumId w:val="43"/>
  </w:num>
  <w:num w:numId="12">
    <w:abstractNumId w:val="53"/>
  </w:num>
  <w:num w:numId="13">
    <w:abstractNumId w:val="11"/>
  </w:num>
  <w:num w:numId="14">
    <w:abstractNumId w:val="50"/>
  </w:num>
  <w:num w:numId="15">
    <w:abstractNumId w:val="35"/>
  </w:num>
  <w:num w:numId="16">
    <w:abstractNumId w:val="49"/>
  </w:num>
  <w:num w:numId="17">
    <w:abstractNumId w:val="38"/>
  </w:num>
  <w:num w:numId="18">
    <w:abstractNumId w:val="29"/>
  </w:num>
  <w:num w:numId="19">
    <w:abstractNumId w:val="33"/>
  </w:num>
  <w:num w:numId="20">
    <w:abstractNumId w:val="13"/>
  </w:num>
  <w:num w:numId="21">
    <w:abstractNumId w:val="22"/>
  </w:num>
  <w:num w:numId="22">
    <w:abstractNumId w:val="28"/>
  </w:num>
  <w:num w:numId="23">
    <w:abstractNumId w:val="41"/>
  </w:num>
  <w:num w:numId="24">
    <w:abstractNumId w:val="24"/>
  </w:num>
  <w:num w:numId="25">
    <w:abstractNumId w:val="6"/>
  </w:num>
  <w:num w:numId="26">
    <w:abstractNumId w:val="42"/>
  </w:num>
  <w:num w:numId="27">
    <w:abstractNumId w:val="14"/>
  </w:num>
  <w:num w:numId="28">
    <w:abstractNumId w:val="2"/>
  </w:num>
  <w:num w:numId="29">
    <w:abstractNumId w:val="45"/>
  </w:num>
  <w:num w:numId="30">
    <w:abstractNumId w:val="39"/>
  </w:num>
  <w:num w:numId="31">
    <w:abstractNumId w:val="31"/>
  </w:num>
  <w:num w:numId="32">
    <w:abstractNumId w:val="7"/>
  </w:num>
  <w:num w:numId="33">
    <w:abstractNumId w:val="32"/>
  </w:num>
  <w:num w:numId="34">
    <w:abstractNumId w:val="47"/>
  </w:num>
  <w:num w:numId="35">
    <w:abstractNumId w:val="46"/>
  </w:num>
  <w:num w:numId="36">
    <w:abstractNumId w:val="3"/>
  </w:num>
  <w:num w:numId="37">
    <w:abstractNumId w:val="25"/>
  </w:num>
  <w:num w:numId="38">
    <w:abstractNumId w:val="48"/>
  </w:num>
  <w:num w:numId="39">
    <w:abstractNumId w:val="21"/>
  </w:num>
  <w:num w:numId="40">
    <w:abstractNumId w:val="9"/>
  </w:num>
  <w:num w:numId="41">
    <w:abstractNumId w:val="4"/>
  </w:num>
  <w:num w:numId="42">
    <w:abstractNumId w:val="10"/>
  </w:num>
  <w:num w:numId="43">
    <w:abstractNumId w:val="26"/>
  </w:num>
  <w:num w:numId="44">
    <w:abstractNumId w:val="16"/>
  </w:num>
  <w:num w:numId="45">
    <w:abstractNumId w:val="23"/>
  </w:num>
  <w:num w:numId="46">
    <w:abstractNumId w:val="17"/>
  </w:num>
  <w:num w:numId="47">
    <w:abstractNumId w:val="51"/>
  </w:num>
  <w:num w:numId="48">
    <w:abstractNumId w:val="18"/>
  </w:num>
  <w:num w:numId="49">
    <w:abstractNumId w:val="1"/>
  </w:num>
  <w:num w:numId="50">
    <w:abstractNumId w:val="5"/>
  </w:num>
  <w:num w:numId="51">
    <w:abstractNumId w:val="37"/>
  </w:num>
  <w:num w:numId="52">
    <w:abstractNumId w:val="0"/>
  </w:num>
  <w:num w:numId="53">
    <w:abstractNumId w:val="27"/>
  </w:num>
  <w:num w:numId="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0534"/>
    <w:rsid w:val="0000641F"/>
    <w:rsid w:val="000104CA"/>
    <w:rsid w:val="00010550"/>
    <w:rsid w:val="000114EC"/>
    <w:rsid w:val="00032AFC"/>
    <w:rsid w:val="000351AB"/>
    <w:rsid w:val="00035CED"/>
    <w:rsid w:val="000461B1"/>
    <w:rsid w:val="00051A25"/>
    <w:rsid w:val="000545EE"/>
    <w:rsid w:val="00055B15"/>
    <w:rsid w:val="000603A8"/>
    <w:rsid w:val="0006093D"/>
    <w:rsid w:val="00072371"/>
    <w:rsid w:val="00072C93"/>
    <w:rsid w:val="00076EA4"/>
    <w:rsid w:val="00077B10"/>
    <w:rsid w:val="0008213F"/>
    <w:rsid w:val="000A0693"/>
    <w:rsid w:val="000A3089"/>
    <w:rsid w:val="000A5DE6"/>
    <w:rsid w:val="000A61ED"/>
    <w:rsid w:val="000A6973"/>
    <w:rsid w:val="000B75E6"/>
    <w:rsid w:val="000C4F86"/>
    <w:rsid w:val="000E0C2D"/>
    <w:rsid w:val="000F1525"/>
    <w:rsid w:val="000F5611"/>
    <w:rsid w:val="00120A4B"/>
    <w:rsid w:val="00141BEC"/>
    <w:rsid w:val="00143F19"/>
    <w:rsid w:val="001607E5"/>
    <w:rsid w:val="001646F3"/>
    <w:rsid w:val="00165164"/>
    <w:rsid w:val="00193608"/>
    <w:rsid w:val="00195606"/>
    <w:rsid w:val="001A6483"/>
    <w:rsid w:val="001B4835"/>
    <w:rsid w:val="001B5186"/>
    <w:rsid w:val="001D0594"/>
    <w:rsid w:val="001D7CE8"/>
    <w:rsid w:val="001E1C4B"/>
    <w:rsid w:val="001E28D6"/>
    <w:rsid w:val="001E65A9"/>
    <w:rsid w:val="001F355D"/>
    <w:rsid w:val="001F3F50"/>
    <w:rsid w:val="00202639"/>
    <w:rsid w:val="00203B11"/>
    <w:rsid w:val="0021068C"/>
    <w:rsid w:val="00210AEA"/>
    <w:rsid w:val="00212197"/>
    <w:rsid w:val="002213ED"/>
    <w:rsid w:val="00221EF9"/>
    <w:rsid w:val="00222A23"/>
    <w:rsid w:val="002302C2"/>
    <w:rsid w:val="00234822"/>
    <w:rsid w:val="002469C2"/>
    <w:rsid w:val="00252218"/>
    <w:rsid w:val="00253744"/>
    <w:rsid w:val="00253E4C"/>
    <w:rsid w:val="0026714F"/>
    <w:rsid w:val="00270DD7"/>
    <w:rsid w:val="00271038"/>
    <w:rsid w:val="00284A70"/>
    <w:rsid w:val="00285E06"/>
    <w:rsid w:val="002A2707"/>
    <w:rsid w:val="002A2A05"/>
    <w:rsid w:val="002A3A54"/>
    <w:rsid w:val="002B3529"/>
    <w:rsid w:val="002B62F5"/>
    <w:rsid w:val="002C0174"/>
    <w:rsid w:val="002D20E2"/>
    <w:rsid w:val="002D223F"/>
    <w:rsid w:val="002D6BFF"/>
    <w:rsid w:val="002D7D8E"/>
    <w:rsid w:val="002E05B3"/>
    <w:rsid w:val="002E0898"/>
    <w:rsid w:val="002F2FEE"/>
    <w:rsid w:val="00300310"/>
    <w:rsid w:val="0030132B"/>
    <w:rsid w:val="00301983"/>
    <w:rsid w:val="003023AF"/>
    <w:rsid w:val="0030478B"/>
    <w:rsid w:val="00304B8F"/>
    <w:rsid w:val="00307414"/>
    <w:rsid w:val="00307A95"/>
    <w:rsid w:val="0031316D"/>
    <w:rsid w:val="00313589"/>
    <w:rsid w:val="00314CE1"/>
    <w:rsid w:val="00317622"/>
    <w:rsid w:val="0032235C"/>
    <w:rsid w:val="003269B7"/>
    <w:rsid w:val="003344CA"/>
    <w:rsid w:val="003345C0"/>
    <w:rsid w:val="00336D19"/>
    <w:rsid w:val="00337CC0"/>
    <w:rsid w:val="00341E4E"/>
    <w:rsid w:val="00346C93"/>
    <w:rsid w:val="003567D1"/>
    <w:rsid w:val="00361D2E"/>
    <w:rsid w:val="00376203"/>
    <w:rsid w:val="00387852"/>
    <w:rsid w:val="0039013E"/>
    <w:rsid w:val="00395A8A"/>
    <w:rsid w:val="003A766D"/>
    <w:rsid w:val="003B7A90"/>
    <w:rsid w:val="003C2B3E"/>
    <w:rsid w:val="003D0883"/>
    <w:rsid w:val="003D2072"/>
    <w:rsid w:val="003D59C2"/>
    <w:rsid w:val="0040028F"/>
    <w:rsid w:val="0040250A"/>
    <w:rsid w:val="00402CF3"/>
    <w:rsid w:val="00411A2A"/>
    <w:rsid w:val="00421CCE"/>
    <w:rsid w:val="00423B77"/>
    <w:rsid w:val="0044032E"/>
    <w:rsid w:val="004526E8"/>
    <w:rsid w:val="00464986"/>
    <w:rsid w:val="00465C30"/>
    <w:rsid w:val="004835FA"/>
    <w:rsid w:val="00484E24"/>
    <w:rsid w:val="0048685D"/>
    <w:rsid w:val="004A01A3"/>
    <w:rsid w:val="004A5AF1"/>
    <w:rsid w:val="004A68BE"/>
    <w:rsid w:val="004B035C"/>
    <w:rsid w:val="004B4FB8"/>
    <w:rsid w:val="004B6B53"/>
    <w:rsid w:val="004C350A"/>
    <w:rsid w:val="004D0A24"/>
    <w:rsid w:val="004E4EF1"/>
    <w:rsid w:val="004E7292"/>
    <w:rsid w:val="004F0613"/>
    <w:rsid w:val="004F11AB"/>
    <w:rsid w:val="004F692A"/>
    <w:rsid w:val="005114F3"/>
    <w:rsid w:val="00513A1B"/>
    <w:rsid w:val="00520001"/>
    <w:rsid w:val="005277EE"/>
    <w:rsid w:val="00527D87"/>
    <w:rsid w:val="00545A1C"/>
    <w:rsid w:val="005519C8"/>
    <w:rsid w:val="00553C9B"/>
    <w:rsid w:val="00555045"/>
    <w:rsid w:val="00556A58"/>
    <w:rsid w:val="005602F2"/>
    <w:rsid w:val="00574C41"/>
    <w:rsid w:val="00581E47"/>
    <w:rsid w:val="00585734"/>
    <w:rsid w:val="005A379C"/>
    <w:rsid w:val="005A7CDA"/>
    <w:rsid w:val="005A7EF9"/>
    <w:rsid w:val="005B23D9"/>
    <w:rsid w:val="005B3758"/>
    <w:rsid w:val="005B5295"/>
    <w:rsid w:val="005C5753"/>
    <w:rsid w:val="005C6410"/>
    <w:rsid w:val="005D3AD4"/>
    <w:rsid w:val="005D6EF2"/>
    <w:rsid w:val="005D7B60"/>
    <w:rsid w:val="005F4F99"/>
    <w:rsid w:val="00636A37"/>
    <w:rsid w:val="0064295D"/>
    <w:rsid w:val="00662F68"/>
    <w:rsid w:val="00667126"/>
    <w:rsid w:val="00675309"/>
    <w:rsid w:val="00680EDD"/>
    <w:rsid w:val="00687089"/>
    <w:rsid w:val="00692C77"/>
    <w:rsid w:val="006A339A"/>
    <w:rsid w:val="006A350C"/>
    <w:rsid w:val="006A66A9"/>
    <w:rsid w:val="006C4F85"/>
    <w:rsid w:val="006C7F9D"/>
    <w:rsid w:val="006D41A7"/>
    <w:rsid w:val="006D79F2"/>
    <w:rsid w:val="006D7E45"/>
    <w:rsid w:val="006E0DF4"/>
    <w:rsid w:val="006E4E08"/>
    <w:rsid w:val="006F395E"/>
    <w:rsid w:val="0070603D"/>
    <w:rsid w:val="00710EF7"/>
    <w:rsid w:val="00713B0D"/>
    <w:rsid w:val="00730E5E"/>
    <w:rsid w:val="0073289E"/>
    <w:rsid w:val="00734E59"/>
    <w:rsid w:val="00736626"/>
    <w:rsid w:val="00741648"/>
    <w:rsid w:val="00745D46"/>
    <w:rsid w:val="00751351"/>
    <w:rsid w:val="007530ED"/>
    <w:rsid w:val="00764880"/>
    <w:rsid w:val="0076676B"/>
    <w:rsid w:val="00782F8E"/>
    <w:rsid w:val="007862B4"/>
    <w:rsid w:val="00794443"/>
    <w:rsid w:val="00794A1C"/>
    <w:rsid w:val="00794C10"/>
    <w:rsid w:val="00794F67"/>
    <w:rsid w:val="007A1BC7"/>
    <w:rsid w:val="007A3470"/>
    <w:rsid w:val="007A76D2"/>
    <w:rsid w:val="007B3277"/>
    <w:rsid w:val="007B4DF9"/>
    <w:rsid w:val="007B5E32"/>
    <w:rsid w:val="007B7E2B"/>
    <w:rsid w:val="007C104D"/>
    <w:rsid w:val="007C7C89"/>
    <w:rsid w:val="007C7E0C"/>
    <w:rsid w:val="007D34DE"/>
    <w:rsid w:val="007E0FFC"/>
    <w:rsid w:val="007E3C98"/>
    <w:rsid w:val="007E492D"/>
    <w:rsid w:val="00813CC4"/>
    <w:rsid w:val="00815199"/>
    <w:rsid w:val="0082061C"/>
    <w:rsid w:val="00830D14"/>
    <w:rsid w:val="00831BEC"/>
    <w:rsid w:val="00835605"/>
    <w:rsid w:val="0084180E"/>
    <w:rsid w:val="00842C4C"/>
    <w:rsid w:val="008537FF"/>
    <w:rsid w:val="00857996"/>
    <w:rsid w:val="008600B1"/>
    <w:rsid w:val="00871637"/>
    <w:rsid w:val="008750CF"/>
    <w:rsid w:val="0088428D"/>
    <w:rsid w:val="00886075"/>
    <w:rsid w:val="008865D0"/>
    <w:rsid w:val="00886767"/>
    <w:rsid w:val="00886D31"/>
    <w:rsid w:val="00896D7B"/>
    <w:rsid w:val="008B10A3"/>
    <w:rsid w:val="008B191D"/>
    <w:rsid w:val="008B57CF"/>
    <w:rsid w:val="008C5D36"/>
    <w:rsid w:val="008D52FC"/>
    <w:rsid w:val="008D55E8"/>
    <w:rsid w:val="008E14D6"/>
    <w:rsid w:val="008E7262"/>
    <w:rsid w:val="008F157A"/>
    <w:rsid w:val="00903A81"/>
    <w:rsid w:val="00906F46"/>
    <w:rsid w:val="00921E54"/>
    <w:rsid w:val="00931601"/>
    <w:rsid w:val="00931F61"/>
    <w:rsid w:val="009378E7"/>
    <w:rsid w:val="009408C8"/>
    <w:rsid w:val="00941117"/>
    <w:rsid w:val="009465DD"/>
    <w:rsid w:val="009479A2"/>
    <w:rsid w:val="00973A28"/>
    <w:rsid w:val="009936D4"/>
    <w:rsid w:val="009937D3"/>
    <w:rsid w:val="00995FCA"/>
    <w:rsid w:val="009A03A3"/>
    <w:rsid w:val="009A33F5"/>
    <w:rsid w:val="009A6545"/>
    <w:rsid w:val="009B7079"/>
    <w:rsid w:val="009C48C8"/>
    <w:rsid w:val="009D2587"/>
    <w:rsid w:val="009D2D7C"/>
    <w:rsid w:val="009D6207"/>
    <w:rsid w:val="009D7CCA"/>
    <w:rsid w:val="009F4E50"/>
    <w:rsid w:val="00A07524"/>
    <w:rsid w:val="00A117A9"/>
    <w:rsid w:val="00A14083"/>
    <w:rsid w:val="00A313D4"/>
    <w:rsid w:val="00A35F1C"/>
    <w:rsid w:val="00A40800"/>
    <w:rsid w:val="00A422CB"/>
    <w:rsid w:val="00A45515"/>
    <w:rsid w:val="00A46D13"/>
    <w:rsid w:val="00A5032B"/>
    <w:rsid w:val="00A53229"/>
    <w:rsid w:val="00A628B2"/>
    <w:rsid w:val="00A62B46"/>
    <w:rsid w:val="00A642BA"/>
    <w:rsid w:val="00A67878"/>
    <w:rsid w:val="00A67E2D"/>
    <w:rsid w:val="00A80CEF"/>
    <w:rsid w:val="00A84602"/>
    <w:rsid w:val="00A902DA"/>
    <w:rsid w:val="00A9062E"/>
    <w:rsid w:val="00A9334D"/>
    <w:rsid w:val="00AA3CA0"/>
    <w:rsid w:val="00AC7581"/>
    <w:rsid w:val="00AD2769"/>
    <w:rsid w:val="00AD37F0"/>
    <w:rsid w:val="00AE00DC"/>
    <w:rsid w:val="00AE3C5C"/>
    <w:rsid w:val="00B01860"/>
    <w:rsid w:val="00B04449"/>
    <w:rsid w:val="00B1285D"/>
    <w:rsid w:val="00B13547"/>
    <w:rsid w:val="00B17B12"/>
    <w:rsid w:val="00B2311B"/>
    <w:rsid w:val="00B235A5"/>
    <w:rsid w:val="00B256C9"/>
    <w:rsid w:val="00B274DD"/>
    <w:rsid w:val="00B32CF6"/>
    <w:rsid w:val="00B33E55"/>
    <w:rsid w:val="00B346F0"/>
    <w:rsid w:val="00B3741E"/>
    <w:rsid w:val="00B37DED"/>
    <w:rsid w:val="00B4765F"/>
    <w:rsid w:val="00B47858"/>
    <w:rsid w:val="00B54553"/>
    <w:rsid w:val="00B55D41"/>
    <w:rsid w:val="00B57769"/>
    <w:rsid w:val="00B57FFC"/>
    <w:rsid w:val="00B61499"/>
    <w:rsid w:val="00B73193"/>
    <w:rsid w:val="00B733C1"/>
    <w:rsid w:val="00B817F0"/>
    <w:rsid w:val="00B82AFD"/>
    <w:rsid w:val="00B96B3B"/>
    <w:rsid w:val="00B97D58"/>
    <w:rsid w:val="00BA1051"/>
    <w:rsid w:val="00BA6126"/>
    <w:rsid w:val="00BA76DF"/>
    <w:rsid w:val="00BE2A0F"/>
    <w:rsid w:val="00BF3ECE"/>
    <w:rsid w:val="00BF48A1"/>
    <w:rsid w:val="00C014B8"/>
    <w:rsid w:val="00C03A04"/>
    <w:rsid w:val="00C055FA"/>
    <w:rsid w:val="00C12A30"/>
    <w:rsid w:val="00C30720"/>
    <w:rsid w:val="00C34208"/>
    <w:rsid w:val="00C377BA"/>
    <w:rsid w:val="00C542CF"/>
    <w:rsid w:val="00C55A39"/>
    <w:rsid w:val="00C674FF"/>
    <w:rsid w:val="00C71F96"/>
    <w:rsid w:val="00C752D4"/>
    <w:rsid w:val="00C75838"/>
    <w:rsid w:val="00C9393E"/>
    <w:rsid w:val="00CB5131"/>
    <w:rsid w:val="00CC1675"/>
    <w:rsid w:val="00CC25B4"/>
    <w:rsid w:val="00CD635D"/>
    <w:rsid w:val="00CE0D0D"/>
    <w:rsid w:val="00CE0F32"/>
    <w:rsid w:val="00CF13FB"/>
    <w:rsid w:val="00CF4A40"/>
    <w:rsid w:val="00D076F3"/>
    <w:rsid w:val="00D223FB"/>
    <w:rsid w:val="00D22F68"/>
    <w:rsid w:val="00D242FD"/>
    <w:rsid w:val="00D42DE8"/>
    <w:rsid w:val="00D47A7B"/>
    <w:rsid w:val="00D55695"/>
    <w:rsid w:val="00D62C19"/>
    <w:rsid w:val="00D7063B"/>
    <w:rsid w:val="00D734B1"/>
    <w:rsid w:val="00D73674"/>
    <w:rsid w:val="00D7397D"/>
    <w:rsid w:val="00D82857"/>
    <w:rsid w:val="00D940AE"/>
    <w:rsid w:val="00D97143"/>
    <w:rsid w:val="00DA1657"/>
    <w:rsid w:val="00DA199A"/>
    <w:rsid w:val="00DA5FD1"/>
    <w:rsid w:val="00DB0A08"/>
    <w:rsid w:val="00DB2D58"/>
    <w:rsid w:val="00DB3B60"/>
    <w:rsid w:val="00DC6097"/>
    <w:rsid w:val="00DE1785"/>
    <w:rsid w:val="00DF4050"/>
    <w:rsid w:val="00E007CD"/>
    <w:rsid w:val="00E00FE0"/>
    <w:rsid w:val="00E067E2"/>
    <w:rsid w:val="00E14F6D"/>
    <w:rsid w:val="00E15200"/>
    <w:rsid w:val="00E20604"/>
    <w:rsid w:val="00E2102F"/>
    <w:rsid w:val="00E32E7E"/>
    <w:rsid w:val="00E430F5"/>
    <w:rsid w:val="00E45BF0"/>
    <w:rsid w:val="00E516F5"/>
    <w:rsid w:val="00E56733"/>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21ED"/>
    <w:rsid w:val="00F05CD2"/>
    <w:rsid w:val="00F1154C"/>
    <w:rsid w:val="00F14CAE"/>
    <w:rsid w:val="00F17DC1"/>
    <w:rsid w:val="00F22C8D"/>
    <w:rsid w:val="00F31F12"/>
    <w:rsid w:val="00F364E1"/>
    <w:rsid w:val="00F37D84"/>
    <w:rsid w:val="00F410CF"/>
    <w:rsid w:val="00F519A3"/>
    <w:rsid w:val="00F6031B"/>
    <w:rsid w:val="00F675BD"/>
    <w:rsid w:val="00F80362"/>
    <w:rsid w:val="00F955AE"/>
    <w:rsid w:val="00FA066C"/>
    <w:rsid w:val="00FA08FD"/>
    <w:rsid w:val="00FC5730"/>
    <w:rsid w:val="00FD0D87"/>
    <w:rsid w:val="00FD12B6"/>
    <w:rsid w:val="00FD3539"/>
    <w:rsid w:val="00FF3C15"/>
    <w:rsid w:val="00FF70FB"/>
    <w:rsid w:val="00FF7ADF"/>
    <w:rsid w:val="012B64AF"/>
    <w:rsid w:val="014B44C5"/>
    <w:rsid w:val="01933E55"/>
    <w:rsid w:val="01BF6469"/>
    <w:rsid w:val="02110C82"/>
    <w:rsid w:val="02535FE3"/>
    <w:rsid w:val="027C6AB9"/>
    <w:rsid w:val="02DF21EF"/>
    <w:rsid w:val="02EE79FF"/>
    <w:rsid w:val="045046FF"/>
    <w:rsid w:val="04736350"/>
    <w:rsid w:val="047F24B6"/>
    <w:rsid w:val="04CB1ABD"/>
    <w:rsid w:val="05254DE4"/>
    <w:rsid w:val="057069E3"/>
    <w:rsid w:val="05CB3586"/>
    <w:rsid w:val="06071837"/>
    <w:rsid w:val="060D10D2"/>
    <w:rsid w:val="066C72D7"/>
    <w:rsid w:val="06861410"/>
    <w:rsid w:val="06B13967"/>
    <w:rsid w:val="07EF7321"/>
    <w:rsid w:val="08440629"/>
    <w:rsid w:val="08823813"/>
    <w:rsid w:val="08A40BE4"/>
    <w:rsid w:val="08B07D72"/>
    <w:rsid w:val="08F1629F"/>
    <w:rsid w:val="091D123B"/>
    <w:rsid w:val="09294E36"/>
    <w:rsid w:val="09485293"/>
    <w:rsid w:val="096B4234"/>
    <w:rsid w:val="098053F7"/>
    <w:rsid w:val="09865C52"/>
    <w:rsid w:val="09D80110"/>
    <w:rsid w:val="09F722CE"/>
    <w:rsid w:val="0A1318AA"/>
    <w:rsid w:val="0A1554BB"/>
    <w:rsid w:val="0A170B9C"/>
    <w:rsid w:val="0A1D4625"/>
    <w:rsid w:val="0AE8746A"/>
    <w:rsid w:val="0B0D419A"/>
    <w:rsid w:val="0BAA1044"/>
    <w:rsid w:val="0C06116B"/>
    <w:rsid w:val="0C9534E4"/>
    <w:rsid w:val="0D4B59D5"/>
    <w:rsid w:val="0DA75EEF"/>
    <w:rsid w:val="0DC10DF7"/>
    <w:rsid w:val="0DC64FDA"/>
    <w:rsid w:val="0E5626EA"/>
    <w:rsid w:val="0EFA6269"/>
    <w:rsid w:val="0FE50224"/>
    <w:rsid w:val="1101240C"/>
    <w:rsid w:val="119D6FA6"/>
    <w:rsid w:val="11ED31A7"/>
    <w:rsid w:val="11F166F5"/>
    <w:rsid w:val="12015736"/>
    <w:rsid w:val="124A36D5"/>
    <w:rsid w:val="12721277"/>
    <w:rsid w:val="12A83E03"/>
    <w:rsid w:val="12B979DD"/>
    <w:rsid w:val="12F901AE"/>
    <w:rsid w:val="130726B9"/>
    <w:rsid w:val="134358DA"/>
    <w:rsid w:val="1345230E"/>
    <w:rsid w:val="138A3809"/>
    <w:rsid w:val="13B8520A"/>
    <w:rsid w:val="147416C5"/>
    <w:rsid w:val="14786FFB"/>
    <w:rsid w:val="152F54F8"/>
    <w:rsid w:val="15660779"/>
    <w:rsid w:val="15B33C35"/>
    <w:rsid w:val="160A26DF"/>
    <w:rsid w:val="161F7DA2"/>
    <w:rsid w:val="16A84F02"/>
    <w:rsid w:val="17163A31"/>
    <w:rsid w:val="1720639D"/>
    <w:rsid w:val="174F4DFA"/>
    <w:rsid w:val="177B5642"/>
    <w:rsid w:val="17CF321F"/>
    <w:rsid w:val="17E16CDB"/>
    <w:rsid w:val="18056F1E"/>
    <w:rsid w:val="18824714"/>
    <w:rsid w:val="18AE6841"/>
    <w:rsid w:val="18B21CC3"/>
    <w:rsid w:val="18E611E1"/>
    <w:rsid w:val="19063631"/>
    <w:rsid w:val="1906480F"/>
    <w:rsid w:val="19186872"/>
    <w:rsid w:val="193A3387"/>
    <w:rsid w:val="1951749F"/>
    <w:rsid w:val="1959610D"/>
    <w:rsid w:val="19933EEE"/>
    <w:rsid w:val="19A922E8"/>
    <w:rsid w:val="19CB13F6"/>
    <w:rsid w:val="19E55985"/>
    <w:rsid w:val="19F85670"/>
    <w:rsid w:val="1A0836F9"/>
    <w:rsid w:val="1A0E4092"/>
    <w:rsid w:val="1A4426FE"/>
    <w:rsid w:val="1A5852A5"/>
    <w:rsid w:val="1A6C60CD"/>
    <w:rsid w:val="1B1875CE"/>
    <w:rsid w:val="1B835B95"/>
    <w:rsid w:val="1BA842D2"/>
    <w:rsid w:val="1BCD48DA"/>
    <w:rsid w:val="1C8E057A"/>
    <w:rsid w:val="1CA11867"/>
    <w:rsid w:val="1CBA19FF"/>
    <w:rsid w:val="1CBF6038"/>
    <w:rsid w:val="1D003E07"/>
    <w:rsid w:val="1D2422D8"/>
    <w:rsid w:val="1D7F5DED"/>
    <w:rsid w:val="1D88230D"/>
    <w:rsid w:val="1E036392"/>
    <w:rsid w:val="1EC81FF1"/>
    <w:rsid w:val="1EF63F47"/>
    <w:rsid w:val="1F0C571A"/>
    <w:rsid w:val="1F951903"/>
    <w:rsid w:val="200636BC"/>
    <w:rsid w:val="207E43F5"/>
    <w:rsid w:val="20895E3E"/>
    <w:rsid w:val="209D7852"/>
    <w:rsid w:val="20C067BC"/>
    <w:rsid w:val="21AF7EF2"/>
    <w:rsid w:val="21C30CB0"/>
    <w:rsid w:val="21C94F0F"/>
    <w:rsid w:val="21D104C4"/>
    <w:rsid w:val="21E6112F"/>
    <w:rsid w:val="22017635"/>
    <w:rsid w:val="222334A6"/>
    <w:rsid w:val="22285A88"/>
    <w:rsid w:val="229D231D"/>
    <w:rsid w:val="23325476"/>
    <w:rsid w:val="235E3DED"/>
    <w:rsid w:val="23652110"/>
    <w:rsid w:val="23B67249"/>
    <w:rsid w:val="241E2177"/>
    <w:rsid w:val="2445396E"/>
    <w:rsid w:val="24747FFC"/>
    <w:rsid w:val="247D6DFF"/>
    <w:rsid w:val="2493179E"/>
    <w:rsid w:val="24C202C4"/>
    <w:rsid w:val="24D95404"/>
    <w:rsid w:val="24ED1595"/>
    <w:rsid w:val="2557368E"/>
    <w:rsid w:val="25643BBA"/>
    <w:rsid w:val="25D11B92"/>
    <w:rsid w:val="25FE6C33"/>
    <w:rsid w:val="26203303"/>
    <w:rsid w:val="26B03760"/>
    <w:rsid w:val="27B7076B"/>
    <w:rsid w:val="27CA6F0F"/>
    <w:rsid w:val="27DE4458"/>
    <w:rsid w:val="27E9484A"/>
    <w:rsid w:val="283F5126"/>
    <w:rsid w:val="28920A3E"/>
    <w:rsid w:val="289C5179"/>
    <w:rsid w:val="28D53B08"/>
    <w:rsid w:val="291B6C85"/>
    <w:rsid w:val="293B10D5"/>
    <w:rsid w:val="29945580"/>
    <w:rsid w:val="29FD7462"/>
    <w:rsid w:val="2A337FFE"/>
    <w:rsid w:val="2A94495D"/>
    <w:rsid w:val="2B1E2A5D"/>
    <w:rsid w:val="2B2140BD"/>
    <w:rsid w:val="2B272C5F"/>
    <w:rsid w:val="2B867186"/>
    <w:rsid w:val="2B9C1C62"/>
    <w:rsid w:val="2BDB3C20"/>
    <w:rsid w:val="2BFF27DA"/>
    <w:rsid w:val="2C277C76"/>
    <w:rsid w:val="2C426F3C"/>
    <w:rsid w:val="2C4C35F9"/>
    <w:rsid w:val="2C5A1921"/>
    <w:rsid w:val="2D900EBE"/>
    <w:rsid w:val="2DB27BB8"/>
    <w:rsid w:val="2DE31D62"/>
    <w:rsid w:val="2E165C6D"/>
    <w:rsid w:val="2EDD678B"/>
    <w:rsid w:val="2EEC39D8"/>
    <w:rsid w:val="2EED10C4"/>
    <w:rsid w:val="2F057E2F"/>
    <w:rsid w:val="2F3321FA"/>
    <w:rsid w:val="2F544C9F"/>
    <w:rsid w:val="2F751905"/>
    <w:rsid w:val="2FF3404F"/>
    <w:rsid w:val="2FFB046F"/>
    <w:rsid w:val="303248A1"/>
    <w:rsid w:val="304B06CD"/>
    <w:rsid w:val="305A25CD"/>
    <w:rsid w:val="306F1F66"/>
    <w:rsid w:val="30AD0B0B"/>
    <w:rsid w:val="30B8216E"/>
    <w:rsid w:val="30D56E57"/>
    <w:rsid w:val="318119D7"/>
    <w:rsid w:val="31B00187"/>
    <w:rsid w:val="31FC517A"/>
    <w:rsid w:val="32BC643A"/>
    <w:rsid w:val="32D36F23"/>
    <w:rsid w:val="33637328"/>
    <w:rsid w:val="338F44F8"/>
    <w:rsid w:val="339C4E66"/>
    <w:rsid w:val="33B201E6"/>
    <w:rsid w:val="33B43DDA"/>
    <w:rsid w:val="34017A8A"/>
    <w:rsid w:val="350B7DFE"/>
    <w:rsid w:val="35CD57AB"/>
    <w:rsid w:val="35ED3757"/>
    <w:rsid w:val="360A7A3C"/>
    <w:rsid w:val="367A15B2"/>
    <w:rsid w:val="36B24E78"/>
    <w:rsid w:val="36F01751"/>
    <w:rsid w:val="37315AF4"/>
    <w:rsid w:val="373A0C1E"/>
    <w:rsid w:val="373B6379"/>
    <w:rsid w:val="37AF5494"/>
    <w:rsid w:val="37C64260"/>
    <w:rsid w:val="37E51B14"/>
    <w:rsid w:val="37FA7A6D"/>
    <w:rsid w:val="382D605B"/>
    <w:rsid w:val="38496D6C"/>
    <w:rsid w:val="38573F65"/>
    <w:rsid w:val="38744057"/>
    <w:rsid w:val="388D1222"/>
    <w:rsid w:val="3892621E"/>
    <w:rsid w:val="38B663C8"/>
    <w:rsid w:val="38C904AC"/>
    <w:rsid w:val="38CA2129"/>
    <w:rsid w:val="38E05B90"/>
    <w:rsid w:val="39431198"/>
    <w:rsid w:val="398423D6"/>
    <w:rsid w:val="3A744447"/>
    <w:rsid w:val="3A817F96"/>
    <w:rsid w:val="3AA30888"/>
    <w:rsid w:val="3ADD5E57"/>
    <w:rsid w:val="3AFB3576"/>
    <w:rsid w:val="3BC44F5A"/>
    <w:rsid w:val="3BD74CEB"/>
    <w:rsid w:val="3BED091B"/>
    <w:rsid w:val="3C1110AC"/>
    <w:rsid w:val="3C60699C"/>
    <w:rsid w:val="3CC67D4C"/>
    <w:rsid w:val="3CDC7B3A"/>
    <w:rsid w:val="3CF60458"/>
    <w:rsid w:val="3D042809"/>
    <w:rsid w:val="3DA3358B"/>
    <w:rsid w:val="3E8743FE"/>
    <w:rsid w:val="3EF67039"/>
    <w:rsid w:val="3F2F4DE1"/>
    <w:rsid w:val="3F992808"/>
    <w:rsid w:val="3FB437AB"/>
    <w:rsid w:val="3FB83028"/>
    <w:rsid w:val="3FBE048B"/>
    <w:rsid w:val="3FD27630"/>
    <w:rsid w:val="3FEB6F5A"/>
    <w:rsid w:val="4067627C"/>
    <w:rsid w:val="408D6754"/>
    <w:rsid w:val="409265EE"/>
    <w:rsid w:val="40F8666B"/>
    <w:rsid w:val="415218E2"/>
    <w:rsid w:val="419160B9"/>
    <w:rsid w:val="41B33107"/>
    <w:rsid w:val="41C9151C"/>
    <w:rsid w:val="41F221ED"/>
    <w:rsid w:val="42370EA8"/>
    <w:rsid w:val="426C6139"/>
    <w:rsid w:val="431C742A"/>
    <w:rsid w:val="444E1BE6"/>
    <w:rsid w:val="444F53BD"/>
    <w:rsid w:val="44737C99"/>
    <w:rsid w:val="44AF7D0E"/>
    <w:rsid w:val="44ED5664"/>
    <w:rsid w:val="44F364BA"/>
    <w:rsid w:val="456A6701"/>
    <w:rsid w:val="45A1630C"/>
    <w:rsid w:val="45D756FD"/>
    <w:rsid w:val="45F24ED8"/>
    <w:rsid w:val="46476271"/>
    <w:rsid w:val="473A796F"/>
    <w:rsid w:val="47726C6E"/>
    <w:rsid w:val="47C23BA1"/>
    <w:rsid w:val="48616533"/>
    <w:rsid w:val="486C49B0"/>
    <w:rsid w:val="489610DE"/>
    <w:rsid w:val="48E73DE4"/>
    <w:rsid w:val="494476DB"/>
    <w:rsid w:val="496F29A9"/>
    <w:rsid w:val="49A454A8"/>
    <w:rsid w:val="49B22A94"/>
    <w:rsid w:val="49BC0661"/>
    <w:rsid w:val="49BF63F4"/>
    <w:rsid w:val="49C66341"/>
    <w:rsid w:val="49DD2CD6"/>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457CEA"/>
    <w:rsid w:val="4F5F4987"/>
    <w:rsid w:val="4F603E27"/>
    <w:rsid w:val="4F8A257E"/>
    <w:rsid w:val="4FA17635"/>
    <w:rsid w:val="4FA94B75"/>
    <w:rsid w:val="4FD55530"/>
    <w:rsid w:val="4FF70FF7"/>
    <w:rsid w:val="504656BE"/>
    <w:rsid w:val="50793813"/>
    <w:rsid w:val="50AF3052"/>
    <w:rsid w:val="50B667D3"/>
    <w:rsid w:val="50FE2865"/>
    <w:rsid w:val="512E27E4"/>
    <w:rsid w:val="51E11D57"/>
    <w:rsid w:val="51E44D07"/>
    <w:rsid w:val="525C4CE6"/>
    <w:rsid w:val="5314255F"/>
    <w:rsid w:val="53402E60"/>
    <w:rsid w:val="534D137B"/>
    <w:rsid w:val="535029F5"/>
    <w:rsid w:val="536F0303"/>
    <w:rsid w:val="53C15FC4"/>
    <w:rsid w:val="5402266C"/>
    <w:rsid w:val="54234463"/>
    <w:rsid w:val="543842E0"/>
    <w:rsid w:val="54803E83"/>
    <w:rsid w:val="54A67309"/>
    <w:rsid w:val="557528DF"/>
    <w:rsid w:val="55A41080"/>
    <w:rsid w:val="55BD44D8"/>
    <w:rsid w:val="55FB262B"/>
    <w:rsid w:val="563228AA"/>
    <w:rsid w:val="563B3C13"/>
    <w:rsid w:val="56C43C09"/>
    <w:rsid w:val="56EA18C1"/>
    <w:rsid w:val="57106FCA"/>
    <w:rsid w:val="57A23F4A"/>
    <w:rsid w:val="57A46D66"/>
    <w:rsid w:val="57B42F13"/>
    <w:rsid w:val="58070251"/>
    <w:rsid w:val="583A0626"/>
    <w:rsid w:val="584C2108"/>
    <w:rsid w:val="58827087"/>
    <w:rsid w:val="58B375FD"/>
    <w:rsid w:val="58F5454D"/>
    <w:rsid w:val="592D018B"/>
    <w:rsid w:val="595A2E26"/>
    <w:rsid w:val="599975CF"/>
    <w:rsid w:val="59BD764D"/>
    <w:rsid w:val="5A253D2B"/>
    <w:rsid w:val="5A797448"/>
    <w:rsid w:val="5A7B154E"/>
    <w:rsid w:val="5B7F1DF1"/>
    <w:rsid w:val="5BCF7320"/>
    <w:rsid w:val="5BDE1EE0"/>
    <w:rsid w:val="5C292E8C"/>
    <w:rsid w:val="5C6F779B"/>
    <w:rsid w:val="5C761714"/>
    <w:rsid w:val="5CA761D1"/>
    <w:rsid w:val="5CD2438D"/>
    <w:rsid w:val="5CF62292"/>
    <w:rsid w:val="5CFF31EA"/>
    <w:rsid w:val="5D24191A"/>
    <w:rsid w:val="5DB91881"/>
    <w:rsid w:val="5DC559D7"/>
    <w:rsid w:val="5E007347"/>
    <w:rsid w:val="5E0D441C"/>
    <w:rsid w:val="5E394EDC"/>
    <w:rsid w:val="5E4F64AE"/>
    <w:rsid w:val="5E6466ED"/>
    <w:rsid w:val="5E954808"/>
    <w:rsid w:val="5EB84053"/>
    <w:rsid w:val="5EC740C8"/>
    <w:rsid w:val="5EC92704"/>
    <w:rsid w:val="5EDD669D"/>
    <w:rsid w:val="5F4C3A48"/>
    <w:rsid w:val="5F6635FC"/>
    <w:rsid w:val="605303A5"/>
    <w:rsid w:val="60687CFB"/>
    <w:rsid w:val="611055E4"/>
    <w:rsid w:val="61614E76"/>
    <w:rsid w:val="61AF6E5A"/>
    <w:rsid w:val="61E065C5"/>
    <w:rsid w:val="62451DF4"/>
    <w:rsid w:val="62A019CE"/>
    <w:rsid w:val="62CE1E8F"/>
    <w:rsid w:val="62DC32C2"/>
    <w:rsid w:val="63C137B2"/>
    <w:rsid w:val="63F024E1"/>
    <w:rsid w:val="64276A3B"/>
    <w:rsid w:val="6497136C"/>
    <w:rsid w:val="64C45DE1"/>
    <w:rsid w:val="64D03589"/>
    <w:rsid w:val="65420B1A"/>
    <w:rsid w:val="654C31BE"/>
    <w:rsid w:val="654D1D15"/>
    <w:rsid w:val="65817895"/>
    <w:rsid w:val="661557D4"/>
    <w:rsid w:val="66977C3B"/>
    <w:rsid w:val="66F10C60"/>
    <w:rsid w:val="671F556E"/>
    <w:rsid w:val="67E27EFB"/>
    <w:rsid w:val="67E934CF"/>
    <w:rsid w:val="686F7E78"/>
    <w:rsid w:val="69154ABB"/>
    <w:rsid w:val="69763A89"/>
    <w:rsid w:val="69977F01"/>
    <w:rsid w:val="6A040A94"/>
    <w:rsid w:val="6A31115D"/>
    <w:rsid w:val="6A927A03"/>
    <w:rsid w:val="6AF503DD"/>
    <w:rsid w:val="6B603B25"/>
    <w:rsid w:val="6B7457A6"/>
    <w:rsid w:val="6C5F0204"/>
    <w:rsid w:val="6C863145"/>
    <w:rsid w:val="6CDE7403"/>
    <w:rsid w:val="6D0244F4"/>
    <w:rsid w:val="6D687529"/>
    <w:rsid w:val="6E2D0DB9"/>
    <w:rsid w:val="6E935777"/>
    <w:rsid w:val="6F0A08FB"/>
    <w:rsid w:val="6F7A7103"/>
    <w:rsid w:val="6FB70357"/>
    <w:rsid w:val="6FDC61FC"/>
    <w:rsid w:val="7009478C"/>
    <w:rsid w:val="703908E5"/>
    <w:rsid w:val="70813A4D"/>
    <w:rsid w:val="70A703CB"/>
    <w:rsid w:val="70E33C39"/>
    <w:rsid w:val="71091E2B"/>
    <w:rsid w:val="71762596"/>
    <w:rsid w:val="719978AB"/>
    <w:rsid w:val="72624905"/>
    <w:rsid w:val="727B3939"/>
    <w:rsid w:val="728C28C5"/>
    <w:rsid w:val="72E83193"/>
    <w:rsid w:val="730518BF"/>
    <w:rsid w:val="7371347D"/>
    <w:rsid w:val="74073BF0"/>
    <w:rsid w:val="74547A54"/>
    <w:rsid w:val="74591FEB"/>
    <w:rsid w:val="748B4BCA"/>
    <w:rsid w:val="74CF1C9F"/>
    <w:rsid w:val="74E00EDF"/>
    <w:rsid w:val="74F25752"/>
    <w:rsid w:val="757C1E26"/>
    <w:rsid w:val="75CF430F"/>
    <w:rsid w:val="75EF25F8"/>
    <w:rsid w:val="75F2239C"/>
    <w:rsid w:val="76373B19"/>
    <w:rsid w:val="76BD44A5"/>
    <w:rsid w:val="76E01E30"/>
    <w:rsid w:val="77010078"/>
    <w:rsid w:val="77456248"/>
    <w:rsid w:val="777039E3"/>
    <w:rsid w:val="77FA652A"/>
    <w:rsid w:val="7827110D"/>
    <w:rsid w:val="78283BA0"/>
    <w:rsid w:val="786370CD"/>
    <w:rsid w:val="788E6CCB"/>
    <w:rsid w:val="78E50FE2"/>
    <w:rsid w:val="79312F28"/>
    <w:rsid w:val="79BF22E2"/>
    <w:rsid w:val="79CE4CE5"/>
    <w:rsid w:val="7A094544"/>
    <w:rsid w:val="7A775158"/>
    <w:rsid w:val="7AC60F23"/>
    <w:rsid w:val="7ACB4422"/>
    <w:rsid w:val="7AF81F4F"/>
    <w:rsid w:val="7B0004F2"/>
    <w:rsid w:val="7B1C3E77"/>
    <w:rsid w:val="7B393DAF"/>
    <w:rsid w:val="7B8C08E9"/>
    <w:rsid w:val="7BA14B72"/>
    <w:rsid w:val="7C1E1339"/>
    <w:rsid w:val="7C312D33"/>
    <w:rsid w:val="7C38665B"/>
    <w:rsid w:val="7D1961AD"/>
    <w:rsid w:val="7D3812BF"/>
    <w:rsid w:val="7D3927A9"/>
    <w:rsid w:val="7D553A71"/>
    <w:rsid w:val="7DA67B57"/>
    <w:rsid w:val="7E0879E0"/>
    <w:rsid w:val="7E0D1B42"/>
    <w:rsid w:val="7EB51837"/>
    <w:rsid w:val="7EDE320A"/>
    <w:rsid w:val="7EEC4629"/>
    <w:rsid w:val="7F13473F"/>
    <w:rsid w:val="7F170ABC"/>
    <w:rsid w:val="7F264BB1"/>
    <w:rsid w:val="7F3B3CFC"/>
    <w:rsid w:val="7FA507A0"/>
    <w:rsid w:val="7FC73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6"/>
    <w:qFormat/>
    <w:uiPriority w:val="9"/>
    <w:pPr>
      <w:spacing w:before="240" w:after="120" w:line="360" w:lineRule="auto"/>
      <w:outlineLvl w:val="0"/>
    </w:pPr>
    <w:rPr>
      <w:rFonts w:ascii="宋体" w:hAnsi="宋体" w:cs="宋体"/>
      <w:b/>
      <w:bCs/>
      <w:kern w:val="44"/>
      <w:sz w:val="24"/>
      <w:szCs w:val="30"/>
    </w:rPr>
  </w:style>
  <w:style w:type="paragraph" w:styleId="3">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4">
    <w:name w:val="heading 3"/>
    <w:basedOn w:val="1"/>
    <w:next w:val="1"/>
    <w:link w:val="68"/>
    <w:qFormat/>
    <w:uiPriority w:val="0"/>
    <w:pPr>
      <w:spacing w:before="120" w:after="120" w:line="360" w:lineRule="auto"/>
      <w:outlineLvl w:val="2"/>
    </w:pPr>
    <w:rPr>
      <w:rFonts w:ascii="Times New Roman" w:hAnsi="Times New Roman"/>
      <w:b/>
      <w:sz w:val="24"/>
    </w:rPr>
  </w:style>
  <w:style w:type="paragraph" w:styleId="5">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6">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7">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8">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9">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0">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rFonts w:ascii="Times New Roman" w:hAnsi="Times New Roman"/>
      <w:szCs w:val="24"/>
    </w:rPr>
  </w:style>
  <w:style w:type="paragraph" w:styleId="13">
    <w:name w:val="caption"/>
    <w:basedOn w:val="1"/>
    <w:next w:val="1"/>
    <w:qFormat/>
    <w:uiPriority w:val="35"/>
    <w:pPr>
      <w:spacing w:line="276" w:lineRule="auto"/>
    </w:pPr>
    <w:rPr>
      <w:b/>
      <w:bCs/>
      <w:color w:val="5B9BD5"/>
      <w:sz w:val="18"/>
      <w:szCs w:val="18"/>
    </w:rPr>
  </w:style>
  <w:style w:type="paragraph" w:styleId="14">
    <w:name w:val="toa heading"/>
    <w:basedOn w:val="1"/>
    <w:next w:val="1"/>
    <w:unhideWhenUsed/>
    <w:qFormat/>
    <w:uiPriority w:val="99"/>
    <w:pPr>
      <w:spacing w:before="120"/>
    </w:pPr>
    <w:rPr>
      <w:rFonts w:ascii="Arial" w:hAnsi="Arial"/>
      <w:sz w:val="24"/>
    </w:rPr>
  </w:style>
  <w:style w:type="paragraph" w:styleId="15">
    <w:name w:val="annotation text"/>
    <w:basedOn w:val="1"/>
    <w:link w:val="75"/>
    <w:unhideWhenUsed/>
    <w:qFormat/>
    <w:uiPriority w:val="99"/>
    <w:pPr>
      <w:jc w:val="left"/>
    </w:pPr>
  </w:style>
  <w:style w:type="paragraph" w:styleId="16">
    <w:name w:val="Body Text"/>
    <w:basedOn w:val="1"/>
    <w:link w:val="76"/>
    <w:qFormat/>
    <w:uiPriority w:val="99"/>
    <w:pPr>
      <w:spacing w:after="120" w:line="300" w:lineRule="auto"/>
      <w:ind w:firstLine="420" w:firstLineChars="200"/>
    </w:pPr>
    <w:rPr>
      <w:rFonts w:ascii="Times New Roman" w:hAnsi="Times New Roman"/>
      <w:sz w:val="24"/>
    </w:rPr>
  </w:style>
  <w:style w:type="paragraph" w:styleId="17">
    <w:name w:val="Body Text Indent"/>
    <w:basedOn w:val="1"/>
    <w:next w:val="1"/>
    <w:qFormat/>
    <w:uiPriority w:val="0"/>
    <w:pPr>
      <w:spacing w:line="480" w:lineRule="exact"/>
      <w:ind w:firstLine="480" w:firstLineChars="200"/>
    </w:pPr>
    <w:rPr>
      <w:rFonts w:ascii="宋体" w:hAnsi="宋体"/>
      <w:sz w:val="24"/>
    </w:rPr>
  </w:style>
  <w:style w:type="paragraph" w:styleId="18">
    <w:name w:val="Block Text"/>
    <w:basedOn w:val="1"/>
    <w:next w:val="1"/>
    <w:qFormat/>
    <w:uiPriority w:val="0"/>
    <w:pPr>
      <w:spacing w:line="360" w:lineRule="exact"/>
      <w:ind w:left="1548" w:leftChars="-857" w:right="12" w:rightChars="12" w:hanging="2405" w:hangingChars="2405"/>
    </w:pPr>
    <w:rPr>
      <w:rFonts w:ascii="宋体"/>
      <w:bCs/>
      <w:sz w:val="28"/>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next w:val="16"/>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6"/>
    <w:qFormat/>
    <w:uiPriority w:val="0"/>
    <w:pPr>
      <w:spacing w:line="360" w:lineRule="auto"/>
      <w:jc w:val="center"/>
    </w:pPr>
    <w:rPr>
      <w:rFonts w:ascii="Times New Roman" w:hAnsi="Times New Roman" w:eastAsia="黑体"/>
      <w:sz w:val="44"/>
    </w:rPr>
  </w:style>
  <w:style w:type="paragraph" w:styleId="43">
    <w:name w:val="annotation subject"/>
    <w:basedOn w:val="15"/>
    <w:next w:val="15"/>
    <w:link w:val="87"/>
    <w:unhideWhenUsed/>
    <w:qFormat/>
    <w:uiPriority w:val="99"/>
    <w:rPr>
      <w:b/>
      <w:bCs/>
    </w:rPr>
  </w:style>
  <w:style w:type="paragraph" w:styleId="44">
    <w:name w:val="Body Text First Indent 2"/>
    <w:basedOn w:val="17"/>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61">
    <w:name w:val="List Paragraph"/>
    <w:basedOn w:val="1"/>
    <w:qFormat/>
    <w:uiPriority w:val="99"/>
    <w:pPr>
      <w:ind w:firstLine="420" w:firstLineChars="200"/>
    </w:pPr>
  </w:style>
  <w:style w:type="paragraph" w:customStyle="1" w:styleId="62">
    <w:name w:val="段"/>
    <w:basedOn w:val="1"/>
    <w:qFormat/>
    <w:uiPriority w:val="0"/>
    <w:pPr>
      <w:widowControl/>
      <w:ind w:firstLine="200"/>
    </w:pPr>
    <w:rPr>
      <w:rFonts w:hint="eastAsia" w:ascii="宋体"/>
      <w:szCs w:val="20"/>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3"/>
    <w:qFormat/>
    <w:uiPriority w:val="0"/>
    <w:rPr>
      <w:rFonts w:ascii="Arial" w:hAnsi="Arial" w:eastAsia="黑体" w:cs="Arial"/>
      <w:b/>
      <w:bCs/>
      <w:sz w:val="32"/>
      <w:szCs w:val="32"/>
    </w:rPr>
  </w:style>
  <w:style w:type="character" w:customStyle="1" w:styleId="68">
    <w:name w:val="标题 3 字符"/>
    <w:link w:val="4"/>
    <w:qFormat/>
    <w:uiPriority w:val="0"/>
    <w:rPr>
      <w:rFonts w:ascii="Times New Roman" w:hAnsi="Times New Roman" w:eastAsia="宋体" w:cs="Times New Roman"/>
      <w:b/>
      <w:bCs/>
      <w:sz w:val="32"/>
      <w:szCs w:val="32"/>
    </w:rPr>
  </w:style>
  <w:style w:type="character" w:customStyle="1" w:styleId="69">
    <w:name w:val="标题 4 字符"/>
    <w:link w:val="5"/>
    <w:qFormat/>
    <w:uiPriority w:val="9"/>
    <w:rPr>
      <w:rFonts w:ascii="Calibri Light" w:hAnsi="Calibri Light" w:eastAsia="黑体" w:cs="Times New Roman"/>
      <w:b/>
      <w:bCs/>
      <w:sz w:val="28"/>
      <w:szCs w:val="28"/>
    </w:rPr>
  </w:style>
  <w:style w:type="character" w:customStyle="1" w:styleId="70">
    <w:name w:val="标题 5 字符"/>
    <w:link w:val="6"/>
    <w:qFormat/>
    <w:uiPriority w:val="9"/>
    <w:rPr>
      <w:rFonts w:ascii="Arial" w:hAnsi="Arial" w:eastAsia="Arial" w:cs="Arial"/>
      <w:b/>
      <w:bCs/>
      <w:sz w:val="24"/>
      <w:szCs w:val="24"/>
    </w:rPr>
  </w:style>
  <w:style w:type="character" w:customStyle="1" w:styleId="71">
    <w:name w:val="标题 6 字符"/>
    <w:link w:val="7"/>
    <w:qFormat/>
    <w:uiPriority w:val="9"/>
    <w:rPr>
      <w:rFonts w:ascii="Arial" w:hAnsi="Arial" w:eastAsia="Arial" w:cs="Arial"/>
      <w:b/>
      <w:bCs/>
      <w:sz w:val="22"/>
      <w:szCs w:val="22"/>
    </w:rPr>
  </w:style>
  <w:style w:type="character" w:customStyle="1" w:styleId="72">
    <w:name w:val="标题 7 字符"/>
    <w:link w:val="8"/>
    <w:qFormat/>
    <w:uiPriority w:val="9"/>
    <w:rPr>
      <w:rFonts w:ascii="Arial" w:hAnsi="Arial" w:eastAsia="Arial" w:cs="Arial"/>
      <w:b/>
      <w:bCs/>
      <w:i/>
      <w:iCs/>
      <w:sz w:val="22"/>
      <w:szCs w:val="22"/>
    </w:rPr>
  </w:style>
  <w:style w:type="character" w:customStyle="1" w:styleId="73">
    <w:name w:val="标题 8 字符"/>
    <w:link w:val="9"/>
    <w:qFormat/>
    <w:uiPriority w:val="9"/>
    <w:rPr>
      <w:rFonts w:ascii="Arial" w:hAnsi="Arial" w:eastAsia="Arial" w:cs="Arial"/>
      <w:i/>
      <w:iCs/>
      <w:sz w:val="22"/>
      <w:szCs w:val="22"/>
    </w:rPr>
  </w:style>
  <w:style w:type="character" w:customStyle="1" w:styleId="74">
    <w:name w:val="标题 9 字符"/>
    <w:link w:val="10"/>
    <w:qFormat/>
    <w:uiPriority w:val="9"/>
    <w:rPr>
      <w:rFonts w:ascii="Arial" w:hAnsi="Arial" w:eastAsia="Arial" w:cs="Arial"/>
      <w:i/>
      <w:iCs/>
      <w:sz w:val="21"/>
      <w:szCs w:val="21"/>
    </w:rPr>
  </w:style>
  <w:style w:type="character" w:customStyle="1" w:styleId="75">
    <w:name w:val="批注文字 字符"/>
    <w:link w:val="15"/>
    <w:qFormat/>
    <w:uiPriority w:val="0"/>
    <w:rPr>
      <w:rFonts w:ascii="Calibri" w:hAnsi="Calibri" w:eastAsia="宋体" w:cs="Times New Roman"/>
      <w:sz w:val="21"/>
      <w:szCs w:val="22"/>
    </w:rPr>
  </w:style>
  <w:style w:type="character" w:customStyle="1" w:styleId="76">
    <w:name w:val="正文文本 字符"/>
    <w:link w:val="16"/>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40"/>
    <w:qFormat/>
    <w:uiPriority w:val="99"/>
    <w:rPr>
      <w:rFonts w:ascii="Arial" w:hAnsi="Arial" w:eastAsia="宋体" w:cs="Times New Roman"/>
      <w:sz w:val="11"/>
      <w:szCs w:val="11"/>
    </w:rPr>
  </w:style>
  <w:style w:type="character" w:customStyle="1" w:styleId="86">
    <w:name w:val="标题 字符"/>
    <w:link w:val="42"/>
    <w:qFormat/>
    <w:uiPriority w:val="0"/>
    <w:rPr>
      <w:rFonts w:ascii="Cambria" w:hAnsi="Cambria" w:eastAsia="黑体" w:cs="Times New Roman"/>
      <w:b/>
      <w:bCs/>
      <w:sz w:val="52"/>
      <w:szCs w:val="32"/>
    </w:rPr>
  </w:style>
  <w:style w:type="character" w:customStyle="1" w:styleId="87">
    <w:name w:val="批注主题 字符"/>
    <w:link w:val="43"/>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4"/>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5"/>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首行缩进"/>
    <w:basedOn w:val="1"/>
    <w:qFormat/>
    <w:uiPriority w:val="0"/>
    <w:pPr>
      <w:ind w:firstLine="480"/>
    </w:pPr>
    <w:rPr>
      <w:rFonts w:eastAsia="楷体_GB2312"/>
      <w:sz w:val="26"/>
      <w:lang w:val="zh-CN"/>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列表段落1"/>
    <w:basedOn w:val="1"/>
    <w:qFormat/>
    <w:uiPriority w:val="34"/>
    <w:pPr>
      <w:ind w:left="223" w:firstLine="420"/>
    </w:p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character" w:customStyle="1" w:styleId="272">
    <w:name w:val="批注文字 字符1"/>
    <w:qFormat/>
    <w:uiPriority w:val="99"/>
    <w:rPr>
      <w:kern w:val="2"/>
      <w:sz w:val="21"/>
      <w:szCs w:val="24"/>
    </w:rPr>
  </w:style>
  <w:style w:type="paragraph" w:styleId="27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纯文本1"/>
    <w:basedOn w:val="1"/>
    <w:qFormat/>
    <w:uiPriority w:val="0"/>
    <w:pPr>
      <w:adjustRightInd w:val="0"/>
      <w:textAlignment w:val="baseline"/>
    </w:pPr>
    <w:rPr>
      <w:rFonts w:ascii="宋体" w:hAnsi="Courier New" w:eastAsia="楷体_GB2312"/>
      <w:sz w:val="26"/>
      <w:szCs w:val="20"/>
    </w:rPr>
  </w:style>
  <w:style w:type="paragraph" w:customStyle="1" w:styleId="275">
    <w:name w:val="纯文本2"/>
    <w:basedOn w:val="1"/>
    <w:qFormat/>
    <w:uiPriority w:val="0"/>
    <w:pPr>
      <w:spacing w:line="360" w:lineRule="auto"/>
      <w:ind w:firstLine="200" w:firstLineChars="200"/>
    </w:pPr>
    <w:rPr>
      <w:rFonts w:ascii="宋体" w:hAnsi="Courier New"/>
      <w:sz w:val="20"/>
      <w:szCs w:val="20"/>
    </w:rPr>
  </w:style>
  <w:style w:type="paragraph" w:customStyle="1" w:styleId="276">
    <w:name w:val="修订5"/>
    <w:hidden/>
    <w:unhideWhenUsed/>
    <w:qFormat/>
    <w:uiPriority w:val="99"/>
    <w:rPr>
      <w:rFonts w:ascii="Calibri" w:hAnsi="Calibri" w:eastAsia="宋体" w:cs="Times New Roman"/>
      <w:sz w:val="21"/>
      <w:szCs w:val="22"/>
      <w:lang w:val="en-US" w:eastAsia="zh-CN" w:bidi="ar-SA"/>
    </w:rPr>
  </w:style>
  <w:style w:type="character" w:customStyle="1" w:styleId="277">
    <w:name w:val="font01"/>
    <w:basedOn w:val="47"/>
    <w:qFormat/>
    <w:uiPriority w:val="0"/>
    <w:rPr>
      <w:rFonts w:hint="eastAsia" w:ascii="宋体" w:hAnsi="宋体" w:eastAsia="宋体" w:cs="宋体"/>
      <w:color w:val="000000"/>
      <w:sz w:val="24"/>
      <w:szCs w:val="24"/>
      <w:u w:val="none"/>
    </w:rPr>
  </w:style>
  <w:style w:type="paragraph" w:customStyle="1" w:styleId="278">
    <w:name w:val="修订6"/>
    <w:hidden/>
    <w:unhideWhenUsed/>
    <w:qFormat/>
    <w:uiPriority w:val="99"/>
    <w:rPr>
      <w:rFonts w:ascii="Calibri" w:hAnsi="Calibri" w:eastAsia="宋体" w:cs="Times New Roman"/>
      <w:sz w:val="21"/>
      <w:szCs w:val="22"/>
      <w:lang w:val="en-US" w:eastAsia="zh-CN" w:bidi="ar-SA"/>
    </w:rPr>
  </w:style>
  <w:style w:type="paragraph" w:customStyle="1" w:styleId="279">
    <w:name w:val="方案正文"/>
    <w:basedOn w:val="1"/>
    <w:qFormat/>
    <w:uiPriority w:val="0"/>
    <w:pPr>
      <w:spacing w:line="360" w:lineRule="auto"/>
      <w:ind w:firstLine="480" w:firstLineChars="200"/>
    </w:pPr>
  </w:style>
  <w:style w:type="paragraph" w:customStyle="1" w:styleId="280">
    <w:name w:val="修订7"/>
    <w:hidden/>
    <w:unhideWhenUsed/>
    <w:qFormat/>
    <w:uiPriority w:val="99"/>
    <w:rPr>
      <w:rFonts w:ascii="Calibri" w:hAnsi="Calibri" w:eastAsia="宋体" w:cs="Times New Roman"/>
      <w:sz w:val="21"/>
      <w:szCs w:val="22"/>
      <w:lang w:val="en-US" w:eastAsia="zh-CN" w:bidi="ar-SA"/>
    </w:rPr>
  </w:style>
  <w:style w:type="paragraph" w:customStyle="1" w:styleId="281">
    <w:name w:val="修订8"/>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b5a1435d-df0d-43ed-b74d-89a2839942bb</errorID>
      <errorWord>空调机组</errorWord>
      <group>L1_AI</group>
      <groupName>深度校对</groupName>
      <ability>L2_AI_Punc</ability>
      <abilityName>标点纠错</abilityName>
      <candidateList>
        <item>（空调机组）</item>
      </candidateList>
      <explain/>
      <paraID>4C962136</paraID>
      <start>11</start>
      <end>15</end>
      <status>ignored</status>
      <modifiedWord/>
      <trackRevisions>false</trackRevisions>
    </reviewItem>
    <reviewItem>
      <errorID>23caac38-4769-4ad7-b3e3-ac3510ba0df7</errorID>
      <errorWord>（</errorWord>
      <group>L1_Punc</group>
      <groupName>标点问题</groupName>
      <ability>L2_Punc</ability>
      <abilityName>标点符号检查</abilityName>
      <candidateList>
        <item/>
      </candidateList>
      <explain>同一形式括号套用。</explain>
      <paraID> 161DA5F</paraID>
      <start>20</start>
      <end>21</end>
      <status>ignored</status>
      <modifiedWord/>
      <trackRevisions>false</trackRevisions>
    </reviewItem>
    <reviewItem>
      <errorID>a03330b9-3a38-44e8-83ce-6fb001e4a18b</errorID>
      <errorWord>（</errorWord>
      <group>L1_Punc</group>
      <groupName>标点问题</groupName>
      <ability>L2_Punc</ability>
      <abilityName>标点符号检查</abilityName>
      <candidateList/>
      <explain>同一形式括号套用。</explain>
      <paraID> 161DA5F</paraID>
      <start>60</start>
      <end>61</end>
      <status>ignored</status>
      <modifiedWord/>
      <trackRevisions>false</trackRevisions>
    </reviewItem>
    <reviewItem>
      <errorID>313b74d3-76a1-4484-b36d-0f8e28efa798</errorID>
      <errorWord>）</errorWord>
      <group>L1_Punc</group>
      <groupName>标点问题</groupName>
      <ability>L2_Punc</ability>
      <abilityName>标点符号检查</abilityName>
      <candidateList/>
      <explain>同一形式括号套用。</explain>
      <paraID> 161DA5F</paraID>
      <start>82</start>
      <end>83</end>
      <status>ignored</status>
      <modifiedWord/>
      <trackRevisions>false</trackRevisions>
    </reviewItem>
    <reviewItem>
      <errorID>6211344d-d9e8-405d-a8f1-77c6209f7dc4</errorID>
      <errorWord>（</errorWord>
      <group>L1_Punc</group>
      <groupName>标点问题</groupName>
      <ability>L2_Punc</ability>
      <abilityName>标点符号检查</abilityName>
      <candidateList/>
      <explain>同一形式括号套用。</explain>
      <paraID>14667615</paraID>
      <start>76</start>
      <end>77</end>
      <status>ignored</status>
      <modifiedWord/>
      <trackRevisions>false</trackRevisions>
    </reviewItem>
    <reviewItem>
      <errorID>d1660498-a6e9-4196-ab1d-476672af60e1</errorID>
      <errorWord>）</errorWord>
      <group>L1_Punc</group>
      <groupName>标点问题</groupName>
      <ability>L2_Punc</ability>
      <abilityName>标点符号检查</abilityName>
      <candidateList/>
      <explain>同一形式括号套用。</explain>
      <paraID>14667615</paraID>
      <start>97</start>
      <end>98</end>
      <status>ignored</status>
      <modifiedWord/>
      <trackRevisions>false</trackRevisions>
    </reviewItem>
    <reviewItem>
      <errorID>a8ab7d9e-edb5-46fe-a66a-ff28cf8a642b</errorID>
      <errorWord>（</errorWord>
      <group>L1_Punc</group>
      <groupName>标点问题</groupName>
      <ability>L2_Punc</ability>
      <abilityName>标点符号检查</abilityName>
      <candidateList/>
      <explain>同一形式括号套用。</explain>
      <paraID>1E146388</paraID>
      <start>68</start>
      <end>69</end>
      <status>ignored</status>
      <modifiedWord/>
      <trackRevisions>false</trackRevisions>
    </reviewItem>
    <reviewItem>
      <errorID>68ea10ba-3da6-4051-b0b6-7b7345a05888</errorID>
      <errorWord>）</errorWord>
      <group>L1_Punc</group>
      <groupName>标点问题</groupName>
      <ability>L2_Punc</ability>
      <abilityName>标点符号检查</abilityName>
      <candidateList/>
      <explain>同一形式括号套用。</explain>
      <paraID>1E146388</paraID>
      <start>120</start>
      <end>121</end>
      <status>ignored</status>
      <modifiedWord/>
      <trackRevisions>false</trackRevisions>
    </reviewItem>
    <reviewItem>
      <errorID>bea041bb-5ad4-464e-8d06-9e7ac617101a</errorID>
      <errorWord>本</errorWord>
      <group>L1_AI</group>
      <groupName>深度校对</groupName>
      <ability>L2_AI_Grammar</ability>
      <abilityName>语法纠错</abilityName>
      <candidateList>
        <item>此为</item>
      </candidateList>
      <explain/>
      <paraID> F83E012</paraID>
      <start>15</start>
      <end>16</end>
      <status>ignored</status>
      <modifiedWord/>
      <trackRevisions>false</trackRevisions>
    </reviewItem>
    <reviewItem>
      <errorID>712563ca-c149-4d5d-aef6-b7258f7b062b</errorID>
      <errorWord>（</errorWord>
      <group>L1_Punc</group>
      <groupName>标点问题</groupName>
      <ability>L2_Punc</ability>
      <abilityName>标点符号检查</abilityName>
      <candidateList/>
      <explain>同一形式括号套用。</explain>
      <paraID>74F223EE</paraID>
      <start>42</start>
      <end>43</end>
      <status>ignored</status>
      <modifiedWord/>
      <trackRevisions>false</trackRevisions>
    </reviewItem>
    <reviewItem>
      <errorID>1a614680-ee92-4746-b2fb-3939d40f03f8</errorID>
      <errorWord>）</errorWord>
      <group>L1_Punc</group>
      <groupName>标点问题</groupName>
      <ability>L2_Punc</ability>
      <abilityName>标点符号检查</abilityName>
      <candidateList/>
      <explain>同一形式括号套用。</explain>
      <paraID>74F223EE</paraID>
      <start>50</start>
      <end>51</end>
      <status>ignored</status>
      <modifiedWord/>
      <trackRevisions>false</trackRevisions>
    </reviewItem>
    <reviewItem>
      <errorID>68a334af-2778-470e-a0b7-ff77701f397d</errorID>
      <errorWord>/）</errorWord>
      <group>L1_Punc</group>
      <groupName>标点问题</groupName>
      <ability>L2_Punc</ability>
      <abilityName>标点符号检查</abilityName>
      <candidateList>
        <item>）</item>
      </candidateList>
      <explain/>
      <paraID>691C9F76</paraID>
      <start>48</start>
      <end>50</end>
      <status>ignored</status>
      <modifiedWord/>
      <trackRevisions>false</trackRevisions>
    </reviewItem>
    <reviewItem>
      <errorID>e8f679a4-025f-4235-9192-ef04442f3668</errorID>
      <errorWord>采购</errorWord>
      <group>L1_AI</group>
      <groupName>深度校对</groupName>
      <ability>L2_AI_Grammar</ability>
      <abilityName>语法纠错</abilityName>
      <candidateList>
        <item>若采购</item>
      </candidateList>
      <explain/>
      <paraID>5B3E6F36</paraID>
      <start>0</start>
      <end>2</end>
      <status>ignored</status>
      <modifiedWord/>
      <trackRevisions>false</trackRevisions>
    </reviewItem>
    <reviewItem>
      <errorID>87e7c1df-fc7d-4016-a720-f2eacac50e8b</errorID>
      <errorWord>文件如果</errorWord>
      <group>L1_AI</group>
      <groupName>深度校对</groupName>
      <ability>L2_AI_Grammar</ability>
      <abilityName>语法纠错</abilityName>
      <candidateList>
        <item>文件</item>
      </candidateList>
      <explain/>
      <paraID>5B3E6F36</paraID>
      <start>2</start>
      <end>6</end>
      <status>ignored</status>
      <modifiedWord/>
      <trackRevisions>false</trackRevisions>
    </reviewItem>
    <reviewItem>
      <errorID>697f8f06-6b81-4669-adb7-f2f0afcfbff6</errorID>
      <errorWord>方案的</errorWord>
      <group>L1_AI</group>
      <groupName>深度校对</groupName>
      <ability>L2_AI_Grammar</ability>
      <abilityName>语法纠错</abilityName>
      <candidateList>
        <item>方案</item>
      </candidateList>
      <explain/>
      <paraID>5B3E6F36</paraID>
      <start>15</start>
      <end>18</end>
      <status>ignored</status>
      <modifiedWord/>
      <trackRevisions>false</trackRevisions>
    </reviewItem>
    <reviewItem>
      <errorID>38027853-5bc6-49dc-b431-8a5282eda569</errorID>
      <errorWord>备选方案，</errorWord>
      <group>L1_AI</group>
      <groupName>深度校对</groupName>
      <ability>L2_AI_Grammar</ability>
      <abilityName>语法纠错</abilityName>
      <candidateList>
        <item>；</item>
      </candidateList>
      <explain/>
      <paraID>5B3E6F36</paraID>
      <start>26</start>
      <end>31</end>
      <status>ignored</status>
      <modifiedWord/>
      <trackRevisions>false</trackRevisions>
    </reviewItem>
    <reviewItem>
      <errorID>926e4a6a-b47d-4d85-b11f-21331461ebd9</errorID>
      <errorWord>修改</errorWord>
      <group>L1_AI</group>
      <groupName>深度校对</groupName>
      <ability>L2_AI_Grammar</ability>
      <abilityName>语法纠错</abilityName>
      <candidateList>
        <item>与修改</item>
      </candidateList>
      <explain/>
      <paraID>6D49FA72</paraID>
      <start>9</start>
      <end>11</end>
      <status>ignored</status>
      <modifiedWord/>
      <trackRevisions>false</trackRevisions>
    </reviewItem>
    <reviewItem>
      <errorID>f1998a48-c60d-4e85-ab55-b9d31673478d</errorID>
      <errorWord>关注</errorWord>
      <group>L1_AI</group>
      <groupName>深度校对</groupName>
      <ability>L2_AI_Punc</ability>
      <abilityName>标点纠错</abilityName>
      <candidateList>
        <item>，关注</item>
      </candidateList>
      <explain/>
      <paraID>2BBB8992</paraID>
      <start>16</start>
      <end>18</end>
      <status>ignored</status>
      <modifiedWord/>
      <trackRevisions>false</trackRevisions>
    </reviewItem>
    <reviewItem>
      <errorID>af6f3e8f-3188-4af8-9d47-03352ba6b64b</errorID>
      <errorWord>上有关</errorWord>
      <group>L1_AI</group>
      <groupName>深度校对</groupName>
      <ability>L2_AI_Grammar</ability>
      <abilityName>语法纠错</abilityName>
      <candidateList>
        <item>上</item>
      </candidateList>
      <explain/>
      <paraID>2BBB8992</paraID>
      <start>37</start>
      <end>40</end>
      <status>ignored</status>
      <modifiedWord/>
      <trackRevisions>false</trackRevisions>
    </reviewItem>
    <reviewItem>
      <errorID>95701c29-5cf2-4fc6-9bb1-07964c33be1a</errorID>
      <errorWord>连同响应</errorWord>
      <group>L1_Word</group>
      <groupName>字词问题</groupName>
      <ability>L2_Typo</ability>
      <abilityName>字词错误</abilityName>
      <candidateList>
        <item>连同相应</item>
      </candidateList>
      <explain/>
      <paraID> 9D8E4BC</paraID>
      <start>45</start>
      <end>49</end>
      <status>ignored</status>
      <modifiedWord/>
      <trackRevisions>false</trackRevisions>
    </reviewItem>
    <reviewItem>
      <errorID>4826da6d-b9d0-444e-85ed-f142e1489728</errorID>
      <errorWord>采购</errorWord>
      <group>L1_AI</group>
      <groupName>深度校对</groupName>
      <ability>L2_AI_Grammar</ability>
      <abilityName>语法纠错</abilityName>
      <candidateList>
        <item>若采购</item>
      </candidateList>
      <explain/>
      <paraID>4D87421B</paraID>
      <start>0</start>
      <end>2</end>
      <status>ignored</status>
      <modifiedWord/>
      <trackRevisions>false</trackRevisions>
    </reviewItem>
    <reviewItem>
      <errorID>549a2cae-d891-408e-8046-15f49a580a27</errorID>
      <errorWord>履行的</errorWord>
      <group>L1_AI</group>
      <groupName>深度校对</groupName>
      <ability>L2_AI_Grammar</ability>
      <abilityName>语法纠错</abilityName>
      <candidateList>
        <item>履行</item>
      </candidateList>
      <explain>〈动〉实践（自己答应做的或应该做的事）：～诺言｜～合同｜～手续。</explain>
      <paraID>4D87421B</paraID>
      <start>6</start>
      <end>9</end>
      <status>ignored</status>
      <modifiedWord/>
      <trackRevisions>false</trackRevisions>
    </reviewItem>
    <reviewItem>
      <errorID>8631a118-4c90-477d-a0a7-8114ad41d62c</errorID>
      <errorWord>应该</errorWord>
      <group>L1_AI</group>
      <groupName>深度校对</groupName>
      <ability>L2_AI_Grammar</ability>
      <abilityName>语法纠错</abilityName>
      <candidateList>
        <item>应</item>
      </candidateList>
      <explain/>
      <paraID>4D87421B</paraID>
      <start>60</start>
      <end>62</end>
      <status>ignored</status>
      <modifiedWord/>
      <trackRevisions>false</trackRevisions>
    </reviewItem>
    <reviewItem>
      <errorID>e342ba9b-fef8-479f-908b-25107595287c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6F4C615D</paraID>
      <start>57</start>
      <end>58</end>
      <status>ignored</status>
      <modifiedWord/>
      <trackRevisions>false</trackRevisions>
    </reviewItem>
    <reviewItem>
      <errorID>39f8ae7c-2b05-434e-abbc-3d44d8c89513</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D7CD5DA</paraID>
      <start>0</start>
      <end>3</end>
      <status>ignored</status>
      <modifiedWord/>
      <trackRevisions>false</trackRevisions>
    </reviewItem>
    <reviewItem>
      <errorID>21e795f4-4bf0-42f7-812a-ef8e5695c176</errorID>
      <errorWord>委托书的</errorWord>
      <group>L1_Word</group>
      <groupName>字词问题</groupName>
      <ability>L2_Typo</ability>
      <abilityName>字词错误</abilityName>
      <candidateList>
        <item>委托书</item>
      </candidateList>
      <explain/>
      <paraID>433BFBA1</paraID>
      <start>75</start>
      <end>79</end>
      <status>ignored</status>
      <modifiedWord/>
      <trackRevisions>false</trackRevisions>
    </reviewItem>
    <reviewItem>
      <errorID>b05e4af6-9eab-40ed-a6ad-98154b469921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18A872C2</paraID>
      <start>0</start>
      <end>3</end>
      <status>ignored</status>
      <modifiedWord/>
      <trackRevisions>false</trackRevisions>
    </reviewItem>
    <reviewItem>
      <errorID>a15115b5-008e-429c-856a-f4ae809246b6</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37</start>
      <end>39</end>
      <status>ignored</status>
      <modifiedWord/>
      <trackRevisions>false</trackRevisions>
    </reviewItem>
    <reviewItem>
      <errorID>ac73f98a-543e-4106-b284-37e6c60a3339</errorID>
      <errorWord>提出质疑</errorWord>
      <group>L1_Word</group>
      <groupName>字词问题</groupName>
      <ability>L2_Typo</ability>
      <abilityName>字词错误</abilityName>
      <candidateList>
        <item>质疑</item>
      </candidateList>
      <explain>〈动〉提出疑问：～问难。</explain>
      <paraID>59C68EB6</paraID>
      <start>123</start>
      <end>127</end>
      <status>ignored</status>
      <modifiedWord/>
      <trackRevisions>false</trackRevisions>
    </reviewItem>
    <reviewItem>
      <errorID>99bc5411-b5e1-4220-acee-7a3896c3affa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217AC51F</paraID>
      <start>51</start>
      <end>53</end>
      <status>ignored</status>
      <modifiedWord/>
      <trackRevisions>false</trackRevisions>
    </reviewItem>
    <reviewItem>
      <errorID>e6085d79-823f-4c91-af07-f4fceffa1d3a</errorID>
      <errorWord>&lt;</errorWord>
      <group>L1_Format</group>
      <groupName>格式问题</groupName>
      <ability>L2_HalfPunc</ability>
      <abilityName>全半角检查</abilityName>
      <candidateList>
        <item>〈</item>
      </candidateList>
      <explain>文本全半角错误。</explain>
      <paraID> DCAF56A</paraID>
      <start>24</start>
      <end>25</end>
      <status>ignored</status>
      <modifiedWord/>
      <trackRevisions>false</trackRevisions>
    </reviewItem>
    <reviewItem>
      <errorID>762bb533-77b0-41d6-b0be-5d3c57766740</errorID>
      <errorWord>&lt;</errorWord>
      <group>L1_Format</group>
      <groupName>格式问题</groupName>
      <ability>L2_HalfPunc</ability>
      <abilityName>全半角检查</abilityName>
      <candidateList>
        <item>〈</item>
      </candidateList>
      <explain>文本全半角错误。</explain>
      <paraID>1B3188E4</paraID>
      <start>26</start>
      <end>27</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3DD77A09</paraID>
      <start>80</start>
      <end>83</end>
      <status>ignored</status>
      <modifiedWord/>
      <trackRevisions>false</trackRevisions>
    </reviewItem>
    <reviewItem>
      <errorID>9693dd36-a3e7-4a46-bc91-52642786d1af</errorID>
      <errorWord>参数后</errorWord>
      <group>L1_Word</group>
      <groupName>字词问题</groupName>
      <ability>L2_Typo</ability>
      <abilityName>字词错误</abilityName>
      <candidateList>
        <item>参数</item>
      </candidateList>
      <explain/>
      <paraID>54EAFAC1</paraID>
      <start>23</start>
      <end>26</end>
      <status>ignored</status>
      <modifiedWord/>
      <trackRevisions>false</trackRevisions>
    </reviewItem>
    <reviewItem>
      <errorID>ad9e39c5-d441-49aa-b831-ec170cb6b65c</errorID>
      <errorWord>~</errorWord>
      <group>L1_Format</group>
      <groupName>格式问题</groupName>
      <ability>L2_HalfPunc</ability>
      <abilityName>全半角检查</abilityName>
      <candidateList>
        <item>～</item>
      </candidateList>
      <explain>文本全半角错误。</explain>
      <paraID>2F13E993</paraID>
      <start>39</start>
      <end>40</end>
      <status>modified</status>
      <modifiedWord>～</modifiedWord>
      <trackRevisions>false</trackRevisions>
    </reviewItem>
    <reviewItem>
      <errorID>ec04dd1f-b75e-43c1-ba78-43434fe6d808</errorID>
      <errorWord>性</errorWord>
      <group>L1_Word</group>
      <groupName>字词问题</groupName>
      <ability>L2_Typo</ability>
      <abilityName>字词错误</abilityName>
      <candidateList>
        <item>性等</item>
      </candidateList>
      <explain/>
      <paraID>5234CFE7</paraID>
      <start>18</start>
      <end>19</end>
      <status>ignored</status>
      <modifiedWord/>
      <trackRevisions>false</trackRevisions>
    </reviewItem>
    <reviewItem>
      <errorID>3a537837-057b-4c0e-afe9-d199f2ad40ab</errorID>
      <errorWord>，</errorWord>
      <group>L1_Word</group>
      <groupName>字词问题</groupName>
      <ability>L2_Typo</ability>
      <abilityName>字词错误</abilityName>
      <candidateList>
        <item>，具</item>
      </candidateList>
      <explain/>
      <paraID>6A43E6B0</paraID>
      <start>13</start>
      <end>14</end>
      <status>ignored</status>
      <modifiedWord/>
      <trackRevisions>false</trackRevisions>
    </reviewItem>
    <reviewItem>
      <errorID>d385f3d8-2ff3-4a2b-bb1a-a60b036565e6</errorID>
      <errorWord>，</errorWord>
      <group>L1_Word</group>
      <groupName>字词问题</groupName>
      <ability>L2_Typo</ability>
      <abilityName>字词错误</abilityName>
      <candidateList>
        <item>，具</item>
      </candidateList>
      <explain/>
      <paraID>25BFDB0C</paraID>
      <start>15</start>
      <end>16</end>
      <status>ignored</status>
      <modifiedWord/>
      <trackRevisions>false</trackRevisions>
    </reviewItem>
    <reviewItem>
      <errorID>afe3a6ea-7989-4bee-90c0-69981b5e6a6e</errorID>
      <errorWord>，</errorWord>
      <group>L1_Word</group>
      <groupName>字词问题</groupName>
      <ability>L2_Typo</ability>
      <abilityName>字词错误</abilityName>
      <candidateList>
        <item>，具</item>
      </candidateList>
      <explain/>
      <paraID>314AB226</paraID>
      <start>10</start>
      <end>11</end>
      <status>ignored</status>
      <modifiedWord/>
      <trackRevisions>false</trackRevisions>
    </reviewItem>
    <reviewItem>
      <errorID>ede4bee4-4931-4606-87da-2eb1bbfabc9d</errorID>
      <errorWord>kw</errorWord>
      <group>L1_Word</group>
      <groupName>字词问题</groupName>
      <ability>L2_Typo</ability>
      <abilityName>字词错误</abilityName>
      <candidateList>
        <item>kW</item>
      </candidateList>
      <explain/>
      <paraID>21460644</paraID>
      <start>12</start>
      <end>14</end>
      <status>modified</status>
      <modifiedWord>kW</modifiedWord>
      <trackRevisions>false</trackRevisions>
    </reviewItem>
    <reviewItem>
      <errorID>91c57bdc-f1fc-4853-a24d-f07d60f0c59a</errorID>
      <errorWord>kw</errorWord>
      <group>L1_Word</group>
      <groupName>字词问题</groupName>
      <ability>L2_Typo</ability>
      <abilityName>字词错误</abilityName>
      <candidateList>
        <item>kW</item>
      </candidateList>
      <explain/>
      <paraID>21460644</paraID>
      <start>22</start>
      <end>24</end>
      <status>modified</status>
      <modifiedWord>kW</modifiedWord>
      <trackRevisions>false</trackRevisions>
    </reviewItem>
    <reviewItem>
      <errorID>89636db9-abb0-4f81-b460-04ba6853f727</errorID>
      <errorWord>kw</errorWord>
      <group>L1_Word</group>
      <groupName>字词问题</groupName>
      <ability>L2_Typo</ability>
      <abilityName>字词错误</abilityName>
      <candidateList>
        <item>kW</item>
      </candidateList>
      <explain/>
      <paraID>5557577A</paraID>
      <start>12</start>
      <end>14</end>
      <status>modified</status>
      <modifiedWord>kW</modifiedWord>
      <trackRevisions>false</trackRevisions>
    </reviewItem>
    <reviewItem>
      <errorID>4ca5fe4c-ad24-48bd-929a-ef5b06578124</errorID>
      <errorWord>kw</errorWord>
      <group>L1_Word</group>
      <groupName>字词问题</groupName>
      <ability>L2_Typo</ability>
      <abilityName>字词错误</abilityName>
      <candidateList>
        <item>kW</item>
      </candidateList>
      <explain/>
      <paraID>5557577A</paraID>
      <start>23</start>
      <end>25</end>
      <status>modified</status>
      <modifiedWord>kW</modifiedWord>
      <trackRevisions>false</trackRevisions>
    </reviewItem>
    <reviewItem>
      <errorID>bc519371-2096-43b5-b7b1-3130ed8d4ed5</errorID>
      <errorWord>kw</errorWord>
      <group>L1_Word</group>
      <groupName>字词问题</groupName>
      <ability>L2_Typo</ability>
      <abilityName>字词错误</abilityName>
      <candidateList>
        <item>kW</item>
      </candidateList>
      <explain/>
      <paraID>3E908378</paraID>
      <start>12</start>
      <end>14</end>
      <status>modified</status>
      <modifiedWord>kW</modifiedWord>
      <trackRevisions>false</trackRevisions>
    </reviewItem>
    <reviewItem>
      <errorID>c8769f37-6df1-46db-9b89-957e82e29624</errorID>
      <errorWord>kw</errorWord>
      <group>L1_Word</group>
      <groupName>字词问题</groupName>
      <ability>L2_Typo</ability>
      <abilityName>字词错误</abilityName>
      <candidateList>
        <item>kW</item>
      </candidateList>
      <explain/>
      <paraID>5D83C452</paraID>
      <start>8</start>
      <end>10</end>
      <status>modified</status>
      <modifiedWord>kW</modifiedWord>
      <trackRevisions>false</trackRevisions>
    </reviewItem>
    <reviewItem>
      <errorID>5adc6d8d-3bd2-4419-bad5-95c973e98757</errorID>
      <errorWord>kw</errorWord>
      <group>L1_Word</group>
      <groupName>字词问题</groupName>
      <ability>L2_Typo</ability>
      <abilityName>字词错误</abilityName>
      <candidateList>
        <item>kW</item>
      </candidateList>
      <explain/>
      <paraID> 85CE9A5</paraID>
      <start>12</start>
      <end>14</end>
      <status>modified</status>
      <modifiedWord>kW</modifiedWord>
      <trackRevisions>false</trackRevisions>
    </reviewItem>
    <reviewItem>
      <errorID>91d7b7b7-248c-447e-988e-1e05cf99baae</errorID>
      <errorWord>kw</errorWord>
      <group>L1_Word</group>
      <groupName>字词问题</groupName>
      <ability>L2_Typo</ability>
      <abilityName>字词错误</abilityName>
      <candidateList>
        <item>kW</item>
      </candidateList>
      <explain/>
      <paraID>31602735</paraID>
      <start>9</start>
      <end>11</end>
      <status>modified</status>
      <modifiedWord>kW</modifiedWord>
      <trackRevisions>false</trackRevisions>
    </reviewItem>
    <reviewItem>
      <errorID>5eae1578-85d4-40ee-8c22-6b924d1b9e52</errorID>
      <errorWord>kw</errorWord>
      <group>L1_Word</group>
      <groupName>字词问题</groupName>
      <ability>L2_Typo</ability>
      <abilityName>字词错误</abilityName>
      <candidateList>
        <item>kW</item>
      </candidateList>
      <explain/>
      <paraID>31456BD7</paraID>
      <start>9</start>
      <end>11</end>
      <status>modified</status>
      <modifiedWord>kW</modifiedWord>
      <trackRevisions>false</trackRevisions>
    </reviewItem>
    <reviewItem>
      <errorID>c66a3c59-5530-4671-bd1b-8c7cf2d1b557</errorID>
      <errorWord>kw</errorWord>
      <group>L1_Word</group>
      <groupName>字词问题</groupName>
      <ability>L2_Typo</ability>
      <abilityName>字词错误</abilityName>
      <candidateList>
        <item>kW</item>
      </candidateList>
      <explain/>
      <paraID>74EDD1A1</paraID>
      <start>9</start>
      <end>11</end>
      <status>modified</status>
      <modifiedWord>kW</modifiedWord>
      <trackRevisions>false</trackRevisions>
    </reviewItem>
    <reviewItem>
      <errorID>044039b5-c702-41b1-8d11-f5fcf71fa540</errorID>
      <errorWord>作</errorWord>
      <group>L1_Word</group>
      <groupName>字词问题</groupName>
      <ability>L2_Typo</ability>
      <abilityName>字词错误</abilityName>
      <candidateList>
        <item>做</item>
      </candidateList>
      <explain>存在发音相同字词的误用。</explain>
      <paraID>26EF5A45</paraID>
      <start>37</start>
      <end>38</end>
      <status>modified</status>
      <modifiedWord>做</modifiedWord>
      <trackRevisions>false</trackRevisions>
    </reviewItem>
    <reviewItem>
      <errorID>1005f395-88a3-44cd-9d8d-ca12cd2e013a</errorID>
      <errorWord>须</errorWord>
      <group>L1_Word</group>
      <groupName>字词问题</groupName>
      <ability>L2_Typo</ability>
      <abilityName>字词错误</abilityName>
      <candidateList>
        <item>需</item>
      </candidateList>
      <explain>存在发音相同字词的误用。</explain>
      <paraID>5679A05D</paraID>
      <start>11</start>
      <end>12</end>
      <status>ignored</status>
      <modifiedWord/>
      <trackRevisions>false</trackRevisions>
    </reviewItem>
    <reviewItem>
      <errorID>1bc9a6a5-f904-4f43-84e0-493259898b9c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567599BD</paraID>
      <start>0</start>
      <end>2</end>
      <status>modified</status>
      <modifiedWord>1.</modifiedWord>
      <trackRevisions>false</trackRevisions>
    </reviewItem>
    <reviewItem>
      <errorID>3235265b-6afb-4545-bd3c-85d73cdeb26e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408D35CA</paraID>
      <start>0</start>
      <end>2</end>
      <status>modified</status>
      <modifiedWord>2.</modifiedWord>
      <trackRevisions>false</trackRevisions>
    </reviewItem>
    <reviewItem>
      <errorID>23552ce6-7945-4ace-aa44-ff273402ecb8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5307DAE1</paraID>
      <start>0</start>
      <end>2</end>
      <status>modified</status>
      <modifiedWord>3.</modifiedWord>
      <trackRevisions>false</trackRevisions>
    </reviewItem>
    <reviewItem>
      <errorID>1aa09e99-6c1f-4eaf-955b-460e2f9eb72d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68F0729E</paraID>
      <start>0</start>
      <end>2</end>
      <status>modified</status>
      <modifiedWord>4.</modifiedWord>
      <trackRevisions>false</trackRevisions>
    </reviewItem>
    <reviewItem>
      <errorID>c1ff9961-7f41-4b27-9eb2-87b1eb0e09d3</errorID>
      <errorWord>计</errorWord>
      <group>L1_Word</group>
      <groupName>字词问题</groupName>
      <ability>L2_Typo</ability>
      <abilityName>字词错误</abilityName>
      <candidateList>
        <item>计算</item>
      </candidateList>
      <explain/>
      <paraID> 6706334</paraID>
      <start>21</start>
      <end>23</end>
      <status>modified</status>
      <modifiedWord>计算</modifiedWord>
      <trackRevisions>false</trackRevisions>
    </reviewItem>
    <reviewItem>
      <errorID>f901e16f-c9c3-4e63-a448-dcc0bcf2e43f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283F66F</paraID>
      <start>3</start>
      <end>8</end>
      <status>ignored</status>
      <modifiedWord/>
      <trackRevisions>false</trackRevisions>
    </reviewItem>
    <reviewItem>
      <errorID>94406247-5ea7-4958-ae4d-479ce75bf1ee</errorID>
      <errorWord>（</errorWord>
      <group>L1_Punc</group>
      <groupName>标点问题</groupName>
      <ability>L2_Punc</ability>
      <abilityName>标点符号检查</abilityName>
      <candidateList>
        <item/>
      </candidateList>
      <explain>同一形式括号套用。</explain>
      <paraID>2EA234CB</paraID>
      <start>20</start>
      <end>21</end>
      <status>ignored</status>
      <modifiedWord/>
      <trackRevisions>false</trackRevisions>
    </reviewItem>
    <reviewItem>
      <errorID>06e850da-b5c8-4a7d-b6e4-199878e3b32e</errorID>
      <errorWord>（</errorWord>
      <group>L1_Punc</group>
      <groupName>标点问题</groupName>
      <ability>L2_Punc</ability>
      <abilityName>标点符号检查</abilityName>
      <candidateList/>
      <explain>同一形式括号套用。</explain>
      <paraID>2EA234CB</paraID>
      <start>60</start>
      <end>61</end>
      <status>ignored</status>
      <modifiedWord/>
      <trackRevisions>false</trackRevisions>
    </reviewItem>
    <reviewItem>
      <errorID>00bff5ad-6843-4a66-84c8-350bc82befed</errorID>
      <errorWord>）</errorWord>
      <group>L1_Punc</group>
      <groupName>标点问题</groupName>
      <ability>L2_Punc</ability>
      <abilityName>标点符号检查</abilityName>
      <candidateList/>
      <explain>同一形式括号套用。</explain>
      <paraID>2EA234CB</paraID>
      <start>82</start>
      <end>83</end>
      <status>ignored</status>
      <modifiedWord/>
      <trackRevisions>false</trackRevisions>
    </reviewItem>
    <reviewItem>
      <errorID>9c0f0d2e-1480-4ccd-8bfc-98cbf9c14f1f</errorID>
      <errorWord>（</errorWord>
      <group>L1_Punc</group>
      <groupName>标点问题</groupName>
      <ability>L2_Punc</ability>
      <abilityName>标点符号检查</abilityName>
      <candidateList/>
      <explain>同一形式括号套用。</explain>
      <paraID>14FBD326</paraID>
      <start>76</start>
      <end>77</end>
      <status>ignored</status>
      <modifiedWord/>
      <trackRevisions>false</trackRevisions>
    </reviewItem>
    <reviewItem>
      <errorID>3becb0d8-7095-466f-9015-c6911c3401e6</errorID>
      <errorWord>）</errorWord>
      <group>L1_Punc</group>
      <groupName>标点问题</groupName>
      <ability>L2_Punc</ability>
      <abilityName>标点符号检查</abilityName>
      <candidateList/>
      <explain>同一形式括号套用。</explain>
      <paraID>14FBD326</paraID>
      <start>97</start>
      <end>98</end>
      <status>ignored</status>
      <modifiedWord/>
      <trackRevisions>false</trackRevisions>
    </reviewItem>
    <reviewItem>
      <errorID>7294a3bc-f969-4244-8b9a-f35efc161517</errorID>
      <errorWord>（</errorWord>
      <group>L1_Punc</group>
      <groupName>标点问题</groupName>
      <ability>L2_Punc</ability>
      <abilityName>标点符号检查</abilityName>
      <candidateList/>
      <explain>同一形式括号套用。</explain>
      <paraID>13782970</paraID>
      <start>68</start>
      <end>69</end>
      <status>ignored</status>
      <modifiedWord/>
      <trackRevisions>false</trackRevisions>
    </reviewItem>
    <reviewItem>
      <errorID>a6b4fc8a-8a4c-437c-8451-c783cd983116</errorID>
      <errorWord>）</errorWord>
      <group>L1_Punc</group>
      <groupName>标点问题</groupName>
      <ability>L2_Punc</ability>
      <abilityName>标点符号检查</abilityName>
      <candidateList/>
      <explain>同一形式括号套用。</explain>
      <paraID>13782970</paraID>
      <start>120</start>
      <end>121</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2CF19E79</paraID>
      <start>80</start>
      <end>83</end>
      <status>ignored</status>
      <modifiedWord/>
      <trackRevisions>false</trackRevisions>
    </reviewItem>
    <reviewItem>
      <errorID>473b9b33-9e3a-4887-83b6-c45962916b63</errorID>
      <errorWord>参数后</errorWord>
      <group>L1_Word</group>
      <groupName>字词问题</groupName>
      <ability>L2_Typo</ability>
      <abilityName>字词错误</abilityName>
      <candidateList>
        <item>参数</item>
      </candidateList>
      <explain/>
      <paraID>21976318</paraID>
      <start>23</start>
      <end>26</end>
      <status>ignored</status>
      <modifiedWord/>
      <trackRevisions>false</trackRevisions>
    </reviewItem>
    <reviewItem>
      <errorID>a9a76232-a3be-422a-a569-54d2f35f86d6</errorID>
      <errorWord>~</errorWord>
      <group>L1_Format</group>
      <groupName>格式问题</groupName>
      <ability>L2_HalfPunc</ability>
      <abilityName>全半角检查</abilityName>
      <candidateList>
        <item>～</item>
      </candidateList>
      <explain>文本全半角错误。</explain>
      <paraID>4000589C</paraID>
      <start>39</start>
      <end>40</end>
      <status>modified</status>
      <modifiedWord>～</modifiedWord>
      <trackRevisions>false</trackRevisions>
    </reviewItem>
    <reviewItem>
      <errorID>eec77551-1752-4f0b-b6ba-8c070d3a3812</errorID>
      <errorWord>性</errorWord>
      <group>L1_Word</group>
      <groupName>字词问题</groupName>
      <ability>L2_Typo</ability>
      <abilityName>字词错误</abilityName>
      <candidateList>
        <item>性等</item>
      </candidateList>
      <explain/>
      <paraID>723029CD</paraID>
      <start>18</start>
      <end>19</end>
      <status>ignored</status>
      <modifiedWord/>
      <trackRevisions>false</trackRevisions>
    </reviewItem>
    <reviewItem>
      <errorID>a830e85a-4b74-4011-815b-997005bfb6f8</errorID>
      <errorWord>，</errorWord>
      <group>L1_Word</group>
      <groupName>字词问题</groupName>
      <ability>L2_Typo</ability>
      <abilityName>字词错误</abilityName>
      <candidateList>
        <item>，具</item>
      </candidateList>
      <explain/>
      <paraID>1379CC5C</paraID>
      <start>13</start>
      <end>14</end>
      <status>ignored</status>
      <modifiedWord/>
      <trackRevisions>false</trackRevisions>
    </reviewItem>
    <reviewItem>
      <errorID>ea1efef7-df80-4a2d-b09b-0c2897c2a882</errorID>
      <errorWord>，</errorWord>
      <group>L1_Word</group>
      <groupName>字词问题</groupName>
      <ability>L2_Typo</ability>
      <abilityName>字词错误</abilityName>
      <candidateList>
        <item>，具</item>
      </candidateList>
      <explain/>
      <paraID>1BC0D624</paraID>
      <start>15</start>
      <end>16</end>
      <status>ignored</status>
      <modifiedWord/>
      <trackRevisions>false</trackRevisions>
    </reviewItem>
    <reviewItem>
      <errorID>6ab9ced0-09af-4364-8bd8-18c5c467cba6</errorID>
      <errorWord>，</errorWord>
      <group>L1_Word</group>
      <groupName>字词问题</groupName>
      <ability>L2_Typo</ability>
      <abilityName>字词错误</abilityName>
      <candidateList>
        <item>，具</item>
      </candidateList>
      <explain/>
      <paraID>410CB619</paraID>
      <start>10</start>
      <end>11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5833D9-1BE3-4BF4-81B2-1774D18CFF65}">
  <ds:schemaRefs/>
</ds:datastoreItem>
</file>

<file path=customXml/itemProps3.xml><?xml version="1.0" encoding="utf-8"?>
<ds:datastoreItem xmlns:ds="http://schemas.openxmlformats.org/officeDocument/2006/customXml" ds:itemID="{33BE2F1A-9185-4B3B-A069-9E1F58D5BBE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39</Pages>
  <Words>12148</Words>
  <Characters>12763</Characters>
  <Lines>176</Lines>
  <Paragraphs>49</Paragraphs>
  <TotalTime>44</TotalTime>
  <ScaleCrop>false</ScaleCrop>
  <LinksUpToDate>false</LinksUpToDate>
  <CharactersWithSpaces>12826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2025-12-17T05:03:00Z</dcterms:created>
  <dc:creator>Administrator</dc:creator>
  <cp:lastModifiedBy>WPS_1766558195</cp:lastModifiedBy>
  <cp:lastPrinted>2025-11-12T07:29:00Z</cp:lastPrinted>
  <dcterms:modified xsi:type="dcterms:W3CDTF">2026-09-24T07:36:23Z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BBA42D4281F14D7D82FAE03090EB4341_13</vt:lpwstr>
  </property>
  <property fmtid="{D5CDD505-2E9C-101B-9397-08002B2CF9AE}" pid="4" name="KSOTemplateDocerSaveRecord">
    <vt:lpwstr>eyJoZGlkIjoiZjFmZWIzNDg2MmIzZjExOTIzMmViNTBmYTMwYTk0ZWYiLCJ1c2VySWQiOiIxNzgzOTU2MDExIn0=</vt:lpwstr>
  </property>
</Properties>
</file>