
<file path=[Content_Types].xml><?xml version="1.0" encoding="utf-8"?>
<Types xmlns="http://schemas.openxmlformats.org/package/2006/content-types">
  <Default Extension="xml" ContentType="application/xml"/>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before="240" w:beforeLines="100" w:after="240" w:afterLines="100" w:line="300" w:lineRule="auto"/>
        <w:ind w:left="-358" w:leftChars="-255" w:right="-334" w:rightChars="-159" w:hanging="177" w:hangingChars="49"/>
        <w:jc w:val="center"/>
        <w:rPr>
          <w:rFonts w:ascii="宋体" w:hAnsi="宋体"/>
          <w:b/>
          <w:sz w:val="36"/>
          <w:szCs w:val="36"/>
        </w:rPr>
      </w:pPr>
      <w:r>
        <w:rPr>
          <w:rFonts w:hint="eastAsia" w:ascii="宋体" w:hAnsi="宋体"/>
          <w:b/>
          <w:sz w:val="36"/>
          <w:szCs w:val="36"/>
        </w:rPr>
        <w:t>采购合同</w:t>
      </w:r>
    </w:p>
    <w:p>
      <w:pPr>
        <w:spacing w:line="360" w:lineRule="auto"/>
        <w:rPr>
          <w:rFonts w:ascii="宋体" w:hAnsi="宋体"/>
          <w:sz w:val="24"/>
        </w:rPr>
      </w:pPr>
      <w:r>
        <w:rPr>
          <w:rFonts w:hint="eastAsia" w:ascii="宋体" w:hAnsi="宋体"/>
          <w:sz w:val="24"/>
        </w:rPr>
        <w:t>甲方：</w:t>
      </w:r>
      <w:r>
        <w:rPr>
          <w:rFonts w:hint="eastAsia" w:ascii="宋体" w:hAnsi="宋体"/>
          <w:sz w:val="24"/>
          <w:u w:val="single"/>
        </w:rPr>
        <w:t>南京邮电大学</w:t>
      </w:r>
      <w:r>
        <w:rPr>
          <w:rFonts w:hint="eastAsia" w:ascii="宋体" w:hAnsi="宋体"/>
          <w:sz w:val="24"/>
        </w:rPr>
        <w:t xml:space="preserve">                              签订地点： </w:t>
      </w:r>
    </w:p>
    <w:p>
      <w:pPr>
        <w:widowControl/>
        <w:snapToGrid w:val="0"/>
        <w:spacing w:line="360" w:lineRule="auto"/>
        <w:rPr>
          <w:rFonts w:hint="eastAsia" w:ascii="宋体" w:hAnsi="宋体" w:eastAsia="宋体"/>
          <w:sz w:val="24"/>
          <w:lang w:val="en-US" w:eastAsia="zh-CN"/>
        </w:rPr>
      </w:pPr>
      <w:r>
        <w:rPr>
          <w:rFonts w:hint="eastAsia" w:ascii="宋体" w:hAnsi="宋体"/>
          <w:sz w:val="24"/>
        </w:rPr>
        <w:t>乙方：</w:t>
      </w:r>
      <w:r>
        <w:rPr>
          <w:rFonts w:hint="eastAsia" w:ascii="宋体" w:hAnsi="宋体"/>
          <w:sz w:val="24"/>
          <w:lang w:val="en-US" w:eastAsia="zh-CN"/>
        </w:rPr>
        <w:t>北京安心易维科技有限公司</w:t>
      </w:r>
    </w:p>
    <w:p>
      <w:pPr>
        <w:widowControl/>
        <w:snapToGrid w:val="0"/>
        <w:spacing w:line="360" w:lineRule="auto"/>
        <w:rPr>
          <w:rFonts w:ascii="宋体" w:hAnsi="宋体"/>
          <w:sz w:val="24"/>
        </w:rPr>
      </w:pPr>
      <w:r>
        <w:rPr>
          <w:rFonts w:hint="eastAsia" w:ascii="宋体" w:hAnsi="宋体"/>
          <w:sz w:val="24"/>
        </w:rPr>
        <w:t xml:space="preserve">    甲乙双方根据项目招标（谈判、询价）采购结果,依据《中华人民共和国民法典》合同编及相关法律规定，达成如下货物购销合同:</w:t>
      </w:r>
    </w:p>
    <w:p>
      <w:pPr>
        <w:widowControl/>
        <w:snapToGrid w:val="0"/>
        <w:spacing w:line="360" w:lineRule="auto"/>
        <w:rPr>
          <w:rFonts w:ascii="宋体" w:hAnsi="宋体"/>
          <w:sz w:val="24"/>
        </w:rPr>
      </w:pPr>
      <w:r>
        <w:rPr>
          <w:rFonts w:hint="eastAsia" w:ascii="宋体" w:hAnsi="宋体"/>
          <w:sz w:val="24"/>
        </w:rPr>
        <w:t>一、货物及其数量、金额：</w:t>
      </w:r>
    </w:p>
    <w:tbl>
      <w:tblPr>
        <w:tblStyle w:val="14"/>
        <w:tblW w:w="9456" w:type="dxa"/>
        <w:jc w:val="center"/>
        <w:tblBorders>
          <w:top w:val="single" w:color="auto" w:sz="6" w:space="0"/>
          <w:left w:val="single" w:color="auto" w:sz="6" w:space="0"/>
          <w:bottom w:val="single" w:color="auto" w:sz="4" w:space="0"/>
          <w:right w:val="single" w:color="auto" w:sz="4" w:space="0"/>
          <w:insideH w:val="single" w:color="auto" w:sz="6" w:space="0"/>
          <w:insideV w:val="single" w:color="auto" w:sz="4" w:space="0"/>
        </w:tblBorders>
        <w:tblLayout w:type="fixed"/>
        <w:tblCellMar>
          <w:top w:w="0" w:type="dxa"/>
          <w:left w:w="108" w:type="dxa"/>
          <w:bottom w:w="0" w:type="dxa"/>
          <w:right w:w="108" w:type="dxa"/>
        </w:tblCellMar>
      </w:tblPr>
      <w:tblGrid>
        <w:gridCol w:w="720"/>
        <w:gridCol w:w="1795"/>
        <w:gridCol w:w="3398"/>
        <w:gridCol w:w="992"/>
        <w:gridCol w:w="1276"/>
        <w:gridCol w:w="1275"/>
      </w:tblGrid>
      <w:tr>
        <w:tblPrEx>
          <w:tblBorders>
            <w:top w:val="single" w:color="auto" w:sz="6" w:space="0"/>
            <w:left w:val="single" w:color="auto" w:sz="6"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cantSplit/>
          <w:trHeight w:val="432" w:hRule="atLeast"/>
          <w:jc w:val="center"/>
        </w:trPr>
        <w:tc>
          <w:tcPr>
            <w:tcW w:w="720" w:type="dxa"/>
            <w:tcBorders>
              <w:top w:val="single" w:color="auto" w:sz="6" w:space="0"/>
              <w:left w:val="single" w:color="auto" w:sz="6" w:space="0"/>
              <w:bottom w:val="single" w:color="auto" w:sz="6" w:space="0"/>
              <w:right w:val="single" w:color="auto" w:sz="4" w:space="0"/>
            </w:tcBorders>
            <w:shd w:val="clear" w:color="auto" w:fill="7F7F7F"/>
            <w:noWrap w:val="0"/>
            <w:vAlign w:val="center"/>
          </w:tcPr>
          <w:p>
            <w:pPr>
              <w:snapToGrid w:val="0"/>
              <w:jc w:val="center"/>
              <w:rPr>
                <w:rFonts w:ascii="宋体" w:hAnsi="宋体"/>
                <w:bCs/>
                <w:kern w:val="0"/>
                <w:sz w:val="24"/>
              </w:rPr>
            </w:pPr>
            <w:r>
              <w:rPr>
                <w:rFonts w:hint="eastAsia" w:ascii="宋体" w:hAnsi="宋体"/>
                <w:bCs/>
                <w:kern w:val="0"/>
                <w:sz w:val="24"/>
              </w:rPr>
              <w:t>编号</w:t>
            </w:r>
          </w:p>
        </w:tc>
        <w:tc>
          <w:tcPr>
            <w:tcW w:w="1795" w:type="dxa"/>
            <w:tcBorders>
              <w:top w:val="single" w:color="auto" w:sz="6" w:space="0"/>
              <w:left w:val="nil"/>
              <w:bottom w:val="single" w:color="auto" w:sz="6" w:space="0"/>
              <w:right w:val="single" w:color="auto" w:sz="4" w:space="0"/>
            </w:tcBorders>
            <w:shd w:val="clear" w:color="auto" w:fill="7F7F7F"/>
            <w:noWrap w:val="0"/>
            <w:vAlign w:val="center"/>
          </w:tcPr>
          <w:p>
            <w:pPr>
              <w:snapToGrid w:val="0"/>
              <w:jc w:val="center"/>
              <w:rPr>
                <w:rFonts w:ascii="宋体" w:hAnsi="宋体"/>
                <w:bCs/>
                <w:kern w:val="0"/>
                <w:sz w:val="24"/>
              </w:rPr>
            </w:pPr>
            <w:r>
              <w:rPr>
                <w:rFonts w:hint="eastAsia" w:ascii="宋体" w:hAnsi="宋体"/>
                <w:bCs/>
                <w:kern w:val="0"/>
                <w:sz w:val="24"/>
              </w:rPr>
              <w:t>货物名称</w:t>
            </w:r>
          </w:p>
        </w:tc>
        <w:tc>
          <w:tcPr>
            <w:tcW w:w="3398" w:type="dxa"/>
            <w:tcBorders>
              <w:top w:val="single" w:color="auto" w:sz="6" w:space="0"/>
              <w:left w:val="nil"/>
              <w:bottom w:val="single" w:color="auto" w:sz="6" w:space="0"/>
              <w:right w:val="single" w:color="auto" w:sz="4" w:space="0"/>
            </w:tcBorders>
            <w:shd w:val="clear" w:color="auto" w:fill="7F7F7F"/>
            <w:noWrap w:val="0"/>
            <w:vAlign w:val="center"/>
          </w:tcPr>
          <w:p>
            <w:pPr>
              <w:snapToGrid w:val="0"/>
              <w:jc w:val="center"/>
              <w:rPr>
                <w:rFonts w:ascii="宋体" w:hAnsi="宋体"/>
                <w:bCs/>
                <w:kern w:val="0"/>
                <w:sz w:val="24"/>
              </w:rPr>
            </w:pPr>
            <w:r>
              <w:rPr>
                <w:rFonts w:hint="eastAsia" w:ascii="宋体" w:hAnsi="宋体"/>
                <w:bCs/>
                <w:kern w:val="0"/>
                <w:sz w:val="24"/>
              </w:rPr>
              <w:t>规 格 型 号（品牌）</w:t>
            </w:r>
          </w:p>
        </w:tc>
        <w:tc>
          <w:tcPr>
            <w:tcW w:w="992" w:type="dxa"/>
            <w:tcBorders>
              <w:top w:val="single" w:color="auto" w:sz="6" w:space="0"/>
              <w:left w:val="nil"/>
              <w:bottom w:val="single" w:color="auto" w:sz="6" w:space="0"/>
              <w:right w:val="single" w:color="auto" w:sz="4" w:space="0"/>
            </w:tcBorders>
            <w:shd w:val="clear" w:color="auto" w:fill="7F7F7F"/>
            <w:noWrap w:val="0"/>
            <w:vAlign w:val="center"/>
          </w:tcPr>
          <w:p>
            <w:pPr>
              <w:snapToGrid w:val="0"/>
              <w:jc w:val="center"/>
              <w:rPr>
                <w:rFonts w:ascii="宋体" w:hAnsi="宋体"/>
                <w:bCs/>
                <w:kern w:val="0"/>
                <w:sz w:val="24"/>
              </w:rPr>
            </w:pPr>
            <w:r>
              <w:rPr>
                <w:rFonts w:hint="eastAsia" w:ascii="宋体" w:hAnsi="宋体"/>
                <w:bCs/>
                <w:kern w:val="0"/>
                <w:sz w:val="24"/>
              </w:rPr>
              <w:t>数量</w:t>
            </w:r>
          </w:p>
        </w:tc>
        <w:tc>
          <w:tcPr>
            <w:tcW w:w="1276" w:type="dxa"/>
            <w:tcBorders>
              <w:top w:val="single" w:color="auto" w:sz="6" w:space="0"/>
              <w:left w:val="nil"/>
              <w:bottom w:val="single" w:color="auto" w:sz="6" w:space="0"/>
              <w:right w:val="single" w:color="auto" w:sz="4" w:space="0"/>
            </w:tcBorders>
            <w:shd w:val="clear" w:color="auto" w:fill="7F7F7F"/>
            <w:noWrap w:val="0"/>
            <w:vAlign w:val="center"/>
          </w:tcPr>
          <w:p>
            <w:pPr>
              <w:snapToGrid w:val="0"/>
              <w:jc w:val="center"/>
              <w:rPr>
                <w:rFonts w:ascii="宋体" w:hAnsi="宋体"/>
                <w:bCs/>
                <w:kern w:val="0"/>
                <w:sz w:val="24"/>
              </w:rPr>
            </w:pPr>
            <w:r>
              <w:rPr>
                <w:rFonts w:hint="eastAsia" w:ascii="宋体" w:hAnsi="宋体"/>
                <w:bCs/>
                <w:kern w:val="0"/>
                <w:sz w:val="24"/>
              </w:rPr>
              <w:t>单价（元）</w:t>
            </w:r>
          </w:p>
        </w:tc>
        <w:tc>
          <w:tcPr>
            <w:tcW w:w="1275" w:type="dxa"/>
            <w:tcBorders>
              <w:top w:val="single" w:color="auto" w:sz="6" w:space="0"/>
              <w:left w:val="nil"/>
              <w:bottom w:val="single" w:color="auto" w:sz="6" w:space="0"/>
              <w:right w:val="single" w:color="auto" w:sz="4" w:space="0"/>
            </w:tcBorders>
            <w:shd w:val="clear" w:color="auto" w:fill="7F7F7F"/>
            <w:noWrap w:val="0"/>
            <w:vAlign w:val="center"/>
          </w:tcPr>
          <w:p>
            <w:pPr>
              <w:widowControl/>
              <w:jc w:val="left"/>
              <w:rPr>
                <w:rFonts w:ascii="宋体" w:hAnsi="宋体"/>
                <w:bCs/>
                <w:kern w:val="0"/>
                <w:sz w:val="24"/>
              </w:rPr>
            </w:pPr>
            <w:r>
              <w:rPr>
                <w:rFonts w:hint="eastAsia" w:ascii="宋体" w:hAnsi="宋体"/>
                <w:bCs/>
                <w:kern w:val="0"/>
                <w:sz w:val="24"/>
              </w:rPr>
              <w:t>总价（元）</w:t>
            </w:r>
          </w:p>
        </w:tc>
      </w:tr>
      <w:tr>
        <w:tblPrEx>
          <w:tblBorders>
            <w:top w:val="single" w:color="auto" w:sz="6" w:space="0"/>
            <w:left w:val="single" w:color="auto" w:sz="6"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cantSplit/>
          <w:trHeight w:val="677" w:hRule="atLeast"/>
          <w:jc w:val="center"/>
        </w:trPr>
        <w:tc>
          <w:tcPr>
            <w:tcW w:w="720" w:type="dxa"/>
            <w:tcBorders>
              <w:top w:val="single" w:color="auto" w:sz="6" w:space="0"/>
              <w:left w:val="single" w:color="auto" w:sz="6" w:space="0"/>
              <w:bottom w:val="single" w:color="auto" w:sz="6" w:space="0"/>
              <w:right w:val="single" w:color="auto" w:sz="4" w:space="0"/>
            </w:tcBorders>
            <w:noWrap w:val="0"/>
            <w:vAlign w:val="center"/>
          </w:tcPr>
          <w:p>
            <w:pPr>
              <w:snapToGrid w:val="0"/>
              <w:rPr>
                <w:rFonts w:ascii="宋体" w:hAnsi="宋体"/>
                <w:bCs/>
                <w:kern w:val="0"/>
                <w:sz w:val="24"/>
              </w:rPr>
            </w:pPr>
            <w:r>
              <w:rPr>
                <w:rFonts w:hint="eastAsia" w:ascii="宋体" w:hAnsi="宋体"/>
                <w:bCs/>
                <w:kern w:val="0"/>
                <w:sz w:val="24"/>
              </w:rPr>
              <w:t>1</w:t>
            </w:r>
          </w:p>
        </w:tc>
        <w:tc>
          <w:tcPr>
            <w:tcW w:w="179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Fonts w:hint="eastAsia" w:ascii="宋体" w:hAnsi="宋体" w:eastAsia="宋体" w:cs="宋体"/>
                <w:i w:val="0"/>
                <w:iCs w:val="0"/>
                <w:color w:val="000000"/>
                <w:kern w:val="0"/>
                <w:sz w:val="21"/>
                <w:szCs w:val="21"/>
                <w:lang w:val="en-US" w:eastAsia="zh-CN" w:bidi="ar"/>
              </w:rPr>
              <w:t>空中</w:t>
            </w:r>
            <w:r>
              <w:rPr>
                <w:rFonts w:hint="eastAsia" w:ascii="宋体" w:hAnsi="宋体" w:cs="宋体"/>
                <w:i w:val="0"/>
                <w:iCs w:val="0"/>
                <w:color w:val="000000"/>
                <w:kern w:val="0"/>
                <w:sz w:val="21"/>
                <w:szCs w:val="21"/>
                <w:lang w:val="en-US" w:eastAsia="zh-CN" w:bidi="ar"/>
              </w:rPr>
              <w:t>飞行</w:t>
            </w:r>
            <w:r>
              <w:rPr>
                <w:rFonts w:hint="eastAsia" w:ascii="宋体" w:hAnsi="宋体" w:eastAsia="宋体" w:cs="宋体"/>
                <w:i w:val="0"/>
                <w:iCs w:val="0"/>
                <w:color w:val="000000"/>
                <w:kern w:val="0"/>
                <w:sz w:val="21"/>
                <w:szCs w:val="21"/>
                <w:lang w:val="en-US" w:eastAsia="zh-CN" w:bidi="ar"/>
              </w:rPr>
              <w:t>机器人</w:t>
            </w:r>
          </w:p>
        </w:tc>
        <w:tc>
          <w:tcPr>
            <w:tcW w:w="3398"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left"/>
              <w:textAlignment w:val="center"/>
              <w:rPr>
                <w:rStyle w:val="18"/>
                <w:rFonts w:hint="eastAsia" w:ascii="宋体" w:hAnsi="宋体" w:eastAsia="宋体" w:cs="宋体"/>
                <w:color w:val="000000"/>
                <w:kern w:val="2"/>
                <w:sz w:val="21"/>
                <w:szCs w:val="21"/>
                <w:lang w:val="en-US" w:eastAsia="zh-CN" w:bidi="ar"/>
              </w:rPr>
            </w:pPr>
            <w:r>
              <w:rPr>
                <w:rStyle w:val="18"/>
                <w:rFonts w:hint="eastAsia" w:ascii="宋体" w:hAnsi="宋体" w:eastAsia="宋体" w:cs="宋体"/>
                <w:color w:val="000000"/>
                <w:kern w:val="2"/>
                <w:sz w:val="21"/>
                <w:szCs w:val="21"/>
                <w:lang w:val="en-US" w:eastAsia="zh-CN" w:bidi="ar"/>
              </w:rPr>
              <w:t>定制开发.</w:t>
            </w:r>
          </w:p>
          <w:p>
            <w:pPr>
              <w:keepNext w:val="0"/>
              <w:keepLines w:val="0"/>
              <w:widowControl/>
              <w:suppressLineNumbers w:val="0"/>
              <w:spacing w:before="0" w:beforeAutospacing="0" w:after="0" w:afterAutospacing="0"/>
              <w:ind w:left="0" w:leftChars="0" w:right="0" w:rightChars="0"/>
              <w:jc w:val="left"/>
              <w:textAlignment w:val="center"/>
              <w:rPr>
                <w:rStyle w:val="18"/>
                <w:rFonts w:hint="eastAsia" w:ascii="宋体" w:hAnsi="宋体" w:eastAsia="宋体" w:cs="宋体"/>
                <w:color w:val="000000"/>
                <w:kern w:val="2"/>
                <w:sz w:val="21"/>
                <w:szCs w:val="21"/>
                <w:lang w:val="en-US" w:eastAsia="zh-CN" w:bidi="ar"/>
              </w:rPr>
            </w:pPr>
            <w:r>
              <w:rPr>
                <w:rStyle w:val="18"/>
                <w:rFonts w:hint="eastAsia" w:ascii="宋体" w:hAnsi="宋体" w:eastAsia="宋体" w:cs="宋体"/>
                <w:color w:val="000000"/>
                <w:kern w:val="2"/>
                <w:sz w:val="21"/>
                <w:szCs w:val="21"/>
                <w:lang w:val="en-US" w:eastAsia="zh-CN" w:bidi="ar"/>
              </w:rPr>
              <w:t>最长滞空时间：15min</w:t>
            </w:r>
          </w:p>
          <w:p>
            <w:pPr>
              <w:keepNext w:val="0"/>
              <w:keepLines w:val="0"/>
              <w:widowControl/>
              <w:suppressLineNumbers w:val="0"/>
              <w:spacing w:before="0" w:beforeAutospacing="0" w:after="0" w:afterAutospacing="0"/>
              <w:ind w:left="0" w:leftChars="0" w:right="0" w:rightChars="0"/>
              <w:jc w:val="left"/>
              <w:textAlignment w:val="center"/>
              <w:rPr>
                <w:rStyle w:val="18"/>
                <w:rFonts w:hint="eastAsia" w:ascii="宋体" w:hAnsi="宋体" w:eastAsia="宋体" w:cs="宋体"/>
                <w:color w:val="000000"/>
                <w:kern w:val="2"/>
                <w:sz w:val="21"/>
                <w:szCs w:val="21"/>
                <w:lang w:val="en-US" w:eastAsia="zh-CN" w:bidi="ar"/>
              </w:rPr>
            </w:pPr>
            <w:r>
              <w:rPr>
                <w:rStyle w:val="18"/>
                <w:rFonts w:hint="eastAsia" w:ascii="宋体" w:hAnsi="宋体" w:eastAsia="宋体" w:cs="宋体"/>
                <w:color w:val="000000"/>
                <w:kern w:val="2"/>
                <w:sz w:val="21"/>
                <w:szCs w:val="21"/>
                <w:lang w:val="en-US" w:eastAsia="zh-CN" w:bidi="ar"/>
              </w:rPr>
              <w:t>最大载重滞空时间：10min</w:t>
            </w:r>
          </w:p>
          <w:p>
            <w:pPr>
              <w:keepNext w:val="0"/>
              <w:keepLines w:val="0"/>
              <w:widowControl/>
              <w:suppressLineNumbers w:val="0"/>
              <w:spacing w:before="0" w:beforeAutospacing="0" w:after="0" w:afterAutospacing="0"/>
              <w:ind w:left="0" w:leftChars="0" w:right="0" w:rightChars="0"/>
              <w:jc w:val="left"/>
              <w:textAlignment w:val="center"/>
              <w:rPr>
                <w:rStyle w:val="18"/>
                <w:rFonts w:hint="eastAsia" w:ascii="宋体" w:hAnsi="宋体" w:eastAsia="宋体" w:cs="宋体"/>
                <w:color w:val="000000"/>
                <w:kern w:val="2"/>
                <w:sz w:val="21"/>
                <w:szCs w:val="21"/>
                <w:lang w:val="en-US" w:eastAsia="zh-CN" w:bidi="ar"/>
              </w:rPr>
            </w:pPr>
            <w:r>
              <w:rPr>
                <w:rStyle w:val="18"/>
                <w:rFonts w:hint="eastAsia" w:ascii="宋体" w:hAnsi="宋体" w:eastAsia="宋体" w:cs="宋体"/>
                <w:color w:val="000000"/>
                <w:kern w:val="2"/>
                <w:sz w:val="21"/>
                <w:szCs w:val="21"/>
                <w:lang w:val="en-US" w:eastAsia="zh-CN" w:bidi="ar"/>
              </w:rPr>
              <w:t>最大滞空距离：10.5km</w:t>
            </w:r>
          </w:p>
          <w:p>
            <w:pPr>
              <w:keepNext w:val="0"/>
              <w:keepLines w:val="0"/>
              <w:widowControl/>
              <w:suppressLineNumbers w:val="0"/>
              <w:spacing w:before="0" w:beforeAutospacing="0" w:after="0" w:afterAutospacing="0"/>
              <w:ind w:left="0" w:leftChars="0" w:right="0" w:rightChars="0"/>
              <w:jc w:val="left"/>
              <w:textAlignment w:val="center"/>
              <w:rPr>
                <w:rStyle w:val="18"/>
                <w:rFonts w:hint="eastAsia" w:ascii="宋体" w:hAnsi="宋体" w:eastAsia="宋体" w:cs="宋体"/>
                <w:color w:val="000000"/>
                <w:kern w:val="2"/>
                <w:sz w:val="21"/>
                <w:szCs w:val="21"/>
                <w:lang w:val="en-US" w:eastAsia="zh-CN" w:bidi="ar"/>
              </w:rPr>
            </w:pPr>
            <w:r>
              <w:rPr>
                <w:rStyle w:val="18"/>
                <w:rFonts w:hint="eastAsia" w:ascii="宋体" w:hAnsi="宋体" w:eastAsia="宋体" w:cs="宋体"/>
                <w:color w:val="000000"/>
                <w:kern w:val="2"/>
                <w:sz w:val="21"/>
                <w:szCs w:val="21"/>
                <w:lang w:val="en-US" w:eastAsia="zh-CN" w:bidi="ar"/>
              </w:rPr>
              <w:t>最大满载滞空距离：8.2km</w:t>
            </w:r>
          </w:p>
          <w:p>
            <w:pPr>
              <w:keepNext w:val="0"/>
              <w:keepLines w:val="0"/>
              <w:widowControl/>
              <w:suppressLineNumbers w:val="0"/>
              <w:spacing w:before="0" w:beforeAutospacing="0" w:after="0" w:afterAutospacing="0"/>
              <w:ind w:left="0" w:leftChars="0" w:right="0" w:rightChars="0"/>
              <w:jc w:val="left"/>
              <w:textAlignment w:val="center"/>
              <w:rPr>
                <w:rStyle w:val="18"/>
                <w:rFonts w:hint="eastAsia" w:ascii="宋体" w:hAnsi="宋体" w:eastAsia="宋体" w:cs="宋体"/>
                <w:color w:val="000000"/>
                <w:kern w:val="2"/>
                <w:sz w:val="21"/>
                <w:szCs w:val="21"/>
                <w:lang w:val="en-US" w:eastAsia="zh-CN" w:bidi="ar"/>
              </w:rPr>
            </w:pPr>
            <w:r>
              <w:rPr>
                <w:rStyle w:val="18"/>
                <w:rFonts w:hint="eastAsia" w:ascii="宋体" w:hAnsi="宋体" w:eastAsia="宋体" w:cs="宋体"/>
                <w:color w:val="000000"/>
                <w:kern w:val="2"/>
                <w:sz w:val="21"/>
                <w:szCs w:val="21"/>
                <w:lang w:val="en-US" w:eastAsia="zh-CN" w:bidi="ar"/>
              </w:rPr>
              <w:t>最大载重17kg.</w:t>
            </w:r>
          </w:p>
          <w:p>
            <w:pPr>
              <w:keepNext w:val="0"/>
              <w:keepLines w:val="0"/>
              <w:widowControl/>
              <w:suppressLineNumbers w:val="0"/>
              <w:spacing w:before="0" w:beforeAutospacing="0" w:after="0" w:afterAutospacing="0"/>
              <w:ind w:left="0" w:leftChars="0" w:right="0" w:rightChars="0"/>
              <w:jc w:val="left"/>
              <w:textAlignment w:val="center"/>
              <w:rPr>
                <w:rStyle w:val="18"/>
                <w:rFonts w:hint="eastAsia" w:ascii="宋体" w:hAnsi="宋体" w:cs="宋体"/>
                <w:color w:val="000000"/>
                <w:kern w:val="2"/>
                <w:sz w:val="21"/>
                <w:szCs w:val="21"/>
                <w:lang w:val="en-US" w:eastAsia="zh-CN" w:bidi="ar"/>
              </w:rPr>
            </w:pPr>
            <w:r>
              <w:rPr>
                <w:rStyle w:val="18"/>
                <w:rFonts w:hint="eastAsia" w:ascii="宋体" w:hAnsi="宋体" w:eastAsia="宋体" w:cs="宋体"/>
                <w:color w:val="000000"/>
                <w:kern w:val="2"/>
                <w:sz w:val="21"/>
                <w:szCs w:val="21"/>
                <w:lang w:val="en-US" w:eastAsia="zh-CN" w:bidi="ar"/>
              </w:rPr>
              <w:t>支持wifi及LTE网络</w:t>
            </w:r>
            <w:r>
              <w:rPr>
                <w:rStyle w:val="18"/>
                <w:rFonts w:hint="eastAsia" w:ascii="宋体" w:hAnsi="宋体" w:cs="宋体"/>
                <w:color w:val="000000"/>
                <w:kern w:val="2"/>
                <w:sz w:val="21"/>
                <w:szCs w:val="21"/>
                <w:lang w:val="en-US" w:eastAsia="zh-CN" w:bidi="ar"/>
              </w:rPr>
              <w:t>.</w:t>
            </w:r>
          </w:p>
          <w:p>
            <w:pPr>
              <w:pStyle w:val="13"/>
              <w:ind w:left="0" w:leftChars="0" w:firstLine="0" w:firstLineChars="0"/>
              <w:jc w:val="left"/>
              <w:rPr>
                <w:rStyle w:val="18"/>
                <w:rFonts w:hint="eastAsia"/>
                <w:b w:val="0"/>
                <w:bCs w:val="0"/>
                <w:kern w:val="2"/>
                <w:lang w:val="en-US" w:eastAsia="zh-CN" w:bidi="ar"/>
              </w:rPr>
            </w:pPr>
            <w:r>
              <w:rPr>
                <w:rStyle w:val="18"/>
                <w:rFonts w:hint="default"/>
                <w:b w:val="0"/>
                <w:bCs w:val="0"/>
                <w:kern w:val="2"/>
                <w:lang w:val="en-US" w:eastAsia="zh-CN" w:bidi="ar"/>
              </w:rPr>
              <w:t>感知自由度:具备上下左右</w:t>
            </w:r>
            <w:r>
              <w:rPr>
                <w:rStyle w:val="18"/>
                <w:rFonts w:hint="eastAsia"/>
                <w:b w:val="0"/>
                <w:bCs w:val="0"/>
                <w:kern w:val="2"/>
                <w:lang w:val="en-US" w:eastAsia="zh-CN" w:bidi="ar"/>
              </w:rPr>
              <w:t>.</w:t>
            </w:r>
          </w:p>
          <w:p>
            <w:pPr>
              <w:pStyle w:val="13"/>
              <w:ind w:left="0" w:leftChars="0" w:firstLine="0" w:firstLineChars="0"/>
              <w:jc w:val="left"/>
              <w:rPr>
                <w:rStyle w:val="18"/>
                <w:rFonts w:hint="eastAsia"/>
                <w:b w:val="0"/>
                <w:bCs w:val="0"/>
                <w:kern w:val="2"/>
                <w:lang w:val="en-US" w:eastAsia="zh-CN" w:bidi="ar"/>
              </w:rPr>
            </w:pPr>
            <w:r>
              <w:rPr>
                <w:rStyle w:val="18"/>
                <w:rFonts w:hint="default"/>
                <w:b w:val="0"/>
                <w:bCs w:val="0"/>
                <w:kern w:val="2"/>
                <w:lang w:val="en-US" w:eastAsia="zh-CN" w:bidi="ar"/>
              </w:rPr>
              <w:t>前后全方位感知能力</w:t>
            </w:r>
            <w:r>
              <w:rPr>
                <w:rStyle w:val="18"/>
                <w:rFonts w:hint="eastAsia"/>
                <w:b w:val="0"/>
                <w:bCs w:val="0"/>
                <w:kern w:val="2"/>
                <w:lang w:val="en-US" w:eastAsia="zh-CN" w:bidi="ar"/>
              </w:rPr>
              <w:t>.</w:t>
            </w:r>
          </w:p>
          <w:p>
            <w:pPr>
              <w:pStyle w:val="13"/>
              <w:ind w:left="0" w:leftChars="0" w:firstLine="0" w:firstLineChars="0"/>
              <w:jc w:val="left"/>
              <w:rPr>
                <w:rStyle w:val="18"/>
                <w:rFonts w:hint="eastAsia"/>
                <w:b w:val="0"/>
                <w:bCs w:val="0"/>
                <w:kern w:val="2"/>
                <w:lang w:val="en-US" w:eastAsia="zh-CN" w:bidi="ar"/>
              </w:rPr>
            </w:pPr>
            <w:r>
              <w:rPr>
                <w:rStyle w:val="18"/>
                <w:rFonts w:hint="eastAsia"/>
                <w:b w:val="0"/>
                <w:bCs w:val="0"/>
                <w:kern w:val="2"/>
                <w:lang w:val="en-US" w:eastAsia="zh-CN" w:bidi="ar"/>
              </w:rPr>
              <w:t>提供SDK.</w:t>
            </w:r>
          </w:p>
          <w:p>
            <w:pPr>
              <w:pStyle w:val="13"/>
              <w:ind w:left="0" w:leftChars="0" w:firstLine="0" w:firstLineChars="0"/>
              <w:jc w:val="left"/>
              <w:rPr>
                <w:rStyle w:val="18"/>
                <w:rFonts w:hint="default"/>
                <w:b w:val="0"/>
                <w:bCs w:val="0"/>
                <w:kern w:val="2"/>
                <w:lang w:val="en-US" w:eastAsia="zh-CN" w:bidi="ar"/>
              </w:rPr>
            </w:pPr>
            <w:r>
              <w:rPr>
                <w:rStyle w:val="18"/>
                <w:rFonts w:hint="default"/>
                <w:b w:val="0"/>
                <w:bCs w:val="0"/>
                <w:kern w:val="2"/>
                <w:lang w:val="en-US" w:eastAsia="zh-CN" w:bidi="ar"/>
              </w:rPr>
              <w:t>帧率30hz</w:t>
            </w:r>
          </w:p>
          <w:p>
            <w:pPr>
              <w:pStyle w:val="13"/>
              <w:ind w:left="0" w:leftChars="0" w:firstLine="0" w:firstLineChars="0"/>
              <w:jc w:val="left"/>
              <w:rPr>
                <w:rFonts w:ascii="宋体" w:hAnsi="宋体"/>
                <w:bCs/>
                <w:sz w:val="24"/>
              </w:rPr>
            </w:pPr>
            <w:r>
              <w:rPr>
                <w:rStyle w:val="18"/>
                <w:rFonts w:hint="default"/>
                <w:b w:val="0"/>
                <w:bCs w:val="0"/>
                <w:kern w:val="2"/>
                <w:lang w:val="en-US" w:eastAsia="zh-CN" w:bidi="ar"/>
              </w:rPr>
              <w:t>分辨率1920×1080</w:t>
            </w:r>
            <w:r>
              <w:rPr>
                <w:rStyle w:val="18"/>
                <w:rFonts w:hint="default"/>
                <w:b w:val="0"/>
                <w:bCs w:val="0"/>
                <w:kern w:val="2"/>
                <w:lang w:val="en-US" w:eastAsia="zh-CN" w:bidi="ar"/>
              </w:rPr>
              <w:cr/>
            </w:r>
            <w:r>
              <w:rPr>
                <w:rStyle w:val="18"/>
                <w:rFonts w:hint="default"/>
                <w:b w:val="0"/>
                <w:bCs w:val="0"/>
                <w:kern w:val="2"/>
                <w:lang w:val="en-US" w:eastAsia="zh-CN" w:bidi="ar"/>
              </w:rPr>
              <w:t>5</w:t>
            </w:r>
          </w:p>
        </w:tc>
        <w:tc>
          <w:tcPr>
            <w:tcW w:w="992" w:type="dxa"/>
            <w:tcBorders>
              <w:top w:val="single" w:color="auto" w:sz="6" w:space="0"/>
              <w:left w:val="nil"/>
              <w:bottom w:val="single" w:color="auto" w:sz="6" w:space="0"/>
              <w:right w:val="single" w:color="auto" w:sz="4" w:space="0"/>
            </w:tcBorders>
            <w:noWrap w:val="0"/>
            <w:vAlign w:val="center"/>
          </w:tcPr>
          <w:p>
            <w:pPr>
              <w:snapToGrid w:val="0"/>
              <w:ind w:firstLine="117" w:firstLineChars="49"/>
              <w:rPr>
                <w:rFonts w:hint="eastAsia" w:ascii="宋体" w:hAnsi="宋体" w:eastAsia="宋体"/>
                <w:bCs/>
                <w:kern w:val="0"/>
                <w:sz w:val="24"/>
                <w:lang w:val="en-US" w:eastAsia="zh-CN"/>
              </w:rPr>
            </w:pPr>
            <w:r>
              <w:rPr>
                <w:rFonts w:hint="eastAsia" w:ascii="宋体" w:hAnsi="宋体"/>
                <w:bCs/>
                <w:kern w:val="0"/>
                <w:sz w:val="24"/>
                <w:lang w:val="en-US" w:eastAsia="zh-CN"/>
              </w:rPr>
              <w:t>1</w:t>
            </w:r>
          </w:p>
        </w:tc>
        <w:tc>
          <w:tcPr>
            <w:tcW w:w="1276"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Fonts w:hint="eastAsia" w:ascii="宋体" w:hAnsi="宋体" w:cs="宋体"/>
                <w:i w:val="0"/>
                <w:iCs w:val="0"/>
                <w:color w:val="000000"/>
                <w:kern w:val="0"/>
                <w:sz w:val="21"/>
                <w:szCs w:val="21"/>
                <w:lang w:val="en-US" w:eastAsia="zh-CN" w:bidi="ar"/>
              </w:rPr>
              <w:t>67</w:t>
            </w:r>
            <w:r>
              <w:rPr>
                <w:rFonts w:hint="eastAsia" w:ascii="宋体" w:hAnsi="宋体" w:eastAsia="宋体" w:cs="宋体"/>
                <w:i w:val="0"/>
                <w:iCs w:val="0"/>
                <w:color w:val="000000"/>
                <w:kern w:val="0"/>
                <w:sz w:val="21"/>
                <w:szCs w:val="21"/>
                <w:lang w:val="en-US" w:eastAsia="zh-CN" w:bidi="ar"/>
              </w:rPr>
              <w:t>00</w:t>
            </w:r>
            <w:r>
              <w:rPr>
                <w:rFonts w:hint="eastAsia" w:ascii="宋体" w:hAnsi="宋体" w:cs="宋体"/>
                <w:i w:val="0"/>
                <w:iCs w:val="0"/>
                <w:color w:val="000000"/>
                <w:kern w:val="0"/>
                <w:sz w:val="21"/>
                <w:szCs w:val="21"/>
                <w:lang w:val="en-US" w:eastAsia="zh-CN" w:bidi="ar"/>
              </w:rPr>
              <w:t>00</w:t>
            </w:r>
          </w:p>
        </w:tc>
        <w:tc>
          <w:tcPr>
            <w:tcW w:w="127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Fonts w:hint="eastAsia" w:ascii="宋体" w:hAnsi="宋体" w:cs="宋体"/>
                <w:i w:val="0"/>
                <w:iCs w:val="0"/>
                <w:color w:val="000000"/>
                <w:kern w:val="0"/>
                <w:sz w:val="21"/>
                <w:szCs w:val="21"/>
                <w:lang w:val="en-US" w:eastAsia="zh-CN" w:bidi="ar"/>
              </w:rPr>
              <w:t>67</w:t>
            </w:r>
            <w:r>
              <w:rPr>
                <w:rFonts w:hint="eastAsia" w:ascii="宋体" w:hAnsi="宋体" w:eastAsia="宋体" w:cs="宋体"/>
                <w:i w:val="0"/>
                <w:iCs w:val="0"/>
                <w:color w:val="000000"/>
                <w:kern w:val="0"/>
                <w:sz w:val="21"/>
                <w:szCs w:val="21"/>
                <w:lang w:val="en-US" w:eastAsia="zh-CN" w:bidi="ar"/>
              </w:rPr>
              <w:t>00</w:t>
            </w:r>
            <w:r>
              <w:rPr>
                <w:rFonts w:hint="eastAsia" w:ascii="宋体" w:hAnsi="宋体" w:cs="宋体"/>
                <w:i w:val="0"/>
                <w:iCs w:val="0"/>
                <w:color w:val="000000"/>
                <w:kern w:val="0"/>
                <w:sz w:val="21"/>
                <w:szCs w:val="21"/>
                <w:lang w:val="en-US" w:eastAsia="zh-CN" w:bidi="ar"/>
              </w:rPr>
              <w:t>00</w:t>
            </w:r>
          </w:p>
        </w:tc>
      </w:tr>
      <w:tr>
        <w:tblPrEx>
          <w:tblBorders>
            <w:top w:val="single" w:color="auto" w:sz="6" w:space="0"/>
            <w:left w:val="single" w:color="auto" w:sz="6"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cantSplit/>
          <w:trHeight w:val="495" w:hRule="atLeast"/>
          <w:jc w:val="center"/>
        </w:trPr>
        <w:tc>
          <w:tcPr>
            <w:tcW w:w="720" w:type="dxa"/>
            <w:tcBorders>
              <w:top w:val="single" w:color="auto" w:sz="6" w:space="0"/>
              <w:left w:val="single" w:color="auto" w:sz="6" w:space="0"/>
              <w:bottom w:val="single" w:color="auto" w:sz="6" w:space="0"/>
              <w:right w:val="single" w:color="auto" w:sz="4" w:space="0"/>
            </w:tcBorders>
            <w:noWrap w:val="0"/>
            <w:vAlign w:val="center"/>
          </w:tcPr>
          <w:p>
            <w:pPr>
              <w:snapToGrid w:val="0"/>
              <w:rPr>
                <w:rFonts w:hint="eastAsia" w:ascii="宋体" w:hAnsi="宋体"/>
                <w:bCs/>
                <w:kern w:val="0"/>
                <w:sz w:val="24"/>
              </w:rPr>
            </w:pPr>
            <w:r>
              <w:rPr>
                <w:rFonts w:hint="eastAsia" w:ascii="宋体" w:hAnsi="宋体"/>
                <w:bCs/>
                <w:kern w:val="0"/>
                <w:sz w:val="24"/>
              </w:rPr>
              <w:t>2</w:t>
            </w:r>
          </w:p>
        </w:tc>
        <w:tc>
          <w:tcPr>
            <w:tcW w:w="179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Style w:val="18"/>
                <w:rFonts w:hint="eastAsia" w:ascii="宋体" w:hAnsi="宋体" w:eastAsia="宋体" w:cs="宋体"/>
                <w:color w:val="000000"/>
                <w:kern w:val="2"/>
                <w:sz w:val="21"/>
                <w:szCs w:val="21"/>
                <w:lang w:val="en-US" w:eastAsia="zh-CN" w:bidi="ar"/>
              </w:rPr>
              <w:t>面板清洁</w:t>
            </w:r>
            <w:r>
              <w:rPr>
                <w:rStyle w:val="18"/>
                <w:rFonts w:hint="eastAsia" w:ascii="宋体" w:hAnsi="宋体" w:cs="宋体"/>
                <w:color w:val="000000"/>
                <w:kern w:val="2"/>
                <w:sz w:val="21"/>
                <w:szCs w:val="21"/>
                <w:lang w:val="en-US" w:eastAsia="zh-CN" w:bidi="ar"/>
              </w:rPr>
              <w:t>材料</w:t>
            </w:r>
          </w:p>
        </w:tc>
        <w:tc>
          <w:tcPr>
            <w:tcW w:w="3398"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left"/>
              <w:textAlignment w:val="center"/>
              <w:rPr>
                <w:rStyle w:val="18"/>
                <w:rFonts w:hint="eastAsia" w:ascii="宋体" w:hAnsi="宋体" w:eastAsia="宋体" w:cs="宋体"/>
                <w:color w:val="000000"/>
                <w:kern w:val="2"/>
                <w:sz w:val="21"/>
                <w:szCs w:val="21"/>
                <w:lang w:val="en-US" w:eastAsia="zh-CN" w:bidi="ar"/>
              </w:rPr>
            </w:pPr>
            <w:r>
              <w:rPr>
                <w:rStyle w:val="18"/>
                <w:rFonts w:hint="eastAsia" w:ascii="宋体" w:hAnsi="宋体" w:eastAsia="宋体" w:cs="宋体"/>
                <w:color w:val="000000"/>
                <w:kern w:val="2"/>
                <w:sz w:val="21"/>
                <w:szCs w:val="21"/>
                <w:lang w:val="en-US" w:eastAsia="zh-CN" w:bidi="ar"/>
              </w:rPr>
              <w:t>定制开发.</w:t>
            </w:r>
          </w:p>
          <w:p>
            <w:pPr>
              <w:pStyle w:val="13"/>
              <w:ind w:left="0" w:leftChars="0" w:firstLine="0" w:firstLineChars="0"/>
              <w:jc w:val="left"/>
              <w:rPr>
                <w:rStyle w:val="18"/>
                <w:rFonts w:hint="default"/>
                <w:b w:val="0"/>
                <w:bCs w:val="0"/>
                <w:kern w:val="2"/>
                <w:lang w:val="en-US" w:eastAsia="zh-CN" w:bidi="ar"/>
              </w:rPr>
            </w:pPr>
            <w:r>
              <w:rPr>
                <w:rStyle w:val="18"/>
                <w:rFonts w:hint="eastAsia"/>
                <w:b w:val="0"/>
                <w:bCs w:val="0"/>
                <w:kern w:val="2"/>
                <w:lang w:val="en-US" w:eastAsia="zh-CN" w:bidi="ar"/>
              </w:rPr>
              <w:t>最低工作温度：-10℃.</w:t>
            </w:r>
          </w:p>
          <w:p>
            <w:pPr>
              <w:pStyle w:val="13"/>
              <w:ind w:left="0" w:leftChars="0" w:firstLine="0" w:firstLineChars="0"/>
              <w:jc w:val="left"/>
              <w:rPr>
                <w:rStyle w:val="18"/>
                <w:rFonts w:hint="default"/>
                <w:b w:val="0"/>
                <w:bCs w:val="0"/>
                <w:kern w:val="2"/>
                <w:lang w:val="en-US" w:eastAsia="zh-CN" w:bidi="ar"/>
              </w:rPr>
            </w:pPr>
            <w:r>
              <w:rPr>
                <w:rStyle w:val="18"/>
                <w:rFonts w:hint="eastAsia"/>
                <w:b w:val="0"/>
                <w:bCs w:val="0"/>
                <w:kern w:val="2"/>
                <w:lang w:val="en-US" w:eastAsia="zh-CN" w:bidi="ar"/>
              </w:rPr>
              <w:t>洁净液符合环保标准，不含任何有害化学物质，对环境和使用者健康无任何危害.</w:t>
            </w:r>
          </w:p>
          <w:p>
            <w:pPr>
              <w:pStyle w:val="13"/>
              <w:ind w:left="0" w:leftChars="0" w:firstLine="0" w:firstLineChars="0"/>
              <w:jc w:val="left"/>
              <w:rPr>
                <w:rStyle w:val="18"/>
                <w:rFonts w:hint="eastAsia"/>
                <w:b w:val="0"/>
                <w:bCs w:val="0"/>
                <w:kern w:val="2"/>
                <w:lang w:val="en-US" w:eastAsia="zh-CN" w:bidi="ar"/>
              </w:rPr>
            </w:pPr>
            <w:r>
              <w:rPr>
                <w:rStyle w:val="18"/>
                <w:rFonts w:hint="eastAsia"/>
                <w:b w:val="0"/>
                <w:bCs w:val="0"/>
                <w:kern w:val="2"/>
                <w:lang w:val="en-US" w:eastAsia="zh-CN" w:bidi="ar"/>
              </w:rPr>
              <w:t>洁净液中不含任何磨损的颗粒，以免对板面造成磨损损坏板面。</w:t>
            </w:r>
          </w:p>
          <w:p>
            <w:pPr>
              <w:pStyle w:val="13"/>
              <w:ind w:left="0" w:leftChars="0" w:firstLine="0" w:firstLineChars="0"/>
              <w:jc w:val="left"/>
              <w:rPr>
                <w:rFonts w:ascii="宋体" w:hAnsi="宋体"/>
                <w:bCs/>
                <w:sz w:val="24"/>
              </w:rPr>
            </w:pPr>
            <w:r>
              <w:rPr>
                <w:rStyle w:val="18"/>
                <w:rFonts w:hint="eastAsia"/>
                <w:b w:val="0"/>
                <w:bCs w:val="0"/>
                <w:kern w:val="2"/>
                <w:lang w:val="en-US" w:eastAsia="zh-CN" w:bidi="ar"/>
              </w:rPr>
              <w:t>洁净液的PH：处于6-8之间，对光伏板表面不造成腐蚀或损伤。</w:t>
            </w:r>
          </w:p>
        </w:tc>
        <w:tc>
          <w:tcPr>
            <w:tcW w:w="992" w:type="dxa"/>
            <w:tcBorders>
              <w:top w:val="single" w:color="auto" w:sz="6" w:space="0"/>
              <w:left w:val="nil"/>
              <w:bottom w:val="single" w:color="auto" w:sz="6" w:space="0"/>
              <w:right w:val="single" w:color="auto" w:sz="4" w:space="0"/>
            </w:tcBorders>
            <w:noWrap w:val="0"/>
            <w:vAlign w:val="center"/>
          </w:tcPr>
          <w:p>
            <w:pPr>
              <w:snapToGrid w:val="0"/>
              <w:ind w:firstLine="117" w:firstLineChars="49"/>
              <w:rPr>
                <w:rFonts w:hint="eastAsia" w:ascii="宋体" w:hAnsi="宋体" w:eastAsia="宋体"/>
                <w:bCs/>
                <w:kern w:val="0"/>
                <w:sz w:val="24"/>
                <w:lang w:val="en-US" w:eastAsia="zh-CN"/>
              </w:rPr>
            </w:pPr>
            <w:r>
              <w:rPr>
                <w:rFonts w:hint="eastAsia" w:ascii="宋体" w:hAnsi="宋体"/>
                <w:bCs/>
                <w:kern w:val="0"/>
                <w:sz w:val="24"/>
                <w:lang w:val="en-US" w:eastAsia="zh-CN"/>
              </w:rPr>
              <w:t>1</w:t>
            </w:r>
          </w:p>
        </w:tc>
        <w:tc>
          <w:tcPr>
            <w:tcW w:w="1276"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bCs/>
                <w:kern w:val="0"/>
                <w:sz w:val="24"/>
                <w:lang w:val="en-US" w:eastAsia="zh-CN"/>
              </w:rPr>
            </w:pPr>
            <w:r>
              <w:rPr>
                <w:rFonts w:hint="eastAsia" w:ascii="宋体" w:hAnsi="宋体" w:eastAsia="宋体" w:cs="宋体"/>
                <w:i w:val="0"/>
                <w:iCs w:val="0"/>
                <w:color w:val="000000"/>
                <w:kern w:val="0"/>
                <w:sz w:val="21"/>
                <w:szCs w:val="21"/>
                <w:lang w:val="en-US" w:eastAsia="zh-CN" w:bidi="ar"/>
              </w:rPr>
              <w:t>60</w:t>
            </w:r>
            <w:r>
              <w:rPr>
                <w:rFonts w:hint="eastAsia" w:ascii="宋体" w:hAnsi="宋体" w:cs="宋体"/>
                <w:i w:val="0"/>
                <w:iCs w:val="0"/>
                <w:color w:val="000000"/>
                <w:kern w:val="0"/>
                <w:sz w:val="21"/>
                <w:szCs w:val="21"/>
                <w:lang w:val="en-US" w:eastAsia="zh-CN" w:bidi="ar"/>
              </w:rPr>
              <w:t>000</w:t>
            </w:r>
            <w:r>
              <w:rPr>
                <w:rFonts w:hint="eastAsia" w:ascii="宋体" w:hAnsi="宋体" w:eastAsia="宋体" w:cs="宋体"/>
                <w:i w:val="0"/>
                <w:iCs w:val="0"/>
                <w:color w:val="000000"/>
                <w:kern w:val="0"/>
                <w:sz w:val="21"/>
                <w:szCs w:val="21"/>
                <w:lang w:val="en-US" w:eastAsia="zh-CN" w:bidi="ar"/>
              </w:rPr>
              <w:t xml:space="preserve"> </w:t>
            </w:r>
          </w:p>
        </w:tc>
        <w:tc>
          <w:tcPr>
            <w:tcW w:w="127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bCs/>
                <w:sz w:val="24"/>
                <w:lang w:val="en-US" w:eastAsia="zh-CN"/>
              </w:rPr>
            </w:pPr>
            <w:r>
              <w:rPr>
                <w:rFonts w:hint="eastAsia" w:ascii="宋体" w:hAnsi="宋体" w:eastAsia="宋体" w:cs="宋体"/>
                <w:i w:val="0"/>
                <w:iCs w:val="0"/>
                <w:color w:val="000000"/>
                <w:kern w:val="0"/>
                <w:sz w:val="21"/>
                <w:szCs w:val="21"/>
                <w:lang w:val="en-US" w:eastAsia="zh-CN" w:bidi="ar"/>
              </w:rPr>
              <w:t>60</w:t>
            </w:r>
            <w:r>
              <w:rPr>
                <w:rFonts w:hint="eastAsia" w:ascii="宋体" w:hAnsi="宋体" w:cs="宋体"/>
                <w:i w:val="0"/>
                <w:iCs w:val="0"/>
                <w:color w:val="000000"/>
                <w:kern w:val="0"/>
                <w:sz w:val="21"/>
                <w:szCs w:val="21"/>
                <w:lang w:val="en-US" w:eastAsia="zh-CN" w:bidi="ar"/>
              </w:rPr>
              <w:t>000</w:t>
            </w:r>
            <w:r>
              <w:rPr>
                <w:rFonts w:hint="eastAsia" w:ascii="宋体" w:hAnsi="宋体" w:eastAsia="宋体" w:cs="宋体"/>
                <w:i w:val="0"/>
                <w:iCs w:val="0"/>
                <w:color w:val="000000"/>
                <w:kern w:val="0"/>
                <w:sz w:val="21"/>
                <w:szCs w:val="21"/>
                <w:lang w:val="en-US" w:eastAsia="zh-CN" w:bidi="ar"/>
              </w:rPr>
              <w:t xml:space="preserve"> </w:t>
            </w:r>
          </w:p>
        </w:tc>
      </w:tr>
      <w:tr>
        <w:tblPrEx>
          <w:tblBorders>
            <w:top w:val="single" w:color="auto" w:sz="6" w:space="0"/>
            <w:left w:val="single" w:color="auto" w:sz="6"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cantSplit/>
          <w:trHeight w:val="3036" w:hRule="atLeast"/>
          <w:jc w:val="center"/>
        </w:trPr>
        <w:tc>
          <w:tcPr>
            <w:tcW w:w="720" w:type="dxa"/>
            <w:tcBorders>
              <w:top w:val="single" w:color="auto" w:sz="6" w:space="0"/>
              <w:left w:val="single" w:color="auto" w:sz="6" w:space="0"/>
              <w:bottom w:val="single" w:color="auto" w:sz="6" w:space="0"/>
              <w:right w:val="single" w:color="auto" w:sz="4" w:space="0"/>
            </w:tcBorders>
            <w:noWrap w:val="0"/>
            <w:vAlign w:val="center"/>
          </w:tcPr>
          <w:p>
            <w:pPr>
              <w:snapToGrid w:val="0"/>
              <w:rPr>
                <w:rFonts w:hint="eastAsia" w:ascii="宋体" w:hAnsi="宋体"/>
                <w:bCs/>
                <w:kern w:val="0"/>
                <w:sz w:val="24"/>
              </w:rPr>
            </w:pPr>
            <w:r>
              <w:rPr>
                <w:rFonts w:hint="eastAsia" w:ascii="宋体" w:hAnsi="宋体"/>
                <w:bCs/>
                <w:kern w:val="0"/>
                <w:sz w:val="24"/>
              </w:rPr>
              <w:t>3</w:t>
            </w:r>
          </w:p>
        </w:tc>
        <w:tc>
          <w:tcPr>
            <w:tcW w:w="179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Fonts w:hint="eastAsia" w:ascii="宋体" w:hAnsi="宋体" w:eastAsia="宋体" w:cs="宋体"/>
                <w:i w:val="0"/>
                <w:iCs w:val="0"/>
                <w:color w:val="000000"/>
                <w:kern w:val="0"/>
                <w:sz w:val="21"/>
                <w:szCs w:val="21"/>
                <w:lang w:val="en-US" w:eastAsia="zh-CN" w:bidi="ar"/>
              </w:rPr>
              <w:t>面板清洁装置</w:t>
            </w:r>
          </w:p>
        </w:tc>
        <w:tc>
          <w:tcPr>
            <w:tcW w:w="3398"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left"/>
              <w:textAlignment w:val="center"/>
              <w:rPr>
                <w:rStyle w:val="18"/>
                <w:rFonts w:hint="default"/>
                <w:b w:val="0"/>
                <w:bCs w:val="0"/>
                <w:kern w:val="2"/>
                <w:lang w:val="en-US" w:eastAsia="zh-CN" w:bidi="ar"/>
              </w:rPr>
            </w:pPr>
            <w:r>
              <w:rPr>
                <w:rStyle w:val="18"/>
                <w:rFonts w:hint="eastAsia" w:ascii="宋体" w:hAnsi="宋体" w:eastAsia="宋体" w:cs="宋体"/>
                <w:color w:val="000000"/>
                <w:kern w:val="2"/>
                <w:sz w:val="21"/>
                <w:szCs w:val="21"/>
                <w:lang w:val="en-US" w:eastAsia="zh-CN" w:bidi="ar"/>
              </w:rPr>
              <w:t>定制开发</w:t>
            </w:r>
            <w:r>
              <w:rPr>
                <w:rStyle w:val="18"/>
                <w:rFonts w:hint="default"/>
                <w:b w:val="0"/>
                <w:bCs w:val="0"/>
                <w:kern w:val="2"/>
                <w:lang w:val="en-US" w:eastAsia="zh-CN" w:bidi="ar"/>
              </w:rPr>
              <w:cr/>
            </w:r>
            <w:r>
              <w:rPr>
                <w:rStyle w:val="18"/>
                <w:rFonts w:hint="default"/>
                <w:b w:val="0"/>
                <w:bCs w:val="0"/>
                <w:kern w:val="2"/>
                <w:lang w:val="en-US" w:eastAsia="zh-CN" w:bidi="ar"/>
              </w:rPr>
              <w:t>有效分离光伏板表面的灰尘、鸟粪、树叶等各种污物，确保清洁后板面干净。</w:t>
            </w:r>
            <w:r>
              <w:rPr>
                <w:rStyle w:val="18"/>
                <w:rFonts w:hint="default"/>
                <w:b w:val="0"/>
                <w:bCs w:val="0"/>
                <w:kern w:val="2"/>
                <w:lang w:val="en-US" w:eastAsia="zh-CN" w:bidi="ar"/>
              </w:rPr>
              <w:cr/>
            </w:r>
            <w:r>
              <w:rPr>
                <w:rStyle w:val="18"/>
                <w:rFonts w:hint="default"/>
                <w:b w:val="0"/>
                <w:bCs w:val="0"/>
                <w:kern w:val="2"/>
                <w:lang w:val="en-US" w:eastAsia="zh-CN" w:bidi="ar"/>
              </w:rPr>
              <w:t>每天清扫面积:3</w:t>
            </w:r>
            <w:r>
              <w:rPr>
                <w:rStyle w:val="18"/>
                <w:rFonts w:hint="eastAsia"/>
                <w:b w:val="0"/>
                <w:bCs w:val="0"/>
                <w:kern w:val="2"/>
                <w:lang w:val="en-US" w:eastAsia="zh-CN" w:bidi="ar"/>
              </w:rPr>
              <w:t>2</w:t>
            </w:r>
            <w:r>
              <w:rPr>
                <w:rStyle w:val="18"/>
                <w:rFonts w:hint="default"/>
                <w:b w:val="0"/>
                <w:bCs w:val="0"/>
                <w:kern w:val="2"/>
                <w:lang w:val="en-US" w:eastAsia="zh-CN" w:bidi="ar"/>
              </w:rPr>
              <w:t>0㎡</w:t>
            </w:r>
          </w:p>
          <w:p>
            <w:pPr>
              <w:pStyle w:val="13"/>
              <w:ind w:left="0" w:leftChars="0" w:firstLine="0" w:firstLineChars="0"/>
              <w:jc w:val="left"/>
              <w:rPr>
                <w:rStyle w:val="18"/>
                <w:rFonts w:hint="default"/>
                <w:b w:val="0"/>
                <w:bCs w:val="0"/>
                <w:kern w:val="2"/>
                <w:lang w:val="en-US" w:eastAsia="zh-CN" w:bidi="ar"/>
              </w:rPr>
            </w:pPr>
            <w:r>
              <w:rPr>
                <w:rStyle w:val="18"/>
                <w:rFonts w:hint="default"/>
                <w:b w:val="0"/>
                <w:bCs w:val="0"/>
                <w:kern w:val="2"/>
                <w:lang w:val="en-US" w:eastAsia="zh-CN" w:bidi="ar"/>
              </w:rPr>
              <w:t>具有智能识别污染物</w:t>
            </w:r>
          </w:p>
          <w:p>
            <w:pPr>
              <w:pStyle w:val="13"/>
              <w:ind w:left="0" w:leftChars="0" w:firstLine="0" w:firstLineChars="0"/>
              <w:jc w:val="left"/>
              <w:rPr>
                <w:rStyle w:val="18"/>
                <w:rFonts w:hint="default"/>
                <w:b w:val="0"/>
                <w:bCs w:val="0"/>
                <w:kern w:val="2"/>
                <w:lang w:val="en-US" w:eastAsia="zh-CN" w:bidi="ar"/>
              </w:rPr>
            </w:pPr>
            <w:r>
              <w:rPr>
                <w:rStyle w:val="18"/>
                <w:rFonts w:hint="default"/>
                <w:b w:val="0"/>
                <w:bCs w:val="0"/>
                <w:kern w:val="2"/>
                <w:lang w:val="en-US" w:eastAsia="zh-CN" w:bidi="ar"/>
              </w:rPr>
              <w:t>自动规划尘粒分离路径</w:t>
            </w:r>
          </w:p>
          <w:p>
            <w:pPr>
              <w:pStyle w:val="13"/>
              <w:ind w:left="0" w:leftChars="0" w:firstLine="0" w:firstLineChars="0"/>
              <w:jc w:val="left"/>
              <w:rPr>
                <w:rFonts w:ascii="宋体" w:hAnsi="宋体"/>
                <w:bCs/>
                <w:sz w:val="24"/>
              </w:rPr>
            </w:pPr>
            <w:r>
              <w:rPr>
                <w:rStyle w:val="18"/>
                <w:rFonts w:hint="default"/>
                <w:b w:val="0"/>
                <w:bCs w:val="0"/>
                <w:kern w:val="2"/>
                <w:lang w:val="en-US" w:eastAsia="zh-CN" w:bidi="ar"/>
              </w:rPr>
              <w:cr/>
            </w:r>
            <w:r>
              <w:rPr>
                <w:rStyle w:val="18"/>
                <w:rFonts w:hint="default"/>
                <w:b w:val="0"/>
                <w:bCs w:val="0"/>
                <w:kern w:val="2"/>
                <w:lang w:val="en-US" w:eastAsia="zh-CN" w:bidi="ar"/>
              </w:rPr>
              <w:t>适配不同类型的板面与安装环境</w:t>
            </w:r>
          </w:p>
        </w:tc>
        <w:tc>
          <w:tcPr>
            <w:tcW w:w="992" w:type="dxa"/>
            <w:tcBorders>
              <w:top w:val="single" w:color="auto" w:sz="6" w:space="0"/>
              <w:left w:val="nil"/>
              <w:bottom w:val="single" w:color="auto" w:sz="6" w:space="0"/>
              <w:right w:val="single" w:color="auto" w:sz="4" w:space="0"/>
            </w:tcBorders>
            <w:noWrap w:val="0"/>
            <w:vAlign w:val="center"/>
          </w:tcPr>
          <w:p>
            <w:pPr>
              <w:snapToGrid w:val="0"/>
              <w:ind w:firstLine="117" w:firstLineChars="49"/>
              <w:rPr>
                <w:rFonts w:hint="eastAsia" w:ascii="宋体" w:hAnsi="宋体" w:eastAsia="宋体"/>
                <w:bCs/>
                <w:kern w:val="0"/>
                <w:sz w:val="24"/>
                <w:lang w:val="en-US" w:eastAsia="zh-CN"/>
              </w:rPr>
            </w:pPr>
            <w:r>
              <w:rPr>
                <w:rFonts w:hint="eastAsia" w:ascii="宋体" w:hAnsi="宋体"/>
                <w:bCs/>
                <w:kern w:val="0"/>
                <w:sz w:val="24"/>
                <w:lang w:val="en-US" w:eastAsia="zh-CN"/>
              </w:rPr>
              <w:t>1</w:t>
            </w:r>
          </w:p>
        </w:tc>
        <w:tc>
          <w:tcPr>
            <w:tcW w:w="1276"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bCs/>
                <w:kern w:val="0"/>
                <w:sz w:val="24"/>
                <w:lang w:val="en-US" w:eastAsia="zh-CN"/>
              </w:rPr>
            </w:pPr>
            <w:r>
              <w:rPr>
                <w:rFonts w:hint="eastAsia" w:ascii="宋体" w:hAnsi="宋体" w:cs="宋体"/>
                <w:i w:val="0"/>
                <w:iCs w:val="0"/>
                <w:color w:val="000000"/>
                <w:kern w:val="0"/>
                <w:sz w:val="21"/>
                <w:szCs w:val="21"/>
                <w:lang w:val="en-US" w:eastAsia="zh-CN" w:bidi="ar"/>
              </w:rPr>
              <w:t>1</w:t>
            </w:r>
            <w:r>
              <w:rPr>
                <w:rFonts w:hint="eastAsia" w:ascii="宋体" w:hAnsi="宋体" w:eastAsia="宋体" w:cs="宋体"/>
                <w:i w:val="0"/>
                <w:iCs w:val="0"/>
                <w:color w:val="000000"/>
                <w:kern w:val="0"/>
                <w:sz w:val="21"/>
                <w:szCs w:val="21"/>
                <w:lang w:val="en-US" w:eastAsia="zh-CN" w:bidi="ar"/>
              </w:rPr>
              <w:t>00</w:t>
            </w:r>
            <w:r>
              <w:rPr>
                <w:rFonts w:hint="eastAsia" w:ascii="宋体" w:hAnsi="宋体" w:cs="宋体"/>
                <w:i w:val="0"/>
                <w:iCs w:val="0"/>
                <w:color w:val="000000"/>
                <w:kern w:val="0"/>
                <w:sz w:val="21"/>
                <w:szCs w:val="21"/>
                <w:lang w:val="en-US" w:eastAsia="zh-CN" w:bidi="ar"/>
              </w:rPr>
              <w:t>00</w:t>
            </w:r>
          </w:p>
        </w:tc>
        <w:tc>
          <w:tcPr>
            <w:tcW w:w="127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bCs/>
                <w:sz w:val="24"/>
                <w:lang w:val="en-US" w:eastAsia="zh-CN"/>
              </w:rPr>
            </w:pPr>
            <w:r>
              <w:rPr>
                <w:rFonts w:hint="eastAsia" w:ascii="宋体" w:hAnsi="宋体" w:cs="宋体"/>
                <w:i w:val="0"/>
                <w:iCs w:val="0"/>
                <w:color w:val="000000"/>
                <w:kern w:val="0"/>
                <w:sz w:val="21"/>
                <w:szCs w:val="21"/>
                <w:lang w:val="en-US" w:eastAsia="zh-CN" w:bidi="ar"/>
              </w:rPr>
              <w:t>1</w:t>
            </w:r>
            <w:r>
              <w:rPr>
                <w:rFonts w:hint="eastAsia" w:ascii="宋体" w:hAnsi="宋体" w:eastAsia="宋体" w:cs="宋体"/>
                <w:i w:val="0"/>
                <w:iCs w:val="0"/>
                <w:color w:val="000000"/>
                <w:kern w:val="0"/>
                <w:sz w:val="21"/>
                <w:szCs w:val="21"/>
                <w:lang w:val="en-US" w:eastAsia="zh-CN" w:bidi="ar"/>
              </w:rPr>
              <w:t>00</w:t>
            </w:r>
            <w:r>
              <w:rPr>
                <w:rFonts w:hint="eastAsia" w:ascii="宋体" w:hAnsi="宋体" w:cs="宋体"/>
                <w:i w:val="0"/>
                <w:iCs w:val="0"/>
                <w:color w:val="000000"/>
                <w:kern w:val="0"/>
                <w:sz w:val="21"/>
                <w:szCs w:val="21"/>
                <w:lang w:val="en-US" w:eastAsia="zh-CN" w:bidi="ar"/>
              </w:rPr>
              <w:t>00</w:t>
            </w:r>
          </w:p>
        </w:tc>
      </w:tr>
      <w:tr>
        <w:tblPrEx>
          <w:tblBorders>
            <w:top w:val="single" w:color="auto" w:sz="6" w:space="0"/>
            <w:left w:val="single" w:color="auto" w:sz="6"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cantSplit/>
          <w:trHeight w:val="495" w:hRule="atLeast"/>
          <w:jc w:val="center"/>
        </w:trPr>
        <w:tc>
          <w:tcPr>
            <w:tcW w:w="720" w:type="dxa"/>
            <w:tcBorders>
              <w:top w:val="single" w:color="auto" w:sz="6" w:space="0"/>
              <w:left w:val="single" w:color="auto" w:sz="6" w:space="0"/>
              <w:bottom w:val="single" w:color="auto" w:sz="6" w:space="0"/>
              <w:right w:val="single" w:color="auto" w:sz="4" w:space="0"/>
            </w:tcBorders>
            <w:noWrap w:val="0"/>
            <w:vAlign w:val="center"/>
          </w:tcPr>
          <w:p>
            <w:pPr>
              <w:snapToGrid w:val="0"/>
              <w:rPr>
                <w:rFonts w:hint="eastAsia" w:ascii="宋体" w:hAnsi="宋体"/>
                <w:bCs/>
                <w:kern w:val="0"/>
                <w:sz w:val="24"/>
              </w:rPr>
            </w:pPr>
            <w:r>
              <w:rPr>
                <w:rFonts w:hint="eastAsia" w:ascii="宋体" w:hAnsi="宋体"/>
                <w:bCs/>
                <w:kern w:val="0"/>
                <w:sz w:val="24"/>
                <w:lang w:val="en-US" w:eastAsia="zh-CN"/>
              </w:rPr>
              <w:t>4</w:t>
            </w:r>
          </w:p>
        </w:tc>
        <w:tc>
          <w:tcPr>
            <w:tcW w:w="179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Fonts w:hint="eastAsia" w:ascii="宋体" w:hAnsi="宋体" w:eastAsia="宋体" w:cs="宋体"/>
                <w:i w:val="0"/>
                <w:iCs w:val="0"/>
                <w:color w:val="000000"/>
                <w:kern w:val="0"/>
                <w:sz w:val="21"/>
                <w:szCs w:val="21"/>
                <w:lang w:val="en-US" w:eastAsia="zh-CN" w:bidi="ar"/>
              </w:rPr>
              <w:t>地面遥控及通讯</w:t>
            </w:r>
          </w:p>
        </w:tc>
        <w:tc>
          <w:tcPr>
            <w:tcW w:w="3398"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left"/>
              <w:textAlignment w:val="center"/>
              <w:rPr>
                <w:rStyle w:val="18"/>
                <w:rFonts w:hint="eastAsia" w:ascii="宋体" w:hAnsi="宋体" w:eastAsia="宋体" w:cs="宋体"/>
                <w:color w:val="000000"/>
                <w:kern w:val="2"/>
                <w:sz w:val="21"/>
                <w:szCs w:val="21"/>
                <w:lang w:val="en-US" w:eastAsia="zh-CN" w:bidi="ar"/>
              </w:rPr>
            </w:pPr>
            <w:r>
              <w:rPr>
                <w:rStyle w:val="18"/>
                <w:rFonts w:hint="eastAsia" w:ascii="宋体" w:hAnsi="宋体" w:eastAsia="宋体" w:cs="宋体"/>
                <w:color w:val="000000"/>
                <w:kern w:val="2"/>
                <w:sz w:val="21"/>
                <w:szCs w:val="21"/>
                <w:lang w:val="en-US" w:eastAsia="zh-CN" w:bidi="ar"/>
              </w:rPr>
              <w:t>定制开发</w:t>
            </w:r>
          </w:p>
          <w:p>
            <w:pPr>
              <w:pStyle w:val="13"/>
              <w:ind w:left="0" w:leftChars="0" w:firstLine="0" w:firstLineChars="0"/>
              <w:jc w:val="left"/>
              <w:rPr>
                <w:rStyle w:val="18"/>
                <w:rFonts w:hint="eastAsia"/>
                <w:b w:val="0"/>
                <w:bCs w:val="0"/>
                <w:kern w:val="2"/>
                <w:lang w:val="en-US" w:eastAsia="zh-CN" w:bidi="ar"/>
              </w:rPr>
            </w:pPr>
            <w:r>
              <w:rPr>
                <w:rStyle w:val="18"/>
                <w:rFonts w:hint="eastAsia"/>
                <w:b w:val="0"/>
                <w:bCs w:val="0"/>
                <w:kern w:val="2"/>
                <w:lang w:val="en-US" w:eastAsia="zh-CN" w:bidi="ar"/>
              </w:rPr>
              <w:t>最大信号有效距离9km</w:t>
            </w:r>
          </w:p>
          <w:p>
            <w:pPr>
              <w:pStyle w:val="13"/>
              <w:ind w:left="0" w:leftChars="0" w:firstLine="0" w:firstLineChars="0"/>
              <w:jc w:val="left"/>
              <w:rPr>
                <w:rStyle w:val="18"/>
                <w:rFonts w:hint="eastAsia"/>
                <w:b w:val="0"/>
                <w:bCs w:val="0"/>
                <w:kern w:val="2"/>
                <w:lang w:val="en-US" w:eastAsia="zh-CN" w:bidi="ar"/>
              </w:rPr>
            </w:pPr>
            <w:r>
              <w:rPr>
                <w:rStyle w:val="18"/>
                <w:rFonts w:hint="eastAsia"/>
                <w:b w:val="0"/>
                <w:bCs w:val="0"/>
                <w:kern w:val="2"/>
                <w:lang w:val="en-US" w:eastAsia="zh-CN" w:bidi="ar"/>
              </w:rPr>
              <w:t>交换有效距离5.2km</w:t>
            </w:r>
            <w:r>
              <w:rPr>
                <w:rStyle w:val="18"/>
                <w:rFonts w:hint="eastAsia"/>
                <w:b w:val="0"/>
                <w:bCs w:val="0"/>
                <w:kern w:val="2"/>
                <w:lang w:val="en-US" w:eastAsia="zh-CN" w:bidi="ar"/>
              </w:rPr>
              <w:cr/>
            </w:r>
            <w:r>
              <w:rPr>
                <w:rStyle w:val="18"/>
                <w:rFonts w:hint="eastAsia"/>
                <w:b w:val="0"/>
                <w:bCs w:val="0"/>
                <w:kern w:val="2"/>
                <w:lang w:val="en-US" w:eastAsia="zh-CN" w:bidi="ar"/>
              </w:rPr>
              <w:t>比特速率范围：2.400-2.4835Ghz,5.725-5.850Ghz,2.4G/5G/WIFI/蓝牙</w:t>
            </w:r>
          </w:p>
          <w:p>
            <w:pPr>
              <w:pStyle w:val="13"/>
              <w:ind w:left="0" w:leftChars="0" w:firstLine="0" w:firstLineChars="0"/>
              <w:jc w:val="left"/>
              <w:rPr>
                <w:rStyle w:val="18"/>
                <w:rFonts w:hint="eastAsia"/>
                <w:b w:val="0"/>
                <w:bCs w:val="0"/>
                <w:kern w:val="2"/>
                <w:lang w:val="en-US" w:eastAsia="zh-CN" w:bidi="ar"/>
              </w:rPr>
            </w:pPr>
            <w:r>
              <w:rPr>
                <w:rStyle w:val="18"/>
                <w:rFonts w:hint="eastAsia"/>
                <w:b w:val="0"/>
                <w:bCs w:val="0"/>
                <w:kern w:val="2"/>
                <w:lang w:val="en-US" w:eastAsia="zh-CN" w:bidi="ar"/>
              </w:rPr>
              <w:t>环境温度：-10℃至40℃</w:t>
            </w:r>
          </w:p>
          <w:p>
            <w:pPr>
              <w:pStyle w:val="13"/>
              <w:ind w:left="0" w:leftChars="0" w:firstLine="0" w:firstLineChars="0"/>
              <w:jc w:val="left"/>
              <w:rPr>
                <w:rFonts w:ascii="宋体" w:hAnsi="宋体"/>
                <w:bCs/>
                <w:sz w:val="24"/>
              </w:rPr>
            </w:pPr>
            <w:r>
              <w:rPr>
                <w:rStyle w:val="18"/>
                <w:rFonts w:hint="eastAsia"/>
                <w:b w:val="0"/>
                <w:bCs w:val="0"/>
                <w:kern w:val="2"/>
                <w:lang w:val="en-US" w:eastAsia="zh-CN" w:bidi="ar"/>
              </w:rPr>
              <w:t>充电环境温度：5℃至40℃</w:t>
            </w:r>
          </w:p>
        </w:tc>
        <w:tc>
          <w:tcPr>
            <w:tcW w:w="992" w:type="dxa"/>
            <w:tcBorders>
              <w:top w:val="single" w:color="auto" w:sz="6" w:space="0"/>
              <w:left w:val="nil"/>
              <w:bottom w:val="single" w:color="auto" w:sz="6" w:space="0"/>
              <w:right w:val="single" w:color="auto" w:sz="4" w:space="0"/>
            </w:tcBorders>
            <w:noWrap w:val="0"/>
            <w:vAlign w:val="center"/>
          </w:tcPr>
          <w:p>
            <w:pPr>
              <w:snapToGrid w:val="0"/>
              <w:ind w:firstLine="117" w:firstLineChars="49"/>
              <w:rPr>
                <w:rFonts w:hint="eastAsia" w:ascii="宋体" w:hAnsi="宋体" w:eastAsia="宋体"/>
                <w:bCs/>
                <w:kern w:val="0"/>
                <w:sz w:val="24"/>
                <w:lang w:val="en-US" w:eastAsia="zh-CN"/>
              </w:rPr>
            </w:pPr>
            <w:r>
              <w:rPr>
                <w:rFonts w:hint="eastAsia" w:ascii="宋体" w:hAnsi="宋体"/>
                <w:bCs/>
                <w:kern w:val="0"/>
                <w:sz w:val="24"/>
                <w:lang w:val="en-US" w:eastAsia="zh-CN"/>
              </w:rPr>
              <w:t>1</w:t>
            </w:r>
          </w:p>
        </w:tc>
        <w:tc>
          <w:tcPr>
            <w:tcW w:w="1276"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bCs/>
                <w:kern w:val="0"/>
                <w:sz w:val="24"/>
                <w:lang w:val="en-US" w:eastAsia="zh-CN"/>
              </w:rPr>
            </w:pPr>
            <w:r>
              <w:rPr>
                <w:rFonts w:hint="eastAsia" w:ascii="宋体" w:hAnsi="宋体" w:eastAsia="宋体" w:cs="宋体"/>
                <w:i w:val="0"/>
                <w:iCs w:val="0"/>
                <w:color w:val="000000"/>
                <w:kern w:val="0"/>
                <w:sz w:val="21"/>
                <w:szCs w:val="21"/>
                <w:lang w:val="en-US" w:eastAsia="zh-CN" w:bidi="ar"/>
              </w:rPr>
              <w:t>150</w:t>
            </w:r>
            <w:r>
              <w:rPr>
                <w:rFonts w:hint="eastAsia" w:ascii="宋体" w:hAnsi="宋体" w:cs="宋体"/>
                <w:i w:val="0"/>
                <w:iCs w:val="0"/>
                <w:color w:val="000000"/>
                <w:kern w:val="0"/>
                <w:sz w:val="21"/>
                <w:szCs w:val="21"/>
                <w:lang w:val="en-US" w:eastAsia="zh-CN" w:bidi="ar"/>
              </w:rPr>
              <w:t>00</w:t>
            </w:r>
          </w:p>
        </w:tc>
        <w:tc>
          <w:tcPr>
            <w:tcW w:w="127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bCs/>
                <w:sz w:val="24"/>
                <w:lang w:val="en-US" w:eastAsia="zh-CN"/>
              </w:rPr>
            </w:pPr>
            <w:r>
              <w:rPr>
                <w:rFonts w:hint="eastAsia" w:ascii="宋体" w:hAnsi="宋体" w:eastAsia="宋体" w:cs="宋体"/>
                <w:i w:val="0"/>
                <w:iCs w:val="0"/>
                <w:color w:val="000000"/>
                <w:kern w:val="0"/>
                <w:sz w:val="21"/>
                <w:szCs w:val="21"/>
                <w:lang w:val="en-US" w:eastAsia="zh-CN" w:bidi="ar"/>
              </w:rPr>
              <w:t>150</w:t>
            </w:r>
            <w:r>
              <w:rPr>
                <w:rFonts w:hint="eastAsia" w:ascii="宋体" w:hAnsi="宋体" w:cs="宋体"/>
                <w:i w:val="0"/>
                <w:iCs w:val="0"/>
                <w:color w:val="000000"/>
                <w:kern w:val="0"/>
                <w:sz w:val="21"/>
                <w:szCs w:val="21"/>
                <w:lang w:val="en-US" w:eastAsia="zh-CN" w:bidi="ar"/>
              </w:rPr>
              <w:t>00</w:t>
            </w:r>
          </w:p>
        </w:tc>
      </w:tr>
      <w:tr>
        <w:tblPrEx>
          <w:tblBorders>
            <w:top w:val="single" w:color="auto" w:sz="6" w:space="0"/>
            <w:left w:val="single" w:color="auto" w:sz="6"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cantSplit/>
          <w:trHeight w:val="495" w:hRule="atLeast"/>
          <w:jc w:val="center"/>
        </w:trPr>
        <w:tc>
          <w:tcPr>
            <w:tcW w:w="720" w:type="dxa"/>
            <w:tcBorders>
              <w:top w:val="single" w:color="auto" w:sz="6" w:space="0"/>
              <w:left w:val="single" w:color="auto" w:sz="6" w:space="0"/>
              <w:bottom w:val="single" w:color="auto" w:sz="6" w:space="0"/>
              <w:right w:val="single" w:color="auto" w:sz="4" w:space="0"/>
            </w:tcBorders>
            <w:noWrap w:val="0"/>
            <w:vAlign w:val="center"/>
          </w:tcPr>
          <w:p>
            <w:pPr>
              <w:snapToGrid w:val="0"/>
              <w:rPr>
                <w:rFonts w:hint="eastAsia" w:ascii="宋体" w:hAnsi="宋体"/>
                <w:bCs/>
                <w:kern w:val="0"/>
                <w:sz w:val="24"/>
              </w:rPr>
            </w:pPr>
            <w:r>
              <w:rPr>
                <w:rFonts w:hint="eastAsia" w:ascii="宋体" w:hAnsi="宋体"/>
                <w:bCs/>
                <w:kern w:val="0"/>
                <w:sz w:val="24"/>
                <w:lang w:val="en-US" w:eastAsia="zh-CN"/>
              </w:rPr>
              <w:t>5</w:t>
            </w:r>
          </w:p>
        </w:tc>
        <w:tc>
          <w:tcPr>
            <w:tcW w:w="179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Style w:val="18"/>
                <w:rFonts w:hint="eastAsia" w:ascii="宋体" w:hAnsi="宋体" w:eastAsia="宋体" w:cs="宋体"/>
                <w:color w:val="000000"/>
                <w:kern w:val="2"/>
                <w:sz w:val="21"/>
                <w:szCs w:val="21"/>
                <w:lang w:val="en-US" w:eastAsia="zh-CN" w:bidi="ar"/>
              </w:rPr>
              <w:t>备用</w:t>
            </w:r>
            <w:r>
              <w:rPr>
                <w:rStyle w:val="18"/>
                <w:rFonts w:hint="eastAsia" w:ascii="宋体" w:hAnsi="宋体" w:cs="宋体"/>
                <w:color w:val="000000"/>
                <w:kern w:val="2"/>
                <w:sz w:val="21"/>
                <w:szCs w:val="21"/>
                <w:lang w:val="en-US" w:eastAsia="zh-CN" w:bidi="ar"/>
              </w:rPr>
              <w:t>储能设备</w:t>
            </w:r>
          </w:p>
        </w:tc>
        <w:tc>
          <w:tcPr>
            <w:tcW w:w="3398"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left"/>
              <w:textAlignment w:val="center"/>
              <w:rPr>
                <w:rStyle w:val="18"/>
                <w:rFonts w:hint="eastAsia" w:ascii="宋体" w:hAnsi="宋体" w:eastAsia="宋体" w:cs="宋体"/>
                <w:color w:val="000000"/>
                <w:kern w:val="2"/>
                <w:sz w:val="21"/>
                <w:szCs w:val="21"/>
                <w:lang w:val="en-US" w:eastAsia="zh-CN" w:bidi="ar"/>
              </w:rPr>
            </w:pPr>
            <w:r>
              <w:rPr>
                <w:rStyle w:val="18"/>
                <w:rFonts w:hint="eastAsia" w:ascii="宋体" w:hAnsi="宋体" w:eastAsia="宋体" w:cs="宋体"/>
                <w:color w:val="000000"/>
                <w:kern w:val="2"/>
                <w:sz w:val="21"/>
                <w:szCs w:val="21"/>
                <w:lang w:val="en-US" w:eastAsia="zh-CN" w:bidi="ar"/>
              </w:rPr>
              <w:t>定制开发</w:t>
            </w:r>
            <w:r>
              <w:rPr>
                <w:rStyle w:val="18"/>
                <w:rFonts w:hint="eastAsia" w:ascii="宋体" w:hAnsi="宋体" w:cs="宋体"/>
                <w:color w:val="000000"/>
                <w:kern w:val="2"/>
                <w:sz w:val="21"/>
                <w:szCs w:val="21"/>
                <w:lang w:val="en-US" w:eastAsia="zh-CN" w:bidi="ar"/>
              </w:rPr>
              <w:t>。</w:t>
            </w:r>
          </w:p>
          <w:p>
            <w:pPr>
              <w:pStyle w:val="13"/>
              <w:ind w:left="0" w:leftChars="0" w:firstLine="0" w:firstLineChars="0"/>
              <w:jc w:val="left"/>
              <w:rPr>
                <w:rStyle w:val="18"/>
                <w:rFonts w:hint="eastAsia"/>
                <w:b w:val="0"/>
                <w:bCs w:val="0"/>
                <w:kern w:val="2"/>
                <w:lang w:val="en-US" w:eastAsia="zh-CN" w:bidi="ar"/>
              </w:rPr>
            </w:pPr>
            <w:r>
              <w:rPr>
                <w:rStyle w:val="18"/>
                <w:rFonts w:hint="eastAsia"/>
                <w:b w:val="0"/>
                <w:bCs w:val="0"/>
                <w:kern w:val="2"/>
                <w:lang w:val="en-US" w:eastAsia="zh-CN" w:bidi="ar"/>
              </w:rPr>
              <w:t>容量10000mah</w:t>
            </w:r>
          </w:p>
          <w:p>
            <w:pPr>
              <w:pStyle w:val="13"/>
              <w:ind w:left="0" w:leftChars="0" w:firstLine="0" w:firstLineChars="0"/>
              <w:jc w:val="left"/>
              <w:rPr>
                <w:rStyle w:val="18"/>
                <w:rFonts w:hint="eastAsia"/>
                <w:b w:val="0"/>
                <w:bCs w:val="0"/>
                <w:kern w:val="2"/>
                <w:lang w:val="en-US" w:eastAsia="zh-CN" w:bidi="ar"/>
              </w:rPr>
            </w:pPr>
            <w:r>
              <w:rPr>
                <w:rStyle w:val="18"/>
                <w:rFonts w:hint="eastAsia"/>
                <w:b w:val="0"/>
                <w:bCs w:val="0"/>
                <w:kern w:val="2"/>
                <w:lang w:val="en-US" w:eastAsia="zh-CN" w:bidi="ar"/>
              </w:rPr>
              <w:t>标称电压：7/15/22.5V</w:t>
            </w:r>
          </w:p>
          <w:p>
            <w:pPr>
              <w:pStyle w:val="13"/>
              <w:ind w:left="0" w:leftChars="0" w:firstLine="0" w:firstLineChars="0"/>
              <w:jc w:val="left"/>
              <w:rPr>
                <w:rStyle w:val="18"/>
                <w:rFonts w:hint="eastAsia"/>
                <w:b w:val="0"/>
                <w:bCs w:val="0"/>
                <w:kern w:val="2"/>
                <w:lang w:val="en-US" w:eastAsia="zh-CN" w:bidi="ar"/>
              </w:rPr>
            </w:pPr>
            <w:r>
              <w:rPr>
                <w:rStyle w:val="18"/>
                <w:rFonts w:hint="eastAsia"/>
                <w:b w:val="0"/>
                <w:bCs w:val="0"/>
                <w:kern w:val="2"/>
                <w:lang w:val="en-US" w:eastAsia="zh-CN" w:bidi="ar"/>
              </w:rPr>
              <w:t>类型：Li-ion/LiPo</w:t>
            </w:r>
          </w:p>
          <w:p>
            <w:pPr>
              <w:pStyle w:val="13"/>
              <w:ind w:left="0" w:leftChars="0" w:firstLine="0" w:firstLineChars="0"/>
              <w:jc w:val="left"/>
              <w:rPr>
                <w:rStyle w:val="18"/>
                <w:rFonts w:hint="eastAsia"/>
                <w:b w:val="0"/>
                <w:bCs w:val="0"/>
                <w:kern w:val="2"/>
                <w:lang w:val="en-US" w:eastAsia="zh-CN" w:bidi="ar"/>
              </w:rPr>
            </w:pPr>
            <w:r>
              <w:rPr>
                <w:rStyle w:val="18"/>
                <w:rFonts w:hint="eastAsia"/>
                <w:b w:val="0"/>
                <w:bCs w:val="0"/>
                <w:kern w:val="2"/>
                <w:lang w:val="en-US" w:eastAsia="zh-CN" w:bidi="ar"/>
              </w:rPr>
              <w:t>重量1000g</w:t>
            </w:r>
          </w:p>
          <w:p>
            <w:pPr>
              <w:pStyle w:val="13"/>
              <w:ind w:left="0" w:leftChars="0" w:firstLine="0" w:firstLineChars="0"/>
              <w:jc w:val="left"/>
              <w:rPr>
                <w:rFonts w:ascii="宋体" w:hAnsi="宋体"/>
                <w:bCs/>
                <w:sz w:val="24"/>
              </w:rPr>
            </w:pPr>
            <w:r>
              <w:rPr>
                <w:rStyle w:val="18"/>
                <w:rFonts w:hint="eastAsia"/>
                <w:b w:val="0"/>
                <w:bCs w:val="0"/>
                <w:kern w:val="2"/>
                <w:lang w:val="en-US" w:eastAsia="zh-CN" w:bidi="ar"/>
              </w:rPr>
              <w:t>供能能量60Wh</w:t>
            </w:r>
          </w:p>
        </w:tc>
        <w:tc>
          <w:tcPr>
            <w:tcW w:w="992" w:type="dxa"/>
            <w:tcBorders>
              <w:top w:val="single" w:color="auto" w:sz="6" w:space="0"/>
              <w:left w:val="nil"/>
              <w:bottom w:val="single" w:color="auto" w:sz="6" w:space="0"/>
              <w:right w:val="single" w:color="auto" w:sz="4" w:space="0"/>
            </w:tcBorders>
            <w:noWrap w:val="0"/>
            <w:vAlign w:val="center"/>
          </w:tcPr>
          <w:p>
            <w:pPr>
              <w:snapToGrid w:val="0"/>
              <w:ind w:firstLine="117" w:firstLineChars="49"/>
              <w:rPr>
                <w:rFonts w:hint="eastAsia" w:ascii="宋体" w:hAnsi="宋体" w:eastAsia="宋体"/>
                <w:bCs/>
                <w:kern w:val="0"/>
                <w:sz w:val="24"/>
                <w:lang w:val="en-US" w:eastAsia="zh-CN"/>
              </w:rPr>
            </w:pPr>
            <w:r>
              <w:rPr>
                <w:rFonts w:hint="eastAsia" w:ascii="宋体" w:hAnsi="宋体"/>
                <w:bCs/>
                <w:kern w:val="0"/>
                <w:sz w:val="24"/>
                <w:lang w:val="en-US" w:eastAsia="zh-CN"/>
              </w:rPr>
              <w:t>1</w:t>
            </w:r>
          </w:p>
        </w:tc>
        <w:tc>
          <w:tcPr>
            <w:tcW w:w="1276"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bCs/>
                <w:kern w:val="0"/>
                <w:sz w:val="24"/>
                <w:lang w:val="en-US" w:eastAsia="zh-CN"/>
              </w:rPr>
            </w:pPr>
            <w:r>
              <w:rPr>
                <w:rFonts w:hint="eastAsia" w:ascii="宋体" w:hAnsi="宋体" w:cs="宋体"/>
                <w:i w:val="0"/>
                <w:iCs w:val="0"/>
                <w:color w:val="000000"/>
                <w:kern w:val="0"/>
                <w:sz w:val="21"/>
                <w:szCs w:val="21"/>
                <w:lang w:val="en-US" w:eastAsia="zh-CN" w:bidi="ar"/>
              </w:rPr>
              <w:t>1</w:t>
            </w:r>
            <w:r>
              <w:rPr>
                <w:rFonts w:hint="eastAsia" w:ascii="宋体" w:hAnsi="宋体" w:eastAsia="宋体" w:cs="宋体"/>
                <w:i w:val="0"/>
                <w:iCs w:val="0"/>
                <w:color w:val="000000"/>
                <w:kern w:val="0"/>
                <w:sz w:val="21"/>
                <w:szCs w:val="21"/>
                <w:lang w:val="en-US" w:eastAsia="zh-CN" w:bidi="ar"/>
              </w:rPr>
              <w:t>80</w:t>
            </w:r>
            <w:r>
              <w:rPr>
                <w:rFonts w:hint="eastAsia" w:ascii="宋体" w:hAnsi="宋体" w:cs="宋体"/>
                <w:i w:val="0"/>
                <w:iCs w:val="0"/>
                <w:color w:val="000000"/>
                <w:kern w:val="0"/>
                <w:sz w:val="21"/>
                <w:szCs w:val="21"/>
                <w:lang w:val="en-US" w:eastAsia="zh-CN" w:bidi="ar"/>
              </w:rPr>
              <w:t>00</w:t>
            </w:r>
          </w:p>
        </w:tc>
        <w:tc>
          <w:tcPr>
            <w:tcW w:w="127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bCs/>
                <w:sz w:val="24"/>
                <w:lang w:val="en-US" w:eastAsia="zh-CN"/>
              </w:rPr>
            </w:pPr>
            <w:r>
              <w:rPr>
                <w:rFonts w:hint="eastAsia" w:ascii="宋体" w:hAnsi="宋体" w:cs="宋体"/>
                <w:i w:val="0"/>
                <w:iCs w:val="0"/>
                <w:color w:val="000000"/>
                <w:kern w:val="0"/>
                <w:sz w:val="21"/>
                <w:szCs w:val="21"/>
                <w:lang w:val="en-US" w:eastAsia="zh-CN" w:bidi="ar"/>
              </w:rPr>
              <w:t>1</w:t>
            </w:r>
            <w:r>
              <w:rPr>
                <w:rFonts w:hint="eastAsia" w:ascii="宋体" w:hAnsi="宋体" w:eastAsia="宋体" w:cs="宋体"/>
                <w:i w:val="0"/>
                <w:iCs w:val="0"/>
                <w:color w:val="000000"/>
                <w:kern w:val="0"/>
                <w:sz w:val="21"/>
                <w:szCs w:val="21"/>
                <w:lang w:val="en-US" w:eastAsia="zh-CN" w:bidi="ar"/>
              </w:rPr>
              <w:t>80</w:t>
            </w:r>
            <w:r>
              <w:rPr>
                <w:rFonts w:hint="eastAsia" w:ascii="宋体" w:hAnsi="宋体" w:cs="宋体"/>
                <w:i w:val="0"/>
                <w:iCs w:val="0"/>
                <w:color w:val="000000"/>
                <w:kern w:val="0"/>
                <w:sz w:val="21"/>
                <w:szCs w:val="21"/>
                <w:lang w:val="en-US" w:eastAsia="zh-CN" w:bidi="ar"/>
              </w:rPr>
              <w:t>00</w:t>
            </w:r>
          </w:p>
        </w:tc>
      </w:tr>
      <w:tr>
        <w:tblPrEx>
          <w:tblBorders>
            <w:top w:val="single" w:color="auto" w:sz="6" w:space="0"/>
            <w:left w:val="single" w:color="auto" w:sz="6"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cantSplit/>
          <w:trHeight w:val="495" w:hRule="atLeast"/>
          <w:jc w:val="center"/>
        </w:trPr>
        <w:tc>
          <w:tcPr>
            <w:tcW w:w="720" w:type="dxa"/>
            <w:tcBorders>
              <w:top w:val="single" w:color="auto" w:sz="6" w:space="0"/>
              <w:left w:val="single" w:color="auto" w:sz="6" w:space="0"/>
              <w:bottom w:val="single" w:color="auto" w:sz="6" w:space="0"/>
              <w:right w:val="single" w:color="auto" w:sz="4" w:space="0"/>
            </w:tcBorders>
            <w:noWrap w:val="0"/>
            <w:vAlign w:val="center"/>
          </w:tcPr>
          <w:p>
            <w:pPr>
              <w:snapToGrid w:val="0"/>
              <w:rPr>
                <w:rFonts w:hint="eastAsia" w:ascii="宋体" w:hAnsi="宋体"/>
                <w:bCs/>
                <w:kern w:val="0"/>
                <w:sz w:val="24"/>
              </w:rPr>
            </w:pPr>
            <w:r>
              <w:rPr>
                <w:rFonts w:hint="eastAsia" w:ascii="宋体" w:hAnsi="宋体"/>
                <w:bCs/>
                <w:kern w:val="0"/>
                <w:sz w:val="24"/>
                <w:lang w:val="en-US" w:eastAsia="zh-CN"/>
              </w:rPr>
              <w:t>6</w:t>
            </w:r>
          </w:p>
        </w:tc>
        <w:tc>
          <w:tcPr>
            <w:tcW w:w="179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Style w:val="18"/>
                <w:rFonts w:hint="eastAsia" w:ascii="宋体" w:hAnsi="宋体" w:eastAsia="宋体" w:cs="宋体"/>
                <w:color w:val="000000"/>
                <w:kern w:val="2"/>
                <w:sz w:val="21"/>
                <w:szCs w:val="21"/>
                <w:lang w:val="en-US" w:eastAsia="zh-CN" w:bidi="ar"/>
              </w:rPr>
              <w:t>高性能</w:t>
            </w:r>
            <w:r>
              <w:rPr>
                <w:rStyle w:val="18"/>
                <w:rFonts w:hint="eastAsia" w:ascii="宋体" w:hAnsi="宋体" w:cs="宋体"/>
                <w:color w:val="000000"/>
                <w:kern w:val="2"/>
                <w:sz w:val="21"/>
                <w:szCs w:val="21"/>
                <w:lang w:val="en-US" w:eastAsia="zh-CN" w:bidi="ar"/>
              </w:rPr>
              <w:t>补能</w:t>
            </w:r>
            <w:r>
              <w:rPr>
                <w:rStyle w:val="18"/>
                <w:rFonts w:hint="eastAsia" w:ascii="宋体" w:hAnsi="宋体" w:eastAsia="宋体" w:cs="宋体"/>
                <w:color w:val="000000"/>
                <w:kern w:val="2"/>
                <w:sz w:val="21"/>
                <w:szCs w:val="21"/>
                <w:lang w:val="en-US" w:eastAsia="zh-CN" w:bidi="ar"/>
              </w:rPr>
              <w:t>器</w:t>
            </w:r>
          </w:p>
        </w:tc>
        <w:tc>
          <w:tcPr>
            <w:tcW w:w="3398"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left"/>
              <w:textAlignment w:val="center"/>
              <w:rPr>
                <w:rStyle w:val="18"/>
                <w:rFonts w:hint="eastAsia" w:ascii="宋体" w:hAnsi="宋体" w:cs="宋体"/>
                <w:color w:val="000000"/>
                <w:kern w:val="2"/>
                <w:sz w:val="21"/>
                <w:szCs w:val="21"/>
                <w:lang w:val="en-US" w:eastAsia="zh-CN" w:bidi="ar"/>
              </w:rPr>
            </w:pPr>
            <w:r>
              <w:rPr>
                <w:rStyle w:val="18"/>
                <w:rFonts w:hint="eastAsia" w:ascii="宋体" w:hAnsi="宋体" w:eastAsia="宋体" w:cs="宋体"/>
                <w:color w:val="000000"/>
                <w:kern w:val="2"/>
                <w:sz w:val="21"/>
                <w:szCs w:val="21"/>
                <w:lang w:val="en-US" w:eastAsia="zh-CN" w:bidi="ar"/>
              </w:rPr>
              <w:t>定制开发</w:t>
            </w:r>
            <w:r>
              <w:rPr>
                <w:rStyle w:val="18"/>
                <w:rFonts w:hint="eastAsia" w:ascii="宋体" w:hAnsi="宋体" w:cs="宋体"/>
                <w:color w:val="000000"/>
                <w:kern w:val="2"/>
                <w:sz w:val="21"/>
                <w:szCs w:val="21"/>
                <w:lang w:val="en-US" w:eastAsia="zh-CN" w:bidi="ar"/>
              </w:rPr>
              <w:t>.</w:t>
            </w:r>
          </w:p>
          <w:p>
            <w:pPr>
              <w:pStyle w:val="13"/>
              <w:ind w:left="0" w:leftChars="0" w:firstLine="0" w:firstLineChars="0"/>
              <w:jc w:val="left"/>
              <w:rPr>
                <w:rFonts w:ascii="宋体" w:hAnsi="宋体"/>
                <w:bCs/>
                <w:sz w:val="24"/>
              </w:rPr>
            </w:pPr>
            <w:r>
              <w:rPr>
                <w:rStyle w:val="18"/>
                <w:rFonts w:hint="eastAsia"/>
                <w:b w:val="0"/>
                <w:bCs w:val="0"/>
                <w:kern w:val="2"/>
                <w:lang w:val="en-US" w:eastAsia="zh-CN" w:bidi="ar"/>
              </w:rPr>
              <w:t>能源容器补给2h。补给功率200W。</w:t>
            </w:r>
            <w:r>
              <w:rPr>
                <w:rStyle w:val="18"/>
                <w:rFonts w:hint="eastAsia"/>
                <w:b w:val="0"/>
                <w:bCs w:val="0"/>
                <w:kern w:val="2"/>
                <w:lang w:val="en-US" w:eastAsia="zh-CN" w:bidi="ar"/>
              </w:rPr>
              <w:cr/>
            </w:r>
            <w:r>
              <w:rPr>
                <w:rStyle w:val="18"/>
                <w:rFonts w:hint="eastAsia"/>
                <w:b w:val="0"/>
                <w:bCs w:val="0"/>
                <w:kern w:val="2"/>
                <w:lang w:val="en-US" w:eastAsia="zh-CN" w:bidi="ar"/>
              </w:rPr>
              <w:t>支持不同类型、容量、功率</w:t>
            </w:r>
          </w:p>
        </w:tc>
        <w:tc>
          <w:tcPr>
            <w:tcW w:w="992" w:type="dxa"/>
            <w:tcBorders>
              <w:top w:val="single" w:color="auto" w:sz="6" w:space="0"/>
              <w:left w:val="nil"/>
              <w:bottom w:val="single" w:color="auto" w:sz="6" w:space="0"/>
              <w:right w:val="single" w:color="auto" w:sz="4" w:space="0"/>
            </w:tcBorders>
            <w:noWrap w:val="0"/>
            <w:vAlign w:val="center"/>
          </w:tcPr>
          <w:p>
            <w:pPr>
              <w:snapToGrid w:val="0"/>
              <w:ind w:firstLine="117" w:firstLineChars="49"/>
              <w:rPr>
                <w:rFonts w:hint="eastAsia" w:ascii="宋体" w:hAnsi="宋体" w:eastAsia="宋体"/>
                <w:bCs/>
                <w:kern w:val="0"/>
                <w:sz w:val="24"/>
                <w:lang w:val="en-US" w:eastAsia="zh-CN"/>
              </w:rPr>
            </w:pPr>
            <w:r>
              <w:rPr>
                <w:rFonts w:hint="eastAsia" w:ascii="宋体" w:hAnsi="宋体"/>
                <w:bCs/>
                <w:kern w:val="0"/>
                <w:sz w:val="24"/>
                <w:lang w:val="en-US" w:eastAsia="zh-CN"/>
              </w:rPr>
              <w:t>1</w:t>
            </w:r>
          </w:p>
        </w:tc>
        <w:tc>
          <w:tcPr>
            <w:tcW w:w="1276"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bCs/>
                <w:kern w:val="0"/>
                <w:sz w:val="24"/>
                <w:lang w:val="en-US" w:eastAsia="zh-CN"/>
              </w:rPr>
            </w:pPr>
            <w:r>
              <w:rPr>
                <w:rFonts w:hint="eastAsia" w:cs="Times New Roman"/>
                <w:i w:val="0"/>
                <w:iCs w:val="0"/>
                <w:color w:val="000000"/>
                <w:kern w:val="0"/>
                <w:sz w:val="20"/>
                <w:szCs w:val="20"/>
                <w:lang w:val="en-US" w:eastAsia="zh-CN" w:bidi="ar"/>
              </w:rPr>
              <w:t>20</w:t>
            </w:r>
            <w:r>
              <w:rPr>
                <w:rFonts w:hint="default" w:ascii="Times New Roman" w:hAnsi="Times New Roman" w:eastAsia="宋体" w:cs="Times New Roman"/>
                <w:i w:val="0"/>
                <w:iCs w:val="0"/>
                <w:color w:val="000000"/>
                <w:kern w:val="0"/>
                <w:sz w:val="20"/>
                <w:szCs w:val="20"/>
                <w:lang w:val="en-US" w:eastAsia="zh-CN" w:bidi="ar"/>
              </w:rPr>
              <w:t>0</w:t>
            </w:r>
            <w:r>
              <w:rPr>
                <w:rFonts w:hint="eastAsia" w:cs="Times New Roman"/>
                <w:i w:val="0"/>
                <w:iCs w:val="0"/>
                <w:color w:val="000000"/>
                <w:kern w:val="0"/>
                <w:sz w:val="20"/>
                <w:szCs w:val="20"/>
                <w:lang w:val="en-US" w:eastAsia="zh-CN" w:bidi="ar"/>
              </w:rPr>
              <w:t>00</w:t>
            </w:r>
          </w:p>
        </w:tc>
        <w:tc>
          <w:tcPr>
            <w:tcW w:w="127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Fonts w:hint="eastAsia" w:cs="Times New Roman"/>
                <w:i w:val="0"/>
                <w:iCs w:val="0"/>
                <w:color w:val="000000"/>
                <w:kern w:val="0"/>
                <w:sz w:val="20"/>
                <w:szCs w:val="20"/>
                <w:lang w:val="en-US" w:eastAsia="zh-CN" w:bidi="ar"/>
              </w:rPr>
              <w:t>20</w:t>
            </w:r>
            <w:r>
              <w:rPr>
                <w:rFonts w:hint="default" w:ascii="Times New Roman" w:hAnsi="Times New Roman" w:eastAsia="宋体" w:cs="Times New Roman"/>
                <w:i w:val="0"/>
                <w:iCs w:val="0"/>
                <w:color w:val="000000"/>
                <w:kern w:val="0"/>
                <w:sz w:val="20"/>
                <w:szCs w:val="20"/>
                <w:lang w:val="en-US" w:eastAsia="zh-CN" w:bidi="ar"/>
              </w:rPr>
              <w:t>0</w:t>
            </w:r>
            <w:r>
              <w:rPr>
                <w:rFonts w:hint="eastAsia" w:cs="Times New Roman"/>
                <w:i w:val="0"/>
                <w:iCs w:val="0"/>
                <w:color w:val="000000"/>
                <w:kern w:val="0"/>
                <w:sz w:val="20"/>
                <w:szCs w:val="20"/>
                <w:lang w:val="en-US" w:eastAsia="zh-CN" w:bidi="ar"/>
              </w:rPr>
              <w:t>00</w:t>
            </w:r>
          </w:p>
        </w:tc>
      </w:tr>
      <w:tr>
        <w:tblPrEx>
          <w:tblBorders>
            <w:top w:val="single" w:color="auto" w:sz="6" w:space="0"/>
            <w:left w:val="single" w:color="auto" w:sz="6"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cantSplit/>
          <w:trHeight w:val="495" w:hRule="atLeast"/>
          <w:jc w:val="center"/>
        </w:trPr>
        <w:tc>
          <w:tcPr>
            <w:tcW w:w="720" w:type="dxa"/>
            <w:tcBorders>
              <w:top w:val="single" w:color="auto" w:sz="6" w:space="0"/>
              <w:left w:val="single" w:color="auto" w:sz="6" w:space="0"/>
              <w:bottom w:val="single" w:color="auto" w:sz="6" w:space="0"/>
              <w:right w:val="single" w:color="auto" w:sz="4" w:space="0"/>
            </w:tcBorders>
            <w:noWrap w:val="0"/>
            <w:vAlign w:val="center"/>
          </w:tcPr>
          <w:p>
            <w:pPr>
              <w:snapToGrid w:val="0"/>
              <w:rPr>
                <w:rFonts w:hint="eastAsia" w:ascii="宋体" w:hAnsi="宋体"/>
                <w:bCs/>
                <w:kern w:val="0"/>
                <w:sz w:val="24"/>
              </w:rPr>
            </w:pPr>
            <w:r>
              <w:rPr>
                <w:rFonts w:hint="eastAsia" w:ascii="宋体" w:hAnsi="宋体"/>
                <w:bCs/>
                <w:kern w:val="0"/>
                <w:sz w:val="24"/>
                <w:lang w:val="en-US" w:eastAsia="zh-CN"/>
              </w:rPr>
              <w:t>7</w:t>
            </w:r>
          </w:p>
        </w:tc>
        <w:tc>
          <w:tcPr>
            <w:tcW w:w="179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Fonts w:hint="eastAsia" w:ascii="宋体" w:hAnsi="宋体" w:eastAsia="宋体" w:cs="宋体"/>
                <w:b w:val="0"/>
                <w:bCs w:val="0"/>
                <w:i w:val="0"/>
                <w:iCs w:val="0"/>
                <w:color w:val="000000"/>
                <w:kern w:val="0"/>
                <w:sz w:val="21"/>
                <w:szCs w:val="21"/>
                <w:lang w:val="en-US" w:eastAsia="zh-CN" w:bidi="ar"/>
              </w:rPr>
              <w:t>配件打印与制造</w:t>
            </w:r>
          </w:p>
        </w:tc>
        <w:tc>
          <w:tcPr>
            <w:tcW w:w="3398"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left"/>
              <w:textAlignment w:val="center"/>
              <w:rPr>
                <w:rStyle w:val="18"/>
                <w:rFonts w:hint="eastAsia" w:ascii="宋体" w:hAnsi="宋体" w:cs="宋体"/>
                <w:b w:val="0"/>
                <w:bCs w:val="0"/>
                <w:color w:val="000000"/>
                <w:kern w:val="2"/>
                <w:sz w:val="21"/>
                <w:szCs w:val="21"/>
                <w:lang w:val="en-US" w:eastAsia="zh-CN" w:bidi="ar"/>
              </w:rPr>
            </w:pPr>
            <w:r>
              <w:rPr>
                <w:rStyle w:val="18"/>
                <w:rFonts w:hint="eastAsia" w:ascii="宋体" w:hAnsi="宋体" w:eastAsia="宋体" w:cs="宋体"/>
                <w:b w:val="0"/>
                <w:bCs w:val="0"/>
                <w:color w:val="000000"/>
                <w:kern w:val="2"/>
                <w:sz w:val="21"/>
                <w:szCs w:val="21"/>
                <w:lang w:val="en-US" w:eastAsia="zh-CN" w:bidi="ar"/>
              </w:rPr>
              <w:t>定制开发</w:t>
            </w:r>
            <w:r>
              <w:rPr>
                <w:rStyle w:val="18"/>
                <w:rFonts w:hint="eastAsia" w:ascii="宋体" w:hAnsi="宋体" w:cs="宋体"/>
                <w:b w:val="0"/>
                <w:bCs w:val="0"/>
                <w:color w:val="000000"/>
                <w:kern w:val="2"/>
                <w:sz w:val="21"/>
                <w:szCs w:val="21"/>
                <w:lang w:val="en-US" w:eastAsia="zh-CN" w:bidi="ar"/>
              </w:rPr>
              <w:t>。</w:t>
            </w:r>
          </w:p>
          <w:p>
            <w:pPr>
              <w:pStyle w:val="13"/>
              <w:ind w:left="0" w:leftChars="0" w:firstLine="0" w:firstLineChars="0"/>
              <w:jc w:val="left"/>
              <w:rPr>
                <w:rFonts w:ascii="宋体" w:hAnsi="宋体"/>
                <w:bCs/>
                <w:sz w:val="24"/>
              </w:rPr>
            </w:pPr>
            <w:r>
              <w:rPr>
                <w:rStyle w:val="18"/>
                <w:rFonts w:hint="eastAsia" w:ascii="宋体" w:hAnsi="宋体" w:cs="宋体"/>
                <w:b w:val="0"/>
                <w:bCs w:val="0"/>
                <w:color w:val="000000"/>
                <w:kern w:val="2"/>
                <w:sz w:val="21"/>
                <w:szCs w:val="21"/>
                <w:lang w:val="en-US" w:eastAsia="zh-CN" w:bidi="ar"/>
              </w:rPr>
              <w:t>设计并制造部分结构件辅助完成驱动喷射等。</w:t>
            </w:r>
          </w:p>
        </w:tc>
        <w:tc>
          <w:tcPr>
            <w:tcW w:w="992" w:type="dxa"/>
            <w:tcBorders>
              <w:top w:val="single" w:color="auto" w:sz="6" w:space="0"/>
              <w:left w:val="nil"/>
              <w:bottom w:val="single" w:color="auto" w:sz="6" w:space="0"/>
              <w:right w:val="single" w:color="auto" w:sz="4" w:space="0"/>
            </w:tcBorders>
            <w:noWrap w:val="0"/>
            <w:vAlign w:val="center"/>
          </w:tcPr>
          <w:p>
            <w:pPr>
              <w:snapToGrid w:val="0"/>
              <w:ind w:firstLine="117" w:firstLineChars="49"/>
              <w:rPr>
                <w:rFonts w:ascii="宋体" w:hAnsi="宋体"/>
                <w:bCs/>
                <w:kern w:val="0"/>
                <w:sz w:val="24"/>
              </w:rPr>
            </w:pPr>
            <w:r>
              <w:rPr>
                <w:rFonts w:hint="eastAsia" w:ascii="宋体" w:hAnsi="宋体"/>
                <w:bCs/>
                <w:kern w:val="0"/>
                <w:sz w:val="24"/>
                <w:lang w:val="en-US" w:eastAsia="zh-CN"/>
              </w:rPr>
              <w:t>1</w:t>
            </w:r>
          </w:p>
        </w:tc>
        <w:tc>
          <w:tcPr>
            <w:tcW w:w="1276"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kern w:val="0"/>
                <w:sz w:val="24"/>
              </w:rPr>
            </w:pPr>
            <w:r>
              <w:rPr>
                <w:rFonts w:hint="default" w:ascii="Times New Roman" w:hAnsi="Times New Roman" w:eastAsia="宋体" w:cs="Times New Roman"/>
                <w:i w:val="0"/>
                <w:iCs w:val="0"/>
                <w:color w:val="000000"/>
                <w:kern w:val="0"/>
                <w:sz w:val="20"/>
                <w:szCs w:val="20"/>
                <w:lang w:val="en-US" w:eastAsia="zh-CN" w:bidi="ar"/>
              </w:rPr>
              <w:t>2</w:t>
            </w:r>
            <w:r>
              <w:rPr>
                <w:rFonts w:hint="eastAsia" w:cs="Times New Roman"/>
                <w:i w:val="0"/>
                <w:iCs w:val="0"/>
                <w:color w:val="000000"/>
                <w:kern w:val="0"/>
                <w:sz w:val="20"/>
                <w:szCs w:val="20"/>
                <w:lang w:val="en-US" w:eastAsia="zh-CN" w:bidi="ar"/>
              </w:rPr>
              <w:t>2</w:t>
            </w:r>
            <w:r>
              <w:rPr>
                <w:rFonts w:hint="default" w:ascii="Times New Roman" w:hAnsi="Times New Roman" w:eastAsia="宋体" w:cs="Times New Roman"/>
                <w:i w:val="0"/>
                <w:iCs w:val="0"/>
                <w:color w:val="000000"/>
                <w:kern w:val="0"/>
                <w:sz w:val="20"/>
                <w:szCs w:val="20"/>
                <w:lang w:val="en-US" w:eastAsia="zh-CN" w:bidi="ar"/>
              </w:rPr>
              <w:t>0</w:t>
            </w:r>
            <w:r>
              <w:rPr>
                <w:rFonts w:hint="eastAsia" w:cs="Times New Roman"/>
                <w:i w:val="0"/>
                <w:iCs w:val="0"/>
                <w:color w:val="000000"/>
                <w:kern w:val="0"/>
                <w:sz w:val="20"/>
                <w:szCs w:val="20"/>
                <w:lang w:val="en-US" w:eastAsia="zh-CN" w:bidi="ar"/>
              </w:rPr>
              <w:t>00</w:t>
            </w:r>
          </w:p>
        </w:tc>
        <w:tc>
          <w:tcPr>
            <w:tcW w:w="127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Fonts w:hint="default" w:ascii="Times New Roman" w:hAnsi="Times New Roman" w:eastAsia="宋体" w:cs="Times New Roman"/>
                <w:i w:val="0"/>
                <w:iCs w:val="0"/>
                <w:color w:val="000000"/>
                <w:kern w:val="0"/>
                <w:sz w:val="20"/>
                <w:szCs w:val="20"/>
                <w:lang w:val="en-US" w:eastAsia="zh-CN" w:bidi="ar"/>
              </w:rPr>
              <w:t>2</w:t>
            </w:r>
            <w:r>
              <w:rPr>
                <w:rFonts w:hint="eastAsia" w:cs="Times New Roman"/>
                <w:i w:val="0"/>
                <w:iCs w:val="0"/>
                <w:color w:val="000000"/>
                <w:kern w:val="0"/>
                <w:sz w:val="20"/>
                <w:szCs w:val="20"/>
                <w:lang w:val="en-US" w:eastAsia="zh-CN" w:bidi="ar"/>
              </w:rPr>
              <w:t>2</w:t>
            </w:r>
            <w:r>
              <w:rPr>
                <w:rFonts w:hint="default" w:ascii="Times New Roman" w:hAnsi="Times New Roman" w:eastAsia="宋体" w:cs="Times New Roman"/>
                <w:i w:val="0"/>
                <w:iCs w:val="0"/>
                <w:color w:val="000000"/>
                <w:kern w:val="0"/>
                <w:sz w:val="20"/>
                <w:szCs w:val="20"/>
                <w:lang w:val="en-US" w:eastAsia="zh-CN" w:bidi="ar"/>
              </w:rPr>
              <w:t>0</w:t>
            </w:r>
            <w:r>
              <w:rPr>
                <w:rFonts w:hint="eastAsia" w:cs="Times New Roman"/>
                <w:i w:val="0"/>
                <w:iCs w:val="0"/>
                <w:color w:val="000000"/>
                <w:kern w:val="0"/>
                <w:sz w:val="20"/>
                <w:szCs w:val="20"/>
                <w:lang w:val="en-US" w:eastAsia="zh-CN" w:bidi="ar"/>
              </w:rPr>
              <w:t>00</w:t>
            </w:r>
          </w:p>
        </w:tc>
      </w:tr>
      <w:tr>
        <w:tblPrEx>
          <w:tblBorders>
            <w:top w:val="single" w:color="auto" w:sz="6" w:space="0"/>
            <w:left w:val="single" w:color="auto" w:sz="6"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cantSplit/>
          <w:trHeight w:val="495" w:hRule="atLeast"/>
          <w:jc w:val="center"/>
        </w:trPr>
        <w:tc>
          <w:tcPr>
            <w:tcW w:w="720" w:type="dxa"/>
            <w:tcBorders>
              <w:top w:val="single" w:color="auto" w:sz="6" w:space="0"/>
              <w:left w:val="single" w:color="auto" w:sz="6" w:space="0"/>
              <w:bottom w:val="single" w:color="auto" w:sz="6" w:space="0"/>
              <w:right w:val="single" w:color="auto" w:sz="4" w:space="0"/>
            </w:tcBorders>
            <w:noWrap w:val="0"/>
            <w:vAlign w:val="center"/>
          </w:tcPr>
          <w:p>
            <w:pPr>
              <w:snapToGrid w:val="0"/>
              <w:rPr>
                <w:rFonts w:hint="eastAsia" w:ascii="宋体" w:hAnsi="宋体"/>
                <w:bCs/>
                <w:kern w:val="0"/>
                <w:sz w:val="24"/>
              </w:rPr>
            </w:pPr>
            <w:r>
              <w:rPr>
                <w:rFonts w:hint="eastAsia" w:ascii="宋体" w:hAnsi="宋体"/>
                <w:bCs/>
                <w:kern w:val="0"/>
                <w:sz w:val="24"/>
                <w:lang w:val="en-US" w:eastAsia="zh-CN"/>
              </w:rPr>
              <w:t>8</w:t>
            </w:r>
          </w:p>
        </w:tc>
        <w:tc>
          <w:tcPr>
            <w:tcW w:w="179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Fonts w:hint="eastAsia" w:ascii="宋体" w:hAnsi="宋体" w:eastAsia="宋体" w:cs="宋体"/>
                <w:i w:val="0"/>
                <w:iCs w:val="0"/>
                <w:color w:val="000000"/>
                <w:kern w:val="0"/>
                <w:sz w:val="21"/>
                <w:szCs w:val="21"/>
                <w:lang w:val="en-US" w:eastAsia="zh-CN" w:bidi="ar"/>
              </w:rPr>
              <w:t>清洁策略决策</w:t>
            </w:r>
          </w:p>
        </w:tc>
        <w:tc>
          <w:tcPr>
            <w:tcW w:w="3398"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left"/>
              <w:textAlignment w:val="center"/>
              <w:rPr>
                <w:rStyle w:val="18"/>
                <w:rFonts w:hint="eastAsia" w:ascii="宋体" w:hAnsi="宋体" w:eastAsia="宋体" w:cs="宋体"/>
                <w:color w:val="000000"/>
                <w:kern w:val="2"/>
                <w:sz w:val="21"/>
                <w:szCs w:val="21"/>
                <w:lang w:val="en-US" w:eastAsia="zh-CN" w:bidi="ar"/>
              </w:rPr>
            </w:pPr>
            <w:r>
              <w:rPr>
                <w:rStyle w:val="18"/>
                <w:rFonts w:hint="eastAsia" w:ascii="宋体" w:hAnsi="宋体" w:eastAsia="宋体" w:cs="宋体"/>
                <w:color w:val="000000"/>
                <w:kern w:val="2"/>
                <w:sz w:val="21"/>
                <w:szCs w:val="21"/>
                <w:lang w:val="en-US" w:eastAsia="zh-CN" w:bidi="ar"/>
              </w:rPr>
              <w:t>定制开发</w:t>
            </w:r>
            <w:r>
              <w:rPr>
                <w:rStyle w:val="18"/>
                <w:rFonts w:hint="eastAsia" w:ascii="宋体" w:hAnsi="宋体" w:cs="宋体"/>
                <w:color w:val="000000"/>
                <w:kern w:val="2"/>
                <w:sz w:val="21"/>
                <w:szCs w:val="21"/>
                <w:lang w:val="en-US" w:eastAsia="zh-CN" w:bidi="ar"/>
              </w:rPr>
              <w:t>。</w:t>
            </w:r>
          </w:p>
          <w:p>
            <w:pPr>
              <w:keepNext w:val="0"/>
              <w:keepLines w:val="0"/>
              <w:widowControl/>
              <w:suppressLineNumbers w:val="0"/>
              <w:spacing w:before="0" w:beforeAutospacing="0" w:after="0" w:afterAutospacing="0"/>
              <w:ind w:left="0" w:leftChars="0" w:right="0" w:rightChars="0"/>
              <w:jc w:val="left"/>
              <w:textAlignment w:val="center"/>
              <w:rPr>
                <w:rFonts w:ascii="宋体" w:hAnsi="宋体"/>
                <w:bCs/>
                <w:sz w:val="24"/>
              </w:rPr>
            </w:pPr>
            <w:r>
              <w:rPr>
                <w:rStyle w:val="18"/>
                <w:rFonts w:hint="eastAsia" w:ascii="宋体" w:hAnsi="宋体" w:cs="宋体"/>
                <w:color w:val="000000"/>
                <w:kern w:val="2"/>
                <w:sz w:val="21"/>
                <w:szCs w:val="21"/>
                <w:lang w:val="en-US" w:eastAsia="zh-CN" w:bidi="ar"/>
              </w:rPr>
              <w:t>环境清洁分析及飞行轨迹规划。</w:t>
            </w:r>
          </w:p>
        </w:tc>
        <w:tc>
          <w:tcPr>
            <w:tcW w:w="992" w:type="dxa"/>
            <w:tcBorders>
              <w:top w:val="single" w:color="auto" w:sz="6" w:space="0"/>
              <w:left w:val="nil"/>
              <w:bottom w:val="single" w:color="auto" w:sz="6" w:space="0"/>
              <w:right w:val="single" w:color="auto" w:sz="4" w:space="0"/>
            </w:tcBorders>
            <w:noWrap w:val="0"/>
            <w:vAlign w:val="center"/>
          </w:tcPr>
          <w:p>
            <w:pPr>
              <w:snapToGrid w:val="0"/>
              <w:ind w:firstLine="117" w:firstLineChars="49"/>
              <w:rPr>
                <w:rFonts w:ascii="宋体" w:hAnsi="宋体"/>
                <w:bCs/>
                <w:kern w:val="0"/>
                <w:sz w:val="24"/>
              </w:rPr>
            </w:pPr>
            <w:r>
              <w:rPr>
                <w:rFonts w:hint="eastAsia" w:ascii="宋体" w:hAnsi="宋体"/>
                <w:bCs/>
                <w:kern w:val="0"/>
                <w:sz w:val="24"/>
                <w:lang w:val="en-US" w:eastAsia="zh-CN"/>
              </w:rPr>
              <w:t>1</w:t>
            </w:r>
          </w:p>
        </w:tc>
        <w:tc>
          <w:tcPr>
            <w:tcW w:w="1276"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kern w:val="0"/>
                <w:sz w:val="24"/>
              </w:rPr>
            </w:pPr>
            <w:r>
              <w:rPr>
                <w:rFonts w:hint="eastAsia" w:ascii="宋体" w:hAnsi="宋体" w:eastAsia="宋体" w:cs="宋体"/>
                <w:i w:val="0"/>
                <w:iCs w:val="0"/>
                <w:color w:val="000000"/>
                <w:kern w:val="0"/>
                <w:sz w:val="21"/>
                <w:szCs w:val="21"/>
                <w:lang w:val="en-US" w:eastAsia="zh-CN" w:bidi="ar"/>
              </w:rPr>
              <w:t>1</w:t>
            </w:r>
            <w:r>
              <w:rPr>
                <w:rFonts w:hint="eastAsia" w:ascii="宋体" w:hAnsi="宋体" w:cs="宋体"/>
                <w:i w:val="0"/>
                <w:iCs w:val="0"/>
                <w:color w:val="000000"/>
                <w:kern w:val="0"/>
                <w:sz w:val="21"/>
                <w:szCs w:val="21"/>
                <w:lang w:val="en-US" w:eastAsia="zh-CN" w:bidi="ar"/>
              </w:rPr>
              <w:t>9</w:t>
            </w:r>
            <w:r>
              <w:rPr>
                <w:rFonts w:hint="eastAsia" w:ascii="宋体" w:hAnsi="宋体" w:eastAsia="宋体" w:cs="宋体"/>
                <w:i w:val="0"/>
                <w:iCs w:val="0"/>
                <w:color w:val="000000"/>
                <w:kern w:val="0"/>
                <w:sz w:val="21"/>
                <w:szCs w:val="21"/>
                <w:lang w:val="en-US" w:eastAsia="zh-CN" w:bidi="ar"/>
              </w:rPr>
              <w:t>00</w:t>
            </w:r>
            <w:r>
              <w:rPr>
                <w:rFonts w:hint="eastAsia" w:ascii="宋体" w:hAnsi="宋体" w:cs="宋体"/>
                <w:i w:val="0"/>
                <w:iCs w:val="0"/>
                <w:color w:val="000000"/>
                <w:kern w:val="0"/>
                <w:sz w:val="21"/>
                <w:szCs w:val="21"/>
                <w:lang w:val="en-US" w:eastAsia="zh-CN" w:bidi="ar"/>
              </w:rPr>
              <w:t>00</w:t>
            </w:r>
          </w:p>
        </w:tc>
        <w:tc>
          <w:tcPr>
            <w:tcW w:w="127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Fonts w:hint="eastAsia" w:ascii="宋体" w:hAnsi="宋体" w:eastAsia="宋体" w:cs="宋体"/>
                <w:i w:val="0"/>
                <w:iCs w:val="0"/>
                <w:color w:val="000000"/>
                <w:kern w:val="0"/>
                <w:sz w:val="21"/>
                <w:szCs w:val="21"/>
                <w:lang w:val="en-US" w:eastAsia="zh-CN" w:bidi="ar"/>
              </w:rPr>
              <w:t>1</w:t>
            </w:r>
            <w:r>
              <w:rPr>
                <w:rFonts w:hint="eastAsia" w:ascii="宋体" w:hAnsi="宋体" w:cs="宋体"/>
                <w:i w:val="0"/>
                <w:iCs w:val="0"/>
                <w:color w:val="000000"/>
                <w:kern w:val="0"/>
                <w:sz w:val="21"/>
                <w:szCs w:val="21"/>
                <w:lang w:val="en-US" w:eastAsia="zh-CN" w:bidi="ar"/>
              </w:rPr>
              <w:t>9</w:t>
            </w:r>
            <w:r>
              <w:rPr>
                <w:rFonts w:hint="eastAsia" w:ascii="宋体" w:hAnsi="宋体" w:eastAsia="宋体" w:cs="宋体"/>
                <w:i w:val="0"/>
                <w:iCs w:val="0"/>
                <w:color w:val="000000"/>
                <w:kern w:val="0"/>
                <w:sz w:val="21"/>
                <w:szCs w:val="21"/>
                <w:lang w:val="en-US" w:eastAsia="zh-CN" w:bidi="ar"/>
              </w:rPr>
              <w:t>00</w:t>
            </w:r>
            <w:r>
              <w:rPr>
                <w:rFonts w:hint="eastAsia" w:ascii="宋体" w:hAnsi="宋体" w:cs="宋体"/>
                <w:i w:val="0"/>
                <w:iCs w:val="0"/>
                <w:color w:val="000000"/>
                <w:kern w:val="0"/>
                <w:sz w:val="21"/>
                <w:szCs w:val="21"/>
                <w:lang w:val="en-US" w:eastAsia="zh-CN" w:bidi="ar"/>
              </w:rPr>
              <w:t>00</w:t>
            </w:r>
          </w:p>
        </w:tc>
      </w:tr>
      <w:tr>
        <w:tblPrEx>
          <w:tblBorders>
            <w:top w:val="single" w:color="auto" w:sz="6" w:space="0"/>
            <w:left w:val="single" w:color="auto" w:sz="6"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cantSplit/>
          <w:trHeight w:val="495" w:hRule="atLeast"/>
          <w:jc w:val="center"/>
        </w:trPr>
        <w:tc>
          <w:tcPr>
            <w:tcW w:w="720" w:type="dxa"/>
            <w:tcBorders>
              <w:top w:val="single" w:color="auto" w:sz="6" w:space="0"/>
              <w:left w:val="single" w:color="auto" w:sz="6" w:space="0"/>
              <w:bottom w:val="single" w:color="auto" w:sz="6" w:space="0"/>
              <w:right w:val="single" w:color="auto" w:sz="4" w:space="0"/>
            </w:tcBorders>
            <w:noWrap w:val="0"/>
            <w:vAlign w:val="center"/>
          </w:tcPr>
          <w:p>
            <w:pPr>
              <w:snapToGrid w:val="0"/>
              <w:rPr>
                <w:rFonts w:hint="eastAsia" w:ascii="宋体" w:hAnsi="宋体"/>
                <w:bCs/>
                <w:kern w:val="0"/>
                <w:sz w:val="24"/>
              </w:rPr>
            </w:pPr>
            <w:r>
              <w:rPr>
                <w:rFonts w:hint="eastAsia" w:ascii="宋体" w:hAnsi="宋体"/>
                <w:bCs/>
                <w:kern w:val="0"/>
                <w:sz w:val="24"/>
                <w:lang w:val="en-US" w:eastAsia="zh-CN"/>
              </w:rPr>
              <w:t>9</w:t>
            </w:r>
          </w:p>
        </w:tc>
        <w:tc>
          <w:tcPr>
            <w:tcW w:w="179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Fonts w:hint="eastAsia" w:ascii="宋体" w:hAnsi="宋体" w:eastAsia="宋体" w:cs="宋体"/>
                <w:i w:val="0"/>
                <w:iCs w:val="0"/>
                <w:color w:val="000000"/>
                <w:kern w:val="0"/>
                <w:sz w:val="21"/>
                <w:szCs w:val="21"/>
                <w:lang w:val="en-US" w:eastAsia="zh-CN" w:bidi="ar"/>
              </w:rPr>
              <w:t>光伏组件污损附着分析模块</w:t>
            </w:r>
          </w:p>
        </w:tc>
        <w:tc>
          <w:tcPr>
            <w:tcW w:w="3398"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left"/>
              <w:textAlignment w:val="center"/>
              <w:rPr>
                <w:rStyle w:val="18"/>
                <w:rFonts w:hint="eastAsia" w:ascii="宋体" w:hAnsi="宋体" w:eastAsia="宋体" w:cs="宋体"/>
                <w:color w:val="000000"/>
                <w:kern w:val="2"/>
                <w:sz w:val="21"/>
                <w:szCs w:val="21"/>
                <w:lang w:val="en-US" w:eastAsia="zh-CN" w:bidi="ar"/>
              </w:rPr>
            </w:pPr>
            <w:r>
              <w:rPr>
                <w:rStyle w:val="18"/>
                <w:rFonts w:hint="eastAsia" w:ascii="宋体" w:hAnsi="宋体" w:eastAsia="宋体" w:cs="宋体"/>
                <w:color w:val="000000"/>
                <w:kern w:val="2"/>
                <w:sz w:val="21"/>
                <w:szCs w:val="21"/>
                <w:lang w:val="en-US" w:eastAsia="zh-CN" w:bidi="ar"/>
              </w:rPr>
              <w:t>定制开发。</w:t>
            </w:r>
          </w:p>
          <w:p>
            <w:pPr>
              <w:pStyle w:val="13"/>
              <w:spacing w:after="0"/>
              <w:ind w:left="0" w:leftChars="0" w:firstLine="0" w:firstLineChars="0"/>
              <w:jc w:val="left"/>
              <w:rPr>
                <w:rFonts w:ascii="宋体" w:hAnsi="宋体"/>
                <w:bCs/>
                <w:sz w:val="24"/>
              </w:rPr>
            </w:pPr>
            <w:r>
              <w:rPr>
                <w:rStyle w:val="18"/>
                <w:rFonts w:hint="eastAsia" w:ascii="宋体" w:hAnsi="宋体" w:cs="宋体"/>
                <w:b w:val="0"/>
                <w:bCs w:val="0"/>
                <w:color w:val="000000"/>
                <w:kern w:val="2"/>
                <w:sz w:val="21"/>
                <w:szCs w:val="21"/>
                <w:lang w:val="en-US" w:eastAsia="zh-CN" w:bidi="ar"/>
              </w:rPr>
              <w:t>版面数据采集和处理、附着污物特征提取与识别</w:t>
            </w:r>
          </w:p>
        </w:tc>
        <w:tc>
          <w:tcPr>
            <w:tcW w:w="992" w:type="dxa"/>
            <w:tcBorders>
              <w:top w:val="single" w:color="auto" w:sz="6" w:space="0"/>
              <w:left w:val="nil"/>
              <w:bottom w:val="single" w:color="auto" w:sz="6" w:space="0"/>
              <w:right w:val="single" w:color="auto" w:sz="4" w:space="0"/>
            </w:tcBorders>
            <w:noWrap w:val="0"/>
            <w:vAlign w:val="center"/>
          </w:tcPr>
          <w:p>
            <w:pPr>
              <w:snapToGrid w:val="0"/>
              <w:ind w:firstLine="117" w:firstLineChars="49"/>
              <w:rPr>
                <w:rFonts w:ascii="宋体" w:hAnsi="宋体"/>
                <w:bCs/>
                <w:kern w:val="0"/>
                <w:sz w:val="24"/>
              </w:rPr>
            </w:pPr>
            <w:r>
              <w:rPr>
                <w:rFonts w:hint="eastAsia" w:ascii="宋体" w:hAnsi="宋体"/>
                <w:bCs/>
                <w:kern w:val="0"/>
                <w:sz w:val="24"/>
                <w:lang w:val="en-US" w:eastAsia="zh-CN"/>
              </w:rPr>
              <w:t>1</w:t>
            </w:r>
          </w:p>
        </w:tc>
        <w:tc>
          <w:tcPr>
            <w:tcW w:w="1276"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kern w:val="0"/>
                <w:sz w:val="24"/>
              </w:rPr>
            </w:pPr>
            <w:r>
              <w:rPr>
                <w:rFonts w:hint="eastAsia" w:ascii="宋体" w:hAnsi="宋体" w:eastAsia="宋体" w:cs="宋体"/>
                <w:i w:val="0"/>
                <w:iCs w:val="0"/>
                <w:color w:val="000000"/>
                <w:kern w:val="0"/>
                <w:sz w:val="21"/>
                <w:szCs w:val="21"/>
                <w:lang w:val="en-US" w:eastAsia="zh-CN" w:bidi="ar"/>
              </w:rPr>
              <w:t>1</w:t>
            </w:r>
            <w:r>
              <w:rPr>
                <w:rFonts w:hint="eastAsia" w:ascii="宋体" w:hAnsi="宋体" w:cs="宋体"/>
                <w:i w:val="0"/>
                <w:iCs w:val="0"/>
                <w:color w:val="000000"/>
                <w:kern w:val="0"/>
                <w:sz w:val="21"/>
                <w:szCs w:val="21"/>
                <w:lang w:val="en-US" w:eastAsia="zh-CN" w:bidi="ar"/>
              </w:rPr>
              <w:t>7</w:t>
            </w:r>
            <w:r>
              <w:rPr>
                <w:rFonts w:hint="eastAsia" w:ascii="宋体" w:hAnsi="宋体" w:eastAsia="宋体" w:cs="宋体"/>
                <w:i w:val="0"/>
                <w:iCs w:val="0"/>
                <w:color w:val="000000"/>
                <w:kern w:val="0"/>
                <w:sz w:val="21"/>
                <w:szCs w:val="21"/>
                <w:lang w:val="en-US" w:eastAsia="zh-CN" w:bidi="ar"/>
              </w:rPr>
              <w:t>00</w:t>
            </w:r>
            <w:r>
              <w:rPr>
                <w:rFonts w:hint="eastAsia" w:ascii="宋体" w:hAnsi="宋体" w:cs="宋体"/>
                <w:i w:val="0"/>
                <w:iCs w:val="0"/>
                <w:color w:val="000000"/>
                <w:kern w:val="0"/>
                <w:sz w:val="21"/>
                <w:szCs w:val="21"/>
                <w:lang w:val="en-US" w:eastAsia="zh-CN" w:bidi="ar"/>
              </w:rPr>
              <w:t>00</w:t>
            </w:r>
          </w:p>
        </w:tc>
        <w:tc>
          <w:tcPr>
            <w:tcW w:w="127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Fonts w:hint="eastAsia" w:ascii="宋体" w:hAnsi="宋体" w:eastAsia="宋体" w:cs="宋体"/>
                <w:i w:val="0"/>
                <w:iCs w:val="0"/>
                <w:color w:val="000000"/>
                <w:kern w:val="0"/>
                <w:sz w:val="21"/>
                <w:szCs w:val="21"/>
                <w:lang w:val="en-US" w:eastAsia="zh-CN" w:bidi="ar"/>
              </w:rPr>
              <w:t>1</w:t>
            </w:r>
            <w:r>
              <w:rPr>
                <w:rFonts w:hint="eastAsia" w:ascii="宋体" w:hAnsi="宋体" w:cs="宋体"/>
                <w:i w:val="0"/>
                <w:iCs w:val="0"/>
                <w:color w:val="000000"/>
                <w:kern w:val="0"/>
                <w:sz w:val="21"/>
                <w:szCs w:val="21"/>
                <w:lang w:val="en-US" w:eastAsia="zh-CN" w:bidi="ar"/>
              </w:rPr>
              <w:t>7</w:t>
            </w:r>
            <w:r>
              <w:rPr>
                <w:rFonts w:hint="eastAsia" w:ascii="宋体" w:hAnsi="宋体" w:eastAsia="宋体" w:cs="宋体"/>
                <w:i w:val="0"/>
                <w:iCs w:val="0"/>
                <w:color w:val="000000"/>
                <w:kern w:val="0"/>
                <w:sz w:val="21"/>
                <w:szCs w:val="21"/>
                <w:lang w:val="en-US" w:eastAsia="zh-CN" w:bidi="ar"/>
              </w:rPr>
              <w:t>00</w:t>
            </w:r>
            <w:r>
              <w:rPr>
                <w:rFonts w:hint="eastAsia" w:ascii="宋体" w:hAnsi="宋体" w:cs="宋体"/>
                <w:i w:val="0"/>
                <w:iCs w:val="0"/>
                <w:color w:val="000000"/>
                <w:kern w:val="0"/>
                <w:sz w:val="21"/>
                <w:szCs w:val="21"/>
                <w:lang w:val="en-US" w:eastAsia="zh-CN" w:bidi="ar"/>
              </w:rPr>
              <w:t>00</w:t>
            </w:r>
          </w:p>
        </w:tc>
      </w:tr>
      <w:tr>
        <w:tblPrEx>
          <w:tblBorders>
            <w:top w:val="single" w:color="auto" w:sz="6" w:space="0"/>
            <w:left w:val="single" w:color="auto" w:sz="6"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cantSplit/>
          <w:trHeight w:val="495" w:hRule="atLeast"/>
          <w:jc w:val="center"/>
        </w:trPr>
        <w:tc>
          <w:tcPr>
            <w:tcW w:w="720" w:type="dxa"/>
            <w:tcBorders>
              <w:top w:val="single" w:color="auto" w:sz="6" w:space="0"/>
              <w:left w:val="single" w:color="auto" w:sz="6" w:space="0"/>
              <w:bottom w:val="single" w:color="auto" w:sz="6" w:space="0"/>
              <w:right w:val="single" w:color="auto" w:sz="4" w:space="0"/>
            </w:tcBorders>
            <w:noWrap w:val="0"/>
            <w:vAlign w:val="center"/>
          </w:tcPr>
          <w:p>
            <w:pPr>
              <w:snapToGrid w:val="0"/>
              <w:rPr>
                <w:rFonts w:hint="eastAsia" w:ascii="宋体" w:hAnsi="宋体"/>
                <w:bCs/>
                <w:kern w:val="0"/>
                <w:sz w:val="24"/>
              </w:rPr>
            </w:pPr>
            <w:r>
              <w:rPr>
                <w:rFonts w:hint="eastAsia" w:ascii="宋体" w:hAnsi="宋体"/>
                <w:bCs/>
                <w:kern w:val="0"/>
                <w:sz w:val="24"/>
                <w:lang w:val="en-US" w:eastAsia="zh-CN"/>
              </w:rPr>
              <w:t>10</w:t>
            </w:r>
          </w:p>
        </w:tc>
        <w:tc>
          <w:tcPr>
            <w:tcW w:w="179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Fonts w:hint="eastAsia" w:ascii="宋体" w:hAnsi="宋体" w:eastAsia="宋体" w:cs="宋体"/>
                <w:i w:val="0"/>
                <w:iCs w:val="0"/>
                <w:color w:val="000000"/>
                <w:kern w:val="0"/>
                <w:sz w:val="21"/>
                <w:szCs w:val="21"/>
                <w:lang w:val="en-US" w:eastAsia="zh-CN" w:bidi="ar"/>
              </w:rPr>
              <w:t>组合清洁自适应控制模块</w:t>
            </w:r>
          </w:p>
        </w:tc>
        <w:tc>
          <w:tcPr>
            <w:tcW w:w="3398"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left"/>
              <w:textAlignment w:val="center"/>
              <w:rPr>
                <w:rFonts w:ascii="宋体" w:hAnsi="宋体"/>
                <w:bCs/>
                <w:sz w:val="24"/>
              </w:rPr>
            </w:pPr>
            <w:r>
              <w:rPr>
                <w:rStyle w:val="18"/>
                <w:rFonts w:hint="eastAsia" w:ascii="宋体" w:hAnsi="宋体" w:eastAsia="宋体" w:cs="宋体"/>
                <w:color w:val="000000"/>
                <w:kern w:val="2"/>
                <w:sz w:val="21"/>
                <w:szCs w:val="21"/>
                <w:lang w:val="en-US" w:eastAsia="zh-CN" w:bidi="ar"/>
              </w:rPr>
              <w:t>定制开发</w:t>
            </w:r>
            <w:r>
              <w:rPr>
                <w:rStyle w:val="18"/>
                <w:rFonts w:hint="eastAsia" w:ascii="宋体" w:hAnsi="宋体" w:cs="宋体"/>
                <w:color w:val="000000"/>
                <w:kern w:val="2"/>
                <w:sz w:val="21"/>
                <w:szCs w:val="21"/>
                <w:lang w:val="en-US" w:eastAsia="zh-CN" w:bidi="ar"/>
              </w:rPr>
              <w:t>。环境监测，观测平台与清洁模块控制。</w:t>
            </w:r>
          </w:p>
        </w:tc>
        <w:tc>
          <w:tcPr>
            <w:tcW w:w="992" w:type="dxa"/>
            <w:tcBorders>
              <w:top w:val="single" w:color="auto" w:sz="6" w:space="0"/>
              <w:left w:val="nil"/>
              <w:bottom w:val="single" w:color="auto" w:sz="6" w:space="0"/>
              <w:right w:val="single" w:color="auto" w:sz="4" w:space="0"/>
            </w:tcBorders>
            <w:noWrap w:val="0"/>
            <w:vAlign w:val="center"/>
          </w:tcPr>
          <w:p>
            <w:pPr>
              <w:snapToGrid w:val="0"/>
              <w:ind w:firstLine="117" w:firstLineChars="49"/>
              <w:rPr>
                <w:rFonts w:ascii="宋体" w:hAnsi="宋体"/>
                <w:bCs/>
                <w:kern w:val="0"/>
                <w:sz w:val="24"/>
              </w:rPr>
            </w:pPr>
            <w:r>
              <w:rPr>
                <w:rFonts w:hint="eastAsia" w:ascii="宋体" w:hAnsi="宋体"/>
                <w:bCs/>
                <w:kern w:val="0"/>
                <w:sz w:val="24"/>
                <w:lang w:val="en-US" w:eastAsia="zh-CN"/>
              </w:rPr>
              <w:t>1</w:t>
            </w:r>
          </w:p>
        </w:tc>
        <w:tc>
          <w:tcPr>
            <w:tcW w:w="1276"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kern w:val="0"/>
                <w:sz w:val="24"/>
              </w:rPr>
            </w:pPr>
            <w:r>
              <w:rPr>
                <w:rFonts w:hint="eastAsia" w:ascii="宋体" w:hAnsi="宋体" w:eastAsia="宋体" w:cs="宋体"/>
                <w:i w:val="0"/>
                <w:iCs w:val="0"/>
                <w:color w:val="000000"/>
                <w:kern w:val="0"/>
                <w:sz w:val="21"/>
                <w:szCs w:val="21"/>
                <w:lang w:val="en-US" w:eastAsia="zh-CN" w:bidi="ar"/>
              </w:rPr>
              <w:t>332</w:t>
            </w:r>
            <w:r>
              <w:rPr>
                <w:rFonts w:hint="eastAsia" w:ascii="宋体" w:hAnsi="宋体" w:cs="宋体"/>
                <w:i w:val="0"/>
                <w:iCs w:val="0"/>
                <w:color w:val="000000"/>
                <w:kern w:val="0"/>
                <w:sz w:val="21"/>
                <w:szCs w:val="21"/>
                <w:lang w:val="en-US" w:eastAsia="zh-CN" w:bidi="ar"/>
              </w:rPr>
              <w:t>00</w:t>
            </w:r>
          </w:p>
        </w:tc>
        <w:tc>
          <w:tcPr>
            <w:tcW w:w="127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Fonts w:hint="eastAsia" w:ascii="宋体" w:hAnsi="宋体" w:eastAsia="宋体" w:cs="宋体"/>
                <w:i w:val="0"/>
                <w:iCs w:val="0"/>
                <w:color w:val="000000"/>
                <w:kern w:val="0"/>
                <w:sz w:val="21"/>
                <w:szCs w:val="21"/>
                <w:lang w:val="en-US" w:eastAsia="zh-CN" w:bidi="ar"/>
              </w:rPr>
              <w:t>332</w:t>
            </w:r>
            <w:r>
              <w:rPr>
                <w:rFonts w:hint="eastAsia" w:ascii="宋体" w:hAnsi="宋体" w:cs="宋体"/>
                <w:i w:val="0"/>
                <w:iCs w:val="0"/>
                <w:color w:val="000000"/>
                <w:kern w:val="0"/>
                <w:sz w:val="21"/>
                <w:szCs w:val="21"/>
                <w:lang w:val="en-US" w:eastAsia="zh-CN" w:bidi="ar"/>
              </w:rPr>
              <w:t>00</w:t>
            </w:r>
          </w:p>
        </w:tc>
      </w:tr>
      <w:tr>
        <w:tblPrEx>
          <w:tblBorders>
            <w:top w:val="single" w:color="auto" w:sz="6" w:space="0"/>
            <w:left w:val="single" w:color="auto" w:sz="6"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cantSplit/>
          <w:trHeight w:val="495" w:hRule="atLeast"/>
          <w:jc w:val="center"/>
        </w:trPr>
        <w:tc>
          <w:tcPr>
            <w:tcW w:w="720" w:type="dxa"/>
            <w:tcBorders>
              <w:top w:val="single" w:color="auto" w:sz="6" w:space="0"/>
              <w:left w:val="single" w:color="auto" w:sz="6" w:space="0"/>
              <w:bottom w:val="single" w:color="auto" w:sz="6" w:space="0"/>
              <w:right w:val="single" w:color="auto" w:sz="4" w:space="0"/>
            </w:tcBorders>
            <w:noWrap w:val="0"/>
            <w:vAlign w:val="center"/>
          </w:tcPr>
          <w:p>
            <w:pPr>
              <w:snapToGrid w:val="0"/>
              <w:rPr>
                <w:rFonts w:ascii="宋体" w:hAnsi="宋体"/>
                <w:bCs/>
                <w:kern w:val="0"/>
                <w:sz w:val="24"/>
              </w:rPr>
            </w:pPr>
            <w:r>
              <w:rPr>
                <w:rFonts w:hint="eastAsia" w:ascii="宋体" w:hAnsi="宋体"/>
                <w:bCs/>
                <w:kern w:val="0"/>
                <w:sz w:val="24"/>
                <w:lang w:val="en-US" w:eastAsia="zh-CN"/>
              </w:rPr>
              <w:t>11</w:t>
            </w:r>
          </w:p>
        </w:tc>
        <w:tc>
          <w:tcPr>
            <w:tcW w:w="179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Fonts w:hint="eastAsia" w:ascii="宋体" w:hAnsi="宋体" w:eastAsia="宋体" w:cs="宋体"/>
                <w:i w:val="0"/>
                <w:iCs w:val="0"/>
                <w:color w:val="000000"/>
                <w:kern w:val="0"/>
                <w:sz w:val="21"/>
                <w:szCs w:val="21"/>
                <w:lang w:val="en-US" w:eastAsia="zh-CN" w:bidi="ar"/>
              </w:rPr>
              <w:t>智慧管理平台</w:t>
            </w:r>
          </w:p>
        </w:tc>
        <w:tc>
          <w:tcPr>
            <w:tcW w:w="3398"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left"/>
              <w:textAlignment w:val="center"/>
              <w:rPr>
                <w:rFonts w:ascii="宋体" w:hAnsi="宋体"/>
                <w:bCs/>
                <w:sz w:val="24"/>
              </w:rPr>
            </w:pPr>
            <w:r>
              <w:rPr>
                <w:rStyle w:val="18"/>
                <w:rFonts w:hint="eastAsia" w:ascii="宋体" w:hAnsi="宋体" w:eastAsia="宋体" w:cs="宋体"/>
                <w:color w:val="000000"/>
                <w:kern w:val="2"/>
                <w:sz w:val="21"/>
                <w:szCs w:val="21"/>
                <w:lang w:val="en-US" w:eastAsia="zh-CN" w:bidi="ar"/>
              </w:rPr>
              <w:t>定制开发</w:t>
            </w:r>
            <w:r>
              <w:rPr>
                <w:rStyle w:val="18"/>
                <w:rFonts w:hint="eastAsia" w:ascii="宋体" w:hAnsi="宋体" w:cs="宋体"/>
                <w:color w:val="000000"/>
                <w:kern w:val="2"/>
                <w:sz w:val="21"/>
                <w:szCs w:val="21"/>
                <w:lang w:val="en-US" w:eastAsia="zh-CN" w:bidi="ar"/>
              </w:rPr>
              <w:t>。清洁行为规划、数据可视化、监控分析、清洁度评定、清洁策略控制、结果评定等。</w:t>
            </w:r>
          </w:p>
        </w:tc>
        <w:tc>
          <w:tcPr>
            <w:tcW w:w="992" w:type="dxa"/>
            <w:tcBorders>
              <w:top w:val="single" w:color="auto" w:sz="6" w:space="0"/>
              <w:left w:val="nil"/>
              <w:bottom w:val="single" w:color="auto" w:sz="6" w:space="0"/>
              <w:right w:val="single" w:color="auto" w:sz="4" w:space="0"/>
            </w:tcBorders>
            <w:noWrap w:val="0"/>
            <w:vAlign w:val="center"/>
          </w:tcPr>
          <w:p>
            <w:pPr>
              <w:snapToGrid w:val="0"/>
              <w:ind w:firstLine="117" w:firstLineChars="49"/>
              <w:rPr>
                <w:rFonts w:ascii="宋体" w:hAnsi="宋体"/>
                <w:bCs/>
                <w:kern w:val="0"/>
                <w:sz w:val="24"/>
              </w:rPr>
            </w:pPr>
            <w:r>
              <w:rPr>
                <w:rFonts w:hint="eastAsia" w:ascii="宋体" w:hAnsi="宋体"/>
                <w:bCs/>
                <w:kern w:val="0"/>
                <w:sz w:val="24"/>
                <w:lang w:val="en-US" w:eastAsia="zh-CN"/>
              </w:rPr>
              <w:t>1</w:t>
            </w:r>
          </w:p>
        </w:tc>
        <w:tc>
          <w:tcPr>
            <w:tcW w:w="1276"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kern w:val="0"/>
                <w:sz w:val="24"/>
              </w:rPr>
            </w:pPr>
            <w:r>
              <w:rPr>
                <w:rFonts w:hint="eastAsia" w:ascii="宋体" w:hAnsi="宋体" w:cs="宋体"/>
                <w:i w:val="0"/>
                <w:iCs w:val="0"/>
                <w:color w:val="000000"/>
                <w:kern w:val="0"/>
                <w:sz w:val="21"/>
                <w:szCs w:val="21"/>
                <w:lang w:val="en-US" w:eastAsia="zh-CN" w:bidi="ar"/>
              </w:rPr>
              <w:t>24</w:t>
            </w:r>
            <w:r>
              <w:rPr>
                <w:rFonts w:hint="eastAsia" w:ascii="宋体" w:hAnsi="宋体" w:eastAsia="宋体" w:cs="宋体"/>
                <w:i w:val="0"/>
                <w:iCs w:val="0"/>
                <w:color w:val="000000"/>
                <w:kern w:val="0"/>
                <w:sz w:val="21"/>
                <w:szCs w:val="21"/>
                <w:lang w:val="en-US" w:eastAsia="zh-CN" w:bidi="ar"/>
              </w:rPr>
              <w:t>00</w:t>
            </w:r>
            <w:r>
              <w:rPr>
                <w:rFonts w:hint="eastAsia" w:ascii="宋体" w:hAnsi="宋体" w:cs="宋体"/>
                <w:i w:val="0"/>
                <w:iCs w:val="0"/>
                <w:color w:val="000000"/>
                <w:kern w:val="0"/>
                <w:sz w:val="21"/>
                <w:szCs w:val="21"/>
                <w:lang w:val="en-US" w:eastAsia="zh-CN" w:bidi="ar"/>
              </w:rPr>
              <w:t>00</w:t>
            </w:r>
            <w:r>
              <w:rPr>
                <w:rFonts w:hint="eastAsia" w:ascii="宋体" w:hAnsi="宋体" w:eastAsia="宋体" w:cs="宋体"/>
                <w:i w:val="0"/>
                <w:iCs w:val="0"/>
                <w:color w:val="000000"/>
                <w:kern w:val="0"/>
                <w:sz w:val="21"/>
                <w:szCs w:val="21"/>
                <w:lang w:val="en-US" w:eastAsia="zh-CN" w:bidi="ar"/>
              </w:rPr>
              <w:t xml:space="preserve"> </w:t>
            </w:r>
          </w:p>
        </w:tc>
        <w:tc>
          <w:tcPr>
            <w:tcW w:w="127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Fonts w:hint="eastAsia" w:ascii="宋体" w:hAnsi="宋体" w:cs="宋体"/>
                <w:i w:val="0"/>
                <w:iCs w:val="0"/>
                <w:color w:val="000000"/>
                <w:kern w:val="0"/>
                <w:sz w:val="21"/>
                <w:szCs w:val="21"/>
                <w:lang w:val="en-US" w:eastAsia="zh-CN" w:bidi="ar"/>
              </w:rPr>
              <w:t>24</w:t>
            </w:r>
            <w:r>
              <w:rPr>
                <w:rFonts w:hint="eastAsia" w:ascii="宋体" w:hAnsi="宋体" w:eastAsia="宋体" w:cs="宋体"/>
                <w:i w:val="0"/>
                <w:iCs w:val="0"/>
                <w:color w:val="000000"/>
                <w:kern w:val="0"/>
                <w:sz w:val="21"/>
                <w:szCs w:val="21"/>
                <w:lang w:val="en-US" w:eastAsia="zh-CN" w:bidi="ar"/>
              </w:rPr>
              <w:t>00</w:t>
            </w:r>
            <w:r>
              <w:rPr>
                <w:rFonts w:hint="eastAsia" w:ascii="宋体" w:hAnsi="宋体" w:cs="宋体"/>
                <w:i w:val="0"/>
                <w:iCs w:val="0"/>
                <w:color w:val="000000"/>
                <w:kern w:val="0"/>
                <w:sz w:val="21"/>
                <w:szCs w:val="21"/>
                <w:lang w:val="en-US" w:eastAsia="zh-CN" w:bidi="ar"/>
              </w:rPr>
              <w:t>00</w:t>
            </w:r>
            <w:r>
              <w:rPr>
                <w:rFonts w:hint="eastAsia" w:ascii="宋体" w:hAnsi="宋体" w:eastAsia="宋体" w:cs="宋体"/>
                <w:i w:val="0"/>
                <w:iCs w:val="0"/>
                <w:color w:val="000000"/>
                <w:kern w:val="0"/>
                <w:sz w:val="21"/>
                <w:szCs w:val="21"/>
                <w:lang w:val="en-US" w:eastAsia="zh-CN" w:bidi="ar"/>
              </w:rPr>
              <w:t xml:space="preserve"> </w:t>
            </w:r>
          </w:p>
        </w:tc>
      </w:tr>
      <w:tr>
        <w:tblPrEx>
          <w:tblBorders>
            <w:top w:val="single" w:color="auto" w:sz="6" w:space="0"/>
            <w:left w:val="single" w:color="auto" w:sz="6"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cantSplit/>
          <w:trHeight w:val="495" w:hRule="atLeast"/>
          <w:jc w:val="center"/>
        </w:trPr>
        <w:tc>
          <w:tcPr>
            <w:tcW w:w="720" w:type="dxa"/>
            <w:tcBorders>
              <w:top w:val="single" w:color="auto" w:sz="6" w:space="0"/>
              <w:left w:val="single" w:color="auto" w:sz="6" w:space="0"/>
              <w:bottom w:val="single" w:color="auto" w:sz="6" w:space="0"/>
              <w:right w:val="single" w:color="auto" w:sz="4" w:space="0"/>
            </w:tcBorders>
            <w:noWrap w:val="0"/>
            <w:vAlign w:val="center"/>
          </w:tcPr>
          <w:p>
            <w:pPr>
              <w:snapToGrid w:val="0"/>
              <w:rPr>
                <w:rFonts w:ascii="宋体" w:hAnsi="宋体"/>
                <w:bCs/>
                <w:kern w:val="0"/>
                <w:sz w:val="24"/>
              </w:rPr>
            </w:pPr>
            <w:r>
              <w:rPr>
                <w:rFonts w:hint="eastAsia" w:ascii="宋体" w:hAnsi="宋体"/>
                <w:bCs/>
                <w:kern w:val="0"/>
                <w:sz w:val="24"/>
                <w:lang w:val="en-US" w:eastAsia="zh-CN"/>
              </w:rPr>
              <w:t>12</w:t>
            </w:r>
          </w:p>
        </w:tc>
        <w:tc>
          <w:tcPr>
            <w:tcW w:w="1795"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ascii="宋体" w:hAnsi="宋体"/>
                <w:bCs/>
                <w:sz w:val="24"/>
              </w:rPr>
            </w:pPr>
            <w:r>
              <w:rPr>
                <w:rStyle w:val="18"/>
                <w:rFonts w:hint="eastAsia" w:ascii="宋体" w:hAnsi="宋体" w:cs="宋体"/>
                <w:color w:val="000000"/>
                <w:kern w:val="2"/>
                <w:sz w:val="21"/>
                <w:szCs w:val="21"/>
                <w:lang w:val="en-US" w:eastAsia="zh-CN" w:bidi="ar"/>
              </w:rPr>
              <w:t>软硬件集成与调试</w:t>
            </w:r>
          </w:p>
        </w:tc>
        <w:tc>
          <w:tcPr>
            <w:tcW w:w="3398" w:type="dxa"/>
            <w:tcBorders>
              <w:top w:val="single" w:color="auto" w:sz="6" w:space="0"/>
              <w:left w:val="nil"/>
              <w:bottom w:val="single" w:color="auto" w:sz="6" w:space="0"/>
              <w:right w:val="single" w:color="auto" w:sz="4" w:space="0"/>
            </w:tcBorders>
            <w:noWrap w:val="0"/>
            <w:vAlign w:val="center"/>
          </w:tcPr>
          <w:p>
            <w:pPr>
              <w:keepNext w:val="0"/>
              <w:keepLines w:val="0"/>
              <w:widowControl/>
              <w:suppressLineNumbers w:val="0"/>
              <w:spacing w:before="0" w:beforeAutospacing="0" w:after="0" w:afterAutospacing="0"/>
              <w:ind w:left="0" w:leftChars="0" w:right="0" w:rightChars="0"/>
              <w:jc w:val="left"/>
              <w:textAlignment w:val="center"/>
              <w:rPr>
                <w:rFonts w:ascii="宋体" w:hAnsi="宋体"/>
                <w:bCs/>
                <w:sz w:val="24"/>
              </w:rPr>
            </w:pPr>
            <w:r>
              <w:rPr>
                <w:rStyle w:val="18"/>
                <w:rFonts w:hint="eastAsia" w:ascii="宋体" w:hAnsi="宋体" w:cs="宋体"/>
                <w:color w:val="000000"/>
                <w:kern w:val="2"/>
                <w:sz w:val="21"/>
                <w:szCs w:val="21"/>
                <w:lang w:val="en-US" w:eastAsia="zh-CN" w:bidi="ar"/>
              </w:rPr>
              <w:t>项目部署售后服务、资料会议费、测试费、计算服务费等</w:t>
            </w:r>
          </w:p>
        </w:tc>
        <w:tc>
          <w:tcPr>
            <w:tcW w:w="992" w:type="dxa"/>
            <w:tcBorders>
              <w:top w:val="single" w:color="auto" w:sz="6" w:space="0"/>
              <w:left w:val="nil"/>
              <w:bottom w:val="single" w:color="auto" w:sz="6" w:space="0"/>
              <w:right w:val="single" w:color="auto" w:sz="4" w:space="0"/>
            </w:tcBorders>
            <w:noWrap w:val="0"/>
            <w:vAlign w:val="center"/>
          </w:tcPr>
          <w:p>
            <w:pPr>
              <w:snapToGrid w:val="0"/>
              <w:ind w:firstLine="117" w:firstLineChars="49"/>
              <w:rPr>
                <w:rFonts w:ascii="宋体" w:hAnsi="宋体"/>
                <w:bCs/>
                <w:kern w:val="0"/>
                <w:sz w:val="24"/>
              </w:rPr>
            </w:pPr>
          </w:p>
        </w:tc>
        <w:tc>
          <w:tcPr>
            <w:tcW w:w="1276" w:type="dxa"/>
            <w:tcBorders>
              <w:top w:val="single" w:color="auto" w:sz="6" w:space="0"/>
              <w:left w:val="nil"/>
              <w:bottom w:val="single" w:color="auto" w:sz="6" w:space="0"/>
              <w:right w:val="single" w:color="auto" w:sz="4" w:space="0"/>
            </w:tcBorders>
            <w:noWrap w:val="0"/>
            <w:vAlign w:val="center"/>
          </w:tcPr>
          <w:p>
            <w:pPr>
              <w:snapToGrid w:val="0"/>
              <w:jc w:val="center"/>
              <w:rPr>
                <w:rFonts w:ascii="宋体" w:hAnsi="宋体"/>
                <w:bCs/>
                <w:kern w:val="0"/>
                <w:sz w:val="24"/>
              </w:rPr>
            </w:pPr>
            <w:r>
              <w:rPr>
                <w:rFonts w:hint="eastAsia" w:ascii="宋体" w:hAnsi="宋体"/>
                <w:bCs/>
                <w:kern w:val="0"/>
                <w:sz w:val="24"/>
                <w:lang w:val="en-US" w:eastAsia="zh-CN"/>
              </w:rPr>
              <w:t>234800</w:t>
            </w:r>
          </w:p>
        </w:tc>
        <w:tc>
          <w:tcPr>
            <w:tcW w:w="1275" w:type="dxa"/>
            <w:tcBorders>
              <w:top w:val="single" w:color="auto" w:sz="6" w:space="0"/>
              <w:left w:val="nil"/>
              <w:bottom w:val="single" w:color="auto" w:sz="6" w:space="0"/>
              <w:right w:val="single" w:color="auto" w:sz="4" w:space="0"/>
            </w:tcBorders>
            <w:noWrap w:val="0"/>
            <w:vAlign w:val="center"/>
          </w:tcPr>
          <w:p>
            <w:pPr>
              <w:snapToGrid w:val="0"/>
              <w:jc w:val="center"/>
              <w:rPr>
                <w:rFonts w:ascii="宋体" w:hAnsi="宋体"/>
                <w:bCs/>
                <w:sz w:val="24"/>
              </w:rPr>
            </w:pPr>
            <w:r>
              <w:rPr>
                <w:rFonts w:hint="eastAsia" w:ascii="宋体" w:hAnsi="宋体"/>
                <w:bCs/>
                <w:kern w:val="0"/>
                <w:sz w:val="24"/>
                <w:lang w:val="en-US" w:eastAsia="zh-CN"/>
              </w:rPr>
              <w:t>234800</w:t>
            </w:r>
          </w:p>
        </w:tc>
      </w:tr>
      <w:tr>
        <w:tblPrEx>
          <w:tblBorders>
            <w:top w:val="single" w:color="auto" w:sz="6" w:space="0"/>
            <w:left w:val="single" w:color="auto" w:sz="6"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cantSplit/>
          <w:trHeight w:val="495" w:hRule="atLeast"/>
          <w:jc w:val="center"/>
        </w:trPr>
        <w:tc>
          <w:tcPr>
            <w:tcW w:w="9456" w:type="dxa"/>
            <w:gridSpan w:val="6"/>
            <w:tcBorders>
              <w:top w:val="single" w:color="auto" w:sz="6" w:space="0"/>
              <w:left w:val="single" w:color="auto" w:sz="6" w:space="0"/>
              <w:bottom w:val="single" w:color="auto" w:sz="4" w:space="0"/>
              <w:right w:val="single" w:color="auto" w:sz="4" w:space="0"/>
            </w:tcBorders>
            <w:noWrap w:val="0"/>
            <w:vAlign w:val="center"/>
          </w:tcPr>
          <w:p>
            <w:pPr>
              <w:rPr>
                <w:rFonts w:ascii="宋体" w:hAnsi="宋体"/>
                <w:bCs/>
                <w:sz w:val="24"/>
              </w:rPr>
            </w:pPr>
            <w:r>
              <w:rPr>
                <w:rFonts w:hint="eastAsia" w:ascii="宋体" w:hAnsi="宋体"/>
                <w:bCs/>
                <w:sz w:val="24"/>
              </w:rPr>
              <w:t>总价（人民币大写）：</w:t>
            </w:r>
            <w:r>
              <w:rPr>
                <w:rFonts w:hint="eastAsia" w:ascii="宋体" w:hAnsi="宋体"/>
                <w:bCs/>
                <w:sz w:val="24"/>
                <w:lang w:val="en-US" w:eastAsia="zh-CN"/>
              </w:rPr>
              <w:t>壹佰陆拾捌万叁仟元整</w:t>
            </w:r>
            <w:r>
              <w:rPr>
                <w:rFonts w:hint="eastAsia" w:ascii="宋体" w:hAnsi="宋体"/>
                <w:bCs/>
                <w:sz w:val="24"/>
              </w:rPr>
              <w:t xml:space="preserve">              合计（小写）： </w:t>
            </w:r>
            <w:r>
              <w:rPr>
                <w:rFonts w:hint="eastAsia" w:ascii="宋体" w:hAnsi="宋体"/>
                <w:bCs/>
                <w:sz w:val="24"/>
                <w:lang w:val="en-US" w:eastAsia="zh-CN"/>
              </w:rPr>
              <w:t>1683000</w:t>
            </w:r>
            <w:r>
              <w:rPr>
                <w:rFonts w:hint="eastAsia" w:ascii="宋体" w:hAnsi="宋体"/>
                <w:bCs/>
                <w:sz w:val="24"/>
              </w:rPr>
              <w:t>元</w:t>
            </w:r>
          </w:p>
          <w:p>
            <w:pPr>
              <w:rPr>
                <w:rFonts w:ascii="宋体" w:hAnsi="宋体"/>
                <w:bCs/>
                <w:sz w:val="24"/>
              </w:rPr>
            </w:pPr>
            <w:r>
              <w:rPr>
                <w:rFonts w:hint="eastAsia" w:ascii="宋体" w:hAnsi="宋体"/>
                <w:bCs/>
                <w:sz w:val="24"/>
              </w:rPr>
              <w:t>本合同总价款是货物设计、制造、包装、仓储、运输、安装及验收合格之前以及质保期内备品备件发生的所有含税费用。本合同总价款还包含乙方应当提供的伴随服务/售后服务费用。</w:t>
            </w:r>
          </w:p>
        </w:tc>
      </w:tr>
    </w:tbl>
    <w:p>
      <w:pPr>
        <w:widowControl/>
        <w:snapToGrid w:val="0"/>
        <w:spacing w:line="360" w:lineRule="auto"/>
        <w:ind w:firstLine="480" w:firstLineChars="200"/>
        <w:rPr>
          <w:rFonts w:ascii="宋体" w:hAnsi="宋体"/>
          <w:sz w:val="24"/>
          <w:u w:val="single"/>
        </w:rPr>
      </w:pPr>
      <w:r>
        <w:rPr>
          <w:rFonts w:hint="eastAsia" w:ascii="宋体" w:hAnsi="宋体"/>
          <w:color w:val="000000" w:themeColor="text1"/>
          <w:sz w:val="24"/>
          <w14:textFill>
            <w14:solidFill>
              <w14:schemeClr w14:val="tx1"/>
            </w14:solidFill>
          </w14:textFill>
        </w:rPr>
        <w:t>二、交货时间</w:t>
      </w:r>
      <w:r>
        <w:rPr>
          <w:rFonts w:hint="eastAsia" w:ascii="宋体" w:hAnsi="宋体"/>
          <w:color w:val="000000" w:themeColor="text1"/>
          <w:sz w:val="24"/>
          <w:u w:val="none"/>
          <w14:textFill>
            <w14:solidFill>
              <w14:schemeClr w14:val="tx1"/>
            </w14:solidFill>
          </w14:textFill>
        </w:rPr>
        <w:t>：</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vertAlign w:val="baseline"/>
          <w:lang w:val="en-US" w:eastAsia="zh-CN"/>
          <w14:textFill>
            <w14:solidFill>
              <w14:schemeClr w14:val="tx1"/>
            </w14:solidFill>
          </w14:textFill>
        </w:rPr>
        <w:t>2024.10.1</w:t>
      </w:r>
      <w:r>
        <w:rPr>
          <w:rFonts w:hint="eastAsia" w:ascii="宋体" w:hAnsi="宋体"/>
          <w:color w:val="000000" w:themeColor="text1"/>
          <w:sz w:val="24"/>
          <w:u w:val="single"/>
          <w14:textFill>
            <w14:solidFill>
              <w14:schemeClr w14:val="tx1"/>
            </w14:solidFill>
          </w14:textFill>
        </w:rPr>
        <w:t>。</w:t>
      </w:r>
    </w:p>
    <w:p>
      <w:pPr>
        <w:widowControl/>
        <w:snapToGrid w:val="0"/>
        <w:spacing w:line="360" w:lineRule="auto"/>
        <w:ind w:firstLine="480" w:firstLineChars="200"/>
        <w:rPr>
          <w:rFonts w:ascii="宋体" w:hAnsi="宋体"/>
          <w:sz w:val="24"/>
        </w:rPr>
      </w:pPr>
      <w:r>
        <w:rPr>
          <w:rFonts w:hint="eastAsia" w:ascii="宋体" w:hAnsi="宋体"/>
          <w:sz w:val="24"/>
        </w:rPr>
        <w:t>三、交货地点：由乙方负责运输至</w:t>
      </w:r>
      <w:r>
        <w:rPr>
          <w:rFonts w:hint="eastAsia" w:ascii="宋体" w:hAnsi="宋体"/>
          <w:sz w:val="24"/>
          <w:u w:val="single"/>
        </w:rPr>
        <w:t>甲方指定地点。</w:t>
      </w:r>
    </w:p>
    <w:p>
      <w:pPr>
        <w:pStyle w:val="13"/>
        <w:spacing w:line="360" w:lineRule="auto"/>
        <w:ind w:firstLine="480" w:firstLineChars="200"/>
        <w:jc w:val="both"/>
        <w:rPr>
          <w:rFonts w:ascii="宋体" w:hAnsi="宋体" w:eastAsia="宋体"/>
          <w:sz w:val="24"/>
          <w:highlight w:val="yellow"/>
        </w:rPr>
      </w:pPr>
      <w:r>
        <w:rPr>
          <w:rFonts w:hint="eastAsia" w:ascii="宋体" w:hAnsi="宋体" w:eastAsia="宋体"/>
          <w:b w:val="0"/>
          <w:bCs w:val="0"/>
          <w:sz w:val="24"/>
        </w:rPr>
        <w:t>四、付款方式：提交</w:t>
      </w:r>
      <w:r>
        <w:rPr>
          <w:rFonts w:hint="eastAsia" w:ascii="宋体" w:hAnsi="宋体" w:eastAsia="宋体"/>
          <w:b w:val="0"/>
          <w:bCs w:val="0"/>
          <w:sz w:val="24"/>
          <w:lang w:val="zh-TW" w:eastAsia="zh-TW"/>
        </w:rPr>
        <w:t>技术报告</w:t>
      </w:r>
      <w:r>
        <w:rPr>
          <w:rFonts w:hint="eastAsia" w:ascii="宋体" w:hAnsi="宋体" w:eastAsia="宋体"/>
          <w:b w:val="0"/>
          <w:bCs w:val="0"/>
          <w:sz w:val="24"/>
        </w:rPr>
        <w:t>经评审</w:t>
      </w:r>
      <w:r>
        <w:rPr>
          <w:rFonts w:hint="eastAsia" w:ascii="宋体" w:hAnsi="宋体" w:eastAsia="宋体"/>
          <w:b w:val="0"/>
          <w:bCs w:val="0"/>
          <w:sz w:val="24"/>
          <w:lang w:val="zh-TW" w:eastAsia="zh-TW"/>
        </w:rPr>
        <w:t>合格后，</w:t>
      </w:r>
      <w:r>
        <w:rPr>
          <w:rFonts w:hint="eastAsia" w:ascii="宋体" w:hAnsi="宋体" w:eastAsia="宋体"/>
          <w:b w:val="0"/>
          <w:bCs w:val="0"/>
          <w:sz w:val="24"/>
        </w:rPr>
        <w:t>由乙方提供合同总价30%的增值税专用发票，甲方</w:t>
      </w:r>
      <w:r>
        <w:rPr>
          <w:rFonts w:hint="eastAsia" w:ascii="宋体" w:hAnsi="宋体" w:eastAsia="宋体"/>
          <w:b w:val="0"/>
          <w:bCs w:val="0"/>
          <w:sz w:val="24"/>
          <w:lang w:val="zh-TW" w:eastAsia="zh-TW"/>
        </w:rPr>
        <w:t>支付合同总价的</w:t>
      </w:r>
      <w:r>
        <w:rPr>
          <w:rFonts w:hint="eastAsia" w:ascii="宋体" w:hAnsi="宋体" w:eastAsia="宋体"/>
          <w:b w:val="0"/>
          <w:bCs w:val="0"/>
          <w:sz w:val="24"/>
        </w:rPr>
        <w:t>3</w:t>
      </w:r>
      <w:r>
        <w:rPr>
          <w:rFonts w:hint="eastAsia" w:ascii="宋体" w:hAnsi="宋体" w:eastAsia="宋体"/>
          <w:b w:val="0"/>
          <w:bCs w:val="0"/>
          <w:sz w:val="24"/>
          <w:lang w:val="zh-TW" w:eastAsia="zh-TW"/>
        </w:rPr>
        <w:t xml:space="preserve">0% </w:t>
      </w:r>
      <w:r>
        <w:rPr>
          <w:rFonts w:hint="eastAsia" w:ascii="宋体" w:hAnsi="宋体" w:eastAsia="宋体"/>
          <w:b w:val="0"/>
          <w:bCs w:val="0"/>
          <w:sz w:val="24"/>
        </w:rPr>
        <w:t>；货物全部验收通过后10 个工作日内，乙方提供合同总价70%的增值税专用发票，甲方再支付合同总价的70％</w:t>
      </w:r>
      <w:r>
        <w:rPr>
          <w:rFonts w:hint="eastAsia" w:ascii="宋体" w:hAnsi="宋体" w:eastAsia="宋体"/>
          <w:sz w:val="24"/>
        </w:rPr>
        <w:t>。</w:t>
      </w:r>
    </w:p>
    <w:p>
      <w:pPr>
        <w:spacing w:line="360" w:lineRule="auto"/>
        <w:ind w:left="420" w:leftChars="200" w:firstLine="240" w:firstLineChars="1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五、质保期：</w:t>
      </w:r>
      <w:r>
        <w:rPr>
          <w:rFonts w:hint="eastAsia" w:ascii="宋体" w:hAnsi="宋体"/>
          <w:color w:val="000000" w:themeColor="text1"/>
          <w:sz w:val="24"/>
          <w:u w:val="single"/>
          <w14:textFill>
            <w14:solidFill>
              <w14:schemeClr w14:val="tx1"/>
            </w14:solidFill>
          </w14:textFill>
        </w:rPr>
        <w:t>__</w:t>
      </w:r>
      <w:r>
        <w:rPr>
          <w:rFonts w:hint="eastAsia" w:ascii="宋体" w:hAnsi="宋体"/>
          <w:color w:val="000000" w:themeColor="text1"/>
          <w:sz w:val="24"/>
          <w:u w:val="single"/>
          <w:lang w:val="en-US" w:eastAsia="zh-CN"/>
          <w14:textFill>
            <w14:solidFill>
              <w14:schemeClr w14:val="tx1"/>
            </w14:solidFill>
          </w14:textFill>
        </w:rPr>
        <w:t>1年</w:t>
      </w:r>
      <w:r>
        <w:rPr>
          <w:rFonts w:hint="eastAsia" w:ascii="宋体" w:hAnsi="宋体"/>
          <w:color w:val="000000" w:themeColor="text1"/>
          <w:sz w:val="24"/>
          <w:u w:val="single"/>
          <w14:textFill>
            <w14:solidFill>
              <w14:schemeClr w14:val="tx1"/>
            </w14:solidFill>
          </w14:textFill>
        </w:rPr>
        <w:t>_____</w:t>
      </w:r>
      <w:r>
        <w:rPr>
          <w:rFonts w:hint="eastAsia" w:ascii="宋体" w:hAnsi="宋体"/>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质保期（免费维修期）自设备完成并验收签字次日开始计算，质保期为一年。</w:t>
      </w:r>
      <w:r>
        <w:rPr>
          <w:rFonts w:hint="eastAsia" w:ascii="宋体" w:hAnsi="宋体"/>
          <w:color w:val="000000" w:themeColor="text1"/>
          <w:sz w:val="24"/>
          <w14:textFill>
            <w14:solidFill>
              <w14:schemeClr w14:val="tx1"/>
            </w14:solidFill>
          </w14:textFill>
        </w:rPr>
        <w:t>)</w:t>
      </w:r>
    </w:p>
    <w:p>
      <w:pPr>
        <w:widowControl/>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六、质量要求、技术标准、乙方对质量负责的条件和期限：</w:t>
      </w:r>
    </w:p>
    <w:p>
      <w:pPr>
        <w:widowControl/>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1、乙方所提供的货物，若技术性能无特殊说明，则按生产企业或国家有关部门最新颁布的标准及规范为准。</w:t>
      </w:r>
    </w:p>
    <w:p>
      <w:pPr>
        <w:widowControl/>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pPr>
        <w:widowControl/>
        <w:snapToGrid w:val="0"/>
        <w:spacing w:line="360" w:lineRule="auto"/>
        <w:ind w:firstLine="480" w:firstLineChars="200"/>
        <w:rPr>
          <w:rFonts w:ascii="宋体" w:hAnsi="宋体"/>
          <w:sz w:val="24"/>
        </w:rPr>
      </w:pPr>
      <w:r>
        <w:rPr>
          <w:rFonts w:hint="eastAsia" w:ascii="宋体" w:hAnsi="宋体"/>
          <w:color w:val="000000" w:themeColor="text1"/>
          <w:sz w:val="24"/>
          <w14:textFill>
            <w14:solidFill>
              <w14:schemeClr w14:val="tx1"/>
            </w14:solidFill>
          </w14:textFill>
        </w:rPr>
        <w:t>七、验收标准：甲方应当在到货且安装调试完成后</w:t>
      </w:r>
      <w:r>
        <w:rPr>
          <w:rFonts w:hint="eastAsia" w:ascii="宋体" w:hAnsi="宋体"/>
          <w:color w:val="000000" w:themeColor="text1"/>
          <w:sz w:val="24"/>
          <w:lang w:val="en-US" w:eastAsia="zh-CN"/>
          <w14:textFill>
            <w14:solidFill>
              <w14:schemeClr w14:val="tx1"/>
            </w14:solidFill>
          </w14:textFill>
        </w:rPr>
        <w:t>7</w:t>
      </w:r>
      <w:r>
        <w:rPr>
          <w:rFonts w:hint="eastAsia" w:ascii="宋体" w:hAnsi="宋体"/>
          <w:color w:val="000000" w:themeColor="text1"/>
          <w:sz w:val="24"/>
          <w14:textFill>
            <w14:solidFill>
              <w14:schemeClr w14:val="tx1"/>
            </w14:solidFill>
          </w14:textFill>
        </w:rPr>
        <w:t>日内对货物进行验收，</w:t>
      </w:r>
      <w:r>
        <w:rPr>
          <w:rFonts w:hint="eastAsia" w:ascii="宋体" w:hAnsi="宋体"/>
          <w:color w:val="auto"/>
          <w:sz w:val="24"/>
        </w:rPr>
        <w:t>验收包括：</w:t>
      </w:r>
      <w:r>
        <w:rPr>
          <w:rFonts w:hint="eastAsia" w:ascii="宋体" w:hAnsi="宋体"/>
          <w:sz w:val="24"/>
        </w:rPr>
        <w:t>型号、规格、数量、外观质量、及货物包装是否完好，安装调试是否合格。所提供货物的装箱清单、用户手册、原厂保修卡、随机资料及配件、随机工具等是否齐全。验收时乙方必须在现场，验收合格后甲方应在验收记录上签字盖章。</w:t>
      </w:r>
    </w:p>
    <w:p>
      <w:pPr>
        <w:widowControl/>
        <w:snapToGrid w:val="0"/>
        <w:spacing w:line="360" w:lineRule="auto"/>
        <w:ind w:firstLine="480" w:firstLineChars="200"/>
        <w:rPr>
          <w:rFonts w:ascii="宋体" w:hAnsi="宋体"/>
          <w:sz w:val="24"/>
        </w:rPr>
      </w:pPr>
      <w:r>
        <w:rPr>
          <w:rFonts w:hint="eastAsia" w:ascii="宋体" w:hAnsi="宋体"/>
          <w:sz w:val="24"/>
        </w:rPr>
        <w:t>八、工程部分（两万元以上）需按南京邮电大学审计相关规定执行。</w:t>
      </w:r>
    </w:p>
    <w:p>
      <w:pPr>
        <w:widowControl/>
        <w:snapToGrid w:val="0"/>
        <w:spacing w:line="360" w:lineRule="auto"/>
        <w:ind w:firstLine="480" w:firstLineChars="200"/>
        <w:rPr>
          <w:rFonts w:ascii="宋体" w:hAnsi="宋体"/>
          <w:sz w:val="24"/>
        </w:rPr>
      </w:pPr>
      <w:r>
        <w:rPr>
          <w:rFonts w:hint="eastAsia" w:ascii="宋体" w:hAnsi="宋体"/>
          <w:sz w:val="24"/>
        </w:rPr>
        <w:t>九、招投标文件为本合同的附件，与本合同具有同等法律效力（本条款适用于招投标项目）。甲乙双方商定的其他必要文件，附件与本合同不相符合之处，以本合同内容为准。上述文件内容互为补充。</w:t>
      </w:r>
    </w:p>
    <w:p>
      <w:pPr>
        <w:widowControl/>
        <w:snapToGrid w:val="0"/>
        <w:spacing w:line="360" w:lineRule="auto"/>
        <w:ind w:firstLine="480" w:firstLineChars="200"/>
        <w:rPr>
          <w:rFonts w:ascii="宋体" w:hAnsi="宋体"/>
          <w:sz w:val="24"/>
        </w:rPr>
      </w:pPr>
      <w:r>
        <w:rPr>
          <w:rFonts w:hint="eastAsia" w:ascii="宋体" w:hAnsi="宋体"/>
          <w:sz w:val="24"/>
        </w:rPr>
        <w:t>十、违约责任</w:t>
      </w:r>
    </w:p>
    <w:p>
      <w:pPr>
        <w:widowControl/>
        <w:snapToGrid w:val="0"/>
        <w:spacing w:line="360" w:lineRule="auto"/>
        <w:ind w:firstLine="480" w:firstLineChars="200"/>
        <w:rPr>
          <w:rFonts w:ascii="宋体" w:hAnsi="宋体"/>
          <w:sz w:val="24"/>
        </w:rPr>
      </w:pPr>
      <w:r>
        <w:rPr>
          <w:rFonts w:hint="eastAsia" w:ascii="宋体" w:hAnsi="宋体"/>
          <w:sz w:val="24"/>
        </w:rPr>
        <w:t>1、甲方无正当理由拒收货物、拒付货物款的，由甲方向乙方偿付合同总价的5%违约金。如乙方不能交付货物，乙方应向甲方支付合同总价5%的违约金。</w:t>
      </w:r>
    </w:p>
    <w:p>
      <w:pPr>
        <w:spacing w:line="360" w:lineRule="auto"/>
        <w:ind w:firstLine="480" w:firstLineChars="200"/>
        <w:rPr>
          <w:rFonts w:ascii="宋体" w:hAnsi="宋体"/>
          <w:sz w:val="24"/>
        </w:rPr>
      </w:pPr>
      <w:r>
        <w:rPr>
          <w:rFonts w:hint="eastAsia" w:ascii="宋体" w:hAnsi="宋体"/>
          <w:sz w:val="24"/>
        </w:rPr>
        <w:t>2、</w:t>
      </w:r>
      <w:r>
        <w:rPr>
          <w:rFonts w:hint="eastAsia" w:ascii="宋体" w:hAnsi="宋体" w:cs="宋体"/>
          <w:color w:val="000000"/>
          <w:sz w:val="24"/>
          <w:szCs w:val="20"/>
        </w:rPr>
        <w:t>乙方逾期交付的，每天按照总价千分之五收取违约金，晚到30天以上，甲方有权取消合同并对供货商处以总价5%的违约金。</w:t>
      </w:r>
    </w:p>
    <w:p>
      <w:pPr>
        <w:spacing w:line="360" w:lineRule="auto"/>
        <w:ind w:firstLine="480" w:firstLineChars="200"/>
        <w:rPr>
          <w:rFonts w:ascii="宋体" w:hAnsi="宋体"/>
          <w:sz w:val="24"/>
        </w:rPr>
      </w:pPr>
      <w:r>
        <w:rPr>
          <w:rFonts w:hint="eastAsia" w:ascii="宋体" w:hAnsi="宋体"/>
          <w:sz w:val="24"/>
        </w:rPr>
        <w:t>3、乙方所交的货物品种、型号、规格、技术参数、质量不符合合同规定及招标文件规定标准的，甲方有权拒收该货物，乙方愿意更换货物但逾期交货的，按乙方逾期交货处理。乙方拒绝更换货物的，甲方可单方面解除合同。</w:t>
      </w:r>
    </w:p>
    <w:p>
      <w:pPr>
        <w:widowControl/>
        <w:snapToGrid w:val="0"/>
        <w:spacing w:line="360" w:lineRule="auto"/>
        <w:ind w:firstLine="480" w:firstLineChars="200"/>
        <w:rPr>
          <w:rFonts w:ascii="宋体" w:hAnsi="宋体"/>
          <w:sz w:val="24"/>
        </w:rPr>
      </w:pPr>
      <w:r>
        <w:rPr>
          <w:rFonts w:hint="eastAsia" w:ascii="宋体" w:hAnsi="宋体"/>
          <w:sz w:val="24"/>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pPr>
        <w:widowControl/>
        <w:snapToGrid w:val="0"/>
        <w:spacing w:line="360" w:lineRule="auto"/>
        <w:ind w:firstLine="480" w:firstLineChars="200"/>
        <w:rPr>
          <w:rFonts w:ascii="宋体" w:hAnsi="宋体"/>
          <w:sz w:val="24"/>
        </w:rPr>
      </w:pPr>
      <w:r>
        <w:rPr>
          <w:rFonts w:hint="eastAsia" w:ascii="宋体" w:hAnsi="宋体"/>
          <w:sz w:val="24"/>
        </w:rPr>
        <w:t>十一、 合同的变更和终止</w:t>
      </w:r>
    </w:p>
    <w:p>
      <w:pPr>
        <w:widowControl/>
        <w:snapToGrid w:val="0"/>
        <w:spacing w:line="360" w:lineRule="auto"/>
        <w:ind w:firstLine="480" w:firstLineChars="200"/>
        <w:rPr>
          <w:rFonts w:ascii="宋体" w:hAnsi="宋体"/>
          <w:sz w:val="24"/>
        </w:rPr>
      </w:pPr>
      <w:r>
        <w:rPr>
          <w:rFonts w:hint="eastAsia" w:ascii="宋体" w:hAnsi="宋体"/>
          <w:sz w:val="24"/>
        </w:rPr>
        <w:t>除《政府采购法》第49条、第50条第二款规定的情形外，本合同一经签订，甲乙双方不得擅自变更、中止或终止合同。</w:t>
      </w:r>
    </w:p>
    <w:p>
      <w:pPr>
        <w:widowControl/>
        <w:snapToGrid w:val="0"/>
        <w:spacing w:line="360" w:lineRule="auto"/>
        <w:ind w:firstLine="480" w:firstLineChars="200"/>
        <w:rPr>
          <w:rFonts w:ascii="宋体" w:hAnsi="宋体"/>
          <w:sz w:val="24"/>
        </w:rPr>
      </w:pPr>
      <w:r>
        <w:rPr>
          <w:rFonts w:hint="eastAsia" w:ascii="宋体" w:hAnsi="宋体"/>
          <w:sz w:val="24"/>
        </w:rPr>
        <w:t>十二、合同的转让</w:t>
      </w:r>
    </w:p>
    <w:p>
      <w:pPr>
        <w:widowControl/>
        <w:snapToGrid w:val="0"/>
        <w:spacing w:line="360" w:lineRule="auto"/>
        <w:ind w:firstLine="480" w:firstLineChars="200"/>
        <w:rPr>
          <w:rFonts w:ascii="宋体" w:hAnsi="宋体"/>
          <w:sz w:val="24"/>
        </w:rPr>
      </w:pPr>
      <w:r>
        <w:rPr>
          <w:rFonts w:hint="eastAsia" w:ascii="宋体" w:hAnsi="宋体"/>
          <w:sz w:val="24"/>
        </w:rPr>
        <w:t>乙方不得擅自部分或全部转让其应履行的合同义务。</w:t>
      </w:r>
    </w:p>
    <w:p>
      <w:pPr>
        <w:widowControl/>
        <w:snapToGrid w:val="0"/>
        <w:spacing w:line="360" w:lineRule="auto"/>
        <w:ind w:firstLine="480" w:firstLineChars="200"/>
        <w:rPr>
          <w:rFonts w:ascii="宋体" w:hAnsi="宋体"/>
          <w:sz w:val="24"/>
        </w:rPr>
      </w:pPr>
      <w:r>
        <w:rPr>
          <w:rFonts w:hint="eastAsia" w:ascii="宋体" w:hAnsi="宋体"/>
          <w:sz w:val="24"/>
        </w:rPr>
        <w:t>十三、 争议的解决</w:t>
      </w:r>
    </w:p>
    <w:p>
      <w:pPr>
        <w:widowControl/>
        <w:snapToGrid w:val="0"/>
        <w:spacing w:line="360" w:lineRule="auto"/>
        <w:ind w:firstLine="480" w:firstLineChars="200"/>
        <w:rPr>
          <w:rFonts w:ascii="宋体" w:hAnsi="宋体"/>
          <w:sz w:val="24"/>
        </w:rPr>
      </w:pPr>
      <w:r>
        <w:rPr>
          <w:rFonts w:hint="eastAsia" w:ascii="宋体" w:hAnsi="宋体"/>
          <w:sz w:val="24"/>
        </w:rPr>
        <w:t>1、因货物的质量问题发生争议的，应当邀请国家认可的质量检测机构对货物质量进行鉴定。货物符合标准的，鉴定费由甲方承担；货物不符合质量标准的，鉴定费由乙方承担、并更换有问题商品或部件。</w:t>
      </w:r>
    </w:p>
    <w:p>
      <w:pPr>
        <w:widowControl/>
        <w:snapToGrid w:val="0"/>
        <w:spacing w:line="360" w:lineRule="auto"/>
        <w:ind w:firstLine="480" w:firstLineChars="200"/>
        <w:rPr>
          <w:rFonts w:ascii="宋体" w:hAnsi="宋体"/>
          <w:sz w:val="24"/>
        </w:rPr>
      </w:pPr>
      <w:r>
        <w:rPr>
          <w:rFonts w:hint="eastAsia" w:ascii="宋体" w:hAnsi="宋体"/>
          <w:sz w:val="24"/>
        </w:rPr>
        <w:t>2、因履行本合同引起的或与本合同有关的争议，甲、乙双方应首先通过友好协商解决，如果协商不能解决争议，任何一方均可向甲方所在地人民法院起诉解决。</w:t>
      </w:r>
    </w:p>
    <w:p>
      <w:pPr>
        <w:widowControl/>
        <w:snapToGrid w:val="0"/>
        <w:spacing w:line="360" w:lineRule="auto"/>
        <w:ind w:firstLine="480" w:firstLineChars="200"/>
        <w:rPr>
          <w:rFonts w:ascii="宋体" w:hAnsi="宋体"/>
          <w:sz w:val="24"/>
        </w:rPr>
      </w:pPr>
      <w:r>
        <w:rPr>
          <w:rFonts w:hint="eastAsia" w:ascii="宋体" w:hAnsi="宋体"/>
          <w:sz w:val="24"/>
        </w:rPr>
        <w:t>十四、付款前乙方须提供</w:t>
      </w:r>
      <w:r>
        <w:rPr>
          <w:rFonts w:hint="eastAsia" w:ascii="宋体" w:hAnsi="宋体"/>
          <w:sz w:val="24"/>
          <w:u w:val="single"/>
        </w:rPr>
        <w:t>增值税专用发票</w:t>
      </w:r>
      <w:r>
        <w:rPr>
          <w:rFonts w:hint="eastAsia" w:ascii="宋体" w:hAnsi="宋体"/>
          <w:sz w:val="24"/>
        </w:rPr>
        <w:t>，总价不变。</w:t>
      </w:r>
    </w:p>
    <w:tbl>
      <w:tblPr>
        <w:tblStyle w:val="15"/>
        <w:tblpPr w:leftFromText="180" w:rightFromText="180" w:vertAnchor="text" w:horzAnchor="page" w:tblpX="1759" w:tblpY="1413"/>
        <w:tblOverlap w:val="never"/>
        <w:tblW w:w="87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119"/>
        <w:gridCol w:w="36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119" w:type="dxa"/>
            <w:tcBorders>
              <w:tl2br w:val="nil"/>
              <w:tr2bl w:val="nil"/>
            </w:tcBorders>
          </w:tcPr>
          <w:p>
            <w:pPr>
              <w:rPr>
                <w:rFonts w:hint="eastAsia" w:eastAsia="宋体"/>
                <w:sz w:val="24"/>
                <w:szCs w:val="24"/>
                <w:vertAlign w:val="baseline"/>
                <w:lang w:val="en-US" w:eastAsia="zh-CN"/>
              </w:rPr>
            </w:pPr>
            <w:r>
              <w:rPr>
                <w:rFonts w:hint="eastAsia"/>
                <w:sz w:val="24"/>
                <w:szCs w:val="24"/>
                <w:vertAlign w:val="baseline"/>
                <w:lang w:val="en-US" w:eastAsia="zh-CN"/>
              </w:rPr>
              <w:t>甲方</w:t>
            </w:r>
          </w:p>
        </w:tc>
        <w:tc>
          <w:tcPr>
            <w:tcW w:w="3600" w:type="dxa"/>
            <w:tcBorders>
              <w:tl2br w:val="nil"/>
              <w:tr2bl w:val="nil"/>
            </w:tcBorders>
          </w:tcPr>
          <w:p>
            <w:pPr>
              <w:rPr>
                <w:rFonts w:hint="eastAsia" w:eastAsia="宋体"/>
                <w:sz w:val="24"/>
                <w:szCs w:val="24"/>
                <w:vertAlign w:val="baseline"/>
                <w:lang w:val="en-US" w:eastAsia="zh-CN"/>
              </w:rPr>
            </w:pPr>
            <w:r>
              <w:rPr>
                <w:rFonts w:hint="eastAsia"/>
                <w:sz w:val="24"/>
                <w:szCs w:val="24"/>
                <w:vertAlign w:val="baseline"/>
                <w:lang w:val="en-US" w:eastAsia="zh-CN"/>
              </w:rPr>
              <w:t>乙方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5119" w:type="dxa"/>
            <w:tcBorders>
              <w:tl2br w:val="nil"/>
              <w:tr2bl w:val="nil"/>
            </w:tcBorders>
          </w:tcPr>
          <w:p>
            <w:pPr>
              <w:rPr>
                <w:rFonts w:hint="eastAsia" w:eastAsia="宋体"/>
                <w:sz w:val="24"/>
                <w:szCs w:val="24"/>
                <w:vertAlign w:val="baseline"/>
                <w:lang w:val="en-US" w:eastAsia="zh-CN"/>
              </w:rPr>
            </w:pPr>
            <w:r>
              <w:rPr>
                <w:rFonts w:hint="eastAsia"/>
                <w:sz w:val="24"/>
                <w:szCs w:val="24"/>
                <w:vertAlign w:val="baseline"/>
                <w:lang w:val="en-US" w:eastAsia="zh-CN"/>
              </w:rPr>
              <w:t>单位名称：</w:t>
            </w:r>
          </w:p>
        </w:tc>
        <w:tc>
          <w:tcPr>
            <w:tcW w:w="3600" w:type="dxa"/>
            <w:tcBorders>
              <w:tl2br w:val="nil"/>
              <w:tr2bl w:val="nil"/>
            </w:tcBorders>
            <w:shd w:val="clear" w:color="auto" w:fill="auto"/>
            <w:vAlign w:val="top"/>
          </w:tcPr>
          <w:p>
            <w:pPr>
              <w:rPr>
                <w:rFonts w:hint="default" w:ascii="Times New Roman" w:hAnsi="Times New Roman" w:eastAsia="宋体" w:cs="Times New Roman"/>
                <w:kern w:val="2"/>
                <w:sz w:val="24"/>
                <w:szCs w:val="24"/>
                <w:vertAlign w:val="baseline"/>
                <w:lang w:val="en-US" w:eastAsia="zh-CN" w:bidi="ar-SA"/>
              </w:rPr>
            </w:pPr>
            <w:r>
              <w:rPr>
                <w:rFonts w:hint="eastAsia"/>
                <w:sz w:val="24"/>
                <w:szCs w:val="24"/>
                <w:vertAlign w:val="baseline"/>
                <w:lang w:val="en-US" w:eastAsia="zh-CN"/>
              </w:rPr>
              <w:t>单位名称：北京安心易维科技有限公司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5119" w:type="dxa"/>
            <w:tcBorders>
              <w:tl2br w:val="nil"/>
              <w:tr2bl w:val="nil"/>
            </w:tcBorders>
          </w:tcPr>
          <w:p>
            <w:pPr>
              <w:rPr>
                <w:rFonts w:hint="eastAsia" w:eastAsia="宋体"/>
                <w:sz w:val="24"/>
                <w:szCs w:val="24"/>
                <w:vertAlign w:val="baseline"/>
                <w:lang w:val="en-US" w:eastAsia="zh-CN"/>
              </w:rPr>
            </w:pPr>
            <w:r>
              <w:rPr>
                <w:rFonts w:hint="eastAsia"/>
                <w:sz w:val="24"/>
                <w:szCs w:val="24"/>
                <w:vertAlign w:val="baseline"/>
                <w:lang w:val="en-US" w:eastAsia="zh-CN"/>
              </w:rPr>
              <w:t>单位地址：</w:t>
            </w:r>
          </w:p>
        </w:tc>
        <w:tc>
          <w:tcPr>
            <w:tcW w:w="3600" w:type="dxa"/>
            <w:tcBorders>
              <w:tl2br w:val="nil"/>
              <w:tr2bl w:val="nil"/>
            </w:tcBorders>
            <w:shd w:val="clear" w:color="auto" w:fill="auto"/>
            <w:vAlign w:val="top"/>
          </w:tcPr>
          <w:p>
            <w:pPr>
              <w:rPr>
                <w:rFonts w:hint="eastAsia" w:ascii="Times New Roman" w:hAnsi="Times New Roman" w:eastAsia="宋体" w:cs="Times New Roman"/>
                <w:kern w:val="2"/>
                <w:sz w:val="24"/>
                <w:szCs w:val="24"/>
                <w:vertAlign w:val="baseline"/>
                <w:lang w:val="en-US" w:eastAsia="zh-CN" w:bidi="ar-SA"/>
              </w:rPr>
            </w:pPr>
            <w:r>
              <w:rPr>
                <w:rFonts w:hint="eastAsia"/>
                <w:sz w:val="24"/>
                <w:szCs w:val="24"/>
                <w:vertAlign w:val="baseline"/>
                <w:lang w:val="en-US" w:eastAsia="zh-CN"/>
              </w:rPr>
              <w:t>单位地址：北京市怀柔区九渡河镇怀长路8号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6" w:hRule="atLeast"/>
        </w:trPr>
        <w:tc>
          <w:tcPr>
            <w:tcW w:w="5119" w:type="dxa"/>
            <w:tcBorders>
              <w:tl2br w:val="nil"/>
              <w:tr2bl w:val="nil"/>
            </w:tcBorders>
          </w:tcPr>
          <w:p>
            <w:pPr>
              <w:rPr>
                <w:rFonts w:hint="eastAsia" w:eastAsia="宋体"/>
                <w:sz w:val="24"/>
                <w:szCs w:val="24"/>
                <w:vertAlign w:val="baseline"/>
                <w:lang w:val="en-US" w:eastAsia="zh-CN"/>
              </w:rPr>
            </w:pPr>
            <w:r>
              <w:rPr>
                <w:rFonts w:hint="eastAsia"/>
                <w:sz w:val="24"/>
                <w:szCs w:val="24"/>
                <w:vertAlign w:val="baseline"/>
                <w:lang w:val="en-US" w:eastAsia="zh-CN"/>
              </w:rPr>
              <w:t>法定代表人：</w:t>
            </w:r>
          </w:p>
        </w:tc>
        <w:tc>
          <w:tcPr>
            <w:tcW w:w="3600" w:type="dxa"/>
            <w:tcBorders>
              <w:tl2br w:val="nil"/>
              <w:tr2bl w:val="nil"/>
            </w:tcBorders>
            <w:shd w:val="clear" w:color="auto" w:fill="auto"/>
            <w:vAlign w:val="top"/>
          </w:tcPr>
          <w:p>
            <w:pPr>
              <w:rPr>
                <w:rFonts w:hint="default" w:ascii="Times New Roman" w:hAnsi="Times New Roman" w:eastAsia="宋体" w:cs="Times New Roman"/>
                <w:kern w:val="2"/>
                <w:sz w:val="24"/>
                <w:szCs w:val="24"/>
                <w:vertAlign w:val="baseline"/>
                <w:lang w:val="en-US" w:eastAsia="zh-CN" w:bidi="ar-SA"/>
              </w:rPr>
            </w:pPr>
            <w:r>
              <w:rPr>
                <w:rFonts w:hint="eastAsia"/>
                <w:sz w:val="24"/>
                <w:szCs w:val="24"/>
                <w:vertAlign w:val="baseline"/>
                <w:lang w:val="en-US" w:eastAsia="zh-CN"/>
              </w:rPr>
              <w:t>法定代表人：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5119" w:type="dxa"/>
            <w:tcBorders>
              <w:tl2br w:val="nil"/>
              <w:tr2bl w:val="nil"/>
            </w:tcBorders>
          </w:tcPr>
          <w:p>
            <w:pPr>
              <w:rPr>
                <w:rFonts w:hint="eastAsia" w:eastAsia="宋体"/>
                <w:sz w:val="24"/>
                <w:szCs w:val="24"/>
                <w:vertAlign w:val="baseline"/>
                <w:lang w:val="en-US" w:eastAsia="zh-CN"/>
              </w:rPr>
            </w:pPr>
            <w:r>
              <w:rPr>
                <w:rFonts w:hint="eastAsia"/>
                <w:sz w:val="24"/>
                <w:szCs w:val="24"/>
                <w:vertAlign w:val="baseline"/>
                <w:lang w:val="en-US" w:eastAsia="zh-CN"/>
              </w:rPr>
              <w:t>委托代理人（签字）：</w:t>
            </w:r>
          </w:p>
        </w:tc>
        <w:tc>
          <w:tcPr>
            <w:tcW w:w="3600" w:type="dxa"/>
            <w:tcBorders>
              <w:tl2br w:val="nil"/>
              <w:tr2bl w:val="nil"/>
            </w:tcBorders>
            <w:shd w:val="clear" w:color="auto" w:fill="auto"/>
            <w:vAlign w:val="top"/>
          </w:tcPr>
          <w:p>
            <w:pPr>
              <w:rPr>
                <w:rFonts w:hint="eastAsia" w:ascii="Times New Roman" w:hAnsi="Times New Roman" w:eastAsia="宋体" w:cs="Times New Roman"/>
                <w:kern w:val="2"/>
                <w:sz w:val="24"/>
                <w:szCs w:val="24"/>
                <w:vertAlign w:val="baseline"/>
                <w:lang w:val="en-US" w:eastAsia="zh-CN" w:bidi="ar-SA"/>
              </w:rPr>
            </w:pPr>
            <w:r>
              <w:rPr>
                <w:rFonts w:hint="eastAsia"/>
                <w:sz w:val="24"/>
                <w:szCs w:val="24"/>
                <w:vertAlign w:val="baseline"/>
                <w:lang w:val="en-US" w:eastAsia="zh-CN"/>
              </w:rPr>
              <w:t>委托代理人（签字）：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6" w:hRule="atLeast"/>
        </w:trPr>
        <w:tc>
          <w:tcPr>
            <w:tcW w:w="5119" w:type="dxa"/>
            <w:tcBorders>
              <w:tl2br w:val="nil"/>
              <w:tr2bl w:val="nil"/>
            </w:tcBorders>
          </w:tcPr>
          <w:p>
            <w:pPr>
              <w:rPr>
                <w:rFonts w:hint="eastAsia" w:eastAsia="宋体"/>
                <w:sz w:val="24"/>
                <w:szCs w:val="24"/>
                <w:vertAlign w:val="baseline"/>
                <w:lang w:val="en-US" w:eastAsia="zh-CN"/>
              </w:rPr>
            </w:pPr>
            <w:r>
              <w:rPr>
                <w:rFonts w:hint="eastAsia"/>
                <w:sz w:val="24"/>
                <w:szCs w:val="24"/>
                <w:vertAlign w:val="baseline"/>
                <w:lang w:val="en-US" w:eastAsia="zh-CN"/>
              </w:rPr>
              <w:t>联系电话：</w:t>
            </w:r>
          </w:p>
        </w:tc>
        <w:tc>
          <w:tcPr>
            <w:tcW w:w="3600" w:type="dxa"/>
            <w:tcBorders>
              <w:tl2br w:val="nil"/>
              <w:tr2bl w:val="nil"/>
            </w:tcBorders>
            <w:shd w:val="clear" w:color="auto" w:fill="auto"/>
            <w:vAlign w:val="top"/>
          </w:tcPr>
          <w:p>
            <w:pPr>
              <w:rPr>
                <w:rFonts w:hint="eastAsia" w:ascii="Times New Roman" w:hAnsi="Times New Roman" w:eastAsia="宋体" w:cs="Times New Roman"/>
                <w:kern w:val="2"/>
                <w:sz w:val="24"/>
                <w:szCs w:val="24"/>
                <w:vertAlign w:val="baseline"/>
                <w:lang w:val="en-US" w:eastAsia="zh-CN" w:bidi="ar-SA"/>
              </w:rPr>
            </w:pPr>
            <w:r>
              <w:rPr>
                <w:rFonts w:hint="eastAsia"/>
                <w:sz w:val="24"/>
                <w:szCs w:val="24"/>
                <w:vertAlign w:val="baseline"/>
                <w:lang w:val="en-US" w:eastAsia="zh-CN"/>
              </w:rPr>
              <w:t>联系电话：15311695822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5119" w:type="dxa"/>
            <w:tcBorders>
              <w:tl2br w:val="nil"/>
              <w:tr2bl w:val="nil"/>
            </w:tcBorders>
          </w:tcPr>
          <w:p>
            <w:pPr>
              <w:rPr>
                <w:rFonts w:hint="eastAsia" w:eastAsia="宋体"/>
                <w:sz w:val="24"/>
                <w:szCs w:val="24"/>
                <w:vertAlign w:val="baseline"/>
                <w:lang w:val="en-US" w:eastAsia="zh-CN"/>
              </w:rPr>
            </w:pPr>
            <w:r>
              <w:rPr>
                <w:rFonts w:hint="eastAsia"/>
                <w:sz w:val="24"/>
                <w:szCs w:val="24"/>
                <w:vertAlign w:val="baseline"/>
                <w:lang w:val="en-US" w:eastAsia="zh-CN"/>
              </w:rPr>
              <w:t>开户银行：</w:t>
            </w:r>
          </w:p>
        </w:tc>
        <w:tc>
          <w:tcPr>
            <w:tcW w:w="3600" w:type="dxa"/>
            <w:tcBorders>
              <w:tl2br w:val="nil"/>
              <w:tr2bl w:val="nil"/>
            </w:tcBorders>
            <w:shd w:val="clear" w:color="auto" w:fill="auto"/>
            <w:vAlign w:val="top"/>
          </w:tcPr>
          <w:p>
            <w:pPr>
              <w:rPr>
                <w:rFonts w:hint="eastAsia" w:ascii="Times New Roman" w:hAnsi="Times New Roman" w:eastAsia="宋体" w:cs="Times New Roman"/>
                <w:kern w:val="2"/>
                <w:sz w:val="24"/>
                <w:szCs w:val="24"/>
                <w:vertAlign w:val="baseline"/>
                <w:lang w:val="en-US" w:eastAsia="zh-CN" w:bidi="ar-SA"/>
              </w:rPr>
            </w:pPr>
            <w:r>
              <w:rPr>
                <w:rFonts w:hint="eastAsia"/>
                <w:sz w:val="24"/>
                <w:szCs w:val="24"/>
                <w:vertAlign w:val="baseline"/>
                <w:lang w:val="en-US" w:eastAsia="zh-CN"/>
              </w:rPr>
              <w:t>开户银行；中国银行北京回龙观东区支行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5119" w:type="dxa"/>
            <w:tcBorders>
              <w:tl2br w:val="nil"/>
              <w:tr2bl w:val="nil"/>
            </w:tcBorders>
          </w:tcPr>
          <w:p>
            <w:pPr>
              <w:rPr>
                <w:rFonts w:hint="eastAsia" w:eastAsia="宋体"/>
                <w:sz w:val="24"/>
                <w:szCs w:val="24"/>
                <w:vertAlign w:val="baseline"/>
                <w:lang w:val="en-US" w:eastAsia="zh-CN"/>
              </w:rPr>
            </w:pPr>
            <w:r>
              <w:rPr>
                <w:rFonts w:hint="eastAsia"/>
                <w:sz w:val="24"/>
                <w:szCs w:val="24"/>
                <w:vertAlign w:val="baseline"/>
                <w:lang w:val="en-US" w:eastAsia="zh-CN"/>
              </w:rPr>
              <w:t>户名：</w:t>
            </w:r>
          </w:p>
        </w:tc>
        <w:tc>
          <w:tcPr>
            <w:tcW w:w="3600" w:type="dxa"/>
            <w:tcBorders>
              <w:tl2br w:val="nil"/>
              <w:tr2bl w:val="nil"/>
            </w:tcBorders>
            <w:shd w:val="clear" w:color="auto" w:fill="auto"/>
            <w:vAlign w:val="top"/>
          </w:tcPr>
          <w:p>
            <w:pPr>
              <w:rPr>
                <w:rFonts w:hint="eastAsia" w:ascii="Times New Roman" w:hAnsi="Times New Roman" w:eastAsia="宋体" w:cs="Times New Roman"/>
                <w:kern w:val="2"/>
                <w:sz w:val="24"/>
                <w:szCs w:val="24"/>
                <w:vertAlign w:val="baseline"/>
                <w:lang w:val="en-US" w:eastAsia="zh-CN" w:bidi="ar-SA"/>
              </w:rPr>
            </w:pPr>
            <w:r>
              <w:rPr>
                <w:rFonts w:hint="eastAsia"/>
                <w:sz w:val="24"/>
                <w:szCs w:val="24"/>
                <w:vertAlign w:val="baseline"/>
                <w:lang w:val="en-US" w:eastAsia="zh-CN"/>
              </w:rPr>
              <w:t>户名：北京安心易维科技有限公司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5119" w:type="dxa"/>
            <w:tcBorders>
              <w:tl2br w:val="nil"/>
              <w:tr2bl w:val="nil"/>
            </w:tcBorders>
          </w:tcPr>
          <w:p>
            <w:pPr>
              <w:rPr>
                <w:rFonts w:hint="eastAsia" w:eastAsia="宋体"/>
                <w:sz w:val="24"/>
                <w:szCs w:val="24"/>
                <w:vertAlign w:val="baseline"/>
                <w:lang w:val="en-US" w:eastAsia="zh-CN"/>
              </w:rPr>
            </w:pPr>
            <w:r>
              <w:rPr>
                <w:rFonts w:hint="eastAsia"/>
                <w:sz w:val="24"/>
                <w:szCs w:val="24"/>
                <w:vertAlign w:val="baseline"/>
                <w:lang w:val="en-US" w:eastAsia="zh-CN"/>
              </w:rPr>
              <w:t>账号：</w:t>
            </w:r>
          </w:p>
        </w:tc>
        <w:tc>
          <w:tcPr>
            <w:tcW w:w="3600" w:type="dxa"/>
            <w:tcBorders>
              <w:tl2br w:val="nil"/>
              <w:tr2bl w:val="nil"/>
            </w:tcBorders>
            <w:shd w:val="clear" w:color="auto" w:fill="auto"/>
            <w:vAlign w:val="top"/>
          </w:tcPr>
          <w:p>
            <w:pPr>
              <w:rPr>
                <w:rFonts w:hint="eastAsia" w:ascii="Times New Roman" w:hAnsi="Times New Roman" w:eastAsia="宋体" w:cs="Times New Roman"/>
                <w:kern w:val="2"/>
                <w:sz w:val="24"/>
                <w:szCs w:val="24"/>
                <w:vertAlign w:val="baseline"/>
                <w:lang w:val="en-US" w:eastAsia="zh-CN" w:bidi="ar-SA"/>
              </w:rPr>
            </w:pPr>
            <w:r>
              <w:rPr>
                <w:rFonts w:hint="eastAsia"/>
                <w:sz w:val="24"/>
                <w:szCs w:val="24"/>
                <w:vertAlign w:val="baseline"/>
                <w:lang w:val="en-US" w:eastAsia="zh-CN"/>
              </w:rPr>
              <w:t>账号：3506 4961 1118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119" w:type="dxa"/>
            <w:tcBorders>
              <w:tl2br w:val="nil"/>
              <w:tr2bl w:val="nil"/>
            </w:tcBorders>
          </w:tcPr>
          <w:p>
            <w:pPr>
              <w:rPr>
                <w:rFonts w:hint="default" w:eastAsia="宋体"/>
                <w:sz w:val="24"/>
                <w:szCs w:val="24"/>
                <w:vertAlign w:val="baseline"/>
                <w:lang w:val="en-US" w:eastAsia="zh-CN"/>
              </w:rPr>
            </w:pPr>
            <w:r>
              <w:rPr>
                <w:rFonts w:hint="eastAsia"/>
                <w:sz w:val="24"/>
                <w:szCs w:val="24"/>
                <w:vertAlign w:val="baseline"/>
                <w:lang w:val="en-US" w:eastAsia="zh-CN"/>
              </w:rPr>
              <w:t>统一社会信用代码：</w:t>
            </w:r>
          </w:p>
        </w:tc>
        <w:tc>
          <w:tcPr>
            <w:tcW w:w="3600" w:type="dxa"/>
            <w:tcBorders>
              <w:tl2br w:val="nil"/>
              <w:tr2bl w:val="nil"/>
            </w:tcBorders>
          </w:tcPr>
          <w:p>
            <w:pPr>
              <w:rPr>
                <w:rFonts w:hint="eastAsia" w:eastAsia="宋体"/>
                <w:sz w:val="24"/>
                <w:szCs w:val="24"/>
                <w:vertAlign w:val="baseline"/>
                <w:lang w:val="en-US" w:eastAsia="zh-CN"/>
              </w:rPr>
            </w:pPr>
            <w:r>
              <w:rPr>
                <w:rFonts w:hint="eastAsia"/>
                <w:sz w:val="24"/>
                <w:szCs w:val="24"/>
                <w:vertAlign w:val="baseline"/>
                <w:lang w:val="en-US" w:eastAsia="zh-CN"/>
              </w:rPr>
              <w:t>行号：104100006239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5119" w:type="dxa"/>
            <w:tcBorders>
              <w:tl2br w:val="nil"/>
              <w:tr2bl w:val="nil"/>
            </w:tcBorders>
          </w:tcPr>
          <w:p>
            <w:pPr>
              <w:rPr>
                <w:rFonts w:hint="default" w:eastAsia="宋体"/>
                <w:sz w:val="24"/>
                <w:szCs w:val="24"/>
                <w:vertAlign w:val="baseline"/>
                <w:lang w:val="en-US" w:eastAsia="zh-CN"/>
              </w:rPr>
            </w:pPr>
            <w:r>
              <w:rPr>
                <w:rFonts w:hint="eastAsia"/>
                <w:sz w:val="24"/>
                <w:szCs w:val="24"/>
                <w:vertAlign w:val="baseline"/>
                <w:lang w:val="en-US" w:eastAsia="zh-CN"/>
              </w:rPr>
              <w:t>地址、电话：</w:t>
            </w:r>
          </w:p>
        </w:tc>
        <w:tc>
          <w:tcPr>
            <w:tcW w:w="3600" w:type="dxa"/>
            <w:tcBorders>
              <w:tl2br w:val="nil"/>
              <w:tr2bl w:val="nil"/>
            </w:tcBorders>
          </w:tcPr>
          <w:p>
            <w:pPr>
              <w:rPr>
                <w:rFonts w:hint="default" w:eastAsia="宋体"/>
                <w:sz w:val="24"/>
                <w:szCs w:val="24"/>
                <w:vertAlign w:val="baseline"/>
                <w:lang w:val="en-US" w:eastAsia="zh-CN"/>
              </w:rPr>
            </w:pPr>
            <w:r>
              <w:rPr>
                <w:rFonts w:hint="eastAsia"/>
                <w:sz w:val="24"/>
                <w:szCs w:val="24"/>
                <w:vertAlign w:val="baseline"/>
                <w:lang w:val="en-US" w:eastAsia="zh-CN"/>
              </w:rPr>
              <w:t>项目联系人：赵思静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trPr>
        <w:tc>
          <w:tcPr>
            <w:tcW w:w="5119" w:type="dxa"/>
            <w:tcBorders>
              <w:tl2br w:val="nil"/>
              <w:tr2bl w:val="nil"/>
            </w:tcBorders>
          </w:tcPr>
          <w:p>
            <w:pPr>
              <w:rPr>
                <w:rFonts w:hint="default" w:eastAsia="宋体"/>
                <w:sz w:val="24"/>
                <w:szCs w:val="24"/>
                <w:vertAlign w:val="baseline"/>
                <w:lang w:val="en-US" w:eastAsia="zh-CN"/>
              </w:rPr>
            </w:pPr>
            <w:r>
              <w:rPr>
                <w:rFonts w:hint="eastAsia"/>
                <w:sz w:val="24"/>
                <w:szCs w:val="24"/>
                <w:vertAlign w:val="baseline"/>
                <w:lang w:val="en-US" w:eastAsia="zh-CN"/>
              </w:rPr>
              <w:t>签约日期（即合同生效日期）：    年  月  日</w:t>
            </w:r>
          </w:p>
        </w:tc>
        <w:tc>
          <w:tcPr>
            <w:tcW w:w="3600" w:type="dxa"/>
            <w:tcBorders>
              <w:tl2br w:val="nil"/>
              <w:tr2bl w:val="nil"/>
            </w:tcBorders>
          </w:tcPr>
          <w:p>
            <w:pPr>
              <w:rPr>
                <w:rFonts w:hint="default" w:eastAsia="宋体"/>
                <w:sz w:val="24"/>
                <w:szCs w:val="24"/>
                <w:vertAlign w:val="baseline"/>
                <w:lang w:val="en-US" w:eastAsia="zh-CN"/>
              </w:rPr>
            </w:pPr>
            <w:r>
              <w:rPr>
                <w:rFonts w:hint="eastAsia"/>
                <w:sz w:val="24"/>
                <w:szCs w:val="24"/>
                <w:vertAlign w:val="baseline"/>
                <w:lang w:val="en-US" w:eastAsia="zh-CN"/>
              </w:rPr>
              <w:t>联系电话:15311695822</w:t>
            </w:r>
          </w:p>
        </w:tc>
      </w:tr>
    </w:tbl>
    <w:p>
      <w:pPr>
        <w:widowControl/>
        <w:snapToGrid w:val="0"/>
        <w:spacing w:line="360" w:lineRule="auto"/>
        <w:ind w:firstLine="480" w:firstLineChars="200"/>
        <w:rPr>
          <w:rFonts w:ascii="宋体" w:hAnsi="宋体"/>
          <w:sz w:val="24"/>
        </w:rPr>
      </w:pPr>
      <w:r>
        <w:rPr>
          <w:rFonts w:hint="eastAsia" w:ascii="宋体" w:hAnsi="宋体"/>
          <w:sz w:val="24"/>
        </w:rPr>
        <w:t>十五、本合同由甲、乙双方共同签订，合同一式陆份，甲方伍份、乙方壹份。自双方签字、盖章之日起生效。</w:t>
      </w:r>
    </w:p>
    <w:p/>
    <w:p>
      <w:pPr>
        <w:bidi w:val="0"/>
        <w:rPr>
          <w:rFonts w:ascii="Times New Roman" w:hAnsi="Times New Roman" w:eastAsia="宋体" w:cs="Times New Roman"/>
          <w:kern w:val="2"/>
          <w:sz w:val="21"/>
          <w:szCs w:val="24"/>
          <w:lang w:val="en-US" w:eastAsia="zh-CN" w:bidi="ar-SA"/>
        </w:rPr>
      </w:pPr>
    </w:p>
    <w:p>
      <w:pPr>
        <w:bidi w:val="0"/>
        <w:ind w:firstLine="205" w:firstLineChars="0"/>
        <w:jc w:val="left"/>
        <w:rPr>
          <w:lang w:val="en-US" w:eastAsia="zh-CN"/>
        </w:rPr>
      </w:pPr>
    </w:p>
    <w:p>
      <w:pPr>
        <w:pStyle w:val="20"/>
        <w:snapToGrid w:val="0"/>
        <w:spacing w:before="0" w:after="0" w:line="240" w:lineRule="auto"/>
        <w:ind w:firstLine="0" w:firstLineChars="0"/>
        <w:jc w:val="left"/>
        <w:rPr>
          <w:rFonts w:hint="default" w:ascii="宋体" w:hAnsi="宋体"/>
          <w:b/>
          <w:bCs/>
          <w:kern w:val="2"/>
          <w:sz w:val="28"/>
          <w:szCs w:val="28"/>
          <w:lang w:val="en-US" w:eastAsia="zh-CN"/>
        </w:rPr>
      </w:pPr>
      <w:bookmarkStart w:id="167" w:name="_GoBack"/>
      <w:r>
        <w:rPr>
          <w:rFonts w:hint="eastAsia" w:ascii="宋体" w:hAnsi="宋体"/>
          <w:b/>
          <w:bCs/>
          <w:kern w:val="2"/>
          <w:sz w:val="28"/>
          <w:szCs w:val="28"/>
          <w:lang w:val="en-US" w:eastAsia="zh-CN"/>
        </w:rPr>
        <w:t>附件</w:t>
      </w:r>
    </w:p>
    <w:bookmarkEnd w:id="167"/>
    <w:p>
      <w:pPr>
        <w:pStyle w:val="20"/>
        <w:snapToGrid w:val="0"/>
        <w:spacing w:before="0" w:after="0"/>
        <w:ind w:firstLineChars="200"/>
        <w:jc w:val="center"/>
        <w:rPr>
          <w:rFonts w:ascii="宋体" w:hAnsi="宋体"/>
          <w:kern w:val="2"/>
          <w:sz w:val="40"/>
          <w:szCs w:val="40"/>
        </w:rPr>
      </w:pPr>
      <w:r>
        <w:rPr>
          <w:rFonts w:hint="eastAsia" w:ascii="宋体" w:hAnsi="宋体"/>
          <w:b/>
          <w:bCs/>
          <w:kern w:val="2"/>
          <w:sz w:val="40"/>
          <w:szCs w:val="40"/>
          <w:lang w:val="en-US" w:eastAsia="zh-CN"/>
        </w:rPr>
        <w:t>技术售后服务等方案</w:t>
      </w:r>
    </w:p>
    <w:p>
      <w:pPr>
        <w:pStyle w:val="3"/>
        <w:numPr>
          <w:ilvl w:val="0"/>
          <w:numId w:val="0"/>
        </w:numPr>
        <w:ind w:left="420" w:leftChars="0" w:hanging="420" w:firstLineChars="0"/>
        <w:rPr>
          <w:rFonts w:hint="eastAsia" w:ascii="宋体" w:hAnsi="宋体" w:eastAsia="宋体" w:cs="宋体"/>
          <w:sz w:val="24"/>
          <w:szCs w:val="24"/>
        </w:rPr>
      </w:pPr>
      <w:bookmarkStart w:id="0" w:name="_Toc10184"/>
      <w:bookmarkStart w:id="1" w:name="_Toc24392"/>
      <w:bookmarkStart w:id="2" w:name="_Toc61532198"/>
      <w:bookmarkStart w:id="3" w:name="_Toc91832133"/>
      <w:bookmarkStart w:id="4" w:name="_Toc148175919"/>
      <w:bookmarkStart w:id="5" w:name="_Toc86587238"/>
      <w:bookmarkStart w:id="6" w:name="_Toc41384119"/>
      <w:bookmarkStart w:id="7" w:name="_Toc15745"/>
      <w:bookmarkStart w:id="8" w:name="_Toc7296"/>
      <w:bookmarkStart w:id="9" w:name="_Toc59631499"/>
      <w:bookmarkStart w:id="10" w:name="_Toc49934726"/>
      <w:r>
        <w:rPr>
          <w:rFonts w:hint="eastAsia" w:ascii="宋体" w:hAnsi="宋体" w:eastAsia="宋体" w:cs="宋体"/>
          <w:b/>
          <w:bCs w:val="0"/>
          <w:i w:val="0"/>
          <w:iCs w:val="0"/>
          <w:caps w:val="0"/>
          <w:smallCaps w:val="0"/>
          <w:strike w:val="0"/>
          <w:dstrike w:val="0"/>
          <w:vanish w:val="0"/>
          <w:color w:val="000000"/>
          <w:spacing w:val="0"/>
          <w:kern w:val="2"/>
          <w:position w:val="0"/>
          <w:sz w:val="24"/>
          <w:szCs w:val="24"/>
          <w:u w:val="none"/>
          <w:vertAlign w:val="baseline"/>
          <w:lang w:val="en-US" w:eastAsia="zh-CN" w:bidi="ar-SA"/>
          <w14:ligatures w14:val="none"/>
          <w14:numForm w14:val="default"/>
          <w14:numSpacing w14:val="default"/>
        </w:rPr>
        <w:t>(一)</w:t>
      </w:r>
      <w:r>
        <w:rPr>
          <w:rFonts w:hint="eastAsia" w:ascii="宋体" w:hAnsi="宋体" w:eastAsia="宋体" w:cs="宋体"/>
          <w:sz w:val="24"/>
          <w:szCs w:val="24"/>
        </w:rPr>
        <w:t>概述</w:t>
      </w:r>
      <w:bookmarkEnd w:id="0"/>
      <w:bookmarkEnd w:id="1"/>
      <w:bookmarkEnd w:id="2"/>
      <w:bookmarkEnd w:id="3"/>
      <w:bookmarkEnd w:id="4"/>
      <w:bookmarkEnd w:id="5"/>
    </w:p>
    <w:bookmarkEnd w:id="6"/>
    <w:bookmarkEnd w:id="7"/>
    <w:bookmarkEnd w:id="8"/>
    <w:bookmarkEnd w:id="9"/>
    <w:bookmarkEnd w:id="10"/>
    <w:p>
      <w:pPr>
        <w:pStyle w:val="21"/>
        <w:numPr>
          <w:ilvl w:val="0"/>
          <w:numId w:val="0"/>
        </w:numPr>
        <w:tabs>
          <w:tab w:val="left" w:pos="960"/>
        </w:tabs>
        <w:ind w:left="420" w:leftChars="0" w:hanging="420" w:firstLineChars="0"/>
        <w:rPr>
          <w:rFonts w:hint="eastAsia" w:ascii="宋体" w:hAnsi="宋体" w:eastAsia="宋体" w:cs="宋体"/>
          <w:sz w:val="24"/>
          <w:szCs w:val="24"/>
        </w:rPr>
      </w:pPr>
      <w:bookmarkStart w:id="11" w:name="_Toc91832134"/>
      <w:bookmarkStart w:id="12" w:name="_Toc29083"/>
      <w:bookmarkStart w:id="13" w:name="_Toc148175920"/>
      <w:r>
        <w:rPr>
          <w:rFonts w:hint="eastAsia" w:ascii="宋体" w:hAnsi="宋体" w:eastAsia="宋体" w:cs="宋体"/>
          <w:b/>
          <w:bCs w:val="0"/>
          <w:kern w:val="0"/>
          <w:sz w:val="24"/>
          <w:szCs w:val="24"/>
          <w:lang w:val="en-US" w:eastAsia="zh-CN" w:bidi="ar-SA"/>
        </w:rPr>
        <w:t>1.</w:t>
      </w:r>
      <w:r>
        <w:rPr>
          <w:rFonts w:hint="eastAsia" w:ascii="宋体" w:hAnsi="宋体" w:eastAsia="宋体" w:cs="宋体"/>
          <w:sz w:val="24"/>
          <w:szCs w:val="24"/>
        </w:rPr>
        <w:t>项目背景</w:t>
      </w:r>
      <w:bookmarkEnd w:id="11"/>
      <w:bookmarkEnd w:id="12"/>
      <w:bookmarkEnd w:id="13"/>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随着经济和科学技术的快速发展，近几十年来对能源的需求不断上涨，导致了能源危机的出现和加剧。为应对这一挑战，发展可再生能源已经是世界趋势。与化石燃料相比，可再生能源不仅能够减少消耗，并且可大程度减少对环境的污染。因而，许多工业化国家采取政策增加可再生能源发电厂的规模，基于可再生能源的发电厂在世界范围内迅速增多。在可再生能源中，太阳能发电是其中技术发展较快以及装机量增长较多的方式之一。世界上许多国家和地区正在发展和使用太阳能，它已成为最具发展前景的住宅、商业和工业发电来源之一。为了促进经济发展并提高人民生活质量，同时实现环境保护的目标，必须确保可持续的能源供应和能源的清洁性。在这方面，太阳能是一个非常有前途的选择，因为它取之不尽、用之不竭，安全可靠，并且几乎不受资源分布的地域限制。因此，太阳能有可能成为未来几十年最重要的可再生能源之一。</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其中，光伏发电是太阳能的主要利用形式。相比传统能源，光伏发电无需燃料消耗、无污染物排放，既实现了节约能源，又保护了环境。此外，光伏发电的应用形式非常灵活，电站建设周期短，管理维护方便，具有广阔的应用前景。我国的光伏行业在过去十年实现了高速发展，2019年光伏主要产业链产量在全球总产量占比继续不断扩大，产品出口总额约207.8亿元，同比增长29%。但是，光伏板块整体发电量在全国总发电量当中仅占3.1%，占比仍然较低，同发达国家相比还有较大上升空间与创新空间。</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在当前的数字化转型大潮下，在光伏产业中推动数字化转型，是行业构建一种可面向未来市场和竞争环境的新能力，这项能力可在目前的光伏产业政策及行业正面临这整体转型与提升得情况下，为整体产业赋能，以最少的成本做成更有效率的事情与成果。</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在光伏发电系统中，光伏组件通常架设在高地或偏远地区，恶劣环境中的沙尘或其他颗粒物会附着在其表面，在降低光伏发电性能的同时还会产生热斑效应，严重影响光伏组件的发电效率和使用寿命，给光伏电站带来经济损失。市面上现有的清洁设备都存在清扫效率较低、清扫效果不理想、环境适应能力差、不能实现完全自动的清扫过程等问题。本项目拟基于先进人工智能、空中机器人自主感知、机器人控制等技术研发智能感知驱动的光伏阵列高效清洁系统，精准探测电站光伏板分布、倾斜角度、阵列边缘等信息，实时智能感知光伏板表面清洁状态、预测光伏发电效益、智能制定局部或全局清洁策略并自主规划控制完成光伏板清洁，在各类复杂作业环境下低成本、高效率、高质量的完成光伏板高效无损清洁，提高光伏发电效率，减少能源损耗，推进光伏智慧运维发展。</w:t>
      </w:r>
    </w:p>
    <w:p>
      <w:pPr>
        <w:pStyle w:val="21"/>
        <w:numPr>
          <w:ilvl w:val="0"/>
          <w:numId w:val="0"/>
        </w:numPr>
        <w:tabs>
          <w:tab w:val="left" w:pos="960"/>
        </w:tabs>
        <w:ind w:left="420" w:leftChars="0" w:hanging="420" w:firstLineChars="0"/>
        <w:rPr>
          <w:rFonts w:hint="eastAsia" w:ascii="宋体" w:hAnsi="宋体" w:eastAsia="宋体" w:cs="宋体"/>
          <w:sz w:val="24"/>
          <w:szCs w:val="24"/>
        </w:rPr>
      </w:pPr>
      <w:bookmarkStart w:id="14" w:name="_Toc91832135"/>
      <w:bookmarkStart w:id="15" w:name="_Toc148175921"/>
      <w:bookmarkStart w:id="16" w:name="_Toc10109"/>
      <w:r>
        <w:rPr>
          <w:rFonts w:hint="eastAsia" w:ascii="宋体" w:hAnsi="宋体" w:eastAsia="宋体" w:cs="宋体"/>
          <w:b/>
          <w:bCs w:val="0"/>
          <w:kern w:val="0"/>
          <w:sz w:val="24"/>
          <w:szCs w:val="24"/>
          <w:lang w:val="en-US" w:eastAsia="zh-CN" w:bidi="ar-SA"/>
        </w:rPr>
        <w:t>2.</w:t>
      </w:r>
      <w:r>
        <w:rPr>
          <w:rFonts w:hint="eastAsia" w:ascii="宋体" w:hAnsi="宋体" w:eastAsia="宋体" w:cs="宋体"/>
          <w:sz w:val="24"/>
          <w:szCs w:val="24"/>
        </w:rPr>
        <w:t>研究内容</w:t>
      </w:r>
      <w:bookmarkEnd w:id="14"/>
      <w:bookmarkEnd w:id="15"/>
      <w:bookmarkEnd w:id="16"/>
    </w:p>
    <w:p>
      <w:pPr>
        <w:spacing w:line="360" w:lineRule="auto"/>
        <w:ind w:firstLine="480"/>
        <w:rPr>
          <w:rFonts w:hint="eastAsia" w:ascii="宋体" w:hAnsi="宋体" w:eastAsia="宋体" w:cs="宋体"/>
          <w:color w:val="000000"/>
          <w:sz w:val="24"/>
          <w:szCs w:val="24"/>
        </w:rPr>
      </w:pPr>
      <w:bookmarkStart w:id="17" w:name="_Toc86587241"/>
      <w:bookmarkStart w:id="18" w:name="_Toc61532201"/>
      <w:r>
        <w:rPr>
          <w:rFonts w:hint="eastAsia" w:ascii="宋体" w:hAnsi="宋体" w:eastAsia="宋体" w:cs="宋体"/>
          <w:color w:val="000000"/>
          <w:sz w:val="24"/>
          <w:szCs w:val="24"/>
        </w:rPr>
        <w:t>1）针对光伏电站的地形、气候条件、环境、光伏板角度等应用场景，基于搭载成像装置的空中机器人及先进轻量化材料研发适用于各类复杂场景的智能光伏阵列清洁机器人集成巡检与清洁功能，满足智能感知清洁系统硬件需求.</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2）硏究光伏阵列清洁状态智能感知系统，结合光伏运行数据、季节、环境预测光伏发电效率，并智能制定局部或全局清洁策略</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 研究智能感知驱动的光伏阵列高效清洁系统，为清洁机器人建立智慧管理平台</w:t>
      </w:r>
    </w:p>
    <w:p>
      <w:pPr>
        <w:pStyle w:val="21"/>
        <w:numPr>
          <w:ilvl w:val="0"/>
          <w:numId w:val="0"/>
        </w:numPr>
        <w:tabs>
          <w:tab w:val="left" w:pos="960"/>
        </w:tabs>
        <w:ind w:left="420" w:leftChars="0" w:hanging="420" w:firstLineChars="0"/>
        <w:rPr>
          <w:rFonts w:hint="eastAsia" w:ascii="宋体" w:hAnsi="宋体" w:eastAsia="宋体" w:cs="宋体"/>
          <w:sz w:val="24"/>
          <w:szCs w:val="24"/>
        </w:rPr>
      </w:pPr>
      <w:bookmarkStart w:id="19" w:name="_Toc148175922"/>
      <w:bookmarkStart w:id="20" w:name="_Toc91832136"/>
      <w:bookmarkStart w:id="21" w:name="_Toc31479"/>
      <w:r>
        <w:rPr>
          <w:rFonts w:hint="eastAsia" w:ascii="宋体" w:hAnsi="宋体" w:eastAsia="宋体" w:cs="宋体"/>
          <w:b/>
          <w:bCs w:val="0"/>
          <w:kern w:val="0"/>
          <w:sz w:val="24"/>
          <w:szCs w:val="24"/>
          <w:lang w:val="en-US" w:eastAsia="zh-CN" w:bidi="ar-SA"/>
        </w:rPr>
        <w:t>3.</w:t>
      </w:r>
      <w:r>
        <w:rPr>
          <w:rFonts w:hint="eastAsia" w:ascii="宋体" w:hAnsi="宋体" w:eastAsia="宋体" w:cs="宋体"/>
          <w:sz w:val="24"/>
          <w:szCs w:val="24"/>
        </w:rPr>
        <w:t>技术路线和方法</w:t>
      </w:r>
      <w:bookmarkEnd w:id="17"/>
      <w:bookmarkEnd w:id="18"/>
      <w:bookmarkEnd w:id="19"/>
      <w:bookmarkEnd w:id="20"/>
      <w:bookmarkEnd w:id="21"/>
    </w:p>
    <w:p>
      <w:pPr>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rPr>
        <w:t>本项目以研究目的和要求为导向，以当前的技术水平为准，旨在通过技术创新来提高光伏阵列清洁系统的效率和性能。首先从光伏阵列清洁的技术问题和改进方向入手，深入分析复杂环境变化可能对清洁系统的影响，然后集中精力攻克巡检方式、监督管理方式以及实现远程自动化清洁的技术问题，拟构建智能感知驱动的光伏阵列高效清洁系统。其中涉及的关键技术包括数智能光伏阵列清洁机器人的路径规划、自主导航、智能控制、光伏阵列非接触式清洁状态的智能感知以及制定局部或全局清洁策略等。拟采用新技术或组合技术来解决这些关键技术中涉及到的难点，或提出解决关键问题的新方法。同时将时刻关注本研究领域的科学技术发展新动向，及时吸收最新研究成果，以确保项目的创新性和顺利实施，从而全面提升光伏阵列清洁系统运维管控业务的智能化水平。</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研究依据当前先进且实用的技术手段，参照现代多学科理论，以理论联系实际，以实际应用为出发点，更新、优化及提出新理论和新方法。技术路线遵循当前存在缺陷分析-分析原因-更新优化-建模计算-验证优化-完善理论的不断深化的原则。拟采用的实验手段包括软件设计与编程、建模分析计算、验证准确度、计算实用仿真效果、优化与改进的方式。同时，在研究过程中，将根据具体情况采取有利于保质、保量、按时完成研究目标的改进措施和方法。项目组有充足的把握和信心实现研究目标和取得预期成果。</w:t>
      </w:r>
    </w:p>
    <w:p>
      <w:pPr>
        <w:pStyle w:val="3"/>
        <w:numPr>
          <w:ilvl w:val="0"/>
          <w:numId w:val="0"/>
        </w:numPr>
        <w:ind w:left="420" w:leftChars="0" w:hanging="420" w:firstLineChars="0"/>
        <w:rPr>
          <w:rFonts w:hint="eastAsia" w:ascii="宋体" w:hAnsi="宋体" w:eastAsia="宋体" w:cs="宋体"/>
          <w:sz w:val="24"/>
          <w:szCs w:val="24"/>
        </w:rPr>
      </w:pPr>
      <w:bookmarkStart w:id="22" w:name="_Toc11804"/>
      <w:bookmarkStart w:id="23" w:name="_Toc7637"/>
      <w:bookmarkStart w:id="24" w:name="_Toc148175923"/>
      <w:bookmarkStart w:id="25" w:name="_Toc91832137"/>
      <w:r>
        <w:rPr>
          <w:rFonts w:hint="eastAsia" w:ascii="宋体" w:hAnsi="宋体" w:eastAsia="宋体" w:cs="宋体"/>
          <w:b/>
          <w:bCs w:val="0"/>
          <w:i w:val="0"/>
          <w:iCs w:val="0"/>
          <w:caps w:val="0"/>
          <w:smallCaps w:val="0"/>
          <w:strike w:val="0"/>
          <w:dstrike w:val="0"/>
          <w:vanish w:val="0"/>
          <w:color w:val="000000"/>
          <w:spacing w:val="0"/>
          <w:kern w:val="2"/>
          <w:position w:val="0"/>
          <w:sz w:val="24"/>
          <w:szCs w:val="24"/>
          <w:u w:val="none"/>
          <w:vertAlign w:val="baseline"/>
          <w:lang w:val="en-US" w:eastAsia="zh-CN" w:bidi="ar-SA"/>
          <w14:ligatures w14:val="none"/>
          <w14:numForm w14:val="default"/>
          <w14:numSpacing w14:val="default"/>
        </w:rPr>
        <w:t>(二)</w:t>
      </w:r>
      <w:r>
        <w:rPr>
          <w:rFonts w:hint="eastAsia" w:ascii="宋体" w:hAnsi="宋体" w:eastAsia="宋体" w:cs="宋体"/>
          <w:sz w:val="24"/>
          <w:szCs w:val="24"/>
        </w:rPr>
        <w:t>系统总体思路</w:t>
      </w:r>
      <w:bookmarkEnd w:id="22"/>
      <w:bookmarkEnd w:id="23"/>
      <w:bookmarkEnd w:id="24"/>
      <w:bookmarkEnd w:id="25"/>
    </w:p>
    <w:p>
      <w:pPr>
        <w:pStyle w:val="21"/>
        <w:numPr>
          <w:ilvl w:val="0"/>
          <w:numId w:val="0"/>
        </w:numPr>
        <w:tabs>
          <w:tab w:val="left" w:pos="960"/>
        </w:tabs>
        <w:ind w:left="420" w:leftChars="0" w:hanging="420" w:firstLineChars="0"/>
        <w:rPr>
          <w:rFonts w:hint="eastAsia" w:ascii="宋体" w:hAnsi="宋体" w:eastAsia="宋体" w:cs="宋体"/>
          <w:color w:val="000000"/>
          <w:sz w:val="24"/>
          <w:szCs w:val="24"/>
        </w:rPr>
      </w:pPr>
      <w:bookmarkStart w:id="26" w:name="_Toc91832138"/>
      <w:bookmarkStart w:id="27" w:name="_Toc148175924"/>
      <w:bookmarkStart w:id="28" w:name="_Toc9503"/>
      <w:r>
        <w:rPr>
          <w:rFonts w:hint="eastAsia" w:ascii="宋体" w:hAnsi="宋体" w:eastAsia="宋体" w:cs="宋体"/>
          <w:b/>
          <w:bCs w:val="0"/>
          <w:color w:val="000000"/>
          <w:kern w:val="0"/>
          <w:sz w:val="24"/>
          <w:szCs w:val="24"/>
          <w:lang w:val="en-US" w:eastAsia="zh-CN" w:bidi="ar-SA"/>
        </w:rPr>
        <w:t>1.</w:t>
      </w:r>
      <w:r>
        <w:rPr>
          <w:rFonts w:hint="eastAsia" w:ascii="宋体" w:hAnsi="宋体" w:eastAsia="宋体" w:cs="宋体"/>
          <w:sz w:val="24"/>
          <w:szCs w:val="24"/>
        </w:rPr>
        <w:t>工作目标</w:t>
      </w:r>
      <w:bookmarkEnd w:id="26"/>
      <w:bookmarkEnd w:id="27"/>
      <w:bookmarkEnd w:id="28"/>
      <w:bookmarkStart w:id="29" w:name="_Toc91832139"/>
    </w:p>
    <w:p>
      <w:p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rPr>
        <w:t>全面提升光伏板块整体数字化、信息化、智能化水平，降低度电成本，提升管理效率，减少发电损失，构建光伏行业技术性管理思维与技术能力，满足光伏场站“区域维检，无人值守”的管理要求。</w:t>
      </w:r>
    </w:p>
    <w:p>
      <w:pPr>
        <w:numPr>
          <w:ilvl w:val="0"/>
          <w:numId w:val="7"/>
        </w:num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针对光伏电站的地形气候条件环境、光伏板角度等应用场景，基于搭载成像装置的空中机器人及先进轻量化材料研发适用于各类复杂场景的智能光伏阵列清洁机器人集成巡检与清洁功能，满足智能感知清洁系的高效率需求. </w:t>
      </w:r>
    </w:p>
    <w:p>
      <w:pPr>
        <w:numPr>
          <w:ilvl w:val="0"/>
          <w:numId w:val="7"/>
        </w:num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rPr>
        <w:t>硏究光伏阵列清洁状态智能感知系统，结合光伏运行数据、季节、环境预测光伏发电效率，并智能制定局部或全局清洁策略。</w:t>
      </w:r>
    </w:p>
    <w:p>
      <w:pPr>
        <w:numPr>
          <w:ilvl w:val="0"/>
          <w:numId w:val="7"/>
        </w:num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 研究智能感知驱动的光伏阵列高效清洁系统，两套清洁机器人共计覆盖不低于100MW光伏发电站，且不加装或改造支架。建立清洁机器人智慧管理平台，共享设备运行参数、光伏阵列清洁状态、光伏发电效率、大气环境智能清洁策略等，自主规划控制完成光伏板的安全清洁，推进光伏电站智慧化运维。</w:t>
      </w:r>
    </w:p>
    <w:p>
      <w:pPr>
        <w:pStyle w:val="22"/>
        <w:rPr>
          <w:rFonts w:hint="eastAsia" w:ascii="宋体" w:hAnsi="宋体" w:eastAsia="宋体" w:cs="宋体"/>
          <w:sz w:val="24"/>
          <w:szCs w:val="24"/>
        </w:rPr>
      </w:pPr>
    </w:p>
    <w:p>
      <w:pPr>
        <w:pStyle w:val="21"/>
        <w:numPr>
          <w:ilvl w:val="0"/>
          <w:numId w:val="0"/>
        </w:numPr>
        <w:tabs>
          <w:tab w:val="left" w:pos="960"/>
        </w:tabs>
        <w:ind w:left="420" w:leftChars="0" w:hanging="420" w:firstLineChars="0"/>
        <w:rPr>
          <w:rFonts w:hint="eastAsia" w:ascii="宋体" w:hAnsi="宋体" w:eastAsia="宋体" w:cs="宋体"/>
          <w:sz w:val="24"/>
          <w:szCs w:val="24"/>
        </w:rPr>
      </w:pPr>
      <w:bookmarkStart w:id="30" w:name="_Toc817"/>
      <w:bookmarkStart w:id="31" w:name="_Toc148175925"/>
      <w:r>
        <w:rPr>
          <w:rFonts w:hint="eastAsia" w:ascii="宋体" w:hAnsi="宋体" w:eastAsia="宋体" w:cs="宋体"/>
          <w:b/>
          <w:bCs w:val="0"/>
          <w:kern w:val="0"/>
          <w:sz w:val="24"/>
          <w:szCs w:val="24"/>
          <w:lang w:val="en-US" w:eastAsia="zh-CN" w:bidi="ar-SA"/>
        </w:rPr>
        <w:t>2.</w:t>
      </w:r>
      <w:r>
        <w:rPr>
          <w:rFonts w:hint="eastAsia" w:ascii="宋体" w:hAnsi="宋体" w:eastAsia="宋体" w:cs="宋体"/>
          <w:sz w:val="24"/>
          <w:szCs w:val="24"/>
        </w:rPr>
        <w:t>设计依据及原则</w:t>
      </w:r>
      <w:bookmarkEnd w:id="29"/>
      <w:bookmarkEnd w:id="30"/>
      <w:bookmarkEnd w:id="31"/>
    </w:p>
    <w:p>
      <w:pPr>
        <w:spacing w:line="360" w:lineRule="auto"/>
        <w:ind w:firstLine="480"/>
        <w:rPr>
          <w:rFonts w:hint="eastAsia" w:ascii="宋体" w:hAnsi="宋体" w:eastAsia="宋体" w:cs="宋体"/>
          <w:color w:val="000000"/>
          <w:sz w:val="24"/>
          <w:szCs w:val="24"/>
        </w:rPr>
      </w:pPr>
      <w:r>
        <w:rPr>
          <w:rFonts w:hint="eastAsia" w:ascii="宋体" w:hAnsi="宋体" w:eastAsia="宋体" w:cs="宋体"/>
          <w:sz w:val="24"/>
          <w:szCs w:val="24"/>
        </w:rPr>
        <w:t>本系统在设计时将充分考虑本项目的需求，建立完善的系统设计方案。</w:t>
      </w:r>
      <w:r>
        <w:rPr>
          <w:rFonts w:hint="eastAsia" w:ascii="宋体" w:hAnsi="宋体" w:eastAsia="宋体" w:cs="宋体"/>
          <w:color w:val="000000"/>
          <w:sz w:val="24"/>
          <w:szCs w:val="24"/>
        </w:rPr>
        <w:t>软件设计遵守以下原则：</w:t>
      </w:r>
    </w:p>
    <w:p>
      <w:pPr>
        <w:spacing w:line="360" w:lineRule="auto"/>
        <w:ind w:firstLine="480"/>
        <w:rPr>
          <w:rFonts w:hint="eastAsia" w:ascii="宋体" w:hAnsi="宋体" w:eastAsia="宋体" w:cs="宋体"/>
          <w:sz w:val="24"/>
          <w:szCs w:val="24"/>
        </w:rPr>
      </w:pPr>
      <w:bookmarkStart w:id="32" w:name="_Toc406796713"/>
      <w:r>
        <w:rPr>
          <w:rFonts w:hint="eastAsia" w:ascii="宋体" w:hAnsi="宋体" w:eastAsia="宋体" w:cs="宋体"/>
          <w:sz w:val="24"/>
          <w:szCs w:val="24"/>
        </w:rPr>
        <w:t>（1）系统性原则</w:t>
      </w:r>
      <w:bookmarkEnd w:id="32"/>
    </w:p>
    <w:p>
      <w:pPr>
        <w:spacing w:line="360" w:lineRule="auto"/>
        <w:ind w:firstLine="480"/>
        <w:rPr>
          <w:rFonts w:hint="eastAsia" w:ascii="宋体" w:hAnsi="宋体" w:eastAsia="宋体" w:cs="宋体"/>
          <w:color w:val="000000"/>
          <w:sz w:val="24"/>
          <w:szCs w:val="24"/>
        </w:rPr>
      </w:pPr>
      <w:bookmarkStart w:id="33" w:name="_Toc406796714"/>
      <w:r>
        <w:rPr>
          <w:rFonts w:hint="eastAsia" w:ascii="宋体" w:hAnsi="宋体" w:eastAsia="宋体" w:cs="宋体"/>
          <w:color w:val="000000"/>
          <w:sz w:val="24"/>
          <w:szCs w:val="24"/>
        </w:rPr>
        <w:t>从系统化的角度出发，需要进行全面规划，实现统一设计，并逐步实施。同时，还需要制定统一的数据标准、网络标准和应用标准，从而形成一个决策层、调度层和操作层之间相互衔接的标准体系。</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然而，信息化涉及面广、覆盖面宽，任务重，难度大，因此，无法一蹴而就。在实施过程中，需要坚持远近结合、突出重点、急用先建、分步实施、逐步推进的原则。在系统设计过程中要考虑系统实施的分步性和阶段性，提供逐步实施的具体方法，例如先试点再推广，以及分阶段升级实施，以保证快速见效，满足基本需求并与规划方向结合。</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（2）成熟性原则</w:t>
      </w:r>
      <w:bookmarkEnd w:id="33"/>
    </w:p>
    <w:p>
      <w:pPr>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rPr>
        <w:t>该系统的设计与开发平台采用了业内已知的成熟和广泛使用的技术，保证了系统的进度和质量，保证了系统的稳定性和可靠性。系统技术与主流技术紧密结合。坚持以安全、实用为前提，采用先进、成熟、可靠、适应行业特点的信息技术；</w:t>
      </w:r>
      <w:r>
        <w:rPr>
          <w:rFonts w:hint="eastAsia" w:ascii="宋体" w:hAnsi="宋体" w:eastAsia="宋体" w:cs="宋体"/>
          <w:sz w:val="24"/>
          <w:szCs w:val="24"/>
        </w:rPr>
        <w:t>同时又要体现信息系统的开放性、兼容性和可扩展性，做到既满足业务管理和安全保密的自身需要，又要满足与相关外部业务之间的开放对接之需要。</w:t>
      </w:r>
    </w:p>
    <w:p>
      <w:pPr>
        <w:spacing w:line="360" w:lineRule="auto"/>
        <w:ind w:firstLine="480"/>
        <w:rPr>
          <w:rFonts w:hint="eastAsia" w:ascii="宋体" w:hAnsi="宋体" w:eastAsia="宋体" w:cs="宋体"/>
          <w:sz w:val="24"/>
          <w:szCs w:val="24"/>
        </w:rPr>
      </w:pPr>
      <w:bookmarkStart w:id="34" w:name="_Toc406796706"/>
      <w:r>
        <w:rPr>
          <w:rFonts w:hint="eastAsia" w:ascii="宋体" w:hAnsi="宋体" w:eastAsia="宋体" w:cs="宋体"/>
          <w:sz w:val="24"/>
          <w:szCs w:val="24"/>
        </w:rPr>
        <w:t>（3）先进性</w:t>
      </w:r>
      <w:bookmarkEnd w:id="34"/>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系统构成必须采用成熟、具有国内先进水平，并符合国际发展趋势的技术、软件产品和设备。在设计过程中充分依照国际上的规范、标准，借鉴国内外目前成熟的主流网络和综合信息系统的体系结构，以保证系统具有较长的生命力和扩展能力。</w:t>
      </w:r>
    </w:p>
    <w:p>
      <w:pPr>
        <w:spacing w:line="360" w:lineRule="auto"/>
        <w:ind w:firstLine="480"/>
        <w:rPr>
          <w:rFonts w:hint="eastAsia" w:ascii="宋体" w:hAnsi="宋体" w:eastAsia="宋体" w:cs="宋体"/>
          <w:sz w:val="24"/>
          <w:szCs w:val="24"/>
        </w:rPr>
      </w:pPr>
      <w:bookmarkStart w:id="35" w:name="_Toc406796709"/>
      <w:r>
        <w:rPr>
          <w:rFonts w:hint="eastAsia" w:ascii="宋体" w:hAnsi="宋体" w:eastAsia="宋体" w:cs="宋体"/>
          <w:sz w:val="24"/>
          <w:szCs w:val="24"/>
          <w:highlight w:val="none"/>
        </w:rPr>
        <w:t>（4）</w:t>
      </w:r>
      <w:r>
        <w:rPr>
          <w:rFonts w:hint="eastAsia" w:ascii="宋体" w:hAnsi="宋体" w:eastAsia="宋体" w:cs="宋体"/>
          <w:sz w:val="24"/>
          <w:szCs w:val="24"/>
        </w:rPr>
        <w:t>可操作性</w:t>
      </w:r>
      <w:bookmarkEnd w:id="35"/>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系统在设计上要充分考虑用户界面应方便、友好、灵活，用户应能够方便地在权限范围内于各子系统之间切换。系统有良好的整体化设计，同时完善的帮助系统也是增强可操作性的必要辅助工具之一。</w:t>
      </w:r>
    </w:p>
    <w:p>
      <w:pPr>
        <w:spacing w:line="360" w:lineRule="auto"/>
        <w:ind w:firstLine="420"/>
        <w:rPr>
          <w:rFonts w:hint="eastAsia" w:ascii="宋体" w:hAnsi="宋体" w:eastAsia="宋体" w:cs="宋体"/>
          <w:sz w:val="24"/>
          <w:szCs w:val="24"/>
        </w:rPr>
      </w:pPr>
      <w:bookmarkStart w:id="36" w:name="_Toc406796712"/>
      <w:r>
        <w:rPr>
          <w:rFonts w:hint="eastAsia" w:ascii="宋体" w:hAnsi="宋体" w:eastAsia="宋体" w:cs="宋体"/>
          <w:sz w:val="24"/>
          <w:szCs w:val="24"/>
          <w:highlight w:val="none"/>
        </w:rPr>
        <w:t>（5）可</w:t>
      </w:r>
      <w:r>
        <w:rPr>
          <w:rFonts w:hint="eastAsia" w:ascii="宋体" w:hAnsi="宋体" w:eastAsia="宋体" w:cs="宋体"/>
          <w:sz w:val="24"/>
          <w:szCs w:val="24"/>
        </w:rPr>
        <w:t>扩展性</w:t>
      </w:r>
      <w:bookmarkEnd w:id="36"/>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可扩展性指的是系统可以根据业务发展的需要，能够方便的升级，扩展系统的功能。由于本次采用了集中式系统架构，数据和应用的集成集中在中间件一级进行处理，所以，也就为日后的扩展打下了良好的基础。</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同时保证系统能在各种操作系统和不同的中间件平台上移植。从本次采用的系统体系架构、开发语言到各平台服务器的选型我们都充分考虑到了移植性的要求。</w:t>
      </w:r>
    </w:p>
    <w:p>
      <w:pPr>
        <w:spacing w:line="360" w:lineRule="auto"/>
        <w:ind w:firstLine="480"/>
        <w:rPr>
          <w:rFonts w:hint="eastAsia" w:ascii="宋体" w:hAnsi="宋体" w:eastAsia="宋体" w:cs="宋体"/>
          <w:sz w:val="24"/>
          <w:szCs w:val="24"/>
        </w:rPr>
      </w:pPr>
      <w:bookmarkStart w:id="37" w:name="_Toc406796710"/>
      <w:r>
        <w:rPr>
          <w:rFonts w:hint="eastAsia" w:ascii="宋体" w:hAnsi="宋体" w:eastAsia="宋体" w:cs="宋体"/>
          <w:sz w:val="24"/>
          <w:szCs w:val="24"/>
        </w:rPr>
        <w:t>（6）灵活性</w:t>
      </w:r>
      <w:bookmarkEnd w:id="37"/>
    </w:p>
    <w:p>
      <w:pPr>
        <w:pStyle w:val="8"/>
        <w:spacing w:line="360" w:lineRule="auto"/>
        <w:rPr>
          <w:rFonts w:hint="eastAsia" w:ascii="宋体" w:hAnsi="宋体" w:eastAsia="宋体" w:cs="宋体"/>
          <w:sz w:val="24"/>
          <w:szCs w:val="24"/>
        </w:rPr>
      </w:pPr>
      <w:r>
        <w:rPr>
          <w:rFonts w:hint="eastAsia" w:ascii="宋体" w:hAnsi="宋体" w:eastAsia="宋体" w:cs="宋体"/>
          <w:sz w:val="24"/>
          <w:szCs w:val="24"/>
        </w:rPr>
        <w:t>应用系统不依赖于特定硬件环境；在系统结构一致的前提下可选择实施各模块的应用；系统具有可实施性，各模块可单独实施并使用。</w:t>
      </w:r>
    </w:p>
    <w:p>
      <w:pPr>
        <w:spacing w:line="360" w:lineRule="auto"/>
        <w:ind w:firstLine="480"/>
        <w:rPr>
          <w:rFonts w:hint="eastAsia" w:ascii="宋体" w:hAnsi="宋体" w:eastAsia="宋体" w:cs="宋体"/>
          <w:sz w:val="24"/>
          <w:szCs w:val="24"/>
        </w:rPr>
      </w:pPr>
      <w:bookmarkStart w:id="38" w:name="_Toc406796707"/>
      <w:r>
        <w:rPr>
          <w:rFonts w:hint="eastAsia" w:ascii="宋体" w:hAnsi="宋体" w:eastAsia="宋体" w:cs="宋体"/>
          <w:sz w:val="24"/>
          <w:szCs w:val="24"/>
        </w:rPr>
        <w:t>（7）实用性</w:t>
      </w:r>
      <w:bookmarkEnd w:id="38"/>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实用性是指所设计的软件应符合需求方自身特点，满足需求方实际需要。在合法性的基础上，应根据需求方自身特点，设置符合需求方的设计需求。对于需求方的需求，在不违背使用原则的基础上，确定适合需求的设计，满足需求方内部管理的要求。</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设计上充分考虑当前各业务层次、各环节管理中数据处理的便利和可行，把满足管理需求作为第一要素进行考虑。采取总体设计、分步实施的技术方案，在总体设计的前提下，系统实施时先进行业务处理层及低层管理，稳步向中高层管理及全面自动化过渡。这样做可以使系统始终与业务实际需求紧密连在一起，不但增加了系统的实用性，而且可使系统建设保持很好的连贯性；全部人机操作设计均充分考虑不同使用者的实际需要；用户接口及界面设计充分考虑人体结构特征及视觉特征进行优化设计，界面尽可能美观大方，操作简便实用。</w:t>
      </w:r>
    </w:p>
    <w:p>
      <w:pPr>
        <w:spacing w:line="360" w:lineRule="auto"/>
        <w:ind w:firstLine="480"/>
        <w:rPr>
          <w:rFonts w:hint="eastAsia" w:ascii="宋体" w:hAnsi="宋体" w:eastAsia="宋体" w:cs="宋体"/>
          <w:sz w:val="24"/>
          <w:szCs w:val="24"/>
        </w:rPr>
      </w:pPr>
      <w:bookmarkStart w:id="39" w:name="_Toc406796708"/>
      <w:r>
        <w:rPr>
          <w:rFonts w:hint="eastAsia" w:ascii="宋体" w:hAnsi="宋体" w:eastAsia="宋体" w:cs="宋体"/>
          <w:sz w:val="24"/>
          <w:szCs w:val="24"/>
        </w:rPr>
        <w:t>（8）可靠性</w:t>
      </w:r>
      <w:bookmarkEnd w:id="39"/>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可靠性设计应有明确的可靠性指标和可靠性评估方案；必须贯穿于功能设计的各个环节，在满足基本功能的同时，要全面考虑影响可靠性的各种因素；应针对故障模式（即系统故障或失效的表现形式）进行设计，最大限度地消除或控制产品在寿命周期内可能出现的故障（失效）模式；在设计时，应在继承以往成功经验的基础上，积极采用先进的设计原理和可靠性设计技术。但在采用新技术时必须经过试验，并严格论证其对可靠性的影响；在进行产品可靠性的设计时，应对产品的性能、可靠性、费用、时间等各方面因素进行权衡，以便做出最佳设计方案。</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本项目按照光伏阵列清洁系统需求，对项目拟解决问题进行深入细致的研究，对</w:t>
      </w:r>
      <w:r>
        <w:rPr>
          <w:rFonts w:hint="eastAsia" w:ascii="宋体" w:hAnsi="宋体" w:eastAsia="宋体" w:cs="宋体"/>
          <w:color w:val="000000"/>
          <w:sz w:val="24"/>
          <w:szCs w:val="24"/>
        </w:rPr>
        <w:t>成果</w:t>
      </w:r>
      <w:r>
        <w:rPr>
          <w:rFonts w:hint="eastAsia" w:ascii="宋体" w:hAnsi="宋体" w:eastAsia="宋体" w:cs="宋体"/>
          <w:sz w:val="24"/>
          <w:szCs w:val="24"/>
        </w:rPr>
        <w:t>结论进行严格的合理性、可行性论证，以保障成果的实用性。研究工作遵循以下法律法规、标准和规范设计文件：</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《中华人民共和国合同法》（1999年10月1日实施）</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《分布式光伏发电系统运行维护管理规范》DB31/T 1238-2020</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《光伏发电站安全规程》GB/T 35694-2017</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《信息技术 开放系统互连 网络服务定义》GB/T 15126-2008</w:t>
      </w:r>
    </w:p>
    <w:p>
      <w:pPr>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rPr>
        <w:t>《信息技术 开放系统互连 网络层安全协议》GB/T 17963-2000</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《软件系统验收规范》GB/T 28035-2011</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《系统与软件工程 性能测试方法》GB/T 39788-2021</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《计算机软件需求规格说明规范》GB/T 9385-2008</w:t>
      </w:r>
    </w:p>
    <w:p>
      <w:pPr>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rPr>
        <w:t>《计算机软件测试规范》GB/T 15532-2008</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《光伏发电站逆变器检修维护规程》GB/T 38330-2019</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《光伏发电站运行规程》GB/T 38335-2019</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《分布式光伏发电系统运行维护管理规范》DB31/ 1238-2020</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《分布式光伏发电项目服务规范》DB31/T 1034-2017</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《光伏发电站性能评估技术规范》GB/T 39854-2021</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《光伏组件检修规程》GB/T 36567-2018</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《光伏方阵检修规程》GB/T 36568-2018</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《光伏发电并网逆变器技术要求》GB/T 37408-2019</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《光伏发电并网逆变器检测技术规范》GB/T 37409-2019</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《电力场站巡检机器人通用技术条件》JB/T 14111-2020</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《工业企业信息化集成系统规范》GB/T 26335-2010</w:t>
      </w:r>
    </w:p>
    <w:p>
      <w:pPr>
        <w:pStyle w:val="21"/>
        <w:numPr>
          <w:ilvl w:val="0"/>
          <w:numId w:val="0"/>
        </w:numPr>
        <w:tabs>
          <w:tab w:val="left" w:pos="960"/>
        </w:tabs>
        <w:ind w:left="420" w:leftChars="0" w:hanging="420" w:firstLineChars="0"/>
        <w:rPr>
          <w:rFonts w:hint="eastAsia" w:ascii="宋体" w:hAnsi="宋体" w:eastAsia="宋体" w:cs="宋体"/>
          <w:sz w:val="24"/>
          <w:szCs w:val="24"/>
        </w:rPr>
      </w:pPr>
      <w:bookmarkStart w:id="40" w:name="_Toc607"/>
      <w:bookmarkStart w:id="41" w:name="_Toc91832140"/>
      <w:bookmarkStart w:id="42" w:name="_Toc148175926"/>
      <w:r>
        <w:rPr>
          <w:rFonts w:hint="eastAsia" w:ascii="宋体" w:hAnsi="宋体" w:eastAsia="宋体" w:cs="宋体"/>
          <w:b/>
          <w:bCs w:val="0"/>
          <w:kern w:val="0"/>
          <w:sz w:val="24"/>
          <w:szCs w:val="24"/>
          <w:lang w:val="en-US" w:eastAsia="zh-CN" w:bidi="ar-SA"/>
        </w:rPr>
        <w:t>3.</w:t>
      </w:r>
      <w:r>
        <w:rPr>
          <w:rFonts w:hint="eastAsia" w:ascii="宋体" w:hAnsi="宋体" w:eastAsia="宋体" w:cs="宋体"/>
          <w:sz w:val="24"/>
          <w:szCs w:val="24"/>
        </w:rPr>
        <w:t>设计思路</w:t>
      </w:r>
      <w:bookmarkEnd w:id="40"/>
      <w:bookmarkEnd w:id="41"/>
      <w:bookmarkEnd w:id="42"/>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针对光伏电站的地形、气候条件、环境、光伏板角度等应用场景，基于搭载成像装置的空中机器人及先进轻量化材料研发适用于各类复杂场景的智能光伏阵列清洁机器人，集成巡检与非接触式清洁功能，拟对指定需求区域进行清洁，实现清洁工作的高效化，同时满足智能感知清洁系统硬件需求。并且根据所应用的实际场景，研究智能光伏阵列清洁机器人路径规划系统、自主导航系统、智能控制系统，实现光伏阵列清洁机器人自主规划控制。</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光伏阵列高效清洁系统拟包括以下子系统或成果：</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（1）清洁系统智慧管理平台；</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sz w:val="24"/>
          <w:szCs w:val="24"/>
        </w:rPr>
        <w:t>光伏阵列高效清洁机器人系统</w:t>
      </w:r>
      <w:r>
        <w:rPr>
          <w:rFonts w:hint="eastAsia" w:ascii="宋体" w:hAnsi="宋体" w:eastAsia="宋体" w:cs="宋体"/>
          <w:color w:val="000000"/>
          <w:sz w:val="24"/>
          <w:szCs w:val="24"/>
        </w:rPr>
        <w:t>；</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此外为保证清洁系统的稳定与安全性，将研究</w:t>
      </w:r>
      <w:bookmarkStart w:id="43" w:name="OLE_LINK1"/>
      <w:r>
        <w:rPr>
          <w:rFonts w:hint="eastAsia" w:ascii="宋体" w:hAnsi="宋体" w:eastAsia="宋体" w:cs="宋体"/>
          <w:sz w:val="24"/>
          <w:szCs w:val="24"/>
        </w:rPr>
        <w:t>光伏阵列清洁状态智能感知系统</w:t>
      </w:r>
      <w:bookmarkEnd w:id="43"/>
      <w:r>
        <w:rPr>
          <w:rFonts w:hint="eastAsia" w:ascii="宋体" w:hAnsi="宋体" w:eastAsia="宋体" w:cs="宋体"/>
          <w:sz w:val="24"/>
          <w:szCs w:val="24"/>
        </w:rPr>
        <w:t>，结合季节、环境预测光伏发电效益，智能制定局部或全局清洁策略。同时研究智能感知驱动的光伏阵列高效清洁系统，为清洁机器人建立智慧管理平台，共享设备运行参数、光伏阵列清洁状态、光伏发电效率、大气环境、智能清洁策略等，自主规划控制完成光伏板清洁，推进光伏电站智慧化运维。</w:t>
      </w:r>
    </w:p>
    <w:p>
      <w:pPr>
        <w:pStyle w:val="22"/>
        <w:rPr>
          <w:rFonts w:hint="eastAsia" w:ascii="宋体" w:hAnsi="宋体" w:eastAsia="宋体" w:cs="宋体"/>
          <w:sz w:val="24"/>
          <w:szCs w:val="24"/>
        </w:rPr>
      </w:pPr>
    </w:p>
    <w:p>
      <w:pPr>
        <w:pStyle w:val="3"/>
        <w:numPr>
          <w:ilvl w:val="0"/>
          <w:numId w:val="0"/>
        </w:numPr>
        <w:ind w:left="420" w:leftChars="0" w:hanging="420" w:firstLineChars="0"/>
        <w:rPr>
          <w:rFonts w:hint="eastAsia" w:ascii="宋体" w:hAnsi="宋体" w:eastAsia="宋体" w:cs="宋体"/>
          <w:sz w:val="24"/>
          <w:szCs w:val="24"/>
        </w:rPr>
      </w:pPr>
      <w:bookmarkStart w:id="44" w:name="_Toc148175927"/>
      <w:bookmarkStart w:id="45" w:name="_Toc509509708"/>
      <w:bookmarkStart w:id="46" w:name="_Toc22447"/>
      <w:bookmarkStart w:id="47" w:name="_Toc20628"/>
      <w:bookmarkStart w:id="48" w:name="_Toc91832141"/>
      <w:r>
        <w:rPr>
          <w:rFonts w:hint="eastAsia" w:ascii="宋体" w:hAnsi="宋体" w:eastAsia="宋体" w:cs="宋体"/>
          <w:b/>
          <w:bCs w:val="0"/>
          <w:i w:val="0"/>
          <w:iCs w:val="0"/>
          <w:caps w:val="0"/>
          <w:smallCaps w:val="0"/>
          <w:strike w:val="0"/>
          <w:dstrike w:val="0"/>
          <w:vanish w:val="0"/>
          <w:color w:val="000000"/>
          <w:spacing w:val="0"/>
          <w:kern w:val="2"/>
          <w:position w:val="0"/>
          <w:sz w:val="24"/>
          <w:szCs w:val="24"/>
          <w:u w:val="none"/>
          <w:vertAlign w:val="baseline"/>
          <w:lang w:val="en-US" w:eastAsia="zh-CN" w:bidi="ar-SA"/>
          <w14:ligatures w14:val="none"/>
          <w14:numForm w14:val="default"/>
          <w14:numSpacing w14:val="default"/>
        </w:rPr>
        <w:t>(三)</w:t>
      </w:r>
      <w:r>
        <w:rPr>
          <w:rFonts w:hint="eastAsia" w:ascii="宋体" w:hAnsi="宋体" w:eastAsia="宋体" w:cs="宋体"/>
          <w:sz w:val="24"/>
          <w:szCs w:val="24"/>
        </w:rPr>
        <w:t>系统总体设计</w:t>
      </w:r>
      <w:bookmarkEnd w:id="44"/>
      <w:bookmarkEnd w:id="45"/>
      <w:bookmarkEnd w:id="46"/>
      <w:bookmarkEnd w:id="47"/>
      <w:bookmarkEnd w:id="48"/>
    </w:p>
    <w:p>
      <w:pPr>
        <w:pStyle w:val="21"/>
        <w:numPr>
          <w:ilvl w:val="0"/>
          <w:numId w:val="0"/>
        </w:numPr>
        <w:tabs>
          <w:tab w:val="left" w:pos="960"/>
        </w:tabs>
        <w:ind w:left="420" w:leftChars="0" w:hanging="420" w:firstLineChars="0"/>
        <w:rPr>
          <w:rFonts w:hint="eastAsia" w:ascii="宋体" w:hAnsi="宋体" w:eastAsia="宋体" w:cs="宋体"/>
          <w:sz w:val="24"/>
          <w:szCs w:val="24"/>
        </w:rPr>
      </w:pPr>
      <w:bookmarkStart w:id="49" w:name="_Toc91832142"/>
      <w:bookmarkStart w:id="50" w:name="_Toc148175928"/>
      <w:bookmarkStart w:id="51" w:name="_Toc31461"/>
      <w:r>
        <w:rPr>
          <w:rFonts w:hint="eastAsia" w:ascii="宋体" w:hAnsi="宋体" w:eastAsia="宋体" w:cs="宋体"/>
          <w:b/>
          <w:bCs w:val="0"/>
          <w:kern w:val="0"/>
          <w:sz w:val="24"/>
          <w:szCs w:val="24"/>
          <w:lang w:val="en-US" w:eastAsia="zh-CN" w:bidi="ar-SA"/>
        </w:rPr>
        <w:t>1.</w:t>
      </w:r>
      <w:r>
        <w:rPr>
          <w:rFonts w:hint="eastAsia" w:ascii="宋体" w:hAnsi="宋体" w:eastAsia="宋体" w:cs="宋体"/>
          <w:sz w:val="24"/>
          <w:szCs w:val="24"/>
        </w:rPr>
        <w:t>总体架构</w:t>
      </w:r>
      <w:bookmarkEnd w:id="49"/>
      <w:bookmarkEnd w:id="50"/>
      <w:bookmarkEnd w:id="51"/>
    </w:p>
    <w:p>
      <w:pPr>
        <w:spacing w:line="360" w:lineRule="auto"/>
        <w:ind w:firstLine="480"/>
        <w:rPr>
          <w:rFonts w:hint="eastAsia" w:ascii="宋体" w:hAnsi="宋体" w:eastAsia="宋体" w:cs="宋体"/>
          <w:sz w:val="24"/>
          <w:szCs w:val="24"/>
        </w:rPr>
      </w:pPr>
      <w:bookmarkStart w:id="52" w:name="_Toc91832143"/>
      <w:r>
        <w:rPr>
          <w:rFonts w:hint="eastAsia" w:ascii="宋体" w:hAnsi="宋体" w:eastAsia="宋体" w:cs="宋体"/>
          <w:color w:val="000000"/>
          <w:sz w:val="24"/>
          <w:szCs w:val="24"/>
        </w:rPr>
        <w:t>本项目拟基于先进人工智能、空中机器人自主感知、机器人控制等技术研发智能感知驱动的光伏阵列高效清洁系统，精准探测电站光伏板分布、倾斜角度、阵列边缘等信息，实时智能感知光伏板表面清洁状态、预测光伏发电效益、智能制定局部或全局清洁策略并自主规划控制完成光伏板清洁，系统设计应当在满足各子系统功能的基础上，寻求内部各子系统之间、与外部其它智能化系统之间的完美结合。</w:t>
      </w:r>
    </w:p>
    <w:bookmarkEnd w:id="52"/>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光伏阵列清洁系统功能模块拟包含清洁机器人、清洁机器人智能规划、智慧管理平台、光伏阵列数据采集、光伏板清洁等模块。整个系统主要几个部分组成：分别为以摄像头、空中机器人、传感器为主的前端感知层；以信息存储、网络传输为主的数据层；以信息处理、传输、软件、算法为主的应用层；以软件为主的展现层和UI层。在系统的实现中，为保证系统的高效性，拟采用智能算法，且主要用于光流定位算法中，后文中将对可能使用的算法做出详细分析。</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总体而言，智能感知驱动的光伏阵列高效清洁系统主要由空中机器人搭载清洁装置、成像装置组成的清洁机器人、智能感知系统及智慧管理平台组成。</w:t>
      </w:r>
    </w:p>
    <w:p>
      <w:pPr>
        <w:pStyle w:val="21"/>
        <w:numPr>
          <w:ilvl w:val="0"/>
          <w:numId w:val="0"/>
        </w:numPr>
        <w:tabs>
          <w:tab w:val="left" w:pos="960"/>
        </w:tabs>
        <w:ind w:left="420" w:leftChars="0" w:hanging="420" w:firstLineChars="0"/>
        <w:rPr>
          <w:rFonts w:hint="eastAsia" w:ascii="宋体" w:hAnsi="宋体" w:eastAsia="宋体" w:cs="宋体"/>
          <w:sz w:val="24"/>
          <w:szCs w:val="24"/>
        </w:rPr>
      </w:pPr>
      <w:bookmarkStart w:id="53" w:name="_Toc509509712"/>
      <w:bookmarkStart w:id="54" w:name="_Toc148175929"/>
      <w:bookmarkStart w:id="55" w:name="_Toc5270"/>
      <w:bookmarkStart w:id="56" w:name="_Toc91832145"/>
      <w:r>
        <w:rPr>
          <w:rFonts w:hint="eastAsia" w:ascii="宋体" w:hAnsi="宋体" w:eastAsia="宋体" w:cs="宋体"/>
          <w:b/>
          <w:bCs w:val="0"/>
          <w:kern w:val="0"/>
          <w:sz w:val="24"/>
          <w:szCs w:val="24"/>
          <w:lang w:val="en-US" w:eastAsia="zh-CN" w:bidi="ar-SA"/>
        </w:rPr>
        <w:t>2.</w:t>
      </w:r>
      <w:r>
        <w:rPr>
          <w:rFonts w:hint="eastAsia" w:ascii="宋体" w:hAnsi="宋体" w:eastAsia="宋体" w:cs="宋体"/>
          <w:sz w:val="24"/>
          <w:szCs w:val="24"/>
        </w:rPr>
        <w:t>系统功能</w:t>
      </w:r>
      <w:bookmarkEnd w:id="53"/>
      <w:bookmarkEnd w:id="54"/>
      <w:bookmarkEnd w:id="55"/>
      <w:bookmarkEnd w:id="56"/>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光伏板在实际应用的场景中，表面的积灰、鸟粪、油污等污渍严重影响光伏组件的发电效率和使用寿命。本项目包含先进人工智能、空中机器人自主感知、机器人控制等技术研发智能感知驱动的光伏阵列高效清洁系统，实现精准探测电站光伏板分布、倾斜角度、阵列边缘等信息，实时智能感知光伏板表面清洁状态、预测光伏发电效益、智能制定局部或全局清洁策略并自主规划控制完成光伏板清洁，在各类复杂作业环境下低成本、高效率、高质量的完成光伏板高效无损清洁，推进光伏智慧运维发展。</w:t>
      </w:r>
    </w:p>
    <w:p>
      <w:pPr>
        <w:pStyle w:val="5"/>
        <w:numPr>
          <w:ilvl w:val="0"/>
          <w:numId w:val="0"/>
        </w:numPr>
        <w:ind w:left="420" w:leftChars="0" w:hanging="420" w:firstLineChars="0"/>
        <w:rPr>
          <w:rFonts w:hint="eastAsia" w:ascii="宋体" w:hAnsi="宋体" w:eastAsia="宋体" w:cs="宋体"/>
          <w:sz w:val="24"/>
          <w:szCs w:val="24"/>
        </w:rPr>
      </w:pPr>
      <w:r>
        <w:rPr>
          <w:rFonts w:hint="eastAsia" w:ascii="宋体" w:hAnsi="宋体" w:eastAsia="宋体" w:cs="宋体"/>
          <w:b/>
          <w:bCs/>
          <w:kern w:val="2"/>
          <w:sz w:val="24"/>
          <w:szCs w:val="24"/>
          <w:lang w:val="en-US" w:eastAsia="zh-CN" w:bidi="ar-SA"/>
        </w:rPr>
        <w:t>(1)</w:t>
      </w:r>
      <w:r>
        <w:rPr>
          <w:rFonts w:hint="eastAsia" w:ascii="宋体" w:hAnsi="宋体" w:eastAsia="宋体" w:cs="宋体"/>
          <w:sz w:val="24"/>
          <w:szCs w:val="24"/>
        </w:rPr>
        <w:t>空中机器人机载多传感器位置控制</w:t>
      </w:r>
    </w:p>
    <w:p>
      <w:pPr>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rPr>
        <w:t>一般民用领域的空中机器人都配备的GPS定位系统，但是对于清洁空中机器人作业的区域来说，接收机接收的信号容易受到各种因素的干扰，信号精度变低、容易发生跳变、甚至定位信息丢失的情况，在空中机器人定位时因而着重于基于视觉信息的机载定位模块进行研究。 基于视觉的定位导航系统，是当前空中机器人定位导航的研究热点之一，对于机载视 觉又分为：双目视觉、立体视觉和单目视觉。双目视觉通过机载的两个标定的摄像头进行计算，立体视觉采用的传感器功耗较大，这两种视觉算法用到的传感器质量和功 耗都相对较大，而单目视觉不需要进行复杂的标定，传感器质量小，算法相对简单</w:t>
      </w:r>
      <w:r>
        <w:rPr>
          <w:rFonts w:hint="eastAsia" w:ascii="宋体" w:hAnsi="宋体" w:cs="宋体"/>
          <w:color w:val="000000"/>
          <w:sz w:val="24"/>
          <w:szCs w:val="24"/>
          <w:lang w:eastAsia="zh-CN"/>
        </w:rPr>
        <w:t>。</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同时GPS的定位效果在无干扰时也有着显著优势，因而拟采用GPS+光流双模式实现定点功能。在起飞及贴近光伏板面过程中采用GPS定点，由GPS信号确定飞行器的空间三维坐标，由飞控自带的高度测量系统确定高度信息，确保飞行器能够不受外界干扰地稳定在一个空间点位上，当贴近光伏面板时，开固定安装在光伏清洁机器人底部的光流定点模块，以光流定点为主GPS为辅。</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rPr>
        <w:t>自主型高负载机器人</w:t>
      </w:r>
      <w:r>
        <w:rPr>
          <w:rFonts w:hint="eastAsia" w:ascii="宋体" w:hAnsi="宋体" w:eastAsia="宋体" w:cs="宋体"/>
          <w:sz w:val="24"/>
          <w:szCs w:val="24"/>
          <w:lang w:val="en-US" w:eastAsia="zh-CN"/>
        </w:rPr>
        <w:t>具体设备参数为：</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1.续航时间和里程</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最长滞空时间：</w:t>
      </w:r>
      <w:r>
        <w:rPr>
          <w:rFonts w:hint="eastAsia" w:ascii="宋体" w:hAnsi="宋体" w:cs="宋体"/>
          <w:sz w:val="24"/>
          <w:szCs w:val="24"/>
          <w:lang w:val="en-US" w:eastAsia="zh-CN"/>
        </w:rPr>
        <w:t>15</w:t>
      </w:r>
      <w:r>
        <w:rPr>
          <w:rFonts w:hint="eastAsia" w:ascii="宋体" w:hAnsi="宋体" w:eastAsia="宋体" w:cs="宋体"/>
          <w:sz w:val="24"/>
          <w:szCs w:val="24"/>
          <w:lang w:val="en-US" w:eastAsia="zh-CN"/>
        </w:rPr>
        <w:t>min，最大载重滞空时间：</w:t>
      </w:r>
      <w:r>
        <w:rPr>
          <w:rFonts w:hint="eastAsia" w:ascii="宋体" w:hAnsi="宋体" w:cs="宋体"/>
          <w:sz w:val="24"/>
          <w:szCs w:val="24"/>
          <w:lang w:val="en-US" w:eastAsia="zh-CN"/>
        </w:rPr>
        <w:t>10</w:t>
      </w:r>
      <w:r>
        <w:rPr>
          <w:rFonts w:hint="eastAsia" w:ascii="宋体" w:hAnsi="宋体" w:eastAsia="宋体" w:cs="宋体"/>
          <w:sz w:val="24"/>
          <w:szCs w:val="24"/>
          <w:lang w:val="en-US" w:eastAsia="zh-CN"/>
        </w:rPr>
        <w:t>min，最大滞空距离：</w:t>
      </w:r>
      <w:r>
        <w:rPr>
          <w:rFonts w:hint="eastAsia" w:ascii="宋体" w:hAnsi="宋体" w:cs="宋体"/>
          <w:sz w:val="24"/>
          <w:szCs w:val="24"/>
          <w:lang w:val="en-US" w:eastAsia="zh-CN"/>
        </w:rPr>
        <w:t>10.5</w:t>
      </w:r>
      <w:r>
        <w:rPr>
          <w:rFonts w:hint="eastAsia" w:ascii="宋体" w:hAnsi="宋体" w:eastAsia="宋体" w:cs="宋体"/>
          <w:sz w:val="24"/>
          <w:szCs w:val="24"/>
          <w:lang w:val="en-US" w:eastAsia="zh-CN"/>
        </w:rPr>
        <w:t>km，最大满载滞空距离：</w:t>
      </w:r>
      <w:r>
        <w:rPr>
          <w:rFonts w:hint="eastAsia" w:ascii="宋体" w:hAnsi="宋体" w:cs="宋体"/>
          <w:sz w:val="24"/>
          <w:szCs w:val="24"/>
          <w:lang w:val="en-US" w:eastAsia="zh-CN"/>
        </w:rPr>
        <w:t>8.2</w:t>
      </w:r>
      <w:r>
        <w:rPr>
          <w:rFonts w:hint="eastAsia" w:ascii="宋体" w:hAnsi="宋体" w:eastAsia="宋体" w:cs="宋体"/>
          <w:sz w:val="24"/>
          <w:szCs w:val="24"/>
          <w:lang w:val="en-US" w:eastAsia="zh-CN"/>
        </w:rPr>
        <w:t>km。</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2.载重能力</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最大载重：</w:t>
      </w:r>
      <w:r>
        <w:rPr>
          <w:rFonts w:hint="eastAsia" w:ascii="宋体" w:hAnsi="宋体" w:cs="宋体"/>
          <w:sz w:val="24"/>
          <w:szCs w:val="24"/>
          <w:lang w:val="en-US" w:eastAsia="zh-CN"/>
        </w:rPr>
        <w:t>17</w:t>
      </w:r>
      <w:r>
        <w:rPr>
          <w:rFonts w:hint="eastAsia" w:ascii="宋体" w:hAnsi="宋体" w:eastAsia="宋体" w:cs="宋体"/>
          <w:sz w:val="24"/>
          <w:szCs w:val="24"/>
          <w:lang w:val="en-US" w:eastAsia="zh-CN"/>
        </w:rPr>
        <w:t>kg。</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3.操控距离和方式</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无线遥控：5G遥控+WIFI＋蓝牙，遥控距离1km，4/5G网络传输。</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4.相机配置</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感知自由度:具备上下左右前后全方位感知能力，帧率：30hz，分辨率：1920×1080。</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5.软件和控制系统</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提供SDK基于机载设备和控制系统提供机器人操控权限和机载设备交互能力。</w:t>
      </w:r>
    </w:p>
    <w:p>
      <w:pPr>
        <w:pStyle w:val="22"/>
        <w:rPr>
          <w:rFonts w:hint="eastAsia" w:ascii="宋体" w:hAnsi="宋体" w:eastAsia="宋体" w:cs="宋体"/>
          <w:sz w:val="24"/>
          <w:szCs w:val="24"/>
        </w:rPr>
      </w:pPr>
    </w:p>
    <w:p>
      <w:pPr>
        <w:pStyle w:val="5"/>
        <w:numPr>
          <w:ilvl w:val="0"/>
          <w:numId w:val="0"/>
        </w:numPr>
        <w:ind w:left="0" w:leftChars="0" w:firstLine="0" w:firstLineChars="0"/>
        <w:rPr>
          <w:rFonts w:hint="eastAsia" w:ascii="宋体" w:hAnsi="宋体" w:eastAsia="宋体" w:cs="宋体"/>
          <w:sz w:val="24"/>
          <w:szCs w:val="24"/>
        </w:rPr>
      </w:pPr>
      <w:r>
        <w:rPr>
          <w:rFonts w:hint="eastAsia" w:ascii="宋体" w:hAnsi="宋体" w:eastAsia="宋体" w:cs="宋体"/>
          <w:b/>
          <w:bCs/>
          <w:kern w:val="2"/>
          <w:sz w:val="24"/>
          <w:szCs w:val="24"/>
          <w:lang w:val="en-US" w:eastAsia="zh-CN" w:bidi="ar-SA"/>
        </w:rPr>
        <w:t>(2)</w:t>
      </w:r>
      <w:r>
        <w:rPr>
          <w:rFonts w:hint="eastAsia" w:ascii="宋体" w:hAnsi="宋体" w:eastAsia="宋体" w:cs="宋体"/>
          <w:sz w:val="24"/>
          <w:szCs w:val="24"/>
        </w:rPr>
        <w:t>光伏阵列数据采集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空中机器人在飞行及光伏板清洁作业时，同时开启数据采集功能，拟使用摄像头对光伏板板面进行数据采集，以图片和视频流的形式将采集的光伏板数据</w:t>
      </w:r>
      <w:r>
        <w:rPr>
          <w:rFonts w:hint="eastAsia" w:ascii="宋体" w:hAnsi="宋体" w:eastAsia="宋体" w:cs="宋体"/>
          <w:sz w:val="24"/>
          <w:szCs w:val="24"/>
          <w:lang w:val="en-US" w:eastAsia="zh-CN"/>
        </w:rPr>
        <w:t>传输</w:t>
      </w:r>
      <w:r>
        <w:rPr>
          <w:rFonts w:hint="eastAsia" w:ascii="宋体" w:hAnsi="宋体" w:eastAsia="宋体" w:cs="宋体"/>
          <w:sz w:val="24"/>
          <w:szCs w:val="24"/>
        </w:rPr>
        <w:t>至上层运维管理平台，同时拟结合光伏电站的SCADA数据及雷雨、大雾、风暴等气候数据为清洁机器人提供更加全面智能的信息从而有效预测光伏电站发电效率，使得更精确地对光伏阵列状态进行智能评估，为后续制定全局或局部清洁策略停工可靠依据。</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数据传输拟采用电磁波比特交换设备，具体参数为：</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1.交换范围</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最大信号有效距离：</w:t>
      </w:r>
      <w:r>
        <w:rPr>
          <w:rFonts w:hint="eastAsia" w:ascii="宋体" w:hAnsi="宋体" w:cs="宋体"/>
          <w:sz w:val="24"/>
          <w:szCs w:val="24"/>
          <w:lang w:val="en-US" w:eastAsia="zh-CN"/>
        </w:rPr>
        <w:t>9</w:t>
      </w:r>
      <w:r>
        <w:rPr>
          <w:rFonts w:hint="eastAsia" w:ascii="宋体" w:hAnsi="宋体" w:eastAsia="宋体" w:cs="宋体"/>
          <w:sz w:val="24"/>
          <w:szCs w:val="24"/>
          <w:lang w:val="en-US" w:eastAsia="zh-CN"/>
        </w:rPr>
        <w:t>km，数字比特二维信号交换有效距离：</w:t>
      </w:r>
      <w:r>
        <w:rPr>
          <w:rFonts w:hint="eastAsia" w:ascii="宋体" w:hAnsi="宋体" w:cs="宋体"/>
          <w:sz w:val="24"/>
          <w:szCs w:val="24"/>
          <w:lang w:val="en-US" w:eastAsia="zh-CN"/>
        </w:rPr>
        <w:t>5.2</w:t>
      </w:r>
      <w:r>
        <w:rPr>
          <w:rFonts w:hint="eastAsia" w:ascii="宋体" w:hAnsi="宋体" w:eastAsia="宋体" w:cs="宋体"/>
          <w:sz w:val="24"/>
          <w:szCs w:val="24"/>
          <w:lang w:val="en-US" w:eastAsia="zh-CN"/>
        </w:rPr>
        <w:t>km</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2.交换比特速率</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比特速率范围：2.400-2.4835Ghz,5.725-5.850Ghz</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3.交换方式</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2.4G/5G频段电磁波通讯，WIFI，蓝牙4.2</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4.电磁波交换环境和温度</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交换环境温度：-1</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℃至40℃，充电环境温度：5℃至40℃</w:t>
      </w:r>
    </w:p>
    <w:p>
      <w:pPr>
        <w:pStyle w:val="5"/>
        <w:numPr>
          <w:ilvl w:val="0"/>
          <w:numId w:val="0"/>
        </w:numPr>
        <w:ind w:left="0" w:leftChars="0" w:firstLine="0" w:firstLineChars="0"/>
        <w:rPr>
          <w:rFonts w:hint="eastAsia" w:ascii="宋体" w:hAnsi="宋体" w:eastAsia="宋体" w:cs="宋体"/>
          <w:sz w:val="24"/>
          <w:szCs w:val="24"/>
        </w:rPr>
      </w:pPr>
      <w:r>
        <w:rPr>
          <w:rFonts w:hint="eastAsia" w:ascii="宋体" w:hAnsi="宋体" w:eastAsia="宋体" w:cs="宋体"/>
          <w:b/>
          <w:bCs/>
          <w:kern w:val="2"/>
          <w:sz w:val="24"/>
          <w:szCs w:val="24"/>
          <w:lang w:val="en-US" w:eastAsia="zh-CN" w:bidi="ar-SA"/>
        </w:rPr>
        <w:t>(3)</w:t>
      </w:r>
      <w:r>
        <w:rPr>
          <w:rFonts w:hint="eastAsia" w:ascii="宋体" w:hAnsi="宋体" w:eastAsia="宋体" w:cs="宋体"/>
          <w:sz w:val="24"/>
          <w:szCs w:val="24"/>
        </w:rPr>
        <w:t>光伏发电效率预测</w:t>
      </w:r>
    </w:p>
    <w:p>
      <w:pPr>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rPr>
        <w:t>项目中所能获得的数据主要包括光伏运行数据、气候数据以及光伏阵列清洁状态的图像数据，数据中包含了这些运行数据、气象数据及图像数据与光伏发电量之间的关系。拟使用这些数据来形成模型的基本输入数据空间。合理使用这些数据，挖掘数据与光伏发电效率的潜在关系，可进一步指导选择全局清洁策略或局部清洁策略。</w:t>
      </w:r>
    </w:p>
    <w:p>
      <w:pPr>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rPr>
        <w:t>因而拟构建光伏发电效率预测模型，基于可获得的光伏运行数据、季节、气候，通过光伏发电效率预测模型，拟对光伏电站进行清洁后的光伏发电效率进行可靠预测。获得预测效率后，拟分析后续对光伏电站进行局部或全局清洁的收益，进一步结合图像信息后选择适合的清洁策略。</w:t>
      </w:r>
    </w:p>
    <w:p>
      <w:pPr>
        <w:pStyle w:val="5"/>
        <w:numPr>
          <w:ilvl w:val="0"/>
          <w:numId w:val="0"/>
        </w:numPr>
        <w:ind w:left="0" w:leftChars="0" w:firstLine="0" w:firstLineChars="0"/>
        <w:rPr>
          <w:rFonts w:hint="eastAsia" w:ascii="宋体" w:hAnsi="宋体" w:eastAsia="宋体" w:cs="宋体"/>
          <w:sz w:val="24"/>
          <w:szCs w:val="24"/>
        </w:rPr>
      </w:pPr>
      <w:r>
        <w:rPr>
          <w:rFonts w:hint="eastAsia" w:ascii="宋体" w:hAnsi="宋体" w:eastAsia="宋体" w:cs="宋体"/>
          <w:b/>
          <w:bCs/>
          <w:kern w:val="2"/>
          <w:sz w:val="24"/>
          <w:szCs w:val="24"/>
          <w:lang w:val="en-US" w:eastAsia="zh-CN" w:bidi="ar-SA"/>
        </w:rPr>
        <w:t>(4)</w:t>
      </w:r>
      <w:r>
        <w:rPr>
          <w:rFonts w:hint="eastAsia" w:ascii="宋体" w:hAnsi="宋体" w:eastAsia="宋体" w:cs="宋体"/>
          <w:sz w:val="24"/>
          <w:szCs w:val="24"/>
        </w:rPr>
        <w:t>自动路径规划</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飞行器起飞前，综合</w:t>
      </w:r>
      <w:r>
        <w:rPr>
          <w:rFonts w:hint="eastAsia" w:ascii="宋体" w:hAnsi="宋体" w:eastAsia="宋体" w:cs="宋体"/>
          <w:sz w:val="24"/>
          <w:szCs w:val="24"/>
        </w:rPr>
        <w:t>考虑清洁液覆盖面积、清洁机器人清洁液载量、清洁机器人的电池续航、光伏电站的大小、作业区域形状等因素因素设计，同时</w:t>
      </w:r>
      <w:r>
        <w:rPr>
          <w:rFonts w:hint="eastAsia" w:ascii="宋体" w:hAnsi="宋体" w:eastAsia="宋体" w:cs="宋体"/>
          <w:color w:val="000000"/>
          <w:sz w:val="24"/>
          <w:szCs w:val="24"/>
        </w:rPr>
        <w:t>由已知的光伏板面起始航点坐标，结合自身现在位置的坐标，计算出当前航线的大地方位角，即航线与北方向的顺时针夹角，与GPS中的罗盘模块测得飞机本身航向角度比较，得到转向角度后，控制飞机起飞转向正对目标航点并向航点飞行。贴近光伏板面后，开启光流定点模块，飞行平台进入清洗线路。之后拟依据全局清洁策略和局部清洁策略的分别选用不同的路径规划方法。</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1）全局清洁策略路径规划</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在光伏阵列整体受污渍影响，整体需要进行光伏阵列的清洁时，可采用全局的清洁策略。那么飞行平台在进入清洗路线后，在光伏板平面的线路规划拟为自上而下的竖线型线路。</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一次清洗完成后，飞行器后退离开光伏板，飞行至第二条清洁路线，重新紧贴光伏板，进行下一步的清洗。在清洗完一块光伏板后，自动降落至起飞地点。自动降落的流程与自动起飞基本一致。</w:t>
      </w:r>
      <w:r>
        <w:rPr>
          <w:rFonts w:hint="eastAsia" w:ascii="宋体" w:hAnsi="宋体" w:eastAsia="宋体" w:cs="宋体"/>
          <w:sz w:val="24"/>
          <w:szCs w:val="24"/>
        </w:rPr>
        <w:t>当进行全局清洁时，若清洁液载量不足以支持完整的清洁过程，拟采取往复式遍历路径策略，以最优化清洁机器人路径、载液量、电量规划，该内容在关键技术章节将详细介绍。</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2）局部清洁策略路径规划</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光伏阵列部分区域需要清洁，但其他区域的状态较为良好时，拟采用局部清洁策略。此时，光伏阵列中有多处区域需要空中机器人依次进行清洁，这时合理规划路径，选择合适的空中机器人飞行路径尤为重要。在这种情景下，清洁策略可被建模为为典型的旅行商问题。空中机器人在进入清洗路线后，将规划最优路径，对光伏阵列进行高效清洁。</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为保证清洁机器人在清洁作业时的稳定性，拟采用高效供能部分，该部分由辅助供能系统、高效能源补给器组成。其中，辅助供能系统的参数设置为：</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1.辅助供能容量</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容量：</w:t>
      </w:r>
      <w:r>
        <w:rPr>
          <w:rFonts w:hint="eastAsia" w:ascii="宋体" w:hAnsi="宋体" w:cs="宋体"/>
          <w:sz w:val="24"/>
          <w:szCs w:val="24"/>
          <w:lang w:val="en-US" w:eastAsia="zh-CN"/>
        </w:rPr>
        <w:t>1000</w:t>
      </w:r>
      <w:r>
        <w:rPr>
          <w:rFonts w:hint="eastAsia" w:ascii="宋体" w:hAnsi="宋体" w:eastAsia="宋体" w:cs="宋体"/>
          <w:sz w:val="24"/>
          <w:szCs w:val="24"/>
          <w:lang w:val="en-US" w:eastAsia="zh-CN"/>
        </w:rPr>
        <w:t>mah，标称电压：7/15/22.5V。</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2.辅助供能类型：Li-ion/LiPo</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3.辅助供能重量</w:t>
      </w:r>
      <w:r>
        <w:rPr>
          <w:rFonts w:hint="eastAsia" w:ascii="宋体" w:hAnsi="宋体" w:cs="宋体"/>
          <w:sz w:val="24"/>
          <w:szCs w:val="24"/>
          <w:lang w:val="en-US" w:eastAsia="zh-CN"/>
        </w:rPr>
        <w:t>1000</w:t>
      </w:r>
      <w:r>
        <w:rPr>
          <w:rFonts w:hint="eastAsia" w:ascii="宋体" w:hAnsi="宋体" w:eastAsia="宋体" w:cs="宋体"/>
          <w:sz w:val="24"/>
          <w:szCs w:val="24"/>
          <w:lang w:val="en-US" w:eastAsia="zh-CN"/>
        </w:rPr>
        <w:t>g</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4.辅助供能能量</w:t>
      </w:r>
      <w:r>
        <w:rPr>
          <w:rFonts w:hint="eastAsia" w:ascii="宋体" w:hAnsi="宋体" w:cs="宋体"/>
          <w:sz w:val="24"/>
          <w:szCs w:val="24"/>
          <w:lang w:val="en-US" w:eastAsia="zh-CN"/>
        </w:rPr>
        <w:t>60</w:t>
      </w:r>
      <w:r>
        <w:rPr>
          <w:rFonts w:hint="eastAsia" w:ascii="宋体" w:hAnsi="宋体" w:eastAsia="宋体" w:cs="宋体"/>
          <w:sz w:val="24"/>
          <w:szCs w:val="24"/>
          <w:lang w:val="en-US" w:eastAsia="zh-CN"/>
        </w:rPr>
        <w:t>Wh</w:t>
      </w:r>
    </w:p>
    <w:p>
      <w:pPr>
        <w:pStyle w:val="22"/>
        <w:rPr>
          <w:rFonts w:hint="eastAsia" w:ascii="宋体" w:hAnsi="宋体" w:eastAsia="宋体" w:cs="宋体"/>
          <w:sz w:val="24"/>
          <w:szCs w:val="24"/>
          <w:lang w:val="en-US" w:eastAsia="zh-CN"/>
        </w:rPr>
      </w:pP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高效能源补给器具体参数为：</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1.补给时间</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单能源容器补给：</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h。</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2.补给功率</w:t>
      </w:r>
      <w:r>
        <w:rPr>
          <w:rFonts w:hint="eastAsia" w:ascii="宋体" w:hAnsi="宋体" w:cs="宋体"/>
          <w:sz w:val="24"/>
          <w:szCs w:val="24"/>
          <w:lang w:val="en-US" w:eastAsia="zh-CN"/>
        </w:rPr>
        <w:t>200</w:t>
      </w:r>
      <w:r>
        <w:rPr>
          <w:rFonts w:hint="eastAsia" w:ascii="宋体" w:hAnsi="宋体" w:eastAsia="宋体" w:cs="宋体"/>
          <w:sz w:val="24"/>
          <w:szCs w:val="24"/>
          <w:lang w:val="en-US" w:eastAsia="zh-CN"/>
        </w:rPr>
        <w:t>W。</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3.能源补给兼容性</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支持不同类型、容量、功率的能源容器。</w:t>
      </w:r>
    </w:p>
    <w:p>
      <w:pPr>
        <w:pStyle w:val="5"/>
        <w:numPr>
          <w:ilvl w:val="0"/>
          <w:numId w:val="0"/>
        </w:numPr>
        <w:ind w:left="0" w:leftChars="0" w:firstLine="0" w:firstLineChars="0"/>
        <w:rPr>
          <w:rFonts w:hint="eastAsia" w:ascii="宋体" w:hAnsi="宋体" w:eastAsia="宋体" w:cs="宋体"/>
          <w:sz w:val="24"/>
          <w:szCs w:val="24"/>
        </w:rPr>
      </w:pPr>
      <w:r>
        <w:rPr>
          <w:rFonts w:hint="eastAsia" w:ascii="宋体" w:hAnsi="宋体" w:eastAsia="宋体" w:cs="宋体"/>
          <w:b/>
          <w:bCs/>
          <w:kern w:val="2"/>
          <w:sz w:val="24"/>
          <w:szCs w:val="24"/>
          <w:lang w:val="en-US" w:eastAsia="zh-CN" w:bidi="ar-SA"/>
        </w:rPr>
        <w:t>(5)</w:t>
      </w:r>
      <w:r>
        <w:rPr>
          <w:rFonts w:hint="eastAsia" w:ascii="宋体" w:hAnsi="宋体" w:eastAsia="宋体" w:cs="宋体"/>
          <w:sz w:val="24"/>
          <w:szCs w:val="24"/>
        </w:rPr>
        <w:t>光伏板清洁</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在保证安全的情况下，要求搭载的设备轻量化。空中机器人荷载较轻，故选择较轻的材料作为清洁装置的设计，确保空中机器人一次飞行能够清洁 1-2 块光伏组件。</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rPr>
        <w:t>清洁工作的顺序是从上到下，清洁效果更好、效率更高。为适应这样的功能，拟选择使用机载高压喷枪作为清洁装置，并且在合理使用清洁液的前提下，使用高压喷枪可有效清洁光伏板包括鸟粪、油污、沙尘等污渍。喷头拟采用串联连接，两头连上两条输水水管，黑色管道传输清水，白色管道传输清洁液。这样的机构设计，不仅能依照清洁步骤错开清水和清洁液的喷出时间，同时也可减轻空中机器人的负重。整个清洁机构由上述部分组成，满足其功能需求的基础上，同时尽可能减少机构的重量也是一个重点考虑的部分。</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3176270" cy="2402840"/>
            <wp:effectExtent l="0" t="0" r="5080" b="16510"/>
            <wp:docPr id="2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2"/>
                    <pic:cNvPicPr>
                      <a:picLocks noChangeAspect="1"/>
                    </pic:cNvPicPr>
                  </pic:nvPicPr>
                  <pic:blipFill>
                    <a:blip r:embed="rId6"/>
                    <a:stretch>
                      <a:fillRect/>
                    </a:stretch>
                  </pic:blipFill>
                  <pic:spPr>
                    <a:xfrm>
                      <a:off x="0" y="0"/>
                      <a:ext cx="3176270" cy="2402840"/>
                    </a:xfrm>
                    <a:prstGeom prst="rect">
                      <a:avLst/>
                    </a:prstGeom>
                    <a:noFill/>
                    <a:ln>
                      <a:noFill/>
                    </a:ln>
                  </pic:spPr>
                </pic:pic>
              </a:graphicData>
            </a:graphic>
          </wp:inline>
        </w:drawing>
      </w:r>
    </w:p>
    <w:p>
      <w:pPr>
        <w:pStyle w:val="9"/>
        <w:numPr>
          <w:ilvl w:val="255"/>
          <w:numId w:val="0"/>
        </w:numPr>
        <w:ind w:left="420" w:leftChars="200"/>
        <w:rPr>
          <w:rFonts w:hint="eastAsia" w:ascii="宋体" w:hAnsi="宋体" w:eastAsia="宋体" w:cs="宋体"/>
          <w:sz w:val="24"/>
          <w:szCs w:val="24"/>
        </w:rPr>
      </w:pPr>
      <w:r>
        <w:rPr>
          <w:rFonts w:hint="eastAsia" w:ascii="宋体" w:hAnsi="宋体" w:eastAsia="宋体" w:cs="宋体"/>
          <w:sz w:val="24"/>
          <w:szCs w:val="24"/>
        </w:rPr>
        <w:t xml:space="preserve">图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SEQ 图 \* ARABIC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t>高压喷枪清洁</w:t>
      </w:r>
    </w:p>
    <w:p>
      <w:pPr>
        <w:pStyle w:val="21"/>
        <w:numPr>
          <w:ilvl w:val="0"/>
          <w:numId w:val="0"/>
        </w:numPr>
        <w:tabs>
          <w:tab w:val="left" w:pos="960"/>
        </w:tabs>
        <w:ind w:left="420" w:leftChars="0" w:hanging="420" w:firstLineChars="0"/>
        <w:rPr>
          <w:rFonts w:hint="eastAsia" w:ascii="宋体" w:hAnsi="宋体" w:eastAsia="宋体" w:cs="宋体"/>
          <w:sz w:val="24"/>
          <w:szCs w:val="24"/>
        </w:rPr>
      </w:pPr>
      <w:bookmarkStart w:id="57" w:name="_Toc148172125"/>
      <w:bookmarkEnd w:id="57"/>
      <w:bookmarkStart w:id="58" w:name="_Toc14155"/>
      <w:bookmarkStart w:id="59" w:name="_Toc509509720"/>
      <w:bookmarkStart w:id="60" w:name="_Toc148175930"/>
      <w:bookmarkStart w:id="61" w:name="_Toc91832151"/>
      <w:r>
        <w:rPr>
          <w:rFonts w:hint="eastAsia" w:ascii="宋体" w:hAnsi="宋体" w:eastAsia="宋体" w:cs="宋体"/>
          <w:b/>
          <w:bCs w:val="0"/>
          <w:kern w:val="0"/>
          <w:sz w:val="24"/>
          <w:szCs w:val="24"/>
          <w:lang w:val="en-US" w:eastAsia="zh-CN" w:bidi="ar-SA"/>
        </w:rPr>
        <w:t>3.</w:t>
      </w:r>
      <w:r>
        <w:rPr>
          <w:rFonts w:hint="eastAsia" w:ascii="宋体" w:hAnsi="宋体" w:eastAsia="宋体" w:cs="宋体"/>
          <w:sz w:val="24"/>
          <w:szCs w:val="24"/>
        </w:rPr>
        <w:t>关键技术</w:t>
      </w:r>
      <w:bookmarkEnd w:id="58"/>
      <w:bookmarkEnd w:id="59"/>
      <w:bookmarkEnd w:id="60"/>
      <w:bookmarkEnd w:id="61"/>
    </w:p>
    <w:p>
      <w:pPr>
        <w:pStyle w:val="5"/>
        <w:numPr>
          <w:ilvl w:val="0"/>
          <w:numId w:val="0"/>
        </w:numPr>
        <w:ind w:left="420" w:leftChars="0" w:hanging="420" w:firstLineChars="0"/>
        <w:rPr>
          <w:rFonts w:hint="eastAsia" w:ascii="宋体" w:hAnsi="宋体" w:eastAsia="宋体" w:cs="宋体"/>
          <w:sz w:val="24"/>
          <w:szCs w:val="24"/>
        </w:rPr>
      </w:pPr>
      <w:bookmarkStart w:id="62" w:name="_Toc91832152"/>
      <w:r>
        <w:rPr>
          <w:rFonts w:hint="eastAsia" w:ascii="宋体" w:hAnsi="宋体" w:eastAsia="宋体" w:cs="宋体"/>
          <w:b/>
          <w:bCs/>
          <w:kern w:val="2"/>
          <w:sz w:val="24"/>
          <w:szCs w:val="24"/>
          <w:lang w:val="en-US" w:eastAsia="zh-CN" w:bidi="ar-SA"/>
        </w:rPr>
        <w:t>(1)</w:t>
      </w:r>
      <w:r>
        <w:rPr>
          <w:rFonts w:hint="eastAsia" w:ascii="宋体" w:hAnsi="宋体" w:eastAsia="宋体" w:cs="宋体"/>
          <w:sz w:val="24"/>
          <w:szCs w:val="24"/>
        </w:rPr>
        <w:t>清洁关键技术</w:t>
      </w:r>
      <w:bookmarkEnd w:id="62"/>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（1）空中机器人定点技术</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采用GPS+光流双模式实现定点功能。由于自主型高负载机器人的工作环境贴近光伏面板，正常展开工作时，经实际测量，在空旷外场飞行器接收的卫星数量为10颗以上，但是靠近某些遮挡部位的卫星数量锐减为6颗以下，飞行器也出现了定点飘动的现象，故采用GPS+光流双模式定点。</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飞行器起飞并贴近光伏面板的过程中，拟采用GPS定点技术，该技术可确保空中机器人稳定在一个空间点位上。通过GPS信号，可以确定飞行器的空间三维坐标，同时使用飞控自带的高度测量系统来确定高度信息，这样可以避免外界干扰对飞行器造成的影响。</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当飞行器贴近光伏面板时，会开启固定安装在光伏清洁机器人底部的光流定点模块，以光流定点为主，GPS为辅。光流定点模块中的摄像机会随着飞行器在环境中移动，检测光伏面板图像中光点和暗点的运动，从而形成图像灰度模式的表面运动，即光流。通过检测光流模块返回的位置信息或者速度信息，我可以形成一个闭环控制，结合对飞控的PID调参，实现光流定点。</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通过GPS定点技术和光流定点技术的结合，我们可以确保飞行器在起飞及贴近光伏板面的过程中稳定在一个空间点位上。</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（3）光伏阵列数据采集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空中机器人在飞行及光伏板清洁作业时，同时开启数据采集功能，拟使用摄像头对光伏板板面进行数据采集，以图片和视频流的形式将采集的光伏板数据发送至上层运维管理平台，同时拟结合光伏电站的scada数据及雷雨、大雾、风暴等气候数据为清洁机器人提供更加全面智能的信息从而有效预测光伏电站发电效率，使得更精确地对光伏阵列状态进行智能评估。</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其中气候信息可由天气预报等官方渠道进行获取，另外目前数据采集与监视控制(SCADA)系统是以计算机为基础的 DCS 与电力自动化监控系统，除电力自动化监控外,还包括整个光伏电站内所有设备的运行状态环境参数、电能质量安防、消防等信息的监控。该技术的运用可有效掌握光伏电站完整信息,提高运营效率,加快决策,保障系统安全。目前scada系统分为4个层次,即感知层、传输层、本地控制中心和远程控制中心</w:t>
      </w:r>
      <w:r>
        <w:rPr>
          <w:rFonts w:hint="eastAsia" w:ascii="宋体" w:hAnsi="宋体" w:cs="宋体"/>
          <w:sz w:val="24"/>
          <w:szCs w:val="24"/>
          <w:lang w:eastAsia="zh-CN"/>
        </w:rPr>
        <w:t>。</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感知层通过各类传感器、变送器等采集光伏电站所有运行状态信息,包括光伏系统相关的光伏组串、汇流装置、逆变器、保护装置(高压开关直流接地等)、计量装置(电量/电压/电能质量相关计量仪器)、特别是环境监测仪中的温度、湿度、风速、风向信息。之后传输层通过有线或无线的传输方式将采集到的信息量传输至本地控制中心。因而拟从控制中心获取可用的温度、湿度、风速、风向、光伏组串等信息用于光伏发电效率预测。</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（4）空中机器人清洁技术</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所选的空中机器人荷载较大，故选择较轻的材料作为清洁装置的设计，确保空中机器人一次飞行能够覆盖清洁一定数量的光伏组件。</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从清洁流程入手，主要分类两类，对于积灰，拟采用机载高压喷枪清洁的方式，需配有机载高压喷枪，使用清水进行清洁。对于其他污渍采用污渍清洁方式，由于污渍清洁流程中包含着一次清洁与二次清洁，即清洁剂清洗与清水冲洗的两个步骤，需要喷出清水和清洗液两种性质不同的液体的喷头；从清洁环境出发，因为光伏板比较平滑，但其角度需要随着太阳光线进行调整，相对比较复杂，需要有能适应不同倾斜角度的清洁结构；从机身稳定来看，当空中机器人喷洒清洁液或清水时，需要一些平衡其受力状态的结构；从空中机器人本身载荷来考虑，需要尽可能减轻机构的自重</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（5）清洁硬件配置</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综合考虑，拟采用机载高压喷枪，喷枪出水力度控制在合理范围，在保证高效清洁的同时能够避免对光伏板的表面造成损伤。同时基于空中机器人要求重心配平的特点，拟采取高压喷枪中置方案。</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清洁硬件的设备参数为：</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1.分离效果</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有效分离光伏板表面的灰尘、鸟粪、树叶等各种污物，确保清洁后板面干净。</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2.分离尘粒速度</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每天清扫面积:</w:t>
      </w:r>
      <w:r>
        <w:rPr>
          <w:rFonts w:hint="eastAsia" w:ascii="宋体" w:hAnsi="宋体" w:cs="宋体"/>
          <w:sz w:val="24"/>
          <w:szCs w:val="24"/>
          <w:lang w:val="en-US" w:eastAsia="zh-CN"/>
        </w:rPr>
        <w:t>320</w:t>
      </w:r>
      <w:r>
        <w:rPr>
          <w:rFonts w:hint="eastAsia" w:ascii="宋体" w:hAnsi="宋体" w:eastAsia="宋体" w:cs="宋体"/>
          <w:sz w:val="24"/>
          <w:szCs w:val="24"/>
          <w:lang w:val="en-US" w:eastAsia="zh-CN"/>
        </w:rPr>
        <w:t>㎡</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3.智能自动化</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环境识别：具有智能识别污染物与平台边缘能力，自主导航：自动规划尘粒分离路径。</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（6）无接触及无支架改造式滞空清洁控制技术</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实际使用时，空中机器人使用机载高压喷枪进行清洁时，由于并不加装或改装支架，空中机器人在空中悬停清洁受到的反冲力会造成空中机器人飞行控制系统不稳定，甚至失去平衡。所以要求我们在设计时，考虑到高压喷枪的反向冲击时，需要配有一个装置起到过渡稳定的作用。经过受力分析得知，空中机器人在飞向光伏板并使清洁机构清洁光伏板时，空中机器人受到一个垂直光伏板的力，又由于光伏板的倾斜角度，空中机器人将受到水平方向的分力。在机载高压喷枪进行清洁的时候，我们考虑拟把点接触变为面接触，使得空中机器人进行清洁时工作更加稳定。这要求稳定机构能够保持平衡外，适当增加清洁液喷洒面积。</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此外设计相应算法对空中机器人在清洁时的稳定性是有效的。目前有多种控制算法已应用于空中机器人 , 如PID控制 ,LQ最优控制, 反演控制, 滑膜控制等。但是大都依赖于准确的模型 , 而光伏板清洁实践中常常难以建立精准的动态模型, 因此实际控制的效果反而不如线性控制效果好。 多旋翼空中机器人通过调整本体姿态实现空间灵活机动, 其中悬停飞行是实现其它飞行动作的基础, 因此, 设计一种简洁稳定且适应性强的控制器是推进空中机器人大规模应用的重要保障。因此拟针对空中机器人悬停的两个基本方面 , 即姿态稳定和高度跟踪控制进行了控制算法设计。</w:t>
      </w:r>
    </w:p>
    <w:p>
      <w:pPr>
        <w:numPr>
          <w:ilvl w:val="0"/>
          <w:numId w:val="8"/>
        </w:num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清洁剂选择</w:t>
      </w:r>
    </w:p>
    <w:p>
      <w:pPr>
        <w:spacing w:line="360" w:lineRule="auto"/>
        <w:ind w:firstLine="480" w:firstLineChars="200"/>
        <w:rPr>
          <w:rFonts w:hint="eastAsia" w:ascii="宋体" w:hAnsi="宋体" w:eastAsia="宋体" w:cs="宋体"/>
          <w:sz w:val="24"/>
          <w:szCs w:val="24"/>
        </w:rPr>
      </w:pPr>
      <w:bookmarkStart w:id="63" w:name="_Hlk148175597"/>
      <w:r>
        <w:rPr>
          <w:rFonts w:hint="eastAsia" w:ascii="宋体" w:hAnsi="宋体" w:eastAsia="宋体" w:cs="宋体"/>
          <w:sz w:val="24"/>
          <w:szCs w:val="24"/>
        </w:rPr>
        <w:t>使用高压喷枪清洁光伏板表面油污时，不同类型的污渍需要不同种类的清洁剂来有效去除，因而正确选择清洁剂对光伏板的清洁性能尤为重要。</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当污渍量较少时，拟考虑使用清水来清洗光伏板表面。简单的清水通常足以去除一些较为简单的污渍，而无需使用额外的化学清洁剂。如果污渍较多，拟考虑使用具有较低的酸碱度的中性清洁剂，以尽可能地减少对光伏板表面造成的损伤。当光伏板表面污渍较多时，拟使用强力去垢剂，该类清洁剂包含有机溶剂或强酸，以最大程度地降解污渍。</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光伏板清洁液选用标准为：</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1.PH值</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洁净液的PH：处于6-8之间，对光伏板表面不造成腐蚀或损伤。</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2.不含研磨成分</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洁净液中不含任何磨损的颗粒，以免对板面造成磨损损坏板面。</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3.环保性</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洁净液符合环保标准，不含任何有害化学物质，对环境和使用者健康无任何危害。</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4.低温性能</w:t>
      </w:r>
    </w:p>
    <w:p>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最低工作温度：-1</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w:t>
      </w:r>
    </w:p>
    <w:bookmarkEnd w:id="63"/>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（8）光伏板出力智能感知技术</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实际工程中，复杂条件光伏系统中不同光伏阵列在不同时间的实际工况可能存在较大差异，这些差异对不同光伏阵列实时发电性能即功率将产生不同程度的影响，基于有限的环境监测手段难以及时准确掌握每个光伏阵列的实际运行工况和设备性能，因此难以准确计算每个光伏阵列的参考发电性能和PR值，系统分析影响光伏阵列实际发电性能的关键因素，其中包括光谱、辐照、温度和积灰、污渍等，通过不同分析方法分别掌握了上述因素对不同光伏阵列的实际工况及发电性能的影响。最后利用导致工况差异的因素修正每个光伏阵列的性能指标PI以评估和对比不同光伏阵列基于真实预期的运行状态，给出光伏板清洁状态综合评估结果。并基于此结果与预期光伏阵列性能指标进行对比，当评估结果低于预期性能时，通过人工智能技术智能生成局部或全局光伏阵列清洁策略。</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（9）智慧管理平台</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研发智能感知驱动的光伏阵列高效清洁系统智慧管理平台，集成清洁机器人控制、光伏阵列状态智能感知、任务下发、数据存储、可视化等功能。实现智能清洁机器人作业全程监测结果的可视化，便于工作人员及时掌握与把控场站现场各设备的运行状态。</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（10）网络安全技术</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网络边界处采用入侵检测和防火墙产品监视攻击行为，包括端口扫描、强力攻击、木马后门攻击、IP 碎片攻击和网络蠕虫攻击等；当检测到攻击行为时，记录攻击源IP、攻击类型、攻击时间，在发生严重入侵事件时产生报警。</w:t>
      </w:r>
    </w:p>
    <w:p>
      <w:pPr>
        <w:pStyle w:val="5"/>
        <w:numPr>
          <w:ilvl w:val="0"/>
          <w:numId w:val="0"/>
        </w:numPr>
        <w:ind w:left="0" w:leftChars="0" w:firstLine="0" w:firstLineChars="0"/>
        <w:rPr>
          <w:rFonts w:hint="eastAsia" w:ascii="宋体" w:hAnsi="宋体" w:eastAsia="宋体" w:cs="宋体"/>
          <w:sz w:val="24"/>
          <w:szCs w:val="24"/>
        </w:rPr>
      </w:pPr>
      <w:r>
        <w:rPr>
          <w:rFonts w:hint="eastAsia" w:ascii="宋体" w:hAnsi="宋体" w:eastAsia="宋体" w:cs="宋体"/>
          <w:b/>
          <w:bCs/>
          <w:kern w:val="2"/>
          <w:sz w:val="24"/>
          <w:szCs w:val="24"/>
          <w:lang w:val="en-US" w:eastAsia="zh-CN" w:bidi="ar-SA"/>
        </w:rPr>
        <w:t>(2)</w:t>
      </w:r>
      <w:r>
        <w:rPr>
          <w:rFonts w:hint="eastAsia" w:ascii="宋体" w:hAnsi="宋体" w:eastAsia="宋体" w:cs="宋体"/>
          <w:sz w:val="24"/>
          <w:szCs w:val="24"/>
        </w:rPr>
        <w:t>光伏发电效率预测</w:t>
      </w:r>
    </w:p>
    <w:p>
      <w:pPr>
        <w:numPr>
          <w:ilvl w:val="0"/>
          <w:numId w:val="9"/>
        </w:num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数据分析</w:t>
      </w:r>
    </w:p>
    <w:p>
      <w:pPr>
        <w:numPr>
          <w:ilvl w:val="255"/>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中所能获得的数据主要包括光伏运行数据、气候数据以及光伏阵列清洁状态的图像数据，数据中包含了这些运行数据、气象数据及图像数据与光伏发电量之间的关系。拟使用这些数据来形成模型的基本输入数据空间。</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尽管光伏系统的日功率不同且随机，但当天气类型相同时，尽管光伏系统的输出曲线不同， 但形状非常相似，趋势基本相同。然而，当天气类型不一致时，不同气候、环境条件下的系统输出曲线。差异很大，其形状基本不同。可以看出，如果使用同一个网络来拟合所有气候、环境数据，网络将需要很长时间来学习，并且需要大量的学习样本。此外，这种复杂的数据和模型会降低模型的预测精度。因此，拟根据天气类型的分类，针对不同的气候类型建立了不同的预测模型。将复杂网络分解为3种不同的天气类型并分别进行拟合，以减少模型的学习时间，提高模型的预测精度。 此外，影响光伏系统的因素很多，如温度、湿度、风速、风向和雨量等,全部作为输入将导致模型臃肿，拟合效果与速度并不能达到最优。分析光伏气象因素参数之间的相关性，拟以高关联度的气象因素数据用作预测模型的输入，拟选取辐照度、温度、湿度、 风速作为输入参数，加快系统拟合的速度。</w:t>
      </w:r>
    </w:p>
    <w:p>
      <w:pPr>
        <w:numPr>
          <w:ilvl w:val="0"/>
          <w:numId w:val="9"/>
        </w:numPr>
        <w:ind w:firstLine="480"/>
        <w:rPr>
          <w:rFonts w:hint="eastAsia" w:ascii="宋体" w:hAnsi="宋体" w:eastAsia="宋体" w:cs="宋体"/>
          <w:sz w:val="24"/>
          <w:szCs w:val="24"/>
        </w:rPr>
      </w:pPr>
      <w:r>
        <w:rPr>
          <w:rFonts w:hint="eastAsia" w:ascii="宋体" w:hAnsi="宋体" w:eastAsia="宋体" w:cs="宋体"/>
          <w:sz w:val="24"/>
          <w:szCs w:val="24"/>
        </w:rPr>
        <w:t>预测模型</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基于神经网络理论，其学习算法主要由两部分组成：一是网络的结构确定部分；第二部分是网络中心确定和权重学习校正部分。中心通常由随机方法确定，权重学习校正方法通常使用K均值聚类方法、中心监督选择方法、正则化严格插值方法、正交最小二乘法等。</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拟使用模糊神经网络作为主题架构，模型的输入拟由与光伏发电效率较高的几个数据组成：辐照度、温度、湿度、风速等。输出是训练过程中相应的发电数据，是预测过程中发电的预测值。模糊神经网络通常具有四层结构，即输入层、模糊定位层 (Blurring Layer)、 规则计算层 (Fuzzy Calculation Layer) 和输出层。</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目前，在神经网络算法中有许多学习算法可用于确定聚类中心。最重要的是随机选择方法（即直接计算方法）。该方法是随机选择或使用样本中的所有输入作为网络基函数的中心，中心位置和数量固定，然后可以确定网络的宽度（即方差）。当中心和宽度已知时，确定输出层矩阵，并通过求解线性方程组来确定神经网络的连接权重。c i 在校正网络权重的过程中，可以使用梯度下降来校正和学习网络错误。在确定网络的中心后，由于隐藏层和输出层之间的线性映射关系， 可以通过最小二乘法和最小递归法确定隐藏层和输出层之间的权重。</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与最小二乘法（LMS）相比，递归最小二乘法（RLS）不需要知道矩阵R的特征值分布来确定算法的收敛性，且收敛速度更快。然而，缺点是计算过程复杂度高，计算量大。在实际应用中，在模式识别或非线性回归的背景下，训练样本通常包含噪声。此外，当隐藏层和输入样本大小相同时，可能会导致计算资源的浪费。如果训练样本规模较大，处理过程中的 资源浪费尤为严重。因此，我们需要不断修改网络的权重，以便网络能够更好地处理样本。</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当使用模糊模型时，模型需要自适应，能够自动更新，并且必须不断修改模糊集的隶属函数以获得更合适的模型。其中if–then 规则可用于定义模型。如果规则为</w:t>
      </w:r>
      <w:r>
        <w:rPr>
          <w:rFonts w:hint="eastAsia" w:ascii="宋体" w:hAnsi="宋体" w:eastAsia="宋体" w:cs="宋体"/>
          <w:i/>
          <w:iCs/>
          <w:sz w:val="24"/>
          <w:szCs w:val="24"/>
        </w:rPr>
        <w:t>R</w:t>
      </w:r>
      <w:r>
        <w:rPr>
          <w:rFonts w:hint="eastAsia" w:ascii="宋体" w:hAnsi="宋体" w:eastAsia="宋体" w:cs="宋体"/>
          <w:i/>
          <w:iCs/>
          <w:sz w:val="24"/>
          <w:szCs w:val="24"/>
          <w:vertAlign w:val="superscript"/>
        </w:rPr>
        <w:t>i</w:t>
      </w:r>
      <w:r>
        <w:rPr>
          <w:rFonts w:hint="eastAsia" w:ascii="宋体" w:hAnsi="宋体" w:eastAsia="宋体" w:cs="宋体"/>
          <w:sz w:val="24"/>
          <w:szCs w:val="24"/>
        </w:rPr>
        <w:t>，则 的表达式：</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3509010" cy="198755"/>
            <wp:effectExtent l="0" t="0" r="15240" b="10795"/>
            <wp:docPr id="23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27"/>
                    <pic:cNvPicPr>
                      <a:picLocks noChangeAspect="1"/>
                    </pic:cNvPicPr>
                  </pic:nvPicPr>
                  <pic:blipFill>
                    <a:blip r:embed="rId7"/>
                    <a:stretch>
                      <a:fillRect/>
                    </a:stretch>
                  </pic:blipFill>
                  <pic:spPr>
                    <a:xfrm>
                      <a:off x="0" y="0"/>
                      <a:ext cx="3509010" cy="198755"/>
                    </a:xfrm>
                    <a:prstGeom prst="rect">
                      <a:avLst/>
                    </a:prstGeom>
                    <a:noFill/>
                    <a:ln>
                      <a:noFill/>
                    </a:ln>
                  </pic:spPr>
                </pic:pic>
              </a:graphicData>
            </a:graphic>
          </wp:inline>
        </w:drawing>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在公式中，A</w:t>
      </w:r>
      <w:r>
        <w:rPr>
          <w:rFonts w:hint="eastAsia" w:ascii="宋体" w:hAnsi="宋体" w:eastAsia="宋体" w:cs="宋体"/>
          <w:sz w:val="24"/>
          <w:szCs w:val="24"/>
          <w:vertAlign w:val="superscript"/>
        </w:rPr>
        <w:t>i</w:t>
      </w:r>
      <w:r>
        <w:rPr>
          <w:rFonts w:hint="eastAsia" w:ascii="宋体" w:hAnsi="宋体" w:eastAsia="宋体" w:cs="宋体"/>
          <w:sz w:val="24"/>
          <w:szCs w:val="24"/>
          <w:vertAlign w:val="subscript"/>
        </w:rPr>
        <w:t>j</w:t>
      </w:r>
      <w:r>
        <w:rPr>
          <w:rFonts w:hint="eastAsia" w:ascii="宋体" w:hAnsi="宋体" w:eastAsia="宋体" w:cs="宋体"/>
          <w:sz w:val="24"/>
          <w:szCs w:val="24"/>
        </w:rPr>
        <w:t>是模糊系统的模糊集，y</w:t>
      </w:r>
      <w:r>
        <w:rPr>
          <w:rFonts w:hint="eastAsia" w:ascii="宋体" w:hAnsi="宋体" w:eastAsia="宋体" w:cs="宋体"/>
          <w:sz w:val="24"/>
          <w:szCs w:val="24"/>
          <w:vertAlign w:val="subscript"/>
        </w:rPr>
        <w:t>i</w:t>
      </w:r>
      <w:r>
        <w:rPr>
          <w:rFonts w:hint="eastAsia" w:ascii="宋体" w:hAnsi="宋体" w:eastAsia="宋体" w:cs="宋体"/>
          <w:sz w:val="24"/>
          <w:szCs w:val="24"/>
        </w:rPr>
        <w:t>是模糊系统的参数，P</w:t>
      </w:r>
      <w:r>
        <w:rPr>
          <w:rFonts w:hint="eastAsia" w:ascii="宋体" w:hAnsi="宋体" w:eastAsia="宋体" w:cs="宋体"/>
          <w:sz w:val="24"/>
          <w:szCs w:val="24"/>
          <w:vertAlign w:val="superscript"/>
        </w:rPr>
        <w:t>i</w:t>
      </w:r>
      <w:r>
        <w:rPr>
          <w:rFonts w:hint="eastAsia" w:ascii="宋体" w:hAnsi="宋体" w:eastAsia="宋体" w:cs="宋体"/>
          <w:sz w:val="24"/>
          <w:szCs w:val="24"/>
          <w:vertAlign w:val="subscript"/>
        </w:rPr>
        <w:t>j</w:t>
      </w:r>
      <w:r>
        <w:rPr>
          <w:rFonts w:hint="eastAsia" w:ascii="宋体" w:hAnsi="宋体" w:eastAsia="宋体" w:cs="宋体"/>
          <w:sz w:val="24"/>
          <w:szCs w:val="24"/>
        </w:rPr>
        <w:t>是模糊系统产生的输出。在该模型中，作为输入是模糊的，然后作为输出是确定的。模糊规则推理是指输出是输入的线性组合。当使用模糊规则时，我们必须首先确定输入变量的隶属度。如果输入为x = [x</w:t>
      </w:r>
      <w:r>
        <w:rPr>
          <w:rFonts w:hint="eastAsia" w:ascii="宋体" w:hAnsi="宋体" w:eastAsia="宋体" w:cs="宋体"/>
          <w:sz w:val="24"/>
          <w:szCs w:val="24"/>
          <w:vertAlign w:val="subscript"/>
        </w:rPr>
        <w:t>1</w:t>
      </w:r>
      <w:r>
        <w:rPr>
          <w:rFonts w:hint="eastAsia" w:ascii="宋体" w:hAnsi="宋体" w:eastAsia="宋体" w:cs="宋体"/>
          <w:sz w:val="24"/>
          <w:szCs w:val="24"/>
        </w:rPr>
        <w:t>, x</w:t>
      </w:r>
      <w:r>
        <w:rPr>
          <w:rFonts w:hint="eastAsia" w:ascii="宋体" w:hAnsi="宋体" w:eastAsia="宋体" w:cs="宋体"/>
          <w:sz w:val="24"/>
          <w:szCs w:val="24"/>
          <w:vertAlign w:val="subscript"/>
        </w:rPr>
        <w:t>2</w:t>
      </w:r>
      <w:r>
        <w:rPr>
          <w:rFonts w:hint="eastAsia" w:ascii="宋体" w:hAnsi="宋体" w:eastAsia="宋体" w:cs="宋体"/>
          <w:sz w:val="24"/>
          <w:szCs w:val="24"/>
        </w:rPr>
        <w:t>,......,x</w:t>
      </w:r>
      <w:r>
        <w:rPr>
          <w:rFonts w:hint="eastAsia" w:ascii="宋体" w:hAnsi="宋体" w:eastAsia="宋体" w:cs="宋体"/>
          <w:sz w:val="24"/>
          <w:szCs w:val="24"/>
          <w:vertAlign w:val="subscript"/>
        </w:rPr>
        <w:t>k</w:t>
      </w:r>
      <w:r>
        <w:rPr>
          <w:rFonts w:hint="eastAsia" w:ascii="宋体" w:hAnsi="宋体" w:eastAsia="宋体" w:cs="宋体"/>
          <w:sz w:val="24"/>
          <w:szCs w:val="24"/>
        </w:rPr>
        <w:t>]，隶属度的表达式如下：</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2947035" cy="443230"/>
            <wp:effectExtent l="0" t="0" r="5715" b="13970"/>
            <wp:docPr id="23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28"/>
                    <pic:cNvPicPr>
                      <a:picLocks noChangeAspect="1"/>
                    </pic:cNvPicPr>
                  </pic:nvPicPr>
                  <pic:blipFill>
                    <a:blip r:embed="rId8"/>
                    <a:stretch>
                      <a:fillRect/>
                    </a:stretch>
                  </pic:blipFill>
                  <pic:spPr>
                    <a:xfrm>
                      <a:off x="0" y="0"/>
                      <a:ext cx="2947035" cy="443230"/>
                    </a:xfrm>
                    <a:prstGeom prst="rect">
                      <a:avLst/>
                    </a:prstGeom>
                    <a:noFill/>
                    <a:ln>
                      <a:noFill/>
                    </a:ln>
                  </pic:spPr>
                </pic:pic>
              </a:graphicData>
            </a:graphic>
          </wp:inline>
        </w:drawing>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在公式中,C</w:t>
      </w:r>
      <w:r>
        <w:rPr>
          <w:rFonts w:hint="eastAsia" w:ascii="宋体" w:hAnsi="宋体" w:eastAsia="宋体" w:cs="宋体"/>
          <w:sz w:val="24"/>
          <w:szCs w:val="24"/>
          <w:vertAlign w:val="superscript"/>
        </w:rPr>
        <w:t>i</w:t>
      </w:r>
      <w:r>
        <w:rPr>
          <w:rFonts w:hint="eastAsia" w:ascii="宋体" w:hAnsi="宋体" w:eastAsia="宋体" w:cs="宋体"/>
          <w:sz w:val="24"/>
          <w:szCs w:val="24"/>
          <w:vertAlign w:val="subscript"/>
        </w:rPr>
        <w:t>j</w:t>
      </w:r>
      <w:r>
        <w:rPr>
          <w:rFonts w:hint="eastAsia" w:ascii="宋体" w:hAnsi="宋体" w:eastAsia="宋体" w:cs="宋体"/>
          <w:sz w:val="24"/>
          <w:szCs w:val="24"/>
        </w:rPr>
        <w:t>是隶属函数的中心，b</w:t>
      </w:r>
      <w:r>
        <w:rPr>
          <w:rFonts w:hint="eastAsia" w:ascii="宋体" w:hAnsi="宋体" w:eastAsia="宋体" w:cs="宋体"/>
          <w:sz w:val="24"/>
          <w:szCs w:val="24"/>
          <w:vertAlign w:val="superscript"/>
        </w:rPr>
        <w:t>i</w:t>
      </w:r>
      <w:r>
        <w:rPr>
          <w:rFonts w:hint="eastAsia" w:ascii="宋体" w:hAnsi="宋体" w:eastAsia="宋体" w:cs="宋体"/>
          <w:sz w:val="24"/>
          <w:szCs w:val="24"/>
          <w:vertAlign w:val="subscript"/>
        </w:rPr>
        <w:t>j</w:t>
      </w:r>
      <w:r>
        <w:rPr>
          <w:rFonts w:hint="eastAsia" w:ascii="宋体" w:hAnsi="宋体" w:eastAsia="宋体" w:cs="宋体"/>
          <w:sz w:val="24"/>
          <w:szCs w:val="24"/>
        </w:rPr>
        <w:t>是隶属 函数的宽度，k是输出参数的个数，n是模糊子集的个数。隶属度是使用乘法运算符计算的。乘法算子的表达式如下：</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2832735" cy="265430"/>
            <wp:effectExtent l="0" t="0" r="5715" b="1270"/>
            <wp:docPr id="23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29"/>
                    <pic:cNvPicPr>
                      <a:picLocks noChangeAspect="1"/>
                    </pic:cNvPicPr>
                  </pic:nvPicPr>
                  <pic:blipFill>
                    <a:blip r:embed="rId9"/>
                    <a:stretch>
                      <a:fillRect/>
                    </a:stretch>
                  </pic:blipFill>
                  <pic:spPr>
                    <a:xfrm>
                      <a:off x="0" y="0"/>
                      <a:ext cx="2832735" cy="265430"/>
                    </a:xfrm>
                    <a:prstGeom prst="rect">
                      <a:avLst/>
                    </a:prstGeom>
                    <a:noFill/>
                    <a:ln>
                      <a:noFill/>
                    </a:ln>
                  </pic:spPr>
                </pic:pic>
              </a:graphicData>
            </a:graphic>
          </wp:inline>
        </w:drawing>
      </w:r>
    </w:p>
    <w:p>
      <w:pPr>
        <w:pStyle w:val="22"/>
        <w:jc w:val="both"/>
        <w:rPr>
          <w:rFonts w:hint="eastAsia" w:ascii="宋体" w:hAnsi="宋体" w:eastAsia="宋体" w:cs="宋体"/>
          <w:sz w:val="24"/>
          <w:szCs w:val="24"/>
        </w:rPr>
      </w:pPr>
      <w:r>
        <w:rPr>
          <w:rFonts w:hint="eastAsia" w:ascii="宋体" w:hAnsi="宋体" w:eastAsia="宋体" w:cs="宋体"/>
          <w:sz w:val="24"/>
          <w:szCs w:val="24"/>
        </w:rPr>
        <w:t>模糊模型的输出值yi的表达式如下:</w:t>
      </w:r>
    </w:p>
    <w:p>
      <w:pPr>
        <w:spacing w:line="360" w:lineRule="auto"/>
        <w:ind w:firstLine="480"/>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2173605" cy="388620"/>
            <wp:effectExtent l="0" t="0" r="17145" b="11430"/>
            <wp:docPr id="239"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30"/>
                    <pic:cNvPicPr>
                      <a:picLocks noChangeAspect="1"/>
                    </pic:cNvPicPr>
                  </pic:nvPicPr>
                  <pic:blipFill>
                    <a:blip r:embed="rId10"/>
                    <a:stretch>
                      <a:fillRect/>
                    </a:stretch>
                  </pic:blipFill>
                  <pic:spPr>
                    <a:xfrm>
                      <a:off x="0" y="0"/>
                      <a:ext cx="2173605" cy="388620"/>
                    </a:xfrm>
                    <a:prstGeom prst="rect">
                      <a:avLst/>
                    </a:prstGeom>
                    <a:noFill/>
                    <a:ln>
                      <a:noFill/>
                    </a:ln>
                  </pic:spPr>
                </pic:pic>
              </a:graphicData>
            </a:graphic>
          </wp:inline>
        </w:drawing>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当使用模糊神经网络时，必须首先确定其结构。输入层由输入向量决定，其数量通常与输入数据的维数一致。模糊定位层的功能是使用隶属函数公式计算输入数据,以获得成员值。规则计算层使用模糊算子计算隶属度值。本文使用的模糊算子是连续乘法算子。输出层使用公式计算整个模糊神经网络的输出值。具体步骤如下:</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计算误差e。e的表达式如下：</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935990" cy="300355"/>
            <wp:effectExtent l="0" t="0" r="16510" b="4445"/>
            <wp:docPr id="24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31"/>
                    <pic:cNvPicPr>
                      <a:picLocks noChangeAspect="1"/>
                    </pic:cNvPicPr>
                  </pic:nvPicPr>
                  <pic:blipFill>
                    <a:blip r:embed="rId11"/>
                    <a:stretch>
                      <a:fillRect/>
                    </a:stretch>
                  </pic:blipFill>
                  <pic:spPr>
                    <a:xfrm>
                      <a:off x="0" y="0"/>
                      <a:ext cx="935990" cy="300355"/>
                    </a:xfrm>
                    <a:prstGeom prst="rect">
                      <a:avLst/>
                    </a:prstGeom>
                    <a:noFill/>
                    <a:ln>
                      <a:noFill/>
                    </a:ln>
                  </pic:spPr>
                </pic:pic>
              </a:graphicData>
            </a:graphic>
          </wp:inline>
        </w:drawing>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在公式中，y</w:t>
      </w:r>
      <w:r>
        <w:rPr>
          <w:rFonts w:hint="eastAsia" w:ascii="宋体" w:hAnsi="宋体" w:eastAsia="宋体" w:cs="宋体"/>
          <w:sz w:val="24"/>
          <w:szCs w:val="24"/>
          <w:vertAlign w:val="subscript"/>
        </w:rPr>
        <w:t>d</w:t>
      </w:r>
      <w:r>
        <w:rPr>
          <w:rFonts w:hint="eastAsia" w:ascii="宋体" w:hAnsi="宋体" w:eastAsia="宋体" w:cs="宋体"/>
          <w:sz w:val="24"/>
          <w:szCs w:val="24"/>
        </w:rPr>
        <w:t>是网络的预期输出，y</w:t>
      </w:r>
      <w:r>
        <w:rPr>
          <w:rFonts w:hint="eastAsia" w:ascii="宋体" w:hAnsi="宋体" w:eastAsia="宋体" w:cs="宋体"/>
          <w:sz w:val="24"/>
          <w:szCs w:val="24"/>
          <w:vertAlign w:val="subscript"/>
        </w:rPr>
        <w:t>c</w:t>
      </w:r>
      <w:r>
        <w:rPr>
          <w:rFonts w:hint="eastAsia" w:ascii="宋体" w:hAnsi="宋体" w:eastAsia="宋体" w:cs="宋体"/>
          <w:sz w:val="24"/>
          <w:szCs w:val="24"/>
        </w:rPr>
        <w:t>是网络的实际输出。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修正系数p</w:t>
      </w:r>
      <w:r>
        <w:rPr>
          <w:rFonts w:hint="eastAsia" w:ascii="宋体" w:hAnsi="宋体" w:eastAsia="宋体" w:cs="宋体"/>
          <w:sz w:val="24"/>
          <w:szCs w:val="24"/>
          <w:vertAlign w:val="superscript"/>
        </w:rPr>
        <w:t>i</w:t>
      </w:r>
      <w:r>
        <w:rPr>
          <w:rFonts w:hint="eastAsia" w:ascii="宋体" w:hAnsi="宋体" w:eastAsia="宋体" w:cs="宋体"/>
          <w:sz w:val="24"/>
          <w:szCs w:val="24"/>
          <w:vertAlign w:val="subscript"/>
        </w:rPr>
        <w:t>j</w:t>
      </w:r>
      <w:r>
        <w:rPr>
          <w:rFonts w:hint="eastAsia" w:ascii="宋体" w:hAnsi="宋体" w:eastAsia="宋体" w:cs="宋体"/>
          <w:sz w:val="24"/>
          <w:szCs w:val="24"/>
        </w:rPr>
        <w:t>，修正后的p</w:t>
      </w:r>
      <w:r>
        <w:rPr>
          <w:rFonts w:hint="eastAsia" w:ascii="宋体" w:hAnsi="宋体" w:eastAsia="宋体" w:cs="宋体"/>
          <w:sz w:val="24"/>
          <w:szCs w:val="24"/>
          <w:vertAlign w:val="superscript"/>
        </w:rPr>
        <w:t>i</w:t>
      </w:r>
      <w:r>
        <w:rPr>
          <w:rFonts w:hint="eastAsia" w:ascii="宋体" w:hAnsi="宋体" w:eastAsia="宋体" w:cs="宋体"/>
          <w:sz w:val="24"/>
          <w:szCs w:val="24"/>
          <w:vertAlign w:val="subscript"/>
        </w:rPr>
        <w:t>j</w:t>
      </w:r>
      <w:r>
        <w:rPr>
          <w:rFonts w:hint="eastAsia" w:ascii="宋体" w:hAnsi="宋体" w:eastAsia="宋体" w:cs="宋体"/>
          <w:sz w:val="24"/>
          <w:szCs w:val="24"/>
        </w:rPr>
        <w:t>表达式如下：</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1296035" cy="364490"/>
            <wp:effectExtent l="0" t="0" r="18415" b="16510"/>
            <wp:docPr id="24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32"/>
                    <pic:cNvPicPr>
                      <a:picLocks noChangeAspect="1"/>
                    </pic:cNvPicPr>
                  </pic:nvPicPr>
                  <pic:blipFill>
                    <a:blip r:embed="rId12"/>
                    <a:stretch>
                      <a:fillRect/>
                    </a:stretch>
                  </pic:blipFill>
                  <pic:spPr>
                    <a:xfrm>
                      <a:off x="0" y="0"/>
                      <a:ext cx="1296035" cy="364490"/>
                    </a:xfrm>
                    <a:prstGeom prst="rect">
                      <a:avLst/>
                    </a:prstGeom>
                    <a:noFill/>
                    <a:ln>
                      <a:noFill/>
                    </a:ln>
                  </pic:spPr>
                </pic:pic>
              </a:graphicData>
            </a:graphic>
          </wp:inline>
        </w:drawing>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1101090" cy="467995"/>
            <wp:effectExtent l="0" t="0" r="3810" b="8255"/>
            <wp:docPr id="242"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33"/>
                    <pic:cNvPicPr>
                      <a:picLocks noChangeAspect="1"/>
                    </pic:cNvPicPr>
                  </pic:nvPicPr>
                  <pic:blipFill>
                    <a:blip r:embed="rId13"/>
                    <a:stretch>
                      <a:fillRect/>
                    </a:stretch>
                  </pic:blipFill>
                  <pic:spPr>
                    <a:xfrm>
                      <a:off x="0" y="0"/>
                      <a:ext cx="1101090" cy="467995"/>
                    </a:xfrm>
                    <a:prstGeom prst="rect">
                      <a:avLst/>
                    </a:prstGeom>
                    <a:noFill/>
                    <a:ln>
                      <a:noFill/>
                    </a:ln>
                  </pic:spPr>
                </pic:pic>
              </a:graphicData>
            </a:graphic>
          </wp:inline>
        </w:drawing>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在公式中，p</w:t>
      </w:r>
      <w:r>
        <w:rPr>
          <w:rFonts w:hint="eastAsia" w:ascii="宋体" w:hAnsi="宋体" w:eastAsia="宋体" w:cs="宋体"/>
          <w:sz w:val="24"/>
          <w:szCs w:val="24"/>
          <w:vertAlign w:val="superscript"/>
        </w:rPr>
        <w:t>i</w:t>
      </w:r>
      <w:r>
        <w:rPr>
          <w:rFonts w:hint="eastAsia" w:ascii="宋体" w:hAnsi="宋体" w:eastAsia="宋体" w:cs="宋体"/>
          <w:sz w:val="24"/>
          <w:szCs w:val="24"/>
          <w:vertAlign w:val="subscript"/>
        </w:rPr>
        <w:t>j</w:t>
      </w:r>
      <w:r>
        <w:rPr>
          <w:rFonts w:hint="eastAsia" w:ascii="宋体" w:hAnsi="宋体" w:eastAsia="宋体" w:cs="宋体"/>
          <w:sz w:val="24"/>
          <w:szCs w:val="24"/>
        </w:rPr>
        <w:t>是神经网络系数，α是网络学 习率，w</w:t>
      </w:r>
      <w:r>
        <w:rPr>
          <w:rFonts w:hint="eastAsia" w:ascii="宋体" w:hAnsi="宋体" w:eastAsia="宋体" w:cs="宋体"/>
          <w:sz w:val="24"/>
          <w:szCs w:val="24"/>
          <w:vertAlign w:val="superscript"/>
        </w:rPr>
        <w:t>i</w:t>
      </w:r>
      <w:r>
        <w:rPr>
          <w:rFonts w:hint="eastAsia" w:ascii="宋体" w:hAnsi="宋体" w:eastAsia="宋体" w:cs="宋体"/>
          <w:sz w:val="24"/>
          <w:szCs w:val="24"/>
        </w:rPr>
        <w:t>是隶属度的连续乘积。</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参数修正。校正后 和 的表达式如下：</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1329690" cy="395605"/>
            <wp:effectExtent l="0" t="0" r="3810" b="4445"/>
            <wp:docPr id="243"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34"/>
                    <pic:cNvPicPr>
                      <a:picLocks noChangeAspect="1"/>
                    </pic:cNvPicPr>
                  </pic:nvPicPr>
                  <pic:blipFill>
                    <a:blip r:embed="rId14"/>
                    <a:stretch>
                      <a:fillRect/>
                    </a:stretch>
                  </pic:blipFill>
                  <pic:spPr>
                    <a:xfrm>
                      <a:off x="0" y="0"/>
                      <a:ext cx="1329690" cy="395605"/>
                    </a:xfrm>
                    <a:prstGeom prst="rect">
                      <a:avLst/>
                    </a:prstGeom>
                    <a:noFill/>
                    <a:ln>
                      <a:noFill/>
                    </a:ln>
                  </pic:spPr>
                </pic:pic>
              </a:graphicData>
            </a:graphic>
          </wp:inline>
        </w:drawing>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1428750" cy="370205"/>
            <wp:effectExtent l="0" t="0" r="0" b="10795"/>
            <wp:docPr id="244"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35"/>
                    <pic:cNvPicPr>
                      <a:picLocks noChangeAspect="1"/>
                    </pic:cNvPicPr>
                  </pic:nvPicPr>
                  <pic:blipFill>
                    <a:blip r:embed="rId15"/>
                    <a:stretch>
                      <a:fillRect/>
                    </a:stretch>
                  </pic:blipFill>
                  <pic:spPr>
                    <a:xfrm>
                      <a:off x="0" y="0"/>
                      <a:ext cx="1428750" cy="370205"/>
                    </a:xfrm>
                    <a:prstGeom prst="rect">
                      <a:avLst/>
                    </a:prstGeom>
                    <a:noFill/>
                    <a:ln>
                      <a:noFill/>
                    </a:ln>
                  </pic:spPr>
                </pic:pic>
              </a:graphicData>
            </a:graphic>
          </wp:inline>
        </w:drawing>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在公式中，c</w:t>
      </w:r>
      <w:r>
        <w:rPr>
          <w:rFonts w:hint="eastAsia" w:ascii="宋体" w:hAnsi="宋体" w:eastAsia="宋体" w:cs="宋体"/>
          <w:sz w:val="24"/>
          <w:szCs w:val="24"/>
          <w:vertAlign w:val="superscript"/>
        </w:rPr>
        <w:t>i</w:t>
      </w:r>
      <w:r>
        <w:rPr>
          <w:rFonts w:hint="eastAsia" w:ascii="宋体" w:hAnsi="宋体" w:eastAsia="宋体" w:cs="宋体"/>
          <w:sz w:val="24"/>
          <w:szCs w:val="24"/>
          <w:vertAlign w:val="subscript"/>
        </w:rPr>
        <w:t>j</w:t>
      </w:r>
      <w:r>
        <w:rPr>
          <w:rFonts w:hint="eastAsia" w:ascii="宋体" w:hAnsi="宋体" w:eastAsia="宋体" w:cs="宋体"/>
          <w:sz w:val="24"/>
          <w:szCs w:val="24"/>
        </w:rPr>
        <w:t>是成员的中心函数，b</w:t>
      </w:r>
      <w:r>
        <w:rPr>
          <w:rFonts w:hint="eastAsia" w:ascii="宋体" w:hAnsi="宋体" w:eastAsia="宋体" w:cs="宋体"/>
          <w:sz w:val="24"/>
          <w:szCs w:val="24"/>
          <w:vertAlign w:val="superscript"/>
        </w:rPr>
        <w:t>i</w:t>
      </w:r>
      <w:r>
        <w:rPr>
          <w:rFonts w:hint="eastAsia" w:ascii="宋体" w:hAnsi="宋体" w:eastAsia="宋体" w:cs="宋体"/>
          <w:sz w:val="24"/>
          <w:szCs w:val="24"/>
          <w:vertAlign w:val="subscript"/>
        </w:rPr>
        <w:t>j</w:t>
      </w:r>
      <w:r>
        <w:rPr>
          <w:rFonts w:hint="eastAsia" w:ascii="宋体" w:hAnsi="宋体" w:eastAsia="宋体" w:cs="宋体"/>
          <w:sz w:val="24"/>
          <w:szCs w:val="24"/>
        </w:rPr>
        <w:t>是隶属函数的宽度。</w:t>
      </w:r>
    </w:p>
    <w:p>
      <w:pPr>
        <w:numPr>
          <w:ilvl w:val="0"/>
          <w:numId w:val="9"/>
        </w:num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模糊神经网络预训练</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基于光伏发电效率预测1）所示。 训练数据的输入拟为辐照度、温度、湿 度、风速、光伏运行数据等n个数据。那么网络的输入节点数为n。输出为发电效率，网络的输出节点确定为1。模糊隶属函数的中心和宽度通过随机选择方法随机获得。 初始化模糊神经网络，并归一化训练数据，可得到光伏发电效率预测权重。</w:t>
      </w:r>
    </w:p>
    <w:p>
      <w:pPr>
        <w:pStyle w:val="5"/>
        <w:numPr>
          <w:ilvl w:val="0"/>
          <w:numId w:val="0"/>
        </w:numPr>
        <w:ind w:left="0" w:leftChars="0" w:firstLine="0" w:firstLineChars="0"/>
        <w:rPr>
          <w:rFonts w:hint="eastAsia" w:ascii="宋体" w:hAnsi="宋体" w:eastAsia="宋体" w:cs="宋体"/>
          <w:sz w:val="24"/>
          <w:szCs w:val="24"/>
        </w:rPr>
      </w:pPr>
      <w:r>
        <w:rPr>
          <w:rFonts w:hint="eastAsia" w:ascii="宋体" w:hAnsi="宋体" w:eastAsia="宋体" w:cs="宋体"/>
          <w:b/>
          <w:bCs/>
          <w:kern w:val="2"/>
          <w:sz w:val="24"/>
          <w:szCs w:val="24"/>
          <w:lang w:val="en-US" w:eastAsia="zh-CN" w:bidi="ar-SA"/>
        </w:rPr>
        <w:t>(3)</w:t>
      </w:r>
      <w:r>
        <w:rPr>
          <w:rFonts w:hint="eastAsia" w:ascii="宋体" w:hAnsi="宋体" w:eastAsia="宋体" w:cs="宋体"/>
          <w:sz w:val="24"/>
          <w:szCs w:val="24"/>
        </w:rPr>
        <w:t>光伏板面污渍定位</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由于光伏电站建设于室外，表面难免会有沙尘、脏斑，同时，光伏电站上方常有鸟类经过， 也会在光伏板上留下粪便等污渍。因此，为了后续的机器人清洗工作，需要能通过可见光相机拍摄的光伏板图像识别出表面的表面缺陷位置。 首先，如 1.2 节所介绍的，因为光伏电场占地面积广，清洗任务繁重，所以难以使用人工肉眼检测法，其次，光伏板表面缺陷图像具有如下特征：（1）背景通常为饱和度不同的蓝色，上面分布有间隔固定、与边缘平行的白色栅线，形成了一个个大小一致的矩形区域，肉眼可见的缺陷包括污渍、破损等随机分布在图像中，且鸟类粪便通常是白色或灰白色，因此，如何精准区分污渍和栅线的颜色也是一个问题。（2）表面如有破损，会在图像上显示为比周围区域较深的颜色，因此，采 用视觉检测法检测时容易与周围区域混淆而漏检。（3）污渍形状不规则，有些呈块状，相对容易检测出来，有些则是条状或 点状，这些污渍容易与栅线混淆而被漏检，且栅线也有可能被误检为污渍，所以在设计算法时也要注意。</w:t>
      </w:r>
    </w:p>
    <w:p>
      <w:pPr>
        <w:pStyle w:val="22"/>
        <w:rPr>
          <w:rFonts w:hint="eastAsia" w:ascii="宋体" w:hAnsi="宋体" w:eastAsia="宋体" w:cs="宋体"/>
          <w:sz w:val="24"/>
          <w:szCs w:val="24"/>
        </w:rPr>
      </w:pPr>
      <w:r>
        <w:rPr>
          <w:rFonts w:hint="eastAsia" w:ascii="宋体" w:hAnsi="宋体" w:eastAsia="宋体" w:cs="宋体"/>
          <w:sz w:val="24"/>
          <w:szCs w:val="24"/>
        </w:rPr>
        <w:t>1）图像预处理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由于环境、采集设备等条件的不同，在用相机采集并且传输图像的时候光伏板图像往往会受到噪声干扰，影响了图像的质量，甚至可能抹掉图像中很重要的细节信息，为后续对图像识别、表面缺陷检测等过程造成不可忽视的影响。同时，光伏电池的发电原理是在PN结上形成了电势差，建立了内在电场。但是因为只有电压存在，所以需要用导线将这些电导出来，光伏板上的栅线就是承载电流的第一级导线，光伏板图像如后图所示。</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2853055" cy="2675890"/>
            <wp:effectExtent l="0" t="0" r="4445" b="10160"/>
            <wp:docPr id="24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10"/>
                    <pic:cNvPicPr>
                      <a:picLocks noChangeAspect="1"/>
                    </pic:cNvPicPr>
                  </pic:nvPicPr>
                  <pic:blipFill>
                    <a:blip r:embed="rId16"/>
                    <a:stretch>
                      <a:fillRect/>
                    </a:stretch>
                  </pic:blipFill>
                  <pic:spPr>
                    <a:xfrm>
                      <a:off x="0" y="0"/>
                      <a:ext cx="2853055" cy="2675890"/>
                    </a:xfrm>
                    <a:prstGeom prst="rect">
                      <a:avLst/>
                    </a:prstGeom>
                    <a:noFill/>
                    <a:ln>
                      <a:noFill/>
                    </a:ln>
                  </pic:spPr>
                </pic:pic>
              </a:graphicData>
            </a:graphic>
          </wp:inline>
        </w:drawing>
      </w:r>
    </w:p>
    <w:p>
      <w:pPr>
        <w:pStyle w:val="9"/>
        <w:numPr>
          <w:ilvl w:val="255"/>
          <w:numId w:val="0"/>
        </w:numPr>
        <w:ind w:left="420" w:leftChars="200"/>
        <w:rPr>
          <w:rFonts w:hint="eastAsia" w:ascii="宋体" w:hAnsi="宋体" w:eastAsia="宋体" w:cs="宋体"/>
          <w:sz w:val="24"/>
          <w:szCs w:val="24"/>
        </w:rPr>
      </w:pPr>
      <w:r>
        <w:rPr>
          <w:rFonts w:hint="eastAsia" w:ascii="宋体" w:hAnsi="宋体" w:eastAsia="宋体" w:cs="宋体"/>
          <w:sz w:val="24"/>
          <w:szCs w:val="24"/>
        </w:rPr>
        <w:t xml:space="preserve">图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SEQ 图 \* ARABIC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sz w:val="24"/>
          <w:szCs w:val="24"/>
        </w:rPr>
        <w:t>光伏板电池图片</w:t>
      </w:r>
    </w:p>
    <w:p>
      <w:pPr>
        <w:rPr>
          <w:rFonts w:hint="eastAsia" w:ascii="宋体" w:hAnsi="宋体" w:eastAsia="宋体" w:cs="宋体"/>
          <w:sz w:val="24"/>
          <w:szCs w:val="24"/>
        </w:rPr>
      </w:pP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可以发现，图像上有粗和细两种栅线，细的是副栅线，起到引导电流的作用，粗的是主栅线，是用来收集副栅线电流的，起到汇总的作用。在后续基于像素运算的缺陷检测算法中栅线会对表面缺陷的检测造成比较明显的影响，拟对采集到的光伏电池板图像进行滤波处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图像滤波器能在减弱噪声干扰的同时，去除细栅线的影响，从而突出图像中其他关键的细节信息，也能提高图像品质，有利于后续的图像处理工作。一般使用的图像滤波方法有均值滤波、中值滤波和高斯滤波等。 均值滤波选定一个模板，计算该模板内所有像素点的灰度值的平均值，以之代替模板中心像素的原始灰度值，从而实现去除噪声的目的。其公式为：</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1469390" cy="348615"/>
            <wp:effectExtent l="0" t="0" r="16510" b="13335"/>
            <wp:docPr id="24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11"/>
                    <pic:cNvPicPr>
                      <a:picLocks noChangeAspect="1"/>
                    </pic:cNvPicPr>
                  </pic:nvPicPr>
                  <pic:blipFill>
                    <a:blip r:embed="rId17"/>
                    <a:stretch>
                      <a:fillRect/>
                    </a:stretch>
                  </pic:blipFill>
                  <pic:spPr>
                    <a:xfrm>
                      <a:off x="0" y="0"/>
                      <a:ext cx="1469390" cy="348615"/>
                    </a:xfrm>
                    <a:prstGeom prst="rect">
                      <a:avLst/>
                    </a:prstGeom>
                    <a:noFill/>
                    <a:ln>
                      <a:noFill/>
                    </a:ln>
                  </pic:spPr>
                </pic:pic>
              </a:graphicData>
            </a:graphic>
          </wp:inline>
        </w:drawing>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中值滤波是用一种模板在初始图像上进行扫描，把模板里的像素点灰度值按从小到大进行排序，以中间位置的灰度值代替原来中心点的灰度值，中值滤波的模板有正方形、矩形、圆形等。其公式为：</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2356485" cy="197485"/>
            <wp:effectExtent l="0" t="0" r="5715" b="12065"/>
            <wp:docPr id="24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12"/>
                    <pic:cNvPicPr>
                      <a:picLocks noChangeAspect="1"/>
                    </pic:cNvPicPr>
                  </pic:nvPicPr>
                  <pic:blipFill>
                    <a:blip r:embed="rId18"/>
                    <a:stretch>
                      <a:fillRect/>
                    </a:stretch>
                  </pic:blipFill>
                  <pic:spPr>
                    <a:xfrm>
                      <a:off x="0" y="0"/>
                      <a:ext cx="2356485" cy="197485"/>
                    </a:xfrm>
                    <a:prstGeom prst="rect">
                      <a:avLst/>
                    </a:prstGeom>
                    <a:noFill/>
                    <a:ln>
                      <a:noFill/>
                    </a:ln>
                  </pic:spPr>
                </pic:pic>
              </a:graphicData>
            </a:graphic>
          </wp:inline>
        </w:drawing>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高斯滤波的原理和均值滤波相似，不同之处在于其模板上的参数会随着离模板中心的距离变远而显著减小。所以，相对而言经高斯滤波器的图像会更加清晰，常用于去除满足正态分布的噪声。常用的高斯函数为：</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1043305" cy="485775"/>
            <wp:effectExtent l="0" t="0" r="4445" b="9525"/>
            <wp:docPr id="25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14"/>
                    <pic:cNvPicPr>
                      <a:picLocks noChangeAspect="1"/>
                    </pic:cNvPicPr>
                  </pic:nvPicPr>
                  <pic:blipFill>
                    <a:blip r:embed="rId19"/>
                    <a:stretch>
                      <a:fillRect/>
                    </a:stretch>
                  </pic:blipFill>
                  <pic:spPr>
                    <a:xfrm>
                      <a:off x="0" y="0"/>
                      <a:ext cx="1043305" cy="485775"/>
                    </a:xfrm>
                    <a:prstGeom prst="rect">
                      <a:avLst/>
                    </a:prstGeom>
                    <a:noFill/>
                    <a:ln>
                      <a:noFill/>
                    </a:ln>
                  </pic:spPr>
                </pic:pic>
              </a:graphicData>
            </a:graphic>
          </wp:inline>
        </w:drawing>
      </w:r>
    </w:p>
    <w:p>
      <w:pPr>
        <w:pStyle w:val="22"/>
        <w:jc w:val="center"/>
        <w:rPr>
          <w:rFonts w:hint="eastAsia" w:ascii="宋体" w:hAnsi="宋体" w:eastAsia="宋体" w:cs="宋体"/>
          <w:sz w:val="24"/>
          <w:szCs w:val="24"/>
        </w:rPr>
      </w:pPr>
    </w:p>
    <w:p>
      <w:pPr>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可以看出，均值滤波处理的图像模糊掉了部分噪声，但是图像整体清晰度变差了，细节上受到了一定程度的损坏。高斯滤波处理的图像比较有效地去 除了噪声和细栅线的干扰，但是一定程度上破坏了表面缺陷的清晰度，不利于后续处理。而经过中值滤波处理的图像不仅能够去除噪声和细栅线，也突出了表面 缺陷点的位置，得到了一幅平滑的光伏板表面缺陷图像，有利于进一步处理。因而使用中值滤波器效果最好，所以，在预处理时选择中值滤波方法对拍摄的光伏板图像进行处理。</w:t>
      </w:r>
    </w:p>
    <w:p>
      <w:pPr>
        <w:spacing w:line="360" w:lineRule="auto"/>
        <w:jc w:val="both"/>
        <w:rPr>
          <w:rFonts w:hint="eastAsia" w:ascii="宋体" w:hAnsi="宋体" w:eastAsia="宋体" w:cs="宋体"/>
          <w:sz w:val="24"/>
          <w:szCs w:val="24"/>
        </w:rPr>
      </w:pPr>
      <w:r>
        <w:rPr>
          <w:rFonts w:hint="eastAsia" w:ascii="宋体" w:hAnsi="宋体" w:eastAsia="宋体" w:cs="宋体"/>
          <w:sz w:val="24"/>
          <w:szCs w:val="24"/>
        </w:rPr>
        <w:t>2）油污检测</w:t>
      </w:r>
    </w:p>
    <w:p>
      <w:pPr>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光伏发电系统利用了半导体的光生伏特效应，关键在于光伏电池的使用，光伏电池通常包含单晶硅版本和多晶硅版本。从颜色上来看，单晶硅具有金刚石晶格，主要是黑色或纯色，而多晶硅有灰色金属光泽，比较偏呈蓝色。单晶硅太阳能电池的光电转换效率比多晶硅高很多，且其使用年限也比单晶硅太阳能电池要短。但是实际上制作单晶硅太阳能电池花费较大，因此不能通常不被大众普遍地使用。 太阳能电池板主要吸收的是可见光中的绿色波长附近的光子，蓝色波长较长，可以吸收所有的光，而黑色虽然会增加光线吸收效率，但与此同时也会增强热效应，基于标准电池温度（25℃），随着温度的增长，光伏电池的输出效率会显著降低。</w:t>
      </w:r>
    </w:p>
    <w:p>
      <w:pPr>
        <w:spacing w:line="360" w:lineRule="auto"/>
        <w:ind w:firstLine="480"/>
        <w:jc w:val="center"/>
        <w:rPr>
          <w:rFonts w:hint="eastAsia" w:ascii="宋体" w:hAnsi="宋体" w:eastAsia="宋体" w:cs="宋体"/>
          <w:sz w:val="24"/>
          <w:szCs w:val="24"/>
        </w:rPr>
      </w:pPr>
      <w:r>
        <w:rPr>
          <w:rFonts w:hint="eastAsia" w:ascii="宋体" w:hAnsi="宋体" w:eastAsia="宋体" w:cs="宋体"/>
          <w:sz w:val="24"/>
          <w:szCs w:val="24"/>
        </w:rPr>
        <w:t>当对光伏板表面缺陷图像进行预处理后，滤去了噪声和细栅线，所得图像留下了蓝色的背景以及表面的白色粗栅线和灰白的污渍等缺陷，为了后续进一步识别图像上的光伏板表面缺陷，先要去除蓝色背景的影响，拟采用RGB颜色空间转HSV颜色空间的方法。在图像处理中，HSV颜色空间模型是一个以圆锥角表示色度的圆锥体，H、S、V分别表示色相、饱和度、明度。由于 RGB 模型中R、G、B三个分量通常都会随着光照的改变而变化，因此对于相近色彩的 R、G、B 值差别可能会相当 大，而HSV模型在视觉上而言会比RGB颜色空间模型更加自然且更具有直观性，对检测与分析表面具有彩色特性的物体来说比较合适。根据 RGB 颜色空间转换至HSV颜色空间的公式(2.4)，RGB 取值范围为，令Max=max(R,G,B)，Min =min(R,G,B)，那么色相、饱和度、明度分别是：</w:t>
      </w:r>
    </w:p>
    <w:p>
      <w:pPr>
        <w:spacing w:line="360" w:lineRule="auto"/>
        <w:ind w:firstLine="480"/>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1988820" cy="1621155"/>
            <wp:effectExtent l="0" t="0" r="11430" b="17145"/>
            <wp:docPr id="25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18"/>
                    <pic:cNvPicPr>
                      <a:picLocks noChangeAspect="1"/>
                    </pic:cNvPicPr>
                  </pic:nvPicPr>
                  <pic:blipFill>
                    <a:blip r:embed="rId20"/>
                    <a:stretch>
                      <a:fillRect/>
                    </a:stretch>
                  </pic:blipFill>
                  <pic:spPr>
                    <a:xfrm>
                      <a:off x="0" y="0"/>
                      <a:ext cx="1988820" cy="1621155"/>
                    </a:xfrm>
                    <a:prstGeom prst="rect">
                      <a:avLst/>
                    </a:prstGeom>
                    <a:noFill/>
                    <a:ln>
                      <a:noFill/>
                    </a:ln>
                  </pic:spPr>
                </pic:pic>
              </a:graphicData>
            </a:graphic>
          </wp:inline>
        </w:drawing>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对光伏板表面缺陷图像完成RGB转HSV的空间转换之后，就能得到以色相、饱 和度、明度来表示的图像。由于计算机只能够按照RGB通道显示图片，因此经过预处理后得到的图 像在计算机保存时会把 H、S、V分别当作R、G、B来保存，即映射在RGB颜色空间得到的结果是蓝底黑斑，也就是背景显示为蓝色，光伏板表面的缺陷及粗栅格线显示为黑色的图像。</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可以看到，表面缺陷及粗栅线成功地和背景板颜色分离了，尽管有一部分缺陷和栅线的边缘被模糊了，但是后续本来也是要再去掉栅线的，而且缺陷边缘的模糊并不影响整体的定位，所以，这一步骤的目的能够达成。</w:t>
      </w:r>
    </w:p>
    <w:p>
      <w:pPr>
        <w:pStyle w:val="9"/>
        <w:numPr>
          <w:ilvl w:val="0"/>
          <w:numId w:val="0"/>
        </w:numPr>
        <w:jc w:val="left"/>
        <w:rPr>
          <w:rFonts w:hint="eastAsia" w:ascii="宋体" w:hAnsi="宋体" w:eastAsia="宋体" w:cs="宋体"/>
          <w:sz w:val="24"/>
          <w:szCs w:val="24"/>
        </w:rPr>
      </w:pPr>
      <w:r>
        <w:rPr>
          <w:rFonts w:hint="eastAsia" w:ascii="宋体" w:hAnsi="宋体" w:eastAsia="宋体" w:cs="宋体"/>
          <w:sz w:val="24"/>
          <w:szCs w:val="24"/>
        </w:rPr>
        <w:t>通过 HSV 空间转</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换得到的图像是蓝底黑斑的，为了后续处理的便利，先进行二值化操作把彩色图像变成黑白图像。由于在上一步中得到的图像仅有黑、蓝硕两种颜色，拟采用大津法二值，即OSTU法进行处理。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可以看出经OSTU处理后表面缺陷是一块较大的斑块，而栅线是一些断断续续的点，对于想要保留主要物体，去除小的干扰的图像，拟采用形态学处理或者众数滤波的操作。 形态学处理通常包括开运算和闭运算。开运算即先腐蚀后膨胀，其作用主要是把图像中某些连接不紧密的元素分离，与此同时能够删除图像中的细枝末节。闭运算是先膨胀后腐蚀，其作用在于把相邻但还没相接的物体连接起来，同时填补图像中的空洞。开运算与闭运算的计算公式表示如公式所示，其中</w:t>
      </w:r>
      <w:r>
        <w:rPr>
          <w:rFonts w:hint="eastAsia" w:ascii="宋体" w:hAnsi="宋体" w:eastAsia="宋体" w:cs="宋体"/>
          <w:sz w:val="24"/>
          <w:szCs w:val="24"/>
        </w:rPr>
        <w:sym w:font="Symbol" w:char="F0C5"/>
      </w:r>
      <w:r>
        <w:rPr>
          <w:rFonts w:hint="eastAsia" w:ascii="宋体" w:hAnsi="宋体" w:eastAsia="宋体" w:cs="宋体"/>
          <w:sz w:val="24"/>
          <w:szCs w:val="24"/>
        </w:rPr>
        <w:t>和</w:t>
      </w:r>
      <w:r>
        <w:rPr>
          <w:rFonts w:hint="eastAsia" w:ascii="宋体" w:hAnsi="宋体" w:eastAsia="宋体" w:cs="宋体"/>
          <w:sz w:val="24"/>
          <w:szCs w:val="24"/>
        </w:rPr>
        <w:sym w:font="Symbol" w:char="F0C4"/>
      </w:r>
      <w:r>
        <w:rPr>
          <w:rFonts w:hint="eastAsia" w:ascii="宋体" w:hAnsi="宋体" w:eastAsia="宋体" w:cs="宋体"/>
          <w:sz w:val="24"/>
          <w:szCs w:val="24"/>
        </w:rPr>
        <w:t>分别表示膨胀和腐蚀运算，B表示结构元素</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0" distR="0">
            <wp:extent cx="1519555" cy="333375"/>
            <wp:effectExtent l="0" t="0" r="4445" b="9525"/>
            <wp:docPr id="9793655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365539" name="图片 1"/>
                    <pic:cNvPicPr>
                      <a:picLocks noChangeAspect="1"/>
                    </pic:cNvPicPr>
                  </pic:nvPicPr>
                  <pic:blipFill>
                    <a:blip r:embed="rId21"/>
                    <a:stretch>
                      <a:fillRect/>
                    </a:stretch>
                  </pic:blipFill>
                  <pic:spPr>
                    <a:xfrm>
                      <a:off x="0" y="0"/>
                      <a:ext cx="1545591" cy="339562"/>
                    </a:xfrm>
                    <a:prstGeom prst="rect">
                      <a:avLst/>
                    </a:prstGeom>
                  </pic:spPr>
                </pic:pic>
              </a:graphicData>
            </a:graphic>
          </wp:inline>
        </w:drawing>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众数滤是根据协同理论设计的。当多种不同的元素存在于同一幅图像中时，系统会呈现不同的状态，这些元素之间是竞争关系。当彼此之间竞争性无较大差异时，图像上不会有明显特征，而当某种元素特征非常明显时，会占据主导地位，而其他元素则会跟随其状态而改变，在图像中显示为某些局部特征非常明显突出。众数滤波的定义是在一个集合</w:t>
      </w:r>
      <w:r>
        <w:rPr>
          <w:rFonts w:hint="eastAsia" w:ascii="宋体" w:hAnsi="宋体" w:eastAsia="宋体" w:cs="宋体"/>
          <w:sz w:val="24"/>
          <w:szCs w:val="24"/>
        </w:rPr>
        <w:sym w:font="Symbol" w:char="F07B"/>
      </w:r>
      <w:r>
        <w:rPr>
          <w:rFonts w:hint="eastAsia" w:ascii="宋体" w:hAnsi="宋体" w:eastAsia="宋体" w:cs="宋体"/>
          <w:sz w:val="24"/>
          <w:szCs w:val="24"/>
        </w:rPr>
        <w:t>x</w:t>
      </w:r>
      <w:r>
        <w:rPr>
          <w:rFonts w:hint="eastAsia" w:ascii="宋体" w:hAnsi="宋体" w:eastAsia="宋体" w:cs="宋体"/>
          <w:sz w:val="24"/>
          <w:szCs w:val="24"/>
          <w:vertAlign w:val="subscript"/>
        </w:rPr>
        <w:t>1</w:t>
      </w:r>
      <w:r>
        <w:rPr>
          <w:rFonts w:hint="eastAsia" w:ascii="宋体" w:hAnsi="宋体" w:eastAsia="宋体" w:cs="宋体"/>
          <w:sz w:val="24"/>
          <w:szCs w:val="24"/>
        </w:rPr>
        <w:t>, x</w:t>
      </w:r>
      <w:r>
        <w:rPr>
          <w:rFonts w:hint="eastAsia" w:ascii="宋体" w:hAnsi="宋体" w:eastAsia="宋体" w:cs="宋体"/>
          <w:sz w:val="24"/>
          <w:szCs w:val="24"/>
          <w:vertAlign w:val="subscript"/>
        </w:rPr>
        <w:t>2</w:t>
      </w:r>
      <w:r>
        <w:rPr>
          <w:rFonts w:hint="eastAsia" w:ascii="宋体" w:hAnsi="宋体" w:eastAsia="宋体" w:cs="宋体"/>
          <w:sz w:val="24"/>
          <w:szCs w:val="24"/>
        </w:rPr>
        <w:t>,…，x</w:t>
      </w:r>
      <w:r>
        <w:rPr>
          <w:rFonts w:hint="eastAsia" w:ascii="宋体" w:hAnsi="宋体" w:eastAsia="宋体" w:cs="宋体"/>
          <w:sz w:val="24"/>
          <w:szCs w:val="24"/>
          <w:vertAlign w:val="subscript"/>
        </w:rPr>
        <w:t>n</w:t>
      </w:r>
      <w:r>
        <w:rPr>
          <w:rFonts w:hint="eastAsia" w:ascii="宋体" w:hAnsi="宋体" w:eastAsia="宋体" w:cs="宋体"/>
          <w:sz w:val="24"/>
          <w:szCs w:val="24"/>
        </w:rPr>
        <w:sym w:font="Symbol" w:char="F07D"/>
      </w:r>
      <w:r>
        <w:rPr>
          <w:rFonts w:hint="eastAsia" w:ascii="宋体" w:hAnsi="宋体" w:eastAsia="宋体" w:cs="宋体"/>
          <w:sz w:val="24"/>
          <w:szCs w:val="24"/>
        </w:rPr>
        <w:t>中，出现次数最多的值x</w:t>
      </w:r>
      <w:r>
        <w:rPr>
          <w:rFonts w:hint="eastAsia" w:ascii="宋体" w:hAnsi="宋体" w:eastAsia="宋体" w:cs="宋体"/>
          <w:sz w:val="24"/>
          <w:szCs w:val="24"/>
          <w:vertAlign w:val="subscript"/>
        </w:rPr>
        <w:t>m</w:t>
      </w:r>
      <w:r>
        <w:rPr>
          <w:rFonts w:hint="eastAsia" w:ascii="宋体" w:hAnsi="宋体" w:eastAsia="宋体" w:cs="宋体"/>
          <w:sz w:val="24"/>
          <w:szCs w:val="24"/>
        </w:rPr>
        <w:t>就是众数。其表达式为：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分析结果可以看出：用开运算得到的图像比较好地保留了缺陷的形状与轮廓，同时，完全消除了栅线的影响，而经过众数滤波处理的图像虽然也排除了栅线的干扰，但是缺陷的细节信息被遮盖地比较严重。相较而言，选择开运算对光伏板缺陷图像进行处理。</w:t>
      </w:r>
    </w:p>
    <w:p>
      <w:pPr>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rPr>
        <w:t>根据上一步得到的图像，经过之前的处理已经能过滤掉其他的干扰因素，只剩下污渍位置了，且得到的是二值图像，为了进一步确认缺陷的位置、大小、数 量等数据，可以采用连通域标记污渍的方法。光伏板图像经过一系列处理后，预计可以得到光伏板污渍状况</w:t>
      </w:r>
      <w:r>
        <w:rPr>
          <w:rFonts w:hint="eastAsia" w:ascii="宋体" w:hAnsi="宋体" w:eastAsia="宋体" w:cs="宋体"/>
          <w:sz w:val="24"/>
          <w:szCs w:val="24"/>
          <w:lang w:eastAsia="zh-CN"/>
        </w:rPr>
        <w:t>。</w:t>
      </w:r>
    </w:p>
    <w:p>
      <w:pPr>
        <w:pStyle w:val="5"/>
        <w:numPr>
          <w:ilvl w:val="0"/>
          <w:numId w:val="0"/>
        </w:numPr>
        <w:ind w:left="0" w:leftChars="0" w:firstLine="0" w:firstLineChars="0"/>
        <w:rPr>
          <w:rFonts w:hint="eastAsia" w:ascii="宋体" w:hAnsi="宋体" w:eastAsia="宋体" w:cs="宋体"/>
          <w:sz w:val="24"/>
          <w:szCs w:val="24"/>
        </w:rPr>
      </w:pPr>
      <w:r>
        <w:rPr>
          <w:rFonts w:hint="eastAsia" w:ascii="宋体" w:hAnsi="宋体" w:eastAsia="宋体" w:cs="宋体"/>
          <w:b/>
          <w:bCs/>
          <w:kern w:val="2"/>
          <w:sz w:val="24"/>
          <w:szCs w:val="24"/>
          <w:lang w:val="en-US" w:eastAsia="zh-CN" w:bidi="ar-SA"/>
        </w:rPr>
        <w:t>(4)</w:t>
      </w:r>
      <w:r>
        <w:rPr>
          <w:rFonts w:hint="eastAsia" w:ascii="宋体" w:hAnsi="宋体" w:eastAsia="宋体" w:cs="宋体"/>
          <w:sz w:val="24"/>
          <w:szCs w:val="24"/>
        </w:rPr>
        <w:t>光流算法</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光流法是利用图像序列中像素在时间域上的变化以及相邻帧之间的相关性来找到上一帧跟当前帧之间存在的对应关系，从而计算出相邻帧之间物体的运动信息的一种方法。其中，光流（optical flow）是空间运动物体在观察成像平面上的像素运动的瞬时速度。一般而言，光流是由于场景中前景目标本身的移动、相机的运动，或者两者的共同运动所产生的。</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当人的眼睛观察运动物体时，物体的景象在人眼的视网膜上形成一系列连续变化的图像，这一系列连续变化的信息不断“流过”视网膜（即图像平面），好像一种光的“流”，故称之为光流。光流表达了图像的变化，由于它包含了目标运动的信息，因此可被观察者用来确定目标的运动情况或者观察者运动时目标的情况。</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传统光流算法是测速算法，并不能直接用于定位的。但光流通过检测图像中光点和暗点的移动，来判断图像中像素点相对于飞行器的移动速度。因为地面是静止的，那么可以得到飞行器相对于地面的移动速度，之后再利用得到的速度积分即可得到空中机器人的位置。</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传统的光流估计算法为了便于求解，一般基于以下几个假设：1）亮度不变假设，即同一个点随时间变化，其亮度不会发生改变。2）小运动，时间的变化不会引起位置剧烈的变化。3）空间一致，一个场景上邻近的点投影到图像也是邻近点，且邻近点的速度一致。（该假设为Lucas-Kanade光流法特有假设）。经典的传统光流算法有LK光流法、PCA-Flow，EpicFlow，FlowFields等算法。但是这些算法的准确性和速度的平衡上往往制约了其在实际工程中的广泛应用。</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深度学习的发展给该领域带来了突破性的发展：一方面在有监督学习的方面，通过虚拟采集构建数据集，基于深度学习的光流估计网络无论在速度和准确率上都超过了传统光流算法，极大地推动了该放下的发展；另一方面利用无监督学习算法，基于深度学习的光流估计网络其准确率也达到了传统光流算法，并且其速度也远超传统算法。传统的光流估计算法为了便于求解，一般基于以下几个假设：1）亮度不变假设，即同一个点随时间变化，其亮度不会发生改变。2）小运动，时间的变化不会引起位置剧烈的变化。3）空间一致，一个场景上邻近的点投影到图像也是邻近点，且邻近点的速度一致。（该假设为Lucas-Kanade光流法特有假设）。经典的传统光流算法有LK光流法、PCA-Flow，EpicFlow，FlowFields等算法。但是这些算法的准确性和速度的平衡上往往制约了其在实际工程中的广泛应用。</w:t>
      </w:r>
    </w:p>
    <w:p>
      <w:pPr>
        <w:pStyle w:val="7"/>
        <w:rPr>
          <w:rFonts w:hint="eastAsia" w:ascii="宋体" w:hAnsi="宋体" w:eastAsia="宋体" w:cs="宋体"/>
          <w:sz w:val="24"/>
          <w:szCs w:val="24"/>
        </w:rPr>
      </w:pPr>
      <w:r>
        <w:rPr>
          <w:rFonts w:hint="eastAsia" w:ascii="宋体" w:hAnsi="宋体" w:eastAsia="宋体" w:cs="宋体"/>
          <w:sz w:val="24"/>
          <w:szCs w:val="24"/>
        </w:rPr>
        <w:t>FlowFields</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FlowFields 是一种基于卷积神经网络（CNN）的光流估计算法，其主要思想是利用 CNN 模型直接学习从图像到光流的映射关系。该算法通过引入双分支 CNN 模型和递归训练方法，可以在精度和速度方面均有不俗表现。</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FlowFields 的光流估计方法主要分为两个阶段：训练阶段和测试阶段。在训练阶段中，FlowFields 利用大规模的光流数据集对双分支 CNN 模型进行训练，并采用递归训练方法进一步提高模型的精度。在测试阶段中，FlowFields 利用训练好的模型，直接对输入图像进行光流估计。</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双分支 CNN 模型：在 FlowFields 中，输入图像经过 CNN 模型的处理，得到一个两个分支的特征图。其中，第一个分支用于计算光流场的水平分量，第二个分支用于计算垂直分量。这两个分支可以共享卷积层，以减少参数量和计算复杂度。在特征图的生成过程中，FlowFields 还引入了金字塔结构和多尺度卷积的方法，以提高特征图的鲁棒性和表达能力。</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递归训练方法：FlowFields 采用递归训练方法，通过不断调整 CNN 模型的参数，提高光流估计的精度。具体地，FlowFields 首先用一组初始参数训练 CNN 模型，并计算其光流估计结果与真实光流之间的误差。然后，将误差作为输入，再次训练 CNN 模型，并重复该过程直到误差足够小或达到最大迭代次数。</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相较于其他光流算法，FlowFields 具有以下优点：</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color w:val="000000"/>
          <w:sz w:val="24"/>
          <w:szCs w:val="24"/>
        </w:rPr>
        <w:t>）</w:t>
      </w:r>
      <w:r>
        <w:rPr>
          <w:rFonts w:hint="eastAsia" w:ascii="宋体" w:hAnsi="宋体" w:eastAsia="宋体" w:cs="宋体"/>
          <w:sz w:val="24"/>
          <w:szCs w:val="24"/>
        </w:rPr>
        <w:t>精度高：FlowFields 利用 CNN 模型直接学习从图像到光流的映射关系，能够有效地提高光流估计的精度。</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color w:val="000000"/>
          <w:sz w:val="24"/>
          <w:szCs w:val="24"/>
        </w:rPr>
        <w:t>）</w:t>
      </w:r>
      <w:r>
        <w:rPr>
          <w:rFonts w:hint="eastAsia" w:ascii="宋体" w:hAnsi="宋体" w:eastAsia="宋体" w:cs="宋体"/>
          <w:sz w:val="24"/>
          <w:szCs w:val="24"/>
        </w:rPr>
        <w:t>速度快：由于 FlowFields 采用了卷积神经网络和递归训练方法，其光流估计速度较快，并且可以在端到端的框架下进行实时计算。</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color w:val="000000"/>
          <w:sz w:val="24"/>
          <w:szCs w:val="24"/>
        </w:rPr>
        <w:t>）</w:t>
      </w:r>
      <w:r>
        <w:rPr>
          <w:rFonts w:hint="eastAsia" w:ascii="宋体" w:hAnsi="宋体" w:eastAsia="宋体" w:cs="宋体"/>
          <w:sz w:val="24"/>
          <w:szCs w:val="24"/>
        </w:rPr>
        <w:t>可泛化性强：FlowFields 在大规模光流数据集上进行训练，并且引入了多尺度特征图和递归训练方法，使其具有较强的泛化能力。</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FlowFields 在计算机视觉领域中具有广泛的应用，例如：在视频分析领域FlowFields 可以用于分析视频中的运动物体，并估计它们的光流和运动轨迹。目标跟踪：FlowFields 可以用于跟踪目标的运动，并预测它们的下一个位置。人机交互：FlowFields 可以用于人机交互中的手势识别和姿态估计。自动驾驶：FlowFields 可以用于自动驾驶中的障碍物检测和路径规划。总之，FlowFields 作为一种基于 CNN 的光流估计算法，在精度和速度方面均有不俗表现，并具有广泛的应用前景。</w:t>
      </w:r>
    </w:p>
    <w:p>
      <w:pPr>
        <w:pStyle w:val="7"/>
        <w:rPr>
          <w:rFonts w:hint="eastAsia" w:ascii="宋体" w:hAnsi="宋体" w:eastAsia="宋体" w:cs="宋体"/>
          <w:sz w:val="24"/>
          <w:szCs w:val="24"/>
        </w:rPr>
      </w:pPr>
      <w:r>
        <w:rPr>
          <w:rFonts w:hint="eastAsia" w:ascii="宋体" w:hAnsi="宋体" w:eastAsia="宋体" w:cs="宋体"/>
          <w:color w:val="000000"/>
          <w:sz w:val="24"/>
          <w:szCs w:val="24"/>
        </w:rPr>
        <w:t>FlowFormer</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Flowformer 是一种基于Transformer的光流估计算法。相较于传统的基于光流约束的方法，Flowformer 采用了Transformer网络结构，可以处理长距离依赖关系，从而得到更准确的光流估计结果。下面将对 Flowformer的原理、实现、优点和应用进行详细说明。</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Flowformer主要基Transforme网络进行设计，其原理与自然语言处理中的 Transformer 相似。具体地，Flowformer将输入的两张图像分别通过 CNN网络进行特征提取，并将提取到的特征表示输入到Transformer网络中。在 Transforme网络中，Flowformer 采用了多头自注意力机制，可以处理长距离依赖关系，从而更好地捕捉图像中的运动信息。最终，Flowformer输出两张图像之间的光流场。</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Flowformer的实现主要包括两个阶段：预训练和微调。预训练阶段，Flowformer使用大规模的数据集对模型进行预训练，从而学习到光流的基本特征。微调阶段，Flowformer使用特定任务的数据集对模型进行微调，从而适应特定任务的要求。</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Flowformer具有以下优点：</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能够处理长距离依赖关系：Flowformer采用Transformer网络结构，可以处理长距离依赖关系，从而得到更准确的光流估计结果。</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准确性高：Flowformer在多个公开数据集上进行了测试，取得了优异的光流估计结果，其精度可以媲美或者超过传统的基于光流约束的方法。</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可扩展性强：Flowformer的基础是Transformer网络结构，可以结合其它深度学习算法进行优化和拓展，例如结合卷积神经网络对光流场进行预测和优化，或者结合循环神经网络对序列数据进行处理等。</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适用于多种应用场景：Flowformer可以应用于视频分析、目标跟踪、人机交互、自动驾驶等多个领域，可以帮助实现更准确、更高效的视觉处理和分析任务。</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Flowformer在计算机视觉领域中具有广泛的应用，例如：</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视频分析：Flowformer可以用于分析视频中的运动物体，并估计它们的光流和运动轨迹。</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目标跟踪：Flowformer可以用于目标跟踪，对于目标物体的运动变化进行跟踪和预测，从而实现目标物体的自动化跟踪和定位。</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Flowformer作为一种新的光流估计算法，具有很高的精度和可扩展性，可以应用于多个领域，帮助实现更准确、更高效的视觉处理和分析任务。需要注意的是，Flowformer 是一种比较新的光流估计算法，其实现过程可能还存在一些细节问题和挑战，需要不断探索和优化。但总体来说，Flowformer的实现过程比较清晰和直接，可以通过一些常用的深度学习框架（如 PyTorch、TensorFlow等）来实现。</w:t>
      </w:r>
    </w:p>
    <w:p>
      <w:pPr>
        <w:pStyle w:val="5"/>
        <w:numPr>
          <w:ilvl w:val="0"/>
          <w:numId w:val="0"/>
        </w:numPr>
        <w:ind w:left="0" w:leftChars="0" w:firstLine="0" w:firstLineChars="0"/>
        <w:rPr>
          <w:rFonts w:hint="eastAsia" w:ascii="宋体" w:hAnsi="宋体" w:eastAsia="宋体" w:cs="宋体"/>
          <w:sz w:val="24"/>
          <w:szCs w:val="24"/>
        </w:rPr>
      </w:pPr>
      <w:r>
        <w:rPr>
          <w:rFonts w:hint="eastAsia" w:ascii="宋体" w:hAnsi="宋体" w:eastAsia="宋体" w:cs="宋体"/>
          <w:b/>
          <w:bCs/>
          <w:kern w:val="2"/>
          <w:sz w:val="24"/>
          <w:szCs w:val="24"/>
          <w:lang w:val="en-US" w:eastAsia="zh-CN" w:bidi="ar-SA"/>
        </w:rPr>
        <w:t>(5)</w:t>
      </w:r>
      <w:r>
        <w:rPr>
          <w:rFonts w:hint="eastAsia" w:ascii="宋体" w:hAnsi="宋体" w:eastAsia="宋体" w:cs="宋体"/>
          <w:sz w:val="24"/>
          <w:szCs w:val="24"/>
        </w:rPr>
        <w:t>光流定位算法</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光流定位是一种基于计算机视觉技术的目标定位方法，通过分析图像序列中目标物体的运动信息来实现目标的定位和跟踪。其原理基于光流估计算法，即通过计算相邻图像中像素点之间的运动差异，推断出物体的运动方向和速度信息。</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在光流定位中，一般需要进行以下几个步骤：</w:t>
      </w:r>
    </w:p>
    <w:p>
      <w:pPr>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rPr>
        <w:t>（1）</w:t>
      </w:r>
      <w:r>
        <w:rPr>
          <w:rFonts w:hint="eastAsia" w:ascii="宋体" w:hAnsi="宋体" w:eastAsia="宋体" w:cs="宋体"/>
          <w:sz w:val="24"/>
          <w:szCs w:val="24"/>
        </w:rPr>
        <w:t>数据采集：使用摄像机等设备采集目标物体的图像序列，并存储为视频文件或图像序列。</w:t>
      </w:r>
    </w:p>
    <w:p>
      <w:pPr>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rPr>
        <w:t>（2）</w:t>
      </w:r>
      <w:r>
        <w:rPr>
          <w:rFonts w:hint="eastAsia" w:ascii="宋体" w:hAnsi="宋体" w:eastAsia="宋体" w:cs="宋体"/>
          <w:sz w:val="24"/>
          <w:szCs w:val="24"/>
        </w:rPr>
        <w:t>光流估计：通过应用光流估计算法计算出图像序列中像素点的运动方向和速度信息。其中，光流估计算法可以采用 Lucas-Kanade 等基于局部区域约束的算法，也可以采用 EpicFlow、PCA-Flow、FlowFields 等基于全局优化的算法。</w:t>
      </w:r>
    </w:p>
    <w:p>
      <w:pPr>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rPr>
        <w:t>（3）</w:t>
      </w:r>
      <w:r>
        <w:rPr>
          <w:rFonts w:hint="eastAsia" w:ascii="宋体" w:hAnsi="宋体" w:eastAsia="宋体" w:cs="宋体"/>
          <w:sz w:val="24"/>
          <w:szCs w:val="24"/>
        </w:rPr>
        <w:t>目标检测：使用目标检测算法（例如 Faster R-CNN、YOLO 等）在每个图像帧中检测出目标物体的位置和尺寸信息。这一步可以通过对图像帧进行物体识别和分类来实现，也可以通过手动标注和区域选择来实现。</w:t>
      </w:r>
    </w:p>
    <w:p>
      <w:pPr>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rPr>
        <w:t>（4）</w:t>
      </w:r>
      <w:r>
        <w:rPr>
          <w:rFonts w:hint="eastAsia" w:ascii="宋体" w:hAnsi="宋体" w:eastAsia="宋体" w:cs="宋体"/>
          <w:sz w:val="24"/>
          <w:szCs w:val="24"/>
        </w:rPr>
        <w:t>物体跟踪：将前一帧中检测到的目标物体位置作为当前帧中物体位置的初始值，利用光流估计算法对目标物体的运动进行预测，并更新目标物体的位置信息。其中，可以采用基于卡尔曼滤波、粒子滤波等算法进行目标跟踪和预测。</w:t>
      </w:r>
    </w:p>
    <w:p>
      <w:pPr>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rPr>
        <w:t>（5）</w:t>
      </w:r>
      <w:r>
        <w:rPr>
          <w:rFonts w:hint="eastAsia" w:ascii="宋体" w:hAnsi="宋体" w:eastAsia="宋体" w:cs="宋体"/>
          <w:sz w:val="24"/>
          <w:szCs w:val="24"/>
        </w:rPr>
        <w:t>目标定位：根据物体跟踪的结果，计算出目标物体在当前帧中的精确位置，并输出相应的位置信息。这一步可以采用基于图像配准、形态学运算等算法来实现。</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光流定位是一种计算密集型的目标定位方法，其精度和效率受到多种因素的影响，例如图像质量、光流估计算法、目标物体的运动特性等。因此，在应用中，拟根据光伏电站具体场景和需求来选择合适的光流估计算法和目标跟踪算法，以达到最优的定位效果。</w:t>
      </w:r>
    </w:p>
    <w:p>
      <w:pPr>
        <w:pStyle w:val="22"/>
        <w:rPr>
          <w:rFonts w:hint="eastAsia" w:ascii="宋体" w:hAnsi="宋体" w:eastAsia="宋体" w:cs="宋体"/>
          <w:sz w:val="24"/>
          <w:szCs w:val="24"/>
        </w:rPr>
      </w:pPr>
    </w:p>
    <w:p>
      <w:pPr>
        <w:pStyle w:val="5"/>
        <w:numPr>
          <w:ilvl w:val="0"/>
          <w:numId w:val="0"/>
        </w:numPr>
        <w:ind w:left="0" w:leftChars="0" w:firstLine="0" w:firstLineChars="0"/>
        <w:rPr>
          <w:rFonts w:hint="eastAsia" w:ascii="宋体" w:hAnsi="宋体" w:eastAsia="宋体" w:cs="宋体"/>
          <w:sz w:val="24"/>
          <w:szCs w:val="24"/>
        </w:rPr>
      </w:pPr>
      <w:bookmarkStart w:id="64" w:name="OLE_LINK6"/>
      <w:r>
        <w:rPr>
          <w:rFonts w:hint="eastAsia" w:ascii="宋体" w:hAnsi="宋体" w:eastAsia="宋体" w:cs="宋体"/>
          <w:b/>
          <w:bCs/>
          <w:kern w:val="2"/>
          <w:sz w:val="24"/>
          <w:szCs w:val="24"/>
          <w:lang w:val="en-US" w:eastAsia="zh-CN" w:bidi="ar-SA"/>
        </w:rPr>
        <w:t>(6)</w:t>
      </w:r>
      <w:r>
        <w:rPr>
          <w:rFonts w:hint="eastAsia" w:ascii="宋体" w:hAnsi="宋体" w:eastAsia="宋体" w:cs="宋体"/>
          <w:sz w:val="24"/>
          <w:szCs w:val="24"/>
        </w:rPr>
        <w:t>智能路径规划</w:t>
      </w:r>
    </w:p>
    <w:bookmarkEnd w:id="64"/>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路径规划问题是机器人具有“智能”一个重要标志，所谓的路径规划就是指智能 自主移动机器人根据外部环境所提供的一些引导，或者按照存储器内部地图信息，规划出一条路径，并能够在没有人工干预的情况下沿着该路径，完成预定的目标，同时 达到预定目标，执行整个过程的算法就是路径规划算法。 </w:t>
      </w:r>
    </w:p>
    <w:p>
      <w:pPr>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rPr>
        <w:t>路径规划对于传统空中机器人来说，一般是指某一点到目标点的最优路径规划，其目标是寻找一条点到点之间无碰撞的最优路径。随着清洁自动化行业的兴起，清洁机器人更是备受推崇。对于光伏电站清洁机器人来说，路径规划不仅仅是考虑到点到点的问题，还要考虑到清洁液覆盖面积、清洁机器人清洁液载量、清洁机器人的电池续航、光伏电站的大小、作业区域形状等因素，需在综合考虑各种因素后再进行合理的规划导航， 最终找到一条作业时间最少、能耗最低的最优路径</w:t>
      </w:r>
      <w:r>
        <w:rPr>
          <w:rFonts w:hint="eastAsia" w:ascii="宋体" w:hAnsi="宋体" w:cs="宋体"/>
          <w:sz w:val="24"/>
          <w:szCs w:val="24"/>
          <w:lang w:eastAsia="zh-CN"/>
        </w:rPr>
        <w:t>。</w:t>
      </w:r>
    </w:p>
    <w:p>
      <w:pPr>
        <w:pStyle w:val="22"/>
        <w:jc w:val="center"/>
        <w:rPr>
          <w:rFonts w:hint="eastAsia" w:ascii="宋体" w:hAnsi="宋体" w:eastAsia="宋体" w:cs="宋体"/>
          <w:sz w:val="24"/>
          <w:szCs w:val="24"/>
        </w:rPr>
      </w:pP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目前对于清洁机器人的研究还大多集中于远程控制飞行作业、分析人工遥控的问 题和改进措施上，而对于自主作业空中机器人的航线规划研究较少。目前大部分的清洁机器人都是基于目视遥控的，这种方式对人为因素依赖过大，实际效果并不理想，人为即时规划的航线往往与理论航线偏离严重，使空中机器人的作业遗漏率和重复率偏高，而且驾驶员操纵负荷较大，控制时间延迟，且对数据链性能要求较高，技术难点较多。并且传统清洁机器人执行中途返航操作的依据主要是清洁液载量，当清洁液使用完全后即刻返航，但这种方式没有从能量角度考虑返航路线的规划，仅是每架次满载、清洁液喷完即刻返航，没有预先对返航点进行合理安排，从而会在非作业情况下无效消耗能量，降低作业效率，因而并不适合非人操控的自主清洁机器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飞行器起飞前的准备工作中，通过计算已知光伏板面起始航点坐标和自身位置坐标，得出当前航线的大地方位角，即航线与北方向的顺时针夹角，并与GPS中的罗盘模块测得的飞机航向角度比较，计算出转向角度后，控制飞机起飞并转向正对目标航点，然后沿着航线飞行。在飞行器贴近光伏板面时，启用光流定点模块，并进入清洗线路。拟依据局部或全局清洁作业方式选择不同的路径规划方法</w:t>
      </w:r>
    </w:p>
    <w:p>
      <w:pPr>
        <w:pStyle w:val="22"/>
        <w:rPr>
          <w:rFonts w:hint="eastAsia" w:ascii="宋体" w:hAnsi="宋体" w:eastAsia="宋体" w:cs="宋体"/>
          <w:sz w:val="24"/>
          <w:szCs w:val="24"/>
        </w:rPr>
      </w:pPr>
      <w:r>
        <w:rPr>
          <w:rFonts w:hint="eastAsia" w:ascii="宋体" w:hAnsi="宋体" w:eastAsia="宋体" w:cs="宋体"/>
          <w:sz w:val="24"/>
          <w:szCs w:val="24"/>
        </w:rPr>
        <w:t>1、局部清洁路径规划</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通过对局部清洁方式的分析可知，寻找一条遍历所需清洁路径的最短路径实际上就是求解一个旅行商问题，简称TSP问题。旅行商问题虽然可以被很好的进行描述，和数学建模,但是它确属于难以处理的 NP完全问题(Non-deterministic PolynomialComplete，简称 NP)，也就是说，没有确定的算法可以在多项式时间内来求出旅行商问题的解。当需要遍历 m 个清洁点，且每个情节点只能经过一次，在这种情况下，存在(m-1)!/2 条路径。但相比于光伏阵列的全局清洁策略，因其处理点数较少，故问题求解相对简单。</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求解旅行商问题的算法一般可以分为：精确算法、近似算法。精确算法正如其所起的名字一样，这种算法能确保旅行商问题最终得到一个最优的解。精确算法又可分为完全枚举、线性规划、动态规划等。完全枚举顾名思义及求出旅行商问题的所有解，并进行对比，得到最短的路径，及为最优解，这种算法的优点为算法简单，但是根据上文中旅行商问题的复杂度可知，当需要遍历的城市数目越多，这种方法的运算量会出现爆发式的增加，这使得这种算法显得不符合实际。线性规划算法是针对旅行商问题提出的最早的一种算法，其核心思想是：运用数理规划中的切割平面的思想来解决旅行商问题。该算法首先将公式(3.2)和(3.3)的两个约束组成线性规划问题，其次，用其它的约束条件产生切割平面，通过不断的收敛来得到最终的解。但是，这种算法在寻找割平面时，需要人为的进行选择。</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近似算法核心思路就是利用启发搜索来降低问题的复杂度，虽然不会得到最优解。但是这类算法对于时间上的大大缩短，对人类解决实际问题提供了很大的帮助。其中粒子群优化算法，蚁群算法，遗传算法，人工蜂群算法等都是仿生算法。这类算法解决问题的步骤为：首先，构造出一个解；其次，在这个解的基础上进行迭代，不断的逼近最优解；最后解出一个和最优解相差不多的近似解作为最终解。蚁群算法可大幅减少无人机规划时间，因而对于局部清洁策略空中机器人路径规划，拟采用蚁群算法</w:t>
      </w:r>
      <w:r>
        <w:rPr>
          <w:rFonts w:hint="eastAsia" w:ascii="宋体" w:hAnsi="宋体" w:cs="宋体"/>
          <w:sz w:val="24"/>
          <w:szCs w:val="24"/>
          <w:lang w:eastAsia="zh-CN"/>
        </w:rPr>
        <w:t>。</w:t>
      </w:r>
    </w:p>
    <w:p>
      <w:pPr>
        <w:pStyle w:val="22"/>
        <w:keepNext/>
        <w:jc w:val="center"/>
        <w:rPr>
          <w:rFonts w:hint="eastAsia" w:ascii="宋体" w:hAnsi="宋体" w:eastAsia="宋体" w:cs="宋体"/>
          <w:sz w:val="24"/>
          <w:szCs w:val="24"/>
        </w:rPr>
      </w:pP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使用上述将各个需清洁区域坐标代入上述算法流程得到局部清洁时空中机器人路径规划，能有效降低空中机器人清洁路径，提高清洁作业效率。</w:t>
      </w:r>
    </w:p>
    <w:p>
      <w:pPr>
        <w:pStyle w:val="22"/>
        <w:rPr>
          <w:rFonts w:hint="eastAsia" w:ascii="宋体" w:hAnsi="宋体" w:eastAsia="宋体" w:cs="宋体"/>
          <w:sz w:val="24"/>
          <w:szCs w:val="24"/>
        </w:rPr>
      </w:pPr>
      <w:r>
        <w:rPr>
          <w:rFonts w:hint="eastAsia" w:ascii="宋体" w:hAnsi="宋体" w:eastAsia="宋体" w:cs="宋体"/>
          <w:sz w:val="24"/>
          <w:szCs w:val="24"/>
        </w:rPr>
        <w:t>2、全局清洁路径规划</w:t>
      </w:r>
    </w:p>
    <w:p>
      <w:pPr>
        <w:pStyle w:val="22"/>
        <w:numPr>
          <w:ilvl w:val="0"/>
          <w:numId w:val="10"/>
        </w:numPr>
        <w:rPr>
          <w:rFonts w:hint="eastAsia" w:ascii="宋体" w:hAnsi="宋体" w:eastAsia="宋体" w:cs="宋体"/>
          <w:sz w:val="24"/>
          <w:szCs w:val="24"/>
        </w:rPr>
      </w:pPr>
      <w:r>
        <w:rPr>
          <w:rFonts w:hint="eastAsia" w:ascii="宋体" w:hAnsi="宋体" w:eastAsia="宋体" w:cs="宋体"/>
          <w:sz w:val="24"/>
          <w:szCs w:val="24"/>
        </w:rPr>
        <w:t>数学描述</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针对全局清洁作业的特殊性，拟采用的往复式遍历路径的算法，该算法根据航点的不同，清洁机器人作业的消耗时间和电量亦不同。设 A={x,y | 飞行路径点}，表示清洁作业的整个过程所需要的路径点集合；清洁路径 A1={x,y | 清洁飞行路径点}，非作业路径 A2={x,y | 不清洁飞行路径点}，A1⊆A ，A2⊆A ，显然 A1∩A2 =</w:t>
      </w:r>
      <w:r>
        <w:rPr>
          <w:rFonts w:hint="eastAsia" w:ascii="宋体" w:hAnsi="宋体" w:eastAsia="宋体" w:cs="宋体"/>
          <w:i/>
          <w:iCs/>
          <w:sz w:val="24"/>
          <w:szCs w:val="24"/>
        </w:rPr>
        <w:t>φ</w:t>
      </w:r>
      <w:r>
        <w:rPr>
          <w:rFonts w:hint="eastAsia" w:ascii="宋体" w:hAnsi="宋体" w:eastAsia="宋体" w:cs="宋体"/>
          <w:sz w:val="24"/>
          <w:szCs w:val="24"/>
        </w:rPr>
        <w:t xml:space="preserve"> ，A1∪A2 = A。 </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由于清洁作业的遍历特性，A1 的集合范围是一定的，也就是说集合 A1 形成的路径总长度是一定的，因此清洁机器人的最优路径规划就在于A2 的集合范围大小，根据每次返航时清洁液载量不同，返航点有所差别，很显然路径轨迹不止一条。所有的路径轨迹的集合可称之为可行路径轨迹丛，由下式表示。</w:t>
      </w:r>
    </w:p>
    <w:p>
      <w:pPr>
        <w:spacing w:line="360" w:lineRule="auto"/>
        <w:ind w:firstLine="480" w:firstLineChars="200"/>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2813685" cy="206375"/>
            <wp:effectExtent l="0" t="0" r="5715" b="3175"/>
            <wp:docPr id="26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3"/>
                    <pic:cNvPicPr>
                      <a:picLocks noChangeAspect="1"/>
                    </pic:cNvPicPr>
                  </pic:nvPicPr>
                  <pic:blipFill>
                    <a:blip r:embed="rId22"/>
                    <a:stretch>
                      <a:fillRect/>
                    </a:stretch>
                  </pic:blipFill>
                  <pic:spPr>
                    <a:xfrm>
                      <a:off x="0" y="0"/>
                      <a:ext cx="2813685" cy="206375"/>
                    </a:xfrm>
                    <a:prstGeom prst="rect">
                      <a:avLst/>
                    </a:prstGeom>
                    <a:noFill/>
                    <a:ln>
                      <a:noFill/>
                    </a:ln>
                  </pic:spPr>
                </pic:pic>
              </a:graphicData>
            </a:graphic>
          </wp:inline>
        </w:drawing>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其中（x</w:t>
      </w:r>
      <w:r>
        <w:rPr>
          <w:rFonts w:hint="eastAsia" w:ascii="宋体" w:hAnsi="宋体" w:eastAsia="宋体" w:cs="宋体"/>
          <w:sz w:val="24"/>
          <w:szCs w:val="24"/>
          <w:vertAlign w:val="subscript"/>
        </w:rPr>
        <w:t>a</w:t>
      </w:r>
      <w:r>
        <w:rPr>
          <w:rFonts w:hint="eastAsia" w:ascii="宋体" w:hAnsi="宋体" w:eastAsia="宋体" w:cs="宋体"/>
          <w:sz w:val="24"/>
          <w:szCs w:val="24"/>
        </w:rPr>
        <w:t>,y</w:t>
      </w:r>
      <w:r>
        <w:rPr>
          <w:rFonts w:hint="eastAsia" w:ascii="宋体" w:hAnsi="宋体" w:eastAsia="宋体" w:cs="宋体"/>
          <w:sz w:val="24"/>
          <w:szCs w:val="24"/>
          <w:vertAlign w:val="subscript"/>
        </w:rPr>
        <w:t>a</w:t>
      </w:r>
      <w:r>
        <w:rPr>
          <w:rFonts w:hint="eastAsia" w:ascii="宋体" w:hAnsi="宋体" w:eastAsia="宋体" w:cs="宋体"/>
          <w:sz w:val="24"/>
          <w:szCs w:val="24"/>
        </w:rPr>
        <w:t>）, （x</w:t>
      </w:r>
      <w:r>
        <w:rPr>
          <w:rFonts w:hint="eastAsia" w:ascii="宋体" w:hAnsi="宋体" w:eastAsia="宋体" w:cs="宋体"/>
          <w:sz w:val="24"/>
          <w:szCs w:val="24"/>
          <w:vertAlign w:val="subscript"/>
        </w:rPr>
        <w:t>b</w:t>
      </w:r>
      <w:r>
        <w:rPr>
          <w:rFonts w:hint="eastAsia" w:ascii="宋体" w:hAnsi="宋体" w:eastAsia="宋体" w:cs="宋体"/>
          <w:sz w:val="24"/>
          <w:szCs w:val="24"/>
        </w:rPr>
        <w:t>,y</w:t>
      </w:r>
      <w:r>
        <w:rPr>
          <w:rFonts w:hint="eastAsia" w:ascii="宋体" w:hAnsi="宋体" w:eastAsia="宋体" w:cs="宋体"/>
          <w:sz w:val="24"/>
          <w:szCs w:val="24"/>
          <w:vertAlign w:val="subscript"/>
        </w:rPr>
        <w:t>b</w:t>
      </w:r>
      <w:r>
        <w:rPr>
          <w:rFonts w:hint="eastAsia" w:ascii="宋体" w:hAnsi="宋体" w:eastAsia="宋体" w:cs="宋体"/>
          <w:sz w:val="24"/>
          <w:szCs w:val="24"/>
        </w:rPr>
        <w:t>）表示清洁机器人起点和终点的坐标值，（x</w:t>
      </w:r>
      <w:r>
        <w:rPr>
          <w:rFonts w:hint="eastAsia" w:ascii="宋体" w:hAnsi="宋体" w:eastAsia="宋体" w:cs="宋体"/>
          <w:sz w:val="24"/>
          <w:szCs w:val="24"/>
          <w:vertAlign w:val="subscript"/>
        </w:rPr>
        <w:t>a</w:t>
      </w:r>
      <w:r>
        <w:rPr>
          <w:rFonts w:hint="eastAsia" w:ascii="宋体" w:hAnsi="宋体" w:eastAsia="宋体" w:cs="宋体"/>
          <w:sz w:val="24"/>
          <w:szCs w:val="24"/>
        </w:rPr>
        <w:t>,y</w:t>
      </w:r>
      <w:r>
        <w:rPr>
          <w:rFonts w:hint="eastAsia" w:ascii="宋体" w:hAnsi="宋体" w:eastAsia="宋体" w:cs="宋体"/>
          <w:sz w:val="24"/>
          <w:szCs w:val="24"/>
          <w:vertAlign w:val="subscript"/>
        </w:rPr>
        <w:t>a</w:t>
      </w:r>
      <w:r>
        <w:rPr>
          <w:rFonts w:hint="eastAsia" w:ascii="宋体" w:hAnsi="宋体" w:eastAsia="宋体" w:cs="宋体"/>
          <w:sz w:val="24"/>
          <w:szCs w:val="24"/>
        </w:rPr>
        <w:t>）,（x</w:t>
      </w:r>
      <w:r>
        <w:rPr>
          <w:rFonts w:hint="eastAsia" w:ascii="宋体" w:hAnsi="宋体" w:eastAsia="宋体" w:cs="宋体"/>
          <w:sz w:val="24"/>
          <w:szCs w:val="24"/>
          <w:vertAlign w:val="subscript"/>
        </w:rPr>
        <w:t>b</w:t>
      </w:r>
      <w:r>
        <w:rPr>
          <w:rFonts w:hint="eastAsia" w:ascii="宋体" w:hAnsi="宋体" w:eastAsia="宋体" w:cs="宋体"/>
          <w:sz w:val="24"/>
          <w:szCs w:val="24"/>
        </w:rPr>
        <w:t>,y</w:t>
      </w:r>
      <w:r>
        <w:rPr>
          <w:rFonts w:hint="eastAsia" w:ascii="宋体" w:hAnsi="宋体" w:eastAsia="宋体" w:cs="宋体"/>
          <w:sz w:val="24"/>
          <w:szCs w:val="24"/>
          <w:vertAlign w:val="subscript"/>
        </w:rPr>
        <w:t>b</w:t>
      </w:r>
      <w:r>
        <w:rPr>
          <w:rFonts w:hint="eastAsia" w:ascii="宋体" w:hAnsi="宋体" w:eastAsia="宋体" w:cs="宋体"/>
          <w:sz w:val="24"/>
          <w:szCs w:val="24"/>
        </w:rPr>
        <w:t>）⊂ A， 路径的规划就是在L中寻找性能最优的路径</w:t>
      </w:r>
    </w:p>
    <w:p>
      <w:pPr>
        <w:pStyle w:val="22"/>
        <w:numPr>
          <w:ilvl w:val="0"/>
          <w:numId w:val="11"/>
        </w:numPr>
        <w:rPr>
          <w:rFonts w:hint="eastAsia" w:ascii="宋体" w:hAnsi="宋体" w:eastAsia="宋体" w:cs="宋体"/>
          <w:sz w:val="24"/>
          <w:szCs w:val="24"/>
        </w:rPr>
      </w:pPr>
      <w:r>
        <w:rPr>
          <w:rFonts w:hint="eastAsia" w:ascii="宋体" w:hAnsi="宋体" w:eastAsia="宋体" w:cs="宋体"/>
          <w:sz w:val="24"/>
          <w:szCs w:val="24"/>
        </w:rPr>
        <w:t>坐标系建立</w:t>
      </w:r>
    </w:p>
    <w:p>
      <w:pPr>
        <w:pStyle w:val="9"/>
        <w:numPr>
          <w:ilvl w:val="255"/>
          <w:numId w:val="0"/>
        </w:numPr>
        <w:ind w:left="420" w:leftChars="200"/>
        <w:jc w:val="left"/>
        <w:rPr>
          <w:rFonts w:hint="eastAsia" w:ascii="宋体" w:hAnsi="宋体" w:eastAsia="宋体" w:cs="宋体"/>
          <w:sz w:val="24"/>
          <w:szCs w:val="24"/>
          <w:lang w:eastAsia="zh-CN"/>
        </w:rPr>
      </w:pPr>
      <w:r>
        <w:rPr>
          <w:rFonts w:hint="eastAsia" w:ascii="宋体" w:hAnsi="宋体" w:eastAsia="宋体" w:cs="宋体"/>
          <w:sz w:val="24"/>
          <w:szCs w:val="24"/>
        </w:rPr>
        <w:t>在对清洁机器人的作业区域和路径基点布局进行描述时，需要建立三个坐标系：全局坐标系、机载坐标系和参考坐标系。全局坐标系也是绝对坐标系，该坐标系建立的目的是用来描述整个环境信息的，在该坐标系中可以标识清洁机器人的位置。因此全局坐标系可以用来对空中机器人进行定位。在建立全局坐标系时通常以清洁机器人的起点作为其坐标原点，使用北-东-地坐标系作为全局坐标系，坐标轴 x 指向地球北方，y 轴指向东方，z 轴垂直地面指向下，以 W 表示</w:t>
      </w:r>
      <w:r>
        <w:rPr>
          <w:rFonts w:hint="eastAsia" w:ascii="宋体" w:hAnsi="宋体" w:cs="宋体"/>
          <w:sz w:val="24"/>
          <w:szCs w:val="24"/>
          <w:lang w:eastAsia="zh-CN"/>
        </w:rPr>
        <w:t>。</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由于清洁机器人是自主式移动机器人，在其运动过程中会有其自身的姿态变化， 因此需要建立一个机载坐标系，机载坐标系主要是用来描述空中机器人本身的姿态变化， 以及间接提供机载设备在全局坐标系中的坐标描述。机载坐标系以B表示，取空中机器人质心为原点，各个方向如上图所示。建立参考坐标系是为了便于对路径规划的描述，以R表示，原点为清洁机器人的起点，Z 轴与Zw 反向，X轴与地块的横向边界平行，Y轴根据右手定则得出，如上图所示。</w:t>
      </w:r>
    </w:p>
    <w:p>
      <w:pPr>
        <w:pStyle w:val="22"/>
        <w:numPr>
          <w:ilvl w:val="0"/>
          <w:numId w:val="11"/>
        </w:numPr>
        <w:rPr>
          <w:rFonts w:hint="eastAsia" w:ascii="宋体" w:hAnsi="宋体" w:eastAsia="宋体" w:cs="宋体"/>
          <w:sz w:val="24"/>
          <w:szCs w:val="24"/>
        </w:rPr>
      </w:pPr>
      <w:r>
        <w:rPr>
          <w:rFonts w:hint="eastAsia" w:ascii="宋体" w:hAnsi="宋体" w:eastAsia="宋体" w:cs="宋体"/>
          <w:sz w:val="24"/>
          <w:szCs w:val="24"/>
        </w:rPr>
        <w:t>模型建立</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在描述路径规划方法之前，先设定几个变量值。假设飞机的单次电池续航时间为T</w:t>
      </w:r>
      <w:r>
        <w:rPr>
          <w:rFonts w:hint="eastAsia" w:ascii="宋体" w:hAnsi="宋体" w:eastAsia="宋体" w:cs="宋体"/>
          <w:sz w:val="24"/>
          <w:szCs w:val="24"/>
          <w:vertAlign w:val="subscript"/>
        </w:rPr>
        <w:t>电</w:t>
      </w:r>
      <w:r>
        <w:rPr>
          <w:rFonts w:hint="eastAsia" w:ascii="宋体" w:hAnsi="宋体" w:eastAsia="宋体" w:cs="宋体"/>
          <w:sz w:val="24"/>
          <w:szCs w:val="24"/>
        </w:rPr>
        <w:t>，需要作业的总时间为T，清洁液箱的喷洒时间为T</w:t>
      </w:r>
      <w:r>
        <w:rPr>
          <w:rFonts w:hint="eastAsia" w:ascii="宋体" w:hAnsi="宋体" w:eastAsia="宋体" w:cs="宋体"/>
          <w:sz w:val="24"/>
          <w:szCs w:val="24"/>
          <w:vertAlign w:val="subscript"/>
        </w:rPr>
        <w:t>液</w:t>
      </w:r>
      <w:r>
        <w:rPr>
          <w:rFonts w:hint="eastAsia" w:ascii="宋体" w:hAnsi="宋体" w:eastAsia="宋体" w:cs="宋体"/>
          <w:sz w:val="24"/>
          <w:szCs w:val="24"/>
        </w:rPr>
        <w:t>，空中机器人转弯时其横向移动的单次时间为t</w:t>
      </w:r>
      <w:r>
        <w:rPr>
          <w:rFonts w:hint="eastAsia" w:ascii="宋体" w:hAnsi="宋体" w:eastAsia="宋体" w:cs="宋体"/>
          <w:sz w:val="24"/>
          <w:szCs w:val="24"/>
          <w:vertAlign w:val="subscript"/>
        </w:rPr>
        <w:t>转</w:t>
      </w:r>
      <w:r>
        <w:rPr>
          <w:rFonts w:hint="eastAsia" w:ascii="宋体" w:hAnsi="宋体" w:eastAsia="宋体" w:cs="宋体"/>
          <w:sz w:val="24"/>
          <w:szCs w:val="24"/>
        </w:rPr>
        <w:t>，清洁机器人清洁作业中转弯时其横向移动的时间总和为T</w:t>
      </w:r>
      <w:r>
        <w:rPr>
          <w:rFonts w:hint="eastAsia" w:ascii="宋体" w:hAnsi="宋体" w:eastAsia="宋体" w:cs="宋体"/>
          <w:sz w:val="24"/>
          <w:szCs w:val="24"/>
          <w:vertAlign w:val="subscript"/>
        </w:rPr>
        <w:t>转</w:t>
      </w:r>
      <w:r>
        <w:rPr>
          <w:rFonts w:hint="eastAsia" w:ascii="宋体" w:hAnsi="宋体" w:eastAsia="宋体" w:cs="宋体"/>
          <w:sz w:val="24"/>
          <w:szCs w:val="24"/>
        </w:rPr>
        <w:t>，清洁机器人的清洁液喷洒宽度为2d，空中机器人空走的时间（填装清洁液往返、换电池往返、回程等非作业 时间）为T</w:t>
      </w:r>
      <w:r>
        <w:rPr>
          <w:rFonts w:hint="eastAsia" w:ascii="宋体" w:hAnsi="宋体" w:eastAsia="宋体" w:cs="宋体"/>
          <w:sz w:val="24"/>
          <w:szCs w:val="24"/>
          <w:vertAlign w:val="subscript"/>
        </w:rPr>
        <w:t>空</w:t>
      </w:r>
      <w:r>
        <w:rPr>
          <w:rFonts w:hint="eastAsia" w:ascii="宋体" w:hAnsi="宋体" w:eastAsia="宋体" w:cs="宋体"/>
          <w:sz w:val="24"/>
          <w:szCs w:val="24"/>
        </w:rPr>
        <w:t>。根据上述信息得到各时间的部分关系式,T=T电*作业更换电池数量+T</w:t>
      </w:r>
      <w:r>
        <w:rPr>
          <w:rFonts w:hint="eastAsia" w:ascii="宋体" w:hAnsi="宋体" w:eastAsia="宋体" w:cs="宋体"/>
          <w:sz w:val="24"/>
          <w:szCs w:val="24"/>
          <w:vertAlign w:val="subscript"/>
        </w:rPr>
        <w:t>空</w:t>
      </w:r>
      <w:r>
        <w:rPr>
          <w:rFonts w:hint="eastAsia" w:ascii="宋体" w:hAnsi="宋体" w:eastAsia="宋体" w:cs="宋体"/>
          <w:sz w:val="24"/>
          <w:szCs w:val="24"/>
        </w:rPr>
        <w:t>=T</w:t>
      </w:r>
      <w:r>
        <w:rPr>
          <w:rFonts w:hint="eastAsia" w:ascii="宋体" w:hAnsi="宋体" w:eastAsia="宋体" w:cs="宋体"/>
          <w:sz w:val="24"/>
          <w:szCs w:val="24"/>
          <w:vertAlign w:val="subscript"/>
        </w:rPr>
        <w:t>液</w:t>
      </w:r>
      <w:r>
        <w:rPr>
          <w:rFonts w:hint="eastAsia" w:ascii="宋体" w:hAnsi="宋体" w:eastAsia="宋体" w:cs="宋体"/>
          <w:sz w:val="24"/>
          <w:szCs w:val="24"/>
        </w:rPr>
        <w:t>*清洁液消耗量+T</w:t>
      </w:r>
      <w:r>
        <w:rPr>
          <w:rFonts w:hint="eastAsia" w:ascii="宋体" w:hAnsi="宋体" w:eastAsia="宋体" w:cs="宋体"/>
          <w:sz w:val="24"/>
          <w:szCs w:val="24"/>
          <w:vertAlign w:val="subscript"/>
        </w:rPr>
        <w:t>空</w:t>
      </w:r>
      <w:r>
        <w:rPr>
          <w:rFonts w:hint="eastAsia" w:ascii="宋体" w:hAnsi="宋体" w:eastAsia="宋体" w:cs="宋体"/>
          <w:sz w:val="24"/>
          <w:szCs w:val="24"/>
        </w:rPr>
        <w:t>,T</w:t>
      </w:r>
      <w:r>
        <w:rPr>
          <w:rFonts w:hint="eastAsia" w:ascii="宋体" w:hAnsi="宋体" w:eastAsia="宋体" w:cs="宋体"/>
          <w:sz w:val="24"/>
          <w:szCs w:val="24"/>
          <w:vertAlign w:val="subscript"/>
        </w:rPr>
        <w:t>转</w:t>
      </w:r>
      <w:r>
        <w:rPr>
          <w:rFonts w:hint="eastAsia" w:ascii="宋体" w:hAnsi="宋体" w:eastAsia="宋体" w:cs="宋体"/>
          <w:sz w:val="24"/>
          <w:szCs w:val="24"/>
        </w:rPr>
        <w:t>=t</w:t>
      </w:r>
      <w:r>
        <w:rPr>
          <w:rFonts w:hint="eastAsia" w:ascii="宋体" w:hAnsi="宋体" w:eastAsia="宋体" w:cs="宋体"/>
          <w:sz w:val="24"/>
          <w:szCs w:val="24"/>
          <w:vertAlign w:val="subscript"/>
        </w:rPr>
        <w:t>转</w:t>
      </w:r>
      <w:r>
        <w:rPr>
          <w:rFonts w:hint="eastAsia" w:ascii="宋体" w:hAnsi="宋体" w:eastAsia="宋体" w:cs="宋体"/>
          <w:sz w:val="24"/>
          <w:szCs w:val="24"/>
        </w:rPr>
        <w:t xml:space="preserve">*转向次数，其中转向次数=[作业区域宽度/(2d) +1]。 </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对于较大的作业区域来说，一架空中机器人由于电池续航、载液量多少等限制， 需要多次往返于一个或者多个地块来完成清洁作业。如果地块面积较小，即T如果地块面积较小，即T&lt;T</w:t>
      </w:r>
      <w:r>
        <w:rPr>
          <w:rFonts w:hint="eastAsia" w:ascii="宋体" w:hAnsi="宋体" w:eastAsia="宋体" w:cs="宋体"/>
          <w:sz w:val="24"/>
          <w:szCs w:val="24"/>
          <w:vertAlign w:val="subscript"/>
        </w:rPr>
        <w:t>电</w:t>
      </w:r>
      <w:r>
        <w:rPr>
          <w:rFonts w:hint="eastAsia" w:ascii="宋体" w:hAnsi="宋体" w:eastAsia="宋体" w:cs="宋体"/>
          <w:sz w:val="24"/>
          <w:szCs w:val="24"/>
        </w:rPr>
        <w:t>，且T&lt;T</w:t>
      </w:r>
      <w:r>
        <w:rPr>
          <w:rFonts w:hint="eastAsia" w:ascii="宋体" w:hAnsi="宋体" w:eastAsia="宋体" w:cs="宋体"/>
          <w:sz w:val="24"/>
          <w:szCs w:val="24"/>
          <w:vertAlign w:val="subscript"/>
        </w:rPr>
        <w:t>液</w:t>
      </w:r>
      <w:r>
        <w:rPr>
          <w:rFonts w:hint="eastAsia" w:ascii="宋体" w:hAnsi="宋体" w:eastAsia="宋体" w:cs="宋体"/>
          <w:sz w:val="24"/>
          <w:szCs w:val="24"/>
        </w:rPr>
        <w:t>，这种情况下，空中机器人不需要进行装清洁液、换电池等操作，单次作业就可完成整个作业区域的清洁任务。如果地块较大就需要进行中途的换液返航，返航的依据是以单次电池续航时间 T</w:t>
      </w:r>
      <w:r>
        <w:rPr>
          <w:rFonts w:hint="eastAsia" w:ascii="宋体" w:hAnsi="宋体" w:eastAsia="宋体" w:cs="宋体"/>
          <w:sz w:val="24"/>
          <w:szCs w:val="24"/>
          <w:vertAlign w:val="subscript"/>
        </w:rPr>
        <w:t>电</w:t>
      </w:r>
      <w:r>
        <w:rPr>
          <w:rFonts w:hint="eastAsia" w:ascii="宋体" w:hAnsi="宋体" w:eastAsia="宋体" w:cs="宋体"/>
          <w:sz w:val="24"/>
          <w:szCs w:val="24"/>
        </w:rPr>
        <w:t>和单箱清洁液的喷洒时间T</w:t>
      </w:r>
      <w:r>
        <w:rPr>
          <w:rFonts w:hint="eastAsia" w:ascii="宋体" w:hAnsi="宋体" w:eastAsia="宋体" w:cs="宋体"/>
          <w:sz w:val="24"/>
          <w:szCs w:val="24"/>
          <w:vertAlign w:val="subscript"/>
        </w:rPr>
        <w:t>液</w:t>
      </w:r>
      <w:r>
        <w:rPr>
          <w:rFonts w:hint="eastAsia" w:ascii="宋体" w:hAnsi="宋体" w:eastAsia="宋体" w:cs="宋体"/>
          <w:sz w:val="24"/>
          <w:szCs w:val="24"/>
        </w:rPr>
        <w:t>为返航指标，但是这种方式没有从能量角度考虑返航路线的规划，在每次清洁液用完或者电池电量耗完后直接返航，没有预先对作业架次和单次作业载清洁液量进行合理规划，并不适合自主飞行的空中机器人清洁作业任务。实际的作业中整个的喷液时间往往不是单箱喷洒时间T</w:t>
      </w:r>
      <w:r>
        <w:rPr>
          <w:rFonts w:hint="eastAsia" w:ascii="宋体" w:hAnsi="宋体" w:eastAsia="宋体" w:cs="宋体"/>
          <w:sz w:val="24"/>
          <w:szCs w:val="24"/>
          <w:vertAlign w:val="subscript"/>
        </w:rPr>
        <w:t>液</w:t>
      </w:r>
      <w:r>
        <w:rPr>
          <w:rFonts w:hint="eastAsia" w:ascii="宋体" w:hAnsi="宋体" w:eastAsia="宋体" w:cs="宋体"/>
          <w:sz w:val="24"/>
          <w:szCs w:val="24"/>
        </w:rPr>
        <w:t>的整数倍，也就是说不需要每架次的载液量都是满载的，因此在喷洒前进行合理的路径规划，在保证最少返航的情况下合理分配载液量，选取合适的返航点，减少空中机器人在空走 时间T</w:t>
      </w:r>
      <w:r>
        <w:rPr>
          <w:rFonts w:hint="eastAsia" w:ascii="宋体" w:hAnsi="宋体" w:eastAsia="宋体" w:cs="宋体"/>
          <w:sz w:val="24"/>
          <w:szCs w:val="24"/>
          <w:vertAlign w:val="subscript"/>
        </w:rPr>
        <w:t>空</w:t>
      </w:r>
      <w:r>
        <w:rPr>
          <w:rFonts w:hint="eastAsia" w:ascii="宋体" w:hAnsi="宋体" w:eastAsia="宋体" w:cs="宋体"/>
          <w:sz w:val="24"/>
          <w:szCs w:val="24"/>
        </w:rPr>
        <w:t>时的能量消耗，得到最小能耗的路径。</w:t>
      </w:r>
    </w:p>
    <w:p>
      <w:pPr>
        <w:pStyle w:val="22"/>
        <w:rPr>
          <w:rFonts w:hint="eastAsia" w:ascii="宋体" w:hAnsi="宋体" w:eastAsia="宋体" w:cs="宋体"/>
          <w:sz w:val="24"/>
          <w:szCs w:val="24"/>
        </w:rPr>
      </w:pPr>
    </w:p>
    <w:p>
      <w:pPr>
        <w:pStyle w:val="22"/>
        <w:numPr>
          <w:ilvl w:val="0"/>
          <w:numId w:val="12"/>
        </w:numPr>
        <w:rPr>
          <w:rFonts w:hint="eastAsia" w:ascii="宋体" w:hAnsi="宋体" w:eastAsia="宋体" w:cs="宋体"/>
          <w:sz w:val="24"/>
          <w:szCs w:val="24"/>
        </w:rPr>
      </w:pPr>
      <w:r>
        <w:rPr>
          <w:rFonts w:hint="eastAsia" w:ascii="宋体" w:hAnsi="宋体" w:eastAsia="宋体" w:cs="宋体"/>
          <w:sz w:val="24"/>
          <w:szCs w:val="24"/>
        </w:rPr>
        <w:t>作业区域的栅格化</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自主作业区域边界确定后，根据喷液的宽度确定导航路线的规划，根据单次清洁液的喷洒时间和飞机的作业速度，可以得到清洁作业中需要安排的飞机架次，合理安排返航点，首先需要构建一个环境坐标图，常用的环境坐标图的构建方法有拓扑地图法、栅格地图法和几何特征法。因为清洁空中机器人的作业需要对作业环境进行遍历路径规划，而且路线基本上都是相互平行或者垂直，相邻路径的间距等于空中机器人的喷副宽度，因此采用栅格法对作业区域进行划分，构建清洁作业所需要的环境坐标图</w:t>
      </w:r>
      <w:r>
        <w:rPr>
          <w:rFonts w:hint="eastAsia" w:ascii="宋体" w:hAnsi="宋体" w:cs="宋体"/>
          <w:sz w:val="24"/>
          <w:szCs w:val="24"/>
          <w:lang w:eastAsia="zh-CN"/>
        </w:rPr>
        <w:t>。</w:t>
      </w:r>
    </w:p>
    <w:p>
      <w:pPr>
        <w:spacing w:line="360" w:lineRule="auto"/>
        <w:ind w:firstLine="480" w:firstLineChars="200"/>
        <w:rPr>
          <w:rFonts w:hint="eastAsia" w:ascii="宋体" w:hAnsi="宋体" w:cs="宋体"/>
          <w:sz w:val="24"/>
          <w:szCs w:val="24"/>
          <w:lang w:eastAsia="zh-CN"/>
        </w:rPr>
      </w:pPr>
      <w:r>
        <w:rPr>
          <w:rFonts w:hint="eastAsia" w:ascii="宋体" w:hAnsi="宋体" w:eastAsia="宋体" w:cs="宋体"/>
          <w:sz w:val="24"/>
          <w:szCs w:val="24"/>
        </w:rPr>
        <w:t>原点坐标O表示空中机器人的起落位置，O点距离地块最近的边界距离为 a黑色的实线边框表示地块的边界，长为nd，宽md，将地块分为 n×m个栅格，栅格的,边长为d，其中d为空中机器人喷幅宽度的1/2，x轴平行于距离其最近的一条边且间距其边界外a，y轴平行于边界的左边线且距离其边界内为d。根据空中机器人的作业方式和旋翼机的自主飞行控制机理特性，空中机器人机头始终应朝向y轴的正方向，对喷液作业区进行往复的遍历式飞行路径规划</w:t>
      </w:r>
      <w:r>
        <w:rPr>
          <w:rFonts w:hint="eastAsia" w:ascii="宋体" w:hAnsi="宋体" w:cs="宋体"/>
          <w:sz w:val="24"/>
          <w:szCs w:val="24"/>
          <w:lang w:eastAsia="zh-CN"/>
        </w:rPr>
        <w:t>。</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自定义线性表示空中机器人作业过程的飞行路径，其表示了空中机器人的起飞—作业—返航的一个整个过程。当空中机器人作业到作业区的边界需要转弯时，空中机器人是通过侧滑实现的。 当自主作业清洁机器人的作业边界确定后，通过建立坐标图，进行栅格划分，快速得到其作业路径，因而对其路径划分的研究主要集中在其每次返航点上。</w:t>
      </w:r>
    </w:p>
    <w:p>
      <w:pPr>
        <w:pStyle w:val="22"/>
        <w:rPr>
          <w:rFonts w:hint="eastAsia" w:ascii="宋体" w:hAnsi="宋体" w:eastAsia="宋体" w:cs="宋体"/>
          <w:sz w:val="24"/>
          <w:szCs w:val="24"/>
        </w:rPr>
      </w:pPr>
    </w:p>
    <w:p>
      <w:pPr>
        <w:pStyle w:val="22"/>
        <w:numPr>
          <w:ilvl w:val="0"/>
          <w:numId w:val="12"/>
        </w:numPr>
        <w:rPr>
          <w:rFonts w:hint="eastAsia" w:ascii="宋体" w:hAnsi="宋体" w:eastAsia="宋体" w:cs="宋体"/>
          <w:sz w:val="24"/>
          <w:szCs w:val="24"/>
        </w:rPr>
      </w:pPr>
      <w:r>
        <w:rPr>
          <w:rFonts w:hint="eastAsia" w:ascii="宋体" w:hAnsi="宋体" w:eastAsia="宋体" w:cs="宋体"/>
          <w:sz w:val="24"/>
          <w:szCs w:val="24"/>
        </w:rPr>
        <w:t>确立路径规划算法</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在空中机器人飞行过程中的速度不总是恒定不变的，在其清洁作业往复遍历时， 起飞加速以及刚到达作业区域边界需要转弯时，飞机处于加速或者减速状态，但是该 加减速的时间相对于清洁作业来说非常短，可以忽略不计，因此我们可以近似的看作清洁作业时的速度为恒定值，设清洁空中机器人作业飞行速度为V，转弯时速度相对较为缓慢，设清洁作业转弯过程中飞机的侧滑飞行速度为 V 转，本章节的研究中我们以无 人机的飞行时间作为空中机器人的能耗指标来进行研究，假定飞行时间和能耗成正比，则清洁机器人的能耗情况可以用飞行和作业时间来表示。</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将整个清洁作业路径表示为点集P（不包括返航和换液的路径）， 整个路径点集P又被分为多个子集，分别为 P</w:t>
      </w:r>
      <w:r>
        <w:rPr>
          <w:rFonts w:hint="eastAsia" w:ascii="宋体" w:hAnsi="宋体" w:eastAsia="宋体" w:cs="宋体"/>
          <w:sz w:val="24"/>
          <w:szCs w:val="24"/>
          <w:vertAlign w:val="subscript"/>
        </w:rPr>
        <w:t>4k</w:t>
      </w:r>
      <w:r>
        <w:rPr>
          <w:rFonts w:hint="eastAsia" w:ascii="宋体" w:hAnsi="宋体" w:eastAsia="宋体" w:cs="宋体"/>
          <w:sz w:val="24"/>
          <w:szCs w:val="24"/>
        </w:rPr>
        <w:t>，P</w:t>
      </w:r>
      <w:r>
        <w:rPr>
          <w:rFonts w:hint="eastAsia" w:ascii="宋体" w:hAnsi="宋体" w:eastAsia="宋体" w:cs="宋体"/>
          <w:sz w:val="24"/>
          <w:szCs w:val="24"/>
          <w:vertAlign w:val="subscript"/>
        </w:rPr>
        <w:t>4k+1</w:t>
      </w:r>
      <w:r>
        <w:rPr>
          <w:rFonts w:hint="eastAsia" w:ascii="宋体" w:hAnsi="宋体" w:eastAsia="宋体" w:cs="宋体"/>
          <w:sz w:val="24"/>
          <w:szCs w:val="24"/>
        </w:rPr>
        <w:t>，P</w:t>
      </w:r>
      <w:r>
        <w:rPr>
          <w:rFonts w:hint="eastAsia" w:ascii="宋体" w:hAnsi="宋体" w:eastAsia="宋体" w:cs="宋体"/>
          <w:sz w:val="24"/>
          <w:szCs w:val="24"/>
          <w:vertAlign w:val="subscript"/>
        </w:rPr>
        <w:t>4k+2</w:t>
      </w:r>
      <w:r>
        <w:rPr>
          <w:rFonts w:hint="eastAsia" w:ascii="宋体" w:hAnsi="宋体" w:eastAsia="宋体" w:cs="宋体"/>
          <w:sz w:val="24"/>
          <w:szCs w:val="24"/>
        </w:rPr>
        <w:t>，P</w:t>
      </w:r>
      <w:r>
        <w:rPr>
          <w:rFonts w:hint="eastAsia" w:ascii="宋体" w:hAnsi="宋体" w:eastAsia="宋体" w:cs="宋体"/>
          <w:sz w:val="24"/>
          <w:szCs w:val="24"/>
          <w:vertAlign w:val="subscript"/>
        </w:rPr>
        <w:t>4k+3</w:t>
      </w:r>
      <w:r>
        <w:rPr>
          <w:rFonts w:hint="eastAsia" w:ascii="宋体" w:hAnsi="宋体" w:eastAsia="宋体" w:cs="宋体"/>
          <w:sz w:val="24"/>
          <w:szCs w:val="24"/>
        </w:rPr>
        <w:t>，P</w:t>
      </w:r>
      <w:r>
        <w:rPr>
          <w:rFonts w:hint="eastAsia" w:ascii="宋体" w:hAnsi="宋体" w:eastAsia="宋体" w:cs="宋体"/>
          <w:sz w:val="24"/>
          <w:szCs w:val="24"/>
          <w:vertAlign w:val="subscript"/>
        </w:rPr>
        <w:t>4（k+1）</w:t>
      </w:r>
      <w:r>
        <w:rPr>
          <w:rFonts w:hint="eastAsia" w:ascii="宋体" w:hAnsi="宋体" w:eastAsia="宋体" w:cs="宋体"/>
          <w:sz w:val="24"/>
          <w:szCs w:val="24"/>
        </w:rPr>
        <w:t>，P</w:t>
      </w:r>
      <w:r>
        <w:rPr>
          <w:rFonts w:hint="eastAsia" w:ascii="宋体" w:hAnsi="宋体" w:eastAsia="宋体" w:cs="宋体"/>
          <w:sz w:val="24"/>
          <w:szCs w:val="24"/>
          <w:vertAlign w:val="subscript"/>
        </w:rPr>
        <w:t>4（k+1）+1</w:t>
      </w:r>
      <w:r>
        <w:rPr>
          <w:rFonts w:hint="eastAsia" w:ascii="宋体" w:hAnsi="宋体" w:eastAsia="宋体" w:cs="宋体"/>
          <w:sz w:val="24"/>
          <w:szCs w:val="24"/>
        </w:rPr>
        <w:t>……。关于他们之间的关系，我们需要分为 a 和 b 两种方案来进行讨论描述。</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可以看出a和b两个情况的不同之处在于最后打液作业完毕返回作业起点前的返回点不同，本章节中通过判断横向栅格的数量m来判断是属于上图中的哪一种。如果 m/4的余数为1或者2则为情况a，若m/4 的余数为3或者0则为情况b。设m/4的商为j，因为当 m&lt;=4 的时候路径的规划较为简单，可着重于m&gt;4的情况。</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如果经过判断，作业情况属于 a 的情况。整个点集 P 用个子集表示为：</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2531110" cy="400685"/>
            <wp:effectExtent l="0" t="0" r="2540" b="18415"/>
            <wp:docPr id="27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9"/>
                    <pic:cNvPicPr>
                      <a:picLocks noChangeAspect="1"/>
                    </pic:cNvPicPr>
                  </pic:nvPicPr>
                  <pic:blipFill>
                    <a:blip r:embed="rId23"/>
                    <a:stretch>
                      <a:fillRect/>
                    </a:stretch>
                  </pic:blipFill>
                  <pic:spPr>
                    <a:xfrm>
                      <a:off x="0" y="0"/>
                      <a:ext cx="2531110" cy="400685"/>
                    </a:xfrm>
                    <a:prstGeom prst="rect">
                      <a:avLst/>
                    </a:prstGeom>
                    <a:noFill/>
                    <a:ln>
                      <a:noFill/>
                    </a:ln>
                  </pic:spPr>
                </pic:pic>
              </a:graphicData>
            </a:graphic>
          </wp:inline>
        </w:drawing>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如果经过判断，作业情况属于 b 的情况。整个点集 P 用个子集表示为：</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2634615" cy="385445"/>
            <wp:effectExtent l="0" t="0" r="13335" b="14605"/>
            <wp:docPr id="27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10"/>
                    <pic:cNvPicPr>
                      <a:picLocks noChangeAspect="1"/>
                    </pic:cNvPicPr>
                  </pic:nvPicPr>
                  <pic:blipFill>
                    <a:blip r:embed="rId24"/>
                    <a:stretch>
                      <a:fillRect/>
                    </a:stretch>
                  </pic:blipFill>
                  <pic:spPr>
                    <a:xfrm>
                      <a:off x="0" y="0"/>
                      <a:ext cx="2634615" cy="385445"/>
                    </a:xfrm>
                    <a:prstGeom prst="rect">
                      <a:avLst/>
                    </a:prstGeom>
                    <a:noFill/>
                    <a:ln>
                      <a:noFill/>
                    </a:ln>
                  </pic:spPr>
                </pic:pic>
              </a:graphicData>
            </a:graphic>
          </wp:inline>
        </w:drawing>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其中 j 为 m/4 的整数商，因为 m&gt;4，所以 j&gt;=1. 中途返航点的选择，需要在保证最少架次的基础上，选择往返途中的路径最短的 点，每一个点都包含各种相应的信息，包括已完成清洁作业长度、植保机剩 余能量、当前坐标信息。清洁机器人需要时刻判断到起始点的距离，以及剩余能量是否可 以安全回到起始点，因此本章节通过对每个潜在返航点携带信息的判断，来规划无人 机的返航次数和返航点。</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设（x</w:t>
      </w:r>
      <w:r>
        <w:rPr>
          <w:rFonts w:hint="eastAsia" w:ascii="宋体" w:hAnsi="宋体" w:eastAsia="宋体" w:cs="宋体"/>
          <w:sz w:val="24"/>
          <w:szCs w:val="24"/>
          <w:vertAlign w:val="subscript"/>
        </w:rPr>
        <w:t>n</w:t>
      </w:r>
      <w:r>
        <w:rPr>
          <w:rFonts w:hint="eastAsia" w:ascii="宋体" w:hAnsi="宋体" w:eastAsia="宋体" w:cs="宋体"/>
          <w:sz w:val="24"/>
          <w:szCs w:val="24"/>
        </w:rPr>
        <w:t>，y</w:t>
      </w:r>
      <w:r>
        <w:rPr>
          <w:rFonts w:hint="eastAsia" w:ascii="宋体" w:hAnsi="宋体" w:eastAsia="宋体" w:cs="宋体"/>
          <w:sz w:val="24"/>
          <w:szCs w:val="24"/>
          <w:vertAlign w:val="subscript"/>
        </w:rPr>
        <w:t>n</w:t>
      </w:r>
      <w:r>
        <w:rPr>
          <w:rFonts w:hint="eastAsia" w:ascii="宋体" w:hAnsi="宋体" w:eastAsia="宋体" w:cs="宋体"/>
          <w:sz w:val="24"/>
          <w:szCs w:val="24"/>
        </w:rPr>
        <w:t>）为点集 P 上一点，则各个点集坐标表达式为：</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3586480" cy="1721485"/>
            <wp:effectExtent l="0" t="0" r="13970" b="12065"/>
            <wp:docPr id="27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12"/>
                    <pic:cNvPicPr>
                      <a:picLocks noChangeAspect="1"/>
                    </pic:cNvPicPr>
                  </pic:nvPicPr>
                  <pic:blipFill>
                    <a:blip r:embed="rId25"/>
                    <a:stretch>
                      <a:fillRect/>
                    </a:stretch>
                  </pic:blipFill>
                  <pic:spPr>
                    <a:xfrm>
                      <a:off x="0" y="0"/>
                      <a:ext cx="3586480" cy="1721485"/>
                    </a:xfrm>
                    <a:prstGeom prst="rect">
                      <a:avLst/>
                    </a:prstGeom>
                    <a:noFill/>
                    <a:ln>
                      <a:noFill/>
                    </a:ln>
                  </pic:spPr>
                </pic:pic>
              </a:graphicData>
            </a:graphic>
          </wp:inline>
        </w:drawing>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点集 P 上点（x</w:t>
      </w:r>
      <w:r>
        <w:rPr>
          <w:rFonts w:hint="eastAsia" w:ascii="宋体" w:hAnsi="宋体" w:eastAsia="宋体" w:cs="宋体"/>
          <w:sz w:val="24"/>
          <w:szCs w:val="24"/>
          <w:vertAlign w:val="subscript"/>
        </w:rPr>
        <w:t>n</w:t>
      </w:r>
      <w:r>
        <w:rPr>
          <w:rFonts w:hint="eastAsia" w:ascii="宋体" w:hAnsi="宋体" w:eastAsia="宋体" w:cs="宋体"/>
          <w:sz w:val="24"/>
          <w:szCs w:val="24"/>
        </w:rPr>
        <w:t>，y</w:t>
      </w:r>
      <w:r>
        <w:rPr>
          <w:rFonts w:hint="eastAsia" w:ascii="宋体" w:hAnsi="宋体" w:eastAsia="宋体" w:cs="宋体"/>
          <w:sz w:val="24"/>
          <w:szCs w:val="24"/>
          <w:vertAlign w:val="subscript"/>
        </w:rPr>
        <w:t>n</w:t>
      </w:r>
      <w:r>
        <w:rPr>
          <w:rFonts w:hint="eastAsia" w:ascii="宋体" w:hAnsi="宋体" w:eastAsia="宋体" w:cs="宋体"/>
          <w:sz w:val="24"/>
          <w:szCs w:val="24"/>
        </w:rPr>
        <w:t>）已经完成作业路径的长度 L</w:t>
      </w:r>
      <w:r>
        <w:rPr>
          <w:rFonts w:hint="eastAsia" w:ascii="宋体" w:hAnsi="宋体" w:eastAsia="宋体" w:cs="宋体"/>
          <w:sz w:val="24"/>
          <w:szCs w:val="24"/>
          <w:vertAlign w:val="subscript"/>
        </w:rPr>
        <w:t>n</w:t>
      </w:r>
      <w:r>
        <w:rPr>
          <w:rFonts w:hint="eastAsia" w:ascii="宋体" w:hAnsi="宋体" w:eastAsia="宋体" w:cs="宋体"/>
          <w:sz w:val="24"/>
          <w:szCs w:val="24"/>
        </w:rPr>
        <w:t>（其中包含了转弯长度和起飞进入作业区的长度，但不包含中途换清洁液的长度和完成作业返航的长度）的计算表达式为</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4906645" cy="1372870"/>
            <wp:effectExtent l="0" t="0" r="8255" b="17780"/>
            <wp:docPr id="28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13"/>
                    <pic:cNvPicPr>
                      <a:picLocks noChangeAspect="1"/>
                    </pic:cNvPicPr>
                  </pic:nvPicPr>
                  <pic:blipFill>
                    <a:blip r:embed="rId26"/>
                    <a:stretch>
                      <a:fillRect/>
                    </a:stretch>
                  </pic:blipFill>
                  <pic:spPr>
                    <a:xfrm>
                      <a:off x="0" y="0"/>
                      <a:ext cx="4906645" cy="1372870"/>
                    </a:xfrm>
                    <a:prstGeom prst="rect">
                      <a:avLst/>
                    </a:prstGeom>
                    <a:noFill/>
                    <a:ln>
                      <a:noFill/>
                    </a:ln>
                  </pic:spPr>
                </pic:pic>
              </a:graphicData>
            </a:graphic>
          </wp:inline>
        </w:drawing>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化简后得到：</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4298950" cy="1278255"/>
            <wp:effectExtent l="0" t="0" r="6350" b="17145"/>
            <wp:docPr id="28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14"/>
                    <pic:cNvPicPr>
                      <a:picLocks noChangeAspect="1"/>
                    </pic:cNvPicPr>
                  </pic:nvPicPr>
                  <pic:blipFill>
                    <a:blip r:embed="rId27"/>
                    <a:stretch>
                      <a:fillRect/>
                    </a:stretch>
                  </pic:blipFill>
                  <pic:spPr>
                    <a:xfrm>
                      <a:off x="0" y="0"/>
                      <a:ext cx="4298950" cy="1278255"/>
                    </a:xfrm>
                    <a:prstGeom prst="rect">
                      <a:avLst/>
                    </a:prstGeom>
                    <a:noFill/>
                    <a:ln>
                      <a:noFill/>
                    </a:ln>
                  </pic:spPr>
                </pic:pic>
              </a:graphicData>
            </a:graphic>
          </wp:inline>
        </w:drawing>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假设空中机器人作业飞行速度V和清洁作业转弯过程中飞机的侧滑飞行速度V转均已知，空中机器人作业中转弯时是不清洁液的，因此根据上式可以得到飞机的作业中已经完成的清洁时间Td的计算表达式为：</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3575685" cy="1778635"/>
            <wp:effectExtent l="0" t="0" r="5715" b="12065"/>
            <wp:docPr id="28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15"/>
                    <pic:cNvPicPr>
                      <a:picLocks noChangeAspect="1"/>
                    </pic:cNvPicPr>
                  </pic:nvPicPr>
                  <pic:blipFill>
                    <a:blip r:embed="rId28"/>
                    <a:stretch>
                      <a:fillRect/>
                    </a:stretch>
                  </pic:blipFill>
                  <pic:spPr>
                    <a:xfrm>
                      <a:off x="0" y="0"/>
                      <a:ext cx="3575685" cy="1778635"/>
                    </a:xfrm>
                    <a:prstGeom prst="rect">
                      <a:avLst/>
                    </a:prstGeom>
                    <a:noFill/>
                    <a:ln>
                      <a:noFill/>
                    </a:ln>
                  </pic:spPr>
                </pic:pic>
              </a:graphicData>
            </a:graphic>
          </wp:inline>
        </w:drawing>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空中机器人的清洁作业中某点（x</w:t>
      </w:r>
      <w:r>
        <w:rPr>
          <w:rFonts w:hint="eastAsia" w:ascii="宋体" w:hAnsi="宋体" w:eastAsia="宋体" w:cs="宋体"/>
          <w:sz w:val="24"/>
          <w:szCs w:val="24"/>
          <w:vertAlign w:val="subscript"/>
        </w:rPr>
        <w:t>n</w:t>
      </w:r>
      <w:r>
        <w:rPr>
          <w:rFonts w:hint="eastAsia" w:ascii="宋体" w:hAnsi="宋体" w:eastAsia="宋体" w:cs="宋体"/>
          <w:sz w:val="24"/>
          <w:szCs w:val="24"/>
        </w:rPr>
        <w:t>，y</w:t>
      </w:r>
      <w:r>
        <w:rPr>
          <w:rFonts w:hint="eastAsia" w:ascii="宋体" w:hAnsi="宋体" w:eastAsia="宋体" w:cs="宋体"/>
          <w:sz w:val="24"/>
          <w:szCs w:val="24"/>
          <w:vertAlign w:val="subscript"/>
        </w:rPr>
        <w:t>n</w:t>
      </w:r>
      <w:r>
        <w:rPr>
          <w:rFonts w:hint="eastAsia" w:ascii="宋体" w:hAnsi="宋体" w:eastAsia="宋体" w:cs="宋体"/>
          <w:sz w:val="24"/>
          <w:szCs w:val="24"/>
        </w:rPr>
        <w:t>）携带的作业飞行时间T</w:t>
      </w:r>
      <w:r>
        <w:rPr>
          <w:rFonts w:hint="eastAsia" w:ascii="宋体" w:hAnsi="宋体" w:eastAsia="宋体" w:cs="宋体"/>
          <w:sz w:val="24"/>
          <w:szCs w:val="24"/>
          <w:vertAlign w:val="subscript"/>
        </w:rPr>
        <w:t>p</w:t>
      </w:r>
      <w:r>
        <w:rPr>
          <w:rFonts w:hint="eastAsia" w:ascii="宋体" w:hAnsi="宋体" w:eastAsia="宋体" w:cs="宋体"/>
          <w:sz w:val="24"/>
          <w:szCs w:val="24"/>
        </w:rPr>
        <w:t>的计算表达式：</w:t>
      </w:r>
    </w:p>
    <w:p>
      <w:pPr>
        <w:spacing w:line="360" w:lineRule="auto"/>
        <w:ind w:firstLine="480" w:firstLineChars="200"/>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4358005" cy="1916430"/>
            <wp:effectExtent l="0" t="0" r="4445" b="7620"/>
            <wp:docPr id="28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16"/>
                    <pic:cNvPicPr>
                      <a:picLocks noChangeAspect="1"/>
                    </pic:cNvPicPr>
                  </pic:nvPicPr>
                  <pic:blipFill>
                    <a:blip r:embed="rId29"/>
                    <a:stretch>
                      <a:fillRect/>
                    </a:stretch>
                  </pic:blipFill>
                  <pic:spPr>
                    <a:xfrm>
                      <a:off x="0" y="0"/>
                      <a:ext cx="4358005" cy="1916430"/>
                    </a:xfrm>
                    <a:prstGeom prst="rect">
                      <a:avLst/>
                    </a:prstGeom>
                    <a:noFill/>
                    <a:ln>
                      <a:noFill/>
                    </a:ln>
                  </pic:spPr>
                </pic:pic>
              </a:graphicData>
            </a:graphic>
          </wp:inline>
        </w:drawing>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清洁空中机器人的清洁作业中，某点（x</w:t>
      </w:r>
      <w:r>
        <w:rPr>
          <w:rFonts w:hint="eastAsia" w:ascii="宋体" w:hAnsi="宋体" w:eastAsia="宋体" w:cs="宋体"/>
          <w:sz w:val="24"/>
          <w:szCs w:val="24"/>
          <w:vertAlign w:val="subscript"/>
        </w:rPr>
        <w:t>n</w:t>
      </w:r>
      <w:r>
        <w:rPr>
          <w:rFonts w:hint="eastAsia" w:ascii="宋体" w:hAnsi="宋体" w:eastAsia="宋体" w:cs="宋体"/>
          <w:sz w:val="24"/>
          <w:szCs w:val="24"/>
        </w:rPr>
        <w:t>，y</w:t>
      </w:r>
      <w:r>
        <w:rPr>
          <w:rFonts w:hint="eastAsia" w:ascii="宋体" w:hAnsi="宋体" w:eastAsia="宋体" w:cs="宋体"/>
          <w:sz w:val="24"/>
          <w:szCs w:val="24"/>
          <w:vertAlign w:val="subscript"/>
        </w:rPr>
        <w:t>n</w:t>
      </w:r>
      <w:r>
        <w:rPr>
          <w:rFonts w:hint="eastAsia" w:ascii="宋体" w:hAnsi="宋体" w:eastAsia="宋体" w:cs="宋体"/>
          <w:sz w:val="24"/>
          <w:szCs w:val="24"/>
        </w:rPr>
        <w:t>）携带的信息中对剩余能量能否返回起点坐标的判断依据设为T</w:t>
      </w:r>
      <w:r>
        <w:rPr>
          <w:rFonts w:hint="eastAsia" w:ascii="宋体" w:hAnsi="宋体" w:eastAsia="宋体" w:cs="宋体"/>
          <w:sz w:val="24"/>
          <w:szCs w:val="24"/>
          <w:vertAlign w:val="subscript"/>
        </w:rPr>
        <w:t>back</w:t>
      </w:r>
      <w:r>
        <w:rPr>
          <w:rFonts w:hint="eastAsia" w:ascii="宋体" w:hAnsi="宋体" w:eastAsia="宋体" w:cs="宋体"/>
          <w:sz w:val="24"/>
          <w:szCs w:val="24"/>
        </w:rPr>
        <w:t>则可得到其关系表达式：</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1302385" cy="352425"/>
            <wp:effectExtent l="0" t="0" r="12065" b="9525"/>
            <wp:docPr id="28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17"/>
                    <pic:cNvPicPr>
                      <a:picLocks noChangeAspect="1"/>
                    </pic:cNvPicPr>
                  </pic:nvPicPr>
                  <pic:blipFill>
                    <a:blip r:embed="rId30"/>
                    <a:stretch>
                      <a:fillRect/>
                    </a:stretch>
                  </pic:blipFill>
                  <pic:spPr>
                    <a:xfrm>
                      <a:off x="0" y="0"/>
                      <a:ext cx="1302385" cy="352425"/>
                    </a:xfrm>
                    <a:prstGeom prst="rect">
                      <a:avLst/>
                    </a:prstGeom>
                    <a:noFill/>
                    <a:ln>
                      <a:noFill/>
                    </a:ln>
                  </pic:spPr>
                </pic:pic>
              </a:graphicData>
            </a:graphic>
          </wp:inline>
        </w:drawing>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对于作业总时间T，当经过规划得出清洁时间T &lt;= T</w:t>
      </w:r>
      <w:r>
        <w:rPr>
          <w:rFonts w:hint="eastAsia" w:ascii="宋体" w:hAnsi="宋体" w:eastAsia="宋体" w:cs="宋体"/>
          <w:sz w:val="24"/>
          <w:szCs w:val="24"/>
          <w:vertAlign w:val="subscript"/>
        </w:rPr>
        <w:t>液</w:t>
      </w:r>
      <w:r>
        <w:rPr>
          <w:rFonts w:hint="eastAsia" w:ascii="宋体" w:hAnsi="宋体" w:eastAsia="宋体" w:cs="宋体"/>
          <w:sz w:val="24"/>
          <w:szCs w:val="24"/>
        </w:rPr>
        <w:t>，则不需要进行换液， 即清洁机仅需要携带需要的液量进行飞行作业即可，若已知清洁液喷洒速率为 Spr，单 位为毫升/秒，则飞机所需要携带液量 C 可根据式子 C=Spr*T 得出。当作业时只需灌 入需要的液量即可，这样减少了负载，节约了能量。</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若清洁时间 T&gt;T</w:t>
      </w:r>
      <w:r>
        <w:rPr>
          <w:rFonts w:hint="eastAsia" w:ascii="宋体" w:hAnsi="宋体" w:eastAsia="宋体" w:cs="宋体"/>
          <w:sz w:val="24"/>
          <w:szCs w:val="24"/>
          <w:vertAlign w:val="subscript"/>
        </w:rPr>
        <w:t>液</w:t>
      </w:r>
      <w:r>
        <w:rPr>
          <w:rFonts w:hint="eastAsia" w:ascii="宋体" w:hAnsi="宋体" w:eastAsia="宋体" w:cs="宋体"/>
          <w:sz w:val="24"/>
          <w:szCs w:val="24"/>
        </w:rPr>
        <w:t>时，则清洁作业至少需要返回一次进行加液。当 T/T</w:t>
      </w:r>
      <w:r>
        <w:rPr>
          <w:rFonts w:hint="eastAsia" w:ascii="宋体" w:hAnsi="宋体" w:eastAsia="宋体" w:cs="宋体"/>
          <w:sz w:val="24"/>
          <w:szCs w:val="24"/>
          <w:vertAlign w:val="subscript"/>
        </w:rPr>
        <w:t>液</w:t>
      </w:r>
      <w:r>
        <w:rPr>
          <w:rFonts w:hint="eastAsia" w:ascii="宋体" w:hAnsi="宋体" w:eastAsia="宋体" w:cs="宋体"/>
          <w:sz w:val="24"/>
          <w:szCs w:val="24"/>
        </w:rPr>
        <w:t>的值为正 整数时候，说明 T 液可以被T整除，即每次满载情况下出发，当清洁完后即刻返航， 经过 N 次的往返作业就可以完成整个的清洁任务，因此不需要进行路径规划。当 T/T</w:t>
      </w:r>
      <w:r>
        <w:rPr>
          <w:rFonts w:hint="eastAsia" w:ascii="宋体" w:hAnsi="宋体" w:eastAsia="宋体" w:cs="宋体"/>
          <w:sz w:val="24"/>
          <w:szCs w:val="24"/>
          <w:vertAlign w:val="subscript"/>
        </w:rPr>
        <w:t>液</w:t>
      </w:r>
      <w:r>
        <w:rPr>
          <w:rFonts w:hint="eastAsia" w:ascii="宋体" w:hAnsi="宋体" w:eastAsia="宋体" w:cs="宋体"/>
          <w:sz w:val="24"/>
          <w:szCs w:val="24"/>
        </w:rPr>
        <w:t>的值为不是正整数时候，说明T</w:t>
      </w:r>
      <w:r>
        <w:rPr>
          <w:rFonts w:hint="eastAsia" w:ascii="宋体" w:hAnsi="宋体" w:eastAsia="宋体" w:cs="宋体"/>
          <w:sz w:val="24"/>
          <w:szCs w:val="24"/>
          <w:vertAlign w:val="subscript"/>
        </w:rPr>
        <w:t>液</w:t>
      </w:r>
      <w:r>
        <w:rPr>
          <w:rFonts w:hint="eastAsia" w:ascii="宋体" w:hAnsi="宋体" w:eastAsia="宋体" w:cs="宋体"/>
          <w:sz w:val="24"/>
          <w:szCs w:val="24"/>
        </w:rPr>
        <w:t>不可以被T整除，即不需要每次都满载情况下出发， 因此就需要确定下每次的返航点。假设 N-1&lt;N（N∈整数），因此需要进行 n 次清洁作业，期间需要返回 起飞点 N-1 次进行加装清洁液工作，这 N 次需要载液量分别为C</w:t>
      </w:r>
      <w:r>
        <w:rPr>
          <w:rFonts w:hint="eastAsia" w:ascii="宋体" w:hAnsi="宋体" w:eastAsia="宋体" w:cs="宋体"/>
          <w:sz w:val="24"/>
          <w:szCs w:val="24"/>
          <w:vertAlign w:val="subscript"/>
        </w:rPr>
        <w:t>1</w:t>
      </w:r>
      <w:r>
        <w:rPr>
          <w:rFonts w:hint="eastAsia" w:ascii="宋体" w:hAnsi="宋体" w:eastAsia="宋体" w:cs="宋体"/>
          <w:sz w:val="24"/>
          <w:szCs w:val="24"/>
        </w:rPr>
        <w:t>、C</w:t>
      </w:r>
      <w:r>
        <w:rPr>
          <w:rFonts w:hint="eastAsia" w:ascii="宋体" w:hAnsi="宋体" w:eastAsia="宋体" w:cs="宋体"/>
          <w:sz w:val="24"/>
          <w:szCs w:val="24"/>
          <w:vertAlign w:val="subscript"/>
        </w:rPr>
        <w:t>2</w:t>
      </w:r>
      <w:r>
        <w:rPr>
          <w:rFonts w:hint="eastAsia" w:ascii="宋体" w:hAnsi="宋体" w:eastAsia="宋体" w:cs="宋体"/>
          <w:sz w:val="24"/>
          <w:szCs w:val="24"/>
        </w:rPr>
        <w:t>、C</w:t>
      </w:r>
      <w:r>
        <w:rPr>
          <w:rFonts w:hint="eastAsia" w:ascii="宋体" w:hAnsi="宋体" w:eastAsia="宋体" w:cs="宋体"/>
          <w:sz w:val="24"/>
          <w:szCs w:val="24"/>
          <w:vertAlign w:val="subscript"/>
        </w:rPr>
        <w:t>3</w:t>
      </w:r>
      <w:r>
        <w:rPr>
          <w:rFonts w:hint="eastAsia" w:ascii="宋体" w:hAnsi="宋体" w:eastAsia="宋体" w:cs="宋体"/>
          <w:sz w:val="24"/>
          <w:szCs w:val="24"/>
        </w:rPr>
        <w:t>…C</w:t>
      </w:r>
      <w:r>
        <w:rPr>
          <w:rFonts w:hint="eastAsia" w:ascii="宋体" w:hAnsi="宋体" w:eastAsia="宋体" w:cs="宋体"/>
          <w:sz w:val="24"/>
          <w:szCs w:val="24"/>
          <w:vertAlign w:val="subscript"/>
        </w:rPr>
        <w:t>n-1</w:t>
      </w:r>
      <w:r>
        <w:rPr>
          <w:rFonts w:hint="eastAsia" w:ascii="宋体" w:hAnsi="宋体" w:eastAsia="宋体" w:cs="宋体"/>
          <w:sz w:val="24"/>
          <w:szCs w:val="24"/>
        </w:rPr>
        <w:t>、C</w:t>
      </w:r>
      <w:r>
        <w:rPr>
          <w:rFonts w:hint="eastAsia" w:ascii="宋体" w:hAnsi="宋体" w:eastAsia="宋体" w:cs="宋体"/>
          <w:sz w:val="24"/>
          <w:szCs w:val="24"/>
          <w:vertAlign w:val="subscript"/>
        </w:rPr>
        <w:t>n</w:t>
      </w:r>
      <w:r>
        <w:rPr>
          <w:rFonts w:hint="eastAsia" w:ascii="宋体" w:hAnsi="宋体" w:eastAsia="宋体" w:cs="宋体"/>
          <w:sz w:val="24"/>
          <w:szCs w:val="24"/>
        </w:rPr>
        <w:t>，对于每次携带的清洁液量 C 的多少，我们分为以下两种情况：</w:t>
      </w:r>
    </w:p>
    <w:p>
      <w:pPr>
        <w:numPr>
          <w:ilvl w:val="0"/>
          <w:numId w:val="13"/>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保证作业的次数 N 不变的情况下，令每次携带的清洁液都一样多，即 C</w:t>
      </w:r>
      <w:r>
        <w:rPr>
          <w:rFonts w:hint="eastAsia" w:ascii="宋体" w:hAnsi="宋体" w:eastAsia="宋体" w:cs="宋体"/>
          <w:sz w:val="24"/>
          <w:szCs w:val="24"/>
          <w:vertAlign w:val="subscript"/>
        </w:rPr>
        <w:t>1</w:t>
      </w:r>
      <w:r>
        <w:rPr>
          <w:rFonts w:hint="eastAsia" w:ascii="宋体" w:hAnsi="宋体" w:eastAsia="宋体" w:cs="宋体"/>
          <w:sz w:val="24"/>
          <w:szCs w:val="24"/>
        </w:rPr>
        <w:t>=C</w:t>
      </w:r>
      <w:r>
        <w:rPr>
          <w:rFonts w:hint="eastAsia" w:ascii="宋体" w:hAnsi="宋体" w:eastAsia="宋体" w:cs="宋体"/>
          <w:sz w:val="24"/>
          <w:szCs w:val="24"/>
          <w:vertAlign w:val="subscript"/>
        </w:rPr>
        <w:t>2</w:t>
      </w:r>
      <w:r>
        <w:rPr>
          <w:rFonts w:hint="eastAsia" w:ascii="宋体" w:hAnsi="宋体" w:eastAsia="宋体" w:cs="宋体"/>
          <w:sz w:val="24"/>
          <w:szCs w:val="24"/>
        </w:rPr>
        <w:t>=… =C</w:t>
      </w:r>
      <w:r>
        <w:rPr>
          <w:rFonts w:hint="eastAsia" w:ascii="宋体" w:hAnsi="宋体" w:eastAsia="宋体" w:cs="宋体"/>
          <w:sz w:val="24"/>
          <w:szCs w:val="24"/>
          <w:vertAlign w:val="subscript"/>
        </w:rPr>
        <w:t>n-1</w:t>
      </w:r>
      <w:r>
        <w:rPr>
          <w:rFonts w:hint="eastAsia" w:ascii="宋体" w:hAnsi="宋体" w:eastAsia="宋体" w:cs="宋体"/>
          <w:sz w:val="24"/>
          <w:szCs w:val="24"/>
        </w:rPr>
        <w:t>=C</w:t>
      </w:r>
      <w:r>
        <w:rPr>
          <w:rFonts w:hint="eastAsia" w:ascii="宋体" w:hAnsi="宋体" w:eastAsia="宋体" w:cs="宋体"/>
          <w:sz w:val="24"/>
          <w:szCs w:val="24"/>
          <w:vertAlign w:val="subscript"/>
        </w:rPr>
        <w:t>n</w:t>
      </w:r>
      <w:r>
        <w:rPr>
          <w:rFonts w:hint="eastAsia" w:ascii="宋体" w:hAnsi="宋体" w:eastAsia="宋体" w:cs="宋体"/>
          <w:sz w:val="24"/>
          <w:szCs w:val="24"/>
        </w:rPr>
        <w:t>=（Spr*T）/N 其中 T/n &lt; T</w:t>
      </w:r>
      <w:r>
        <w:rPr>
          <w:rFonts w:hint="eastAsia" w:ascii="宋体" w:hAnsi="宋体" w:eastAsia="宋体" w:cs="宋体"/>
          <w:sz w:val="24"/>
          <w:szCs w:val="24"/>
          <w:vertAlign w:val="subscript"/>
        </w:rPr>
        <w:t>液</w:t>
      </w:r>
      <w:r>
        <w:rPr>
          <w:rFonts w:hint="eastAsia" w:ascii="宋体" w:hAnsi="宋体" w:eastAsia="宋体" w:cs="宋体"/>
          <w:sz w:val="24"/>
          <w:szCs w:val="24"/>
        </w:rPr>
        <w:t>，这样可以得到相应的每次需要清洁液时间为 T</w:t>
      </w:r>
      <w:r>
        <w:rPr>
          <w:rFonts w:hint="eastAsia" w:ascii="宋体" w:hAnsi="宋体" w:eastAsia="宋体" w:cs="宋体"/>
          <w:sz w:val="24"/>
          <w:szCs w:val="24"/>
          <w:vertAlign w:val="subscript"/>
        </w:rPr>
        <w:t>1</w:t>
      </w:r>
      <w:r>
        <w:rPr>
          <w:rFonts w:hint="eastAsia" w:ascii="宋体" w:hAnsi="宋体" w:eastAsia="宋体" w:cs="宋体"/>
          <w:sz w:val="24"/>
          <w:szCs w:val="24"/>
        </w:rPr>
        <w:t>=T</w:t>
      </w:r>
      <w:r>
        <w:rPr>
          <w:rFonts w:hint="eastAsia" w:ascii="宋体" w:hAnsi="宋体" w:eastAsia="宋体" w:cs="宋体"/>
          <w:sz w:val="24"/>
          <w:szCs w:val="24"/>
          <w:vertAlign w:val="subscript"/>
        </w:rPr>
        <w:t>2</w:t>
      </w:r>
      <w:r>
        <w:rPr>
          <w:rFonts w:hint="eastAsia" w:ascii="宋体" w:hAnsi="宋体" w:eastAsia="宋体" w:cs="宋体"/>
          <w:sz w:val="24"/>
          <w:szCs w:val="24"/>
        </w:rPr>
        <w:t>=…=T</w:t>
      </w:r>
      <w:r>
        <w:rPr>
          <w:rFonts w:hint="eastAsia" w:ascii="宋体" w:hAnsi="宋体" w:eastAsia="宋体" w:cs="宋体"/>
          <w:sz w:val="24"/>
          <w:szCs w:val="24"/>
          <w:vertAlign w:val="subscript"/>
        </w:rPr>
        <w:t>n-1</w:t>
      </w:r>
      <w:r>
        <w:rPr>
          <w:rFonts w:hint="eastAsia" w:ascii="宋体" w:hAnsi="宋体" w:eastAsia="宋体" w:cs="宋体"/>
          <w:sz w:val="24"/>
          <w:szCs w:val="24"/>
        </w:rPr>
        <w:t>=T</w:t>
      </w:r>
      <w:r>
        <w:rPr>
          <w:rFonts w:hint="eastAsia" w:ascii="宋体" w:hAnsi="宋体" w:eastAsia="宋体" w:cs="宋体"/>
          <w:sz w:val="24"/>
          <w:szCs w:val="24"/>
          <w:vertAlign w:val="subscript"/>
        </w:rPr>
        <w:t>n</w:t>
      </w:r>
      <w:r>
        <w:rPr>
          <w:rFonts w:hint="eastAsia" w:ascii="宋体" w:hAnsi="宋体" w:eastAsia="宋体" w:cs="宋体"/>
          <w:sz w:val="24"/>
          <w:szCs w:val="24"/>
        </w:rPr>
        <w:t>=T/N，如下图所示，(x</w:t>
      </w:r>
      <w:r>
        <w:rPr>
          <w:rFonts w:hint="eastAsia" w:ascii="宋体" w:hAnsi="宋体" w:eastAsia="宋体" w:cs="宋体"/>
          <w:sz w:val="24"/>
          <w:szCs w:val="24"/>
          <w:vertAlign w:val="subscript"/>
        </w:rPr>
        <w:t>0</w:t>
      </w:r>
      <w:r>
        <w:rPr>
          <w:rFonts w:hint="eastAsia" w:ascii="宋体" w:hAnsi="宋体" w:eastAsia="宋体" w:cs="宋体"/>
          <w:sz w:val="24"/>
          <w:szCs w:val="24"/>
        </w:rPr>
        <w:t>,y</w:t>
      </w:r>
      <w:r>
        <w:rPr>
          <w:rFonts w:hint="eastAsia" w:ascii="宋体" w:hAnsi="宋体" w:eastAsia="宋体" w:cs="宋体"/>
          <w:sz w:val="24"/>
          <w:szCs w:val="24"/>
          <w:vertAlign w:val="subscript"/>
        </w:rPr>
        <w:t>0</w:t>
      </w:r>
      <w:r>
        <w:rPr>
          <w:rFonts w:hint="eastAsia" w:ascii="宋体" w:hAnsi="宋体" w:eastAsia="宋体" w:cs="宋体"/>
          <w:sz w:val="24"/>
          <w:szCs w:val="24"/>
        </w:rPr>
        <w:t>) 为起始点坐标，(x</w:t>
      </w:r>
      <w:r>
        <w:rPr>
          <w:rFonts w:hint="eastAsia" w:ascii="宋体" w:hAnsi="宋体" w:eastAsia="宋体" w:cs="宋体"/>
          <w:sz w:val="24"/>
          <w:szCs w:val="24"/>
          <w:vertAlign w:val="subscript"/>
        </w:rPr>
        <w:t>1</w:t>
      </w:r>
      <w:r>
        <w:rPr>
          <w:rFonts w:hint="eastAsia" w:ascii="宋体" w:hAnsi="宋体" w:eastAsia="宋体" w:cs="宋体"/>
          <w:sz w:val="24"/>
          <w:szCs w:val="24"/>
        </w:rPr>
        <w:t>,y</w:t>
      </w:r>
      <w:r>
        <w:rPr>
          <w:rFonts w:hint="eastAsia" w:ascii="宋体" w:hAnsi="宋体" w:eastAsia="宋体" w:cs="宋体"/>
          <w:sz w:val="24"/>
          <w:szCs w:val="24"/>
          <w:vertAlign w:val="subscript"/>
        </w:rPr>
        <w:t>1</w:t>
      </w:r>
      <w:r>
        <w:rPr>
          <w:rFonts w:hint="eastAsia" w:ascii="宋体" w:hAnsi="宋体" w:eastAsia="宋体" w:cs="宋体"/>
          <w:sz w:val="24"/>
          <w:szCs w:val="24"/>
        </w:rPr>
        <w:t>)~ (x</w:t>
      </w:r>
      <w:r>
        <w:rPr>
          <w:rFonts w:hint="eastAsia" w:ascii="宋体" w:hAnsi="宋体" w:eastAsia="宋体" w:cs="宋体"/>
          <w:sz w:val="24"/>
          <w:szCs w:val="24"/>
          <w:vertAlign w:val="subscript"/>
        </w:rPr>
        <w:t>n</w:t>
      </w:r>
      <w:r>
        <w:rPr>
          <w:rFonts w:hint="eastAsia" w:ascii="宋体" w:hAnsi="宋体" w:eastAsia="宋体" w:cs="宋体"/>
          <w:sz w:val="24"/>
          <w:szCs w:val="24"/>
        </w:rPr>
        <w:t>,y</w:t>
      </w:r>
      <w:r>
        <w:rPr>
          <w:rFonts w:hint="eastAsia" w:ascii="宋体" w:hAnsi="宋体" w:eastAsia="宋体" w:cs="宋体"/>
          <w:sz w:val="24"/>
          <w:szCs w:val="24"/>
          <w:vertAlign w:val="subscript"/>
        </w:rPr>
        <w:t>n</w:t>
      </w:r>
      <w:r>
        <w:rPr>
          <w:rFonts w:hint="eastAsia" w:ascii="宋体" w:hAnsi="宋体" w:eastAsia="宋体" w:cs="宋体"/>
          <w:sz w:val="24"/>
          <w:szCs w:val="24"/>
        </w:rPr>
        <w:t>)为各个返航点坐标，图 5.8 中线段表示作业按时间分配的情况.</w:t>
      </w:r>
    </w:p>
    <w:p>
      <w:pPr>
        <w:pStyle w:val="22"/>
        <w:numPr>
          <w:ilvl w:val="255"/>
          <w:numId w:val="0"/>
        </w:numPr>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4148455" cy="984885"/>
            <wp:effectExtent l="0" t="0" r="4445" b="5715"/>
            <wp:docPr id="28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18"/>
                    <pic:cNvPicPr>
                      <a:picLocks noChangeAspect="1"/>
                    </pic:cNvPicPr>
                  </pic:nvPicPr>
                  <pic:blipFill>
                    <a:blip r:embed="rId31"/>
                    <a:stretch>
                      <a:fillRect/>
                    </a:stretch>
                  </pic:blipFill>
                  <pic:spPr>
                    <a:xfrm>
                      <a:off x="0" y="0"/>
                      <a:ext cx="4148455" cy="984885"/>
                    </a:xfrm>
                    <a:prstGeom prst="rect">
                      <a:avLst/>
                    </a:prstGeom>
                    <a:noFill/>
                    <a:ln>
                      <a:noFill/>
                    </a:ln>
                  </pic:spPr>
                </pic:pic>
              </a:graphicData>
            </a:graphic>
          </wp:inline>
        </w:drawing>
      </w:r>
    </w:p>
    <w:p>
      <w:pPr>
        <w:pStyle w:val="9"/>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图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SEQ 图 \* ARABIC </w:instrText>
      </w:r>
      <w:r>
        <w:rPr>
          <w:rFonts w:hint="eastAsia" w:ascii="宋体" w:hAnsi="宋体" w:eastAsia="宋体" w:cs="宋体"/>
          <w:sz w:val="24"/>
          <w:szCs w:val="24"/>
        </w:rPr>
        <w:fldChar w:fldCharType="separate"/>
      </w:r>
      <w:r>
        <w:rPr>
          <w:rFonts w:hint="eastAsia" w:ascii="宋体" w:hAnsi="宋体" w:eastAsia="宋体" w:cs="宋体"/>
          <w:sz w:val="24"/>
          <w:szCs w:val="24"/>
        </w:rPr>
        <w:t>23</w:t>
      </w:r>
      <w:r>
        <w:rPr>
          <w:rFonts w:hint="eastAsia" w:ascii="宋体" w:hAnsi="宋体" w:eastAsia="宋体" w:cs="宋体"/>
          <w:sz w:val="24"/>
          <w:szCs w:val="24"/>
        </w:rPr>
        <w:fldChar w:fldCharType="end"/>
      </w:r>
      <w:r>
        <w:rPr>
          <w:rFonts w:hint="eastAsia" w:ascii="宋体" w:hAnsi="宋体" w:eastAsia="宋体" w:cs="宋体"/>
          <w:sz w:val="24"/>
          <w:szCs w:val="24"/>
        </w:rPr>
        <w:t>载液量相同示意图</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图8中可以看出，由于每次的载液量相同，因此作业时间也相同，每次清洁液耗尽即刻返航，因此各返航点的选取是唯一的，起始点(x0,y0)和(xn,yn)两个点肯定是是恒定不变的，假设将补充清洁液返航需要的速度看做和作业速度 V相等，则总的返航中能量的消耗可以通过中途加装清洁液时从返航点往返起飞点的总路程L</w:t>
      </w:r>
      <w:r>
        <w:rPr>
          <w:rFonts w:hint="eastAsia" w:ascii="宋体" w:hAnsi="宋体" w:eastAsia="宋体" w:cs="宋体"/>
          <w:sz w:val="24"/>
          <w:szCs w:val="24"/>
          <w:vertAlign w:val="subscript"/>
        </w:rPr>
        <w:t>back</w:t>
      </w:r>
      <w:r>
        <w:rPr>
          <w:rFonts w:hint="eastAsia" w:ascii="宋体" w:hAnsi="宋体" w:eastAsia="宋体" w:cs="宋体"/>
          <w:sz w:val="24"/>
          <w:szCs w:val="24"/>
        </w:rPr>
        <w:t>来衡量，如下式所示：</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1823085" cy="348615"/>
            <wp:effectExtent l="0" t="0" r="5715" b="13335"/>
            <wp:docPr id="28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19"/>
                    <pic:cNvPicPr>
                      <a:picLocks noChangeAspect="1"/>
                    </pic:cNvPicPr>
                  </pic:nvPicPr>
                  <pic:blipFill>
                    <a:blip r:embed="rId32"/>
                    <a:stretch>
                      <a:fillRect/>
                    </a:stretch>
                  </pic:blipFill>
                  <pic:spPr>
                    <a:xfrm>
                      <a:off x="0" y="0"/>
                      <a:ext cx="1823085" cy="348615"/>
                    </a:xfrm>
                    <a:prstGeom prst="rect">
                      <a:avLst/>
                    </a:prstGeom>
                    <a:noFill/>
                    <a:ln>
                      <a:noFill/>
                    </a:ln>
                  </pic:spPr>
                </pic:pic>
              </a:graphicData>
            </a:graphic>
          </wp:inline>
        </w:drawing>
      </w:r>
    </w:p>
    <w:p>
      <w:pPr>
        <w:numPr>
          <w:ilvl w:val="0"/>
          <w:numId w:val="14"/>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保证作业的次数 N不变的情况下，每次携带的清洁液不全都一样，即 C</w:t>
      </w:r>
      <w:r>
        <w:rPr>
          <w:rFonts w:hint="eastAsia" w:ascii="宋体" w:hAnsi="宋体" w:eastAsia="宋体" w:cs="宋体"/>
          <w:sz w:val="24"/>
          <w:szCs w:val="24"/>
          <w:vertAlign w:val="subscript"/>
        </w:rPr>
        <w:t>1</w:t>
      </w:r>
      <w:r>
        <w:rPr>
          <w:rFonts w:hint="eastAsia" w:ascii="宋体" w:hAnsi="宋体" w:eastAsia="宋体" w:cs="宋体"/>
          <w:sz w:val="24"/>
          <w:szCs w:val="24"/>
        </w:rPr>
        <w:t>=C</w:t>
      </w:r>
      <w:r>
        <w:rPr>
          <w:rFonts w:hint="eastAsia" w:ascii="宋体" w:hAnsi="宋体" w:eastAsia="宋体" w:cs="宋体"/>
          <w:sz w:val="24"/>
          <w:szCs w:val="24"/>
          <w:vertAlign w:val="subscript"/>
        </w:rPr>
        <w:t>2</w:t>
      </w:r>
      <w:r>
        <w:rPr>
          <w:rFonts w:hint="eastAsia" w:ascii="宋体" w:hAnsi="宋体" w:eastAsia="宋体" w:cs="宋体"/>
          <w:sz w:val="24"/>
          <w:szCs w:val="24"/>
        </w:rPr>
        <w:t>=…=C</w:t>
      </w:r>
      <w:r>
        <w:rPr>
          <w:rFonts w:hint="eastAsia" w:ascii="宋体" w:hAnsi="宋体" w:eastAsia="宋体" w:cs="宋体"/>
          <w:sz w:val="24"/>
          <w:szCs w:val="24"/>
          <w:vertAlign w:val="subscript"/>
        </w:rPr>
        <w:t>n-1</w:t>
      </w:r>
      <w:r>
        <w:rPr>
          <w:rFonts w:hint="eastAsia" w:ascii="宋体" w:hAnsi="宋体" w:eastAsia="宋体" w:cs="宋体"/>
          <w:sz w:val="24"/>
          <w:szCs w:val="24"/>
        </w:rPr>
        <w:t>= Spr *T</w:t>
      </w:r>
      <w:r>
        <w:rPr>
          <w:rFonts w:hint="eastAsia" w:ascii="宋体" w:hAnsi="宋体" w:eastAsia="宋体" w:cs="宋体"/>
          <w:sz w:val="24"/>
          <w:szCs w:val="24"/>
          <w:vertAlign w:val="subscript"/>
        </w:rPr>
        <w:t>液</w:t>
      </w:r>
      <w:r>
        <w:rPr>
          <w:rFonts w:hint="eastAsia" w:ascii="宋体" w:hAnsi="宋体" w:eastAsia="宋体" w:cs="宋体"/>
          <w:sz w:val="24"/>
          <w:szCs w:val="24"/>
        </w:rPr>
        <w:t>，Cn=[T-（N-1）*T</w:t>
      </w:r>
      <w:r>
        <w:rPr>
          <w:rFonts w:hint="eastAsia" w:ascii="宋体" w:hAnsi="宋体" w:eastAsia="宋体" w:cs="宋体"/>
          <w:sz w:val="24"/>
          <w:szCs w:val="24"/>
          <w:vertAlign w:val="subscript"/>
        </w:rPr>
        <w:t>液</w:t>
      </w:r>
      <w:r>
        <w:rPr>
          <w:rFonts w:hint="eastAsia" w:ascii="宋体" w:hAnsi="宋体" w:eastAsia="宋体" w:cs="宋体"/>
          <w:sz w:val="24"/>
          <w:szCs w:val="24"/>
        </w:rPr>
        <w:t>]*Spr，与之相对应的每次需要清洁时间分别为 T</w:t>
      </w:r>
      <w:r>
        <w:rPr>
          <w:rFonts w:hint="eastAsia" w:ascii="宋体" w:hAnsi="宋体" w:eastAsia="宋体" w:cs="宋体"/>
          <w:sz w:val="24"/>
          <w:szCs w:val="24"/>
          <w:vertAlign w:val="subscript"/>
        </w:rPr>
        <w:t>1</w:t>
      </w:r>
      <w:r>
        <w:rPr>
          <w:rFonts w:hint="eastAsia" w:ascii="宋体" w:hAnsi="宋体" w:eastAsia="宋体" w:cs="宋体"/>
          <w:sz w:val="24"/>
          <w:szCs w:val="24"/>
        </w:rPr>
        <w:t>、T</w:t>
      </w:r>
      <w:r>
        <w:rPr>
          <w:rFonts w:hint="eastAsia" w:ascii="宋体" w:hAnsi="宋体" w:eastAsia="宋体" w:cs="宋体"/>
          <w:sz w:val="24"/>
          <w:szCs w:val="24"/>
          <w:vertAlign w:val="subscript"/>
        </w:rPr>
        <w:t>2</w:t>
      </w:r>
      <w:r>
        <w:rPr>
          <w:rFonts w:hint="eastAsia" w:ascii="宋体" w:hAnsi="宋体" w:eastAsia="宋体" w:cs="宋体"/>
          <w:sz w:val="24"/>
          <w:szCs w:val="24"/>
        </w:rPr>
        <w:t>、…T</w:t>
      </w:r>
      <w:r>
        <w:rPr>
          <w:rFonts w:hint="eastAsia" w:ascii="宋体" w:hAnsi="宋体" w:eastAsia="宋体" w:cs="宋体"/>
          <w:sz w:val="24"/>
          <w:szCs w:val="24"/>
          <w:vertAlign w:val="subscript"/>
        </w:rPr>
        <w:t>n-1</w:t>
      </w:r>
      <w:r>
        <w:rPr>
          <w:rFonts w:hint="eastAsia" w:ascii="宋体" w:hAnsi="宋体" w:eastAsia="宋体" w:cs="宋体"/>
          <w:sz w:val="24"/>
          <w:szCs w:val="24"/>
        </w:rPr>
        <w:t>、T</w:t>
      </w:r>
      <w:r>
        <w:rPr>
          <w:rFonts w:hint="eastAsia" w:ascii="宋体" w:hAnsi="宋体" w:eastAsia="宋体" w:cs="宋体"/>
          <w:sz w:val="24"/>
          <w:szCs w:val="24"/>
          <w:vertAlign w:val="subscript"/>
        </w:rPr>
        <w:t>n</w:t>
      </w:r>
      <w:r>
        <w:rPr>
          <w:rFonts w:hint="eastAsia" w:ascii="宋体" w:hAnsi="宋体" w:eastAsia="宋体" w:cs="宋体"/>
          <w:sz w:val="24"/>
          <w:szCs w:val="24"/>
        </w:rPr>
        <w:t>，如图下图所示，其中 T</w:t>
      </w:r>
      <w:r>
        <w:rPr>
          <w:rFonts w:hint="eastAsia" w:ascii="宋体" w:hAnsi="宋体" w:eastAsia="宋体" w:cs="宋体"/>
          <w:sz w:val="24"/>
          <w:szCs w:val="24"/>
          <w:vertAlign w:val="subscript"/>
        </w:rPr>
        <w:t>1</w:t>
      </w:r>
      <w:r>
        <w:rPr>
          <w:rFonts w:hint="eastAsia" w:ascii="宋体" w:hAnsi="宋体" w:eastAsia="宋体" w:cs="宋体"/>
          <w:sz w:val="24"/>
          <w:szCs w:val="24"/>
        </w:rPr>
        <w:t>=T</w:t>
      </w:r>
      <w:r>
        <w:rPr>
          <w:rFonts w:hint="eastAsia" w:ascii="宋体" w:hAnsi="宋体" w:eastAsia="宋体" w:cs="宋体"/>
          <w:sz w:val="24"/>
          <w:szCs w:val="24"/>
          <w:vertAlign w:val="subscript"/>
        </w:rPr>
        <w:t>2</w:t>
      </w:r>
      <w:r>
        <w:rPr>
          <w:rFonts w:hint="eastAsia" w:ascii="宋体" w:hAnsi="宋体" w:eastAsia="宋体" w:cs="宋体"/>
          <w:sz w:val="24"/>
          <w:szCs w:val="24"/>
        </w:rPr>
        <w:t>=…=T</w:t>
      </w:r>
      <w:r>
        <w:rPr>
          <w:rFonts w:hint="eastAsia" w:ascii="宋体" w:hAnsi="宋体" w:eastAsia="宋体" w:cs="宋体"/>
          <w:sz w:val="24"/>
          <w:szCs w:val="24"/>
          <w:vertAlign w:val="subscript"/>
        </w:rPr>
        <w:t>n-1</w:t>
      </w:r>
      <w:r>
        <w:rPr>
          <w:rFonts w:hint="eastAsia" w:ascii="宋体" w:hAnsi="宋体" w:eastAsia="宋体" w:cs="宋体"/>
          <w:sz w:val="24"/>
          <w:szCs w:val="24"/>
        </w:rPr>
        <w:t>=T</w:t>
      </w:r>
      <w:r>
        <w:rPr>
          <w:rFonts w:hint="eastAsia" w:ascii="宋体" w:hAnsi="宋体" w:eastAsia="宋体" w:cs="宋体"/>
          <w:sz w:val="24"/>
          <w:szCs w:val="24"/>
          <w:vertAlign w:val="subscript"/>
        </w:rPr>
        <w:t>液</w:t>
      </w:r>
      <w:r>
        <w:rPr>
          <w:rFonts w:hint="eastAsia" w:ascii="宋体" w:hAnsi="宋体" w:eastAsia="宋体" w:cs="宋体"/>
          <w:sz w:val="24"/>
          <w:szCs w:val="24"/>
        </w:rPr>
        <w:t>，T</w:t>
      </w:r>
      <w:r>
        <w:rPr>
          <w:rFonts w:hint="eastAsia" w:ascii="宋体" w:hAnsi="宋体" w:eastAsia="宋体" w:cs="宋体"/>
          <w:sz w:val="24"/>
          <w:szCs w:val="24"/>
          <w:vertAlign w:val="subscript"/>
        </w:rPr>
        <w:t>n&lt;</w:t>
      </w:r>
      <w:r>
        <w:rPr>
          <w:rFonts w:hint="eastAsia" w:ascii="宋体" w:hAnsi="宋体" w:eastAsia="宋体" w:cs="宋体"/>
          <w:sz w:val="24"/>
          <w:szCs w:val="24"/>
        </w:rPr>
        <w:t>T</w:t>
      </w:r>
      <w:r>
        <w:rPr>
          <w:rFonts w:hint="eastAsia" w:ascii="宋体" w:hAnsi="宋体" w:eastAsia="宋体" w:cs="宋体"/>
          <w:sz w:val="24"/>
          <w:szCs w:val="24"/>
          <w:vertAlign w:val="subscript"/>
        </w:rPr>
        <w:t>液：</w:t>
      </w:r>
    </w:p>
    <w:p>
      <w:pPr>
        <w:pStyle w:val="22"/>
        <w:numPr>
          <w:ilvl w:val="255"/>
          <w:numId w:val="0"/>
        </w:numPr>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4275455" cy="1030605"/>
            <wp:effectExtent l="0" t="0" r="10795" b="17145"/>
            <wp:docPr id="28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20"/>
                    <pic:cNvPicPr>
                      <a:picLocks noChangeAspect="1"/>
                    </pic:cNvPicPr>
                  </pic:nvPicPr>
                  <pic:blipFill>
                    <a:blip r:embed="rId33"/>
                    <a:stretch>
                      <a:fillRect/>
                    </a:stretch>
                  </pic:blipFill>
                  <pic:spPr>
                    <a:xfrm>
                      <a:off x="0" y="0"/>
                      <a:ext cx="4275455" cy="1030605"/>
                    </a:xfrm>
                    <a:prstGeom prst="rect">
                      <a:avLst/>
                    </a:prstGeom>
                    <a:noFill/>
                    <a:ln>
                      <a:noFill/>
                    </a:ln>
                  </pic:spPr>
                </pic:pic>
              </a:graphicData>
            </a:graphic>
          </wp:inline>
        </w:drawing>
      </w:r>
    </w:p>
    <w:p>
      <w:pPr>
        <w:pStyle w:val="9"/>
        <w:numPr>
          <w:ilvl w:val="255"/>
          <w:numId w:val="0"/>
        </w:numPr>
        <w:rPr>
          <w:rFonts w:hint="eastAsia" w:ascii="宋体" w:hAnsi="宋体" w:eastAsia="宋体" w:cs="宋体"/>
          <w:sz w:val="24"/>
          <w:szCs w:val="24"/>
        </w:rPr>
      </w:pPr>
      <w:r>
        <w:rPr>
          <w:rFonts w:hint="eastAsia" w:ascii="宋体" w:hAnsi="宋体" w:eastAsia="宋体" w:cs="宋体"/>
          <w:sz w:val="24"/>
          <w:szCs w:val="24"/>
        </w:rPr>
        <w:t xml:space="preserve">图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SEQ 图 \* ARABIC </w:instrText>
      </w:r>
      <w:r>
        <w:rPr>
          <w:rFonts w:hint="eastAsia" w:ascii="宋体" w:hAnsi="宋体" w:eastAsia="宋体" w:cs="宋体"/>
          <w:sz w:val="24"/>
          <w:szCs w:val="24"/>
        </w:rPr>
        <w:fldChar w:fldCharType="separate"/>
      </w:r>
      <w:r>
        <w:rPr>
          <w:rFonts w:hint="eastAsia" w:ascii="宋体" w:hAnsi="宋体" w:eastAsia="宋体" w:cs="宋体"/>
          <w:sz w:val="24"/>
          <w:szCs w:val="24"/>
        </w:rPr>
        <w:t>24</w:t>
      </w:r>
      <w:r>
        <w:rPr>
          <w:rFonts w:hint="eastAsia" w:ascii="宋体" w:hAnsi="宋体" w:eastAsia="宋体" w:cs="宋体"/>
          <w:sz w:val="24"/>
          <w:szCs w:val="24"/>
        </w:rPr>
        <w:fldChar w:fldCharType="end"/>
      </w:r>
      <w:r>
        <w:rPr>
          <w:rFonts w:hint="eastAsia" w:ascii="宋体" w:hAnsi="宋体" w:eastAsia="宋体" w:cs="宋体"/>
          <w:sz w:val="24"/>
          <w:szCs w:val="24"/>
        </w:rPr>
        <w:t>载液量不同示意图</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在满足最少架次N-1的条件下，可以有多种返航点选取方案，因为对应T</w:t>
      </w:r>
      <w:r>
        <w:rPr>
          <w:rFonts w:hint="eastAsia" w:ascii="宋体" w:hAnsi="宋体" w:eastAsia="宋体" w:cs="宋体"/>
          <w:sz w:val="24"/>
          <w:szCs w:val="24"/>
          <w:vertAlign w:val="subscript"/>
        </w:rPr>
        <w:t>n</w:t>
      </w:r>
      <w:r>
        <w:rPr>
          <w:rFonts w:hint="eastAsia" w:ascii="宋体" w:hAnsi="宋体" w:eastAsia="宋体" w:cs="宋体"/>
          <w:sz w:val="24"/>
          <w:szCs w:val="24"/>
        </w:rPr>
        <w:t>那架次的空中机器人可以在(x</w:t>
      </w:r>
      <w:r>
        <w:rPr>
          <w:rFonts w:hint="eastAsia" w:ascii="宋体" w:hAnsi="宋体" w:eastAsia="宋体" w:cs="宋体"/>
          <w:sz w:val="24"/>
          <w:szCs w:val="24"/>
          <w:vertAlign w:val="subscript"/>
        </w:rPr>
        <w:t>0</w:t>
      </w:r>
      <w:r>
        <w:rPr>
          <w:rFonts w:hint="eastAsia" w:ascii="宋体" w:hAnsi="宋体" w:eastAsia="宋体" w:cs="宋体"/>
          <w:sz w:val="24"/>
          <w:szCs w:val="24"/>
        </w:rPr>
        <w:t>,y</w:t>
      </w:r>
      <w:r>
        <w:rPr>
          <w:rFonts w:hint="eastAsia" w:ascii="宋体" w:hAnsi="宋体" w:eastAsia="宋体" w:cs="宋体"/>
          <w:sz w:val="24"/>
          <w:szCs w:val="24"/>
          <w:vertAlign w:val="subscript"/>
        </w:rPr>
        <w:t>0</w:t>
      </w:r>
      <w:r>
        <w:rPr>
          <w:rFonts w:hint="eastAsia" w:ascii="宋体" w:hAnsi="宋体" w:eastAsia="宋体" w:cs="宋体"/>
          <w:sz w:val="24"/>
          <w:szCs w:val="24"/>
        </w:rPr>
        <w:t>)到(x</w:t>
      </w:r>
      <w:r>
        <w:rPr>
          <w:rFonts w:hint="eastAsia" w:ascii="宋体" w:hAnsi="宋体" w:eastAsia="宋体" w:cs="宋体"/>
          <w:sz w:val="24"/>
          <w:szCs w:val="24"/>
          <w:vertAlign w:val="subscript"/>
        </w:rPr>
        <w:t>n</w:t>
      </w:r>
      <w:r>
        <w:rPr>
          <w:rFonts w:hint="eastAsia" w:ascii="宋体" w:hAnsi="宋体" w:eastAsia="宋体" w:cs="宋体"/>
          <w:sz w:val="24"/>
          <w:szCs w:val="24"/>
        </w:rPr>
        <w:t>,y</w:t>
      </w:r>
      <w:r>
        <w:rPr>
          <w:rFonts w:hint="eastAsia" w:ascii="宋体" w:hAnsi="宋体" w:eastAsia="宋体" w:cs="宋体"/>
          <w:sz w:val="24"/>
          <w:szCs w:val="24"/>
          <w:vertAlign w:val="subscript"/>
        </w:rPr>
        <w:t>n</w:t>
      </w:r>
      <w:r>
        <w:rPr>
          <w:rFonts w:hint="eastAsia" w:ascii="宋体" w:hAnsi="宋体" w:eastAsia="宋体" w:cs="宋体"/>
          <w:sz w:val="24"/>
          <w:szCs w:val="24"/>
        </w:rPr>
        <w:t>)之间的任意相邻点间出现，因此可以得到多个不同返航点的总路程L</w:t>
      </w:r>
      <w:r>
        <w:rPr>
          <w:rFonts w:hint="eastAsia" w:ascii="宋体" w:hAnsi="宋体" w:eastAsia="宋体" w:cs="宋体"/>
          <w:sz w:val="24"/>
          <w:szCs w:val="24"/>
          <w:vertAlign w:val="subscript"/>
        </w:rPr>
        <w:t>back</w:t>
      </w:r>
      <w:r>
        <w:rPr>
          <w:rFonts w:hint="eastAsia" w:ascii="宋体" w:hAnsi="宋体" w:eastAsia="宋体" w:cs="宋体"/>
          <w:sz w:val="24"/>
          <w:szCs w:val="24"/>
        </w:rPr>
        <w:t>的值，设T</w:t>
      </w:r>
      <w:r>
        <w:rPr>
          <w:rFonts w:hint="eastAsia" w:ascii="宋体" w:hAnsi="宋体" w:eastAsia="宋体" w:cs="宋体"/>
          <w:sz w:val="24"/>
          <w:szCs w:val="24"/>
          <w:vertAlign w:val="subscript"/>
        </w:rPr>
        <w:t>n</w:t>
      </w:r>
      <w:r>
        <w:rPr>
          <w:rFonts w:hint="eastAsia" w:ascii="宋体" w:hAnsi="宋体" w:eastAsia="宋体" w:cs="宋体"/>
          <w:sz w:val="24"/>
          <w:szCs w:val="24"/>
        </w:rPr>
        <w:t>置于(x</w:t>
      </w:r>
      <w:r>
        <w:rPr>
          <w:rFonts w:hint="eastAsia" w:ascii="宋体" w:hAnsi="宋体" w:eastAsia="宋体" w:cs="宋体"/>
          <w:sz w:val="24"/>
          <w:szCs w:val="24"/>
          <w:vertAlign w:val="subscript"/>
        </w:rPr>
        <w:t>0</w:t>
      </w:r>
      <w:r>
        <w:rPr>
          <w:rFonts w:hint="eastAsia" w:ascii="宋体" w:hAnsi="宋体" w:eastAsia="宋体" w:cs="宋体"/>
          <w:sz w:val="24"/>
          <w:szCs w:val="24"/>
        </w:rPr>
        <w:t>,y</w:t>
      </w:r>
      <w:r>
        <w:rPr>
          <w:rFonts w:hint="eastAsia" w:ascii="宋体" w:hAnsi="宋体" w:eastAsia="宋体" w:cs="宋体"/>
          <w:sz w:val="24"/>
          <w:szCs w:val="24"/>
          <w:vertAlign w:val="subscript"/>
        </w:rPr>
        <w:t>0</w:t>
      </w:r>
      <w:r>
        <w:rPr>
          <w:rFonts w:hint="eastAsia" w:ascii="宋体" w:hAnsi="宋体" w:eastAsia="宋体" w:cs="宋体"/>
          <w:sz w:val="24"/>
          <w:szCs w:val="24"/>
        </w:rPr>
        <w:t>) (x</w:t>
      </w:r>
      <w:r>
        <w:rPr>
          <w:rFonts w:hint="eastAsia" w:ascii="宋体" w:hAnsi="宋体" w:eastAsia="宋体" w:cs="宋体"/>
          <w:sz w:val="24"/>
          <w:szCs w:val="24"/>
          <w:vertAlign w:val="subscript"/>
        </w:rPr>
        <w:t>1</w:t>
      </w:r>
      <w:r>
        <w:rPr>
          <w:rFonts w:hint="eastAsia" w:ascii="宋体" w:hAnsi="宋体" w:eastAsia="宋体" w:cs="宋体"/>
          <w:sz w:val="24"/>
          <w:szCs w:val="24"/>
        </w:rPr>
        <w:t>,y</w:t>
      </w:r>
      <w:r>
        <w:rPr>
          <w:rFonts w:hint="eastAsia" w:ascii="宋体" w:hAnsi="宋体" w:eastAsia="宋体" w:cs="宋体"/>
          <w:sz w:val="24"/>
          <w:szCs w:val="24"/>
          <w:vertAlign w:val="subscript"/>
        </w:rPr>
        <w:t>1</w:t>
      </w:r>
      <w:r>
        <w:rPr>
          <w:rFonts w:hint="eastAsia" w:ascii="宋体" w:hAnsi="宋体" w:eastAsia="宋体" w:cs="宋体"/>
          <w:sz w:val="24"/>
          <w:szCs w:val="24"/>
        </w:rPr>
        <w:t>)之间时，经过规划得到的返航点往返起飞点的总路程为L</w:t>
      </w:r>
      <w:r>
        <w:rPr>
          <w:rFonts w:hint="eastAsia" w:ascii="宋体" w:hAnsi="宋体" w:eastAsia="宋体" w:cs="宋体"/>
          <w:sz w:val="24"/>
          <w:szCs w:val="24"/>
          <w:vertAlign w:val="subscript"/>
        </w:rPr>
        <w:t>back1</w:t>
      </w:r>
      <w:r>
        <w:rPr>
          <w:rFonts w:hint="eastAsia" w:ascii="宋体" w:hAnsi="宋体" w:eastAsia="宋体" w:cs="宋体"/>
          <w:sz w:val="24"/>
          <w:szCs w:val="24"/>
        </w:rPr>
        <w:t>，置于(x</w:t>
      </w:r>
      <w:r>
        <w:rPr>
          <w:rFonts w:hint="eastAsia" w:ascii="宋体" w:hAnsi="宋体" w:eastAsia="宋体" w:cs="宋体"/>
          <w:sz w:val="24"/>
          <w:szCs w:val="24"/>
          <w:vertAlign w:val="subscript"/>
        </w:rPr>
        <w:t>1</w:t>
      </w:r>
      <w:r>
        <w:rPr>
          <w:rFonts w:hint="eastAsia" w:ascii="宋体" w:hAnsi="宋体" w:eastAsia="宋体" w:cs="宋体"/>
          <w:sz w:val="24"/>
          <w:szCs w:val="24"/>
        </w:rPr>
        <w:t>,y</w:t>
      </w:r>
      <w:r>
        <w:rPr>
          <w:rFonts w:hint="eastAsia" w:ascii="宋体" w:hAnsi="宋体" w:eastAsia="宋体" w:cs="宋体"/>
          <w:sz w:val="24"/>
          <w:szCs w:val="24"/>
          <w:vertAlign w:val="subscript"/>
        </w:rPr>
        <w:t>1</w:t>
      </w:r>
      <w:r>
        <w:rPr>
          <w:rFonts w:hint="eastAsia" w:ascii="宋体" w:hAnsi="宋体" w:eastAsia="宋体" w:cs="宋体"/>
          <w:sz w:val="24"/>
          <w:szCs w:val="24"/>
        </w:rPr>
        <w:t>) (x</w:t>
      </w:r>
      <w:r>
        <w:rPr>
          <w:rFonts w:hint="eastAsia" w:ascii="宋体" w:hAnsi="宋体" w:eastAsia="宋体" w:cs="宋体"/>
          <w:sz w:val="24"/>
          <w:szCs w:val="24"/>
          <w:vertAlign w:val="subscript"/>
        </w:rPr>
        <w:t>2</w:t>
      </w:r>
      <w:r>
        <w:rPr>
          <w:rFonts w:hint="eastAsia" w:ascii="宋体" w:hAnsi="宋体" w:eastAsia="宋体" w:cs="宋体"/>
          <w:sz w:val="24"/>
          <w:szCs w:val="24"/>
        </w:rPr>
        <w:t>,y</w:t>
      </w:r>
      <w:r>
        <w:rPr>
          <w:rFonts w:hint="eastAsia" w:ascii="宋体" w:hAnsi="宋体" w:eastAsia="宋体" w:cs="宋体"/>
          <w:sz w:val="24"/>
          <w:szCs w:val="24"/>
          <w:vertAlign w:val="subscript"/>
        </w:rPr>
        <w:t>2</w:t>
      </w:r>
      <w:r>
        <w:rPr>
          <w:rFonts w:hint="eastAsia" w:ascii="宋体" w:hAnsi="宋体" w:eastAsia="宋体" w:cs="宋体"/>
          <w:sz w:val="24"/>
          <w:szCs w:val="24"/>
        </w:rPr>
        <w:t>)之间时为L</w:t>
      </w:r>
      <w:r>
        <w:rPr>
          <w:rFonts w:hint="eastAsia" w:ascii="宋体" w:hAnsi="宋体" w:eastAsia="宋体" w:cs="宋体"/>
          <w:sz w:val="24"/>
          <w:szCs w:val="24"/>
          <w:vertAlign w:val="subscript"/>
        </w:rPr>
        <w:t>back2</w:t>
      </w:r>
      <w:r>
        <w:rPr>
          <w:rFonts w:hint="eastAsia" w:ascii="宋体" w:hAnsi="宋体" w:eastAsia="宋体" w:cs="宋体"/>
          <w:sz w:val="24"/>
          <w:szCs w:val="24"/>
        </w:rPr>
        <w:t>，……，以此类推置于(</w:t>
      </w:r>
      <w:r>
        <w:rPr>
          <w:rFonts w:hint="eastAsia" w:ascii="宋体" w:hAnsi="宋体" w:eastAsia="宋体" w:cs="宋体"/>
          <w:sz w:val="24"/>
          <w:szCs w:val="24"/>
          <w:vertAlign w:val="subscript"/>
        </w:rPr>
        <w:t>xn-1</w:t>
      </w:r>
      <w:r>
        <w:rPr>
          <w:rFonts w:hint="eastAsia" w:ascii="宋体" w:hAnsi="宋体" w:eastAsia="宋体" w:cs="宋体"/>
          <w:sz w:val="24"/>
          <w:szCs w:val="24"/>
        </w:rPr>
        <w:t>,y</w:t>
      </w:r>
      <w:r>
        <w:rPr>
          <w:rFonts w:hint="eastAsia" w:ascii="宋体" w:hAnsi="宋体" w:eastAsia="宋体" w:cs="宋体"/>
          <w:sz w:val="24"/>
          <w:szCs w:val="24"/>
          <w:vertAlign w:val="subscript"/>
        </w:rPr>
        <w:t>n-1</w:t>
      </w:r>
      <w:r>
        <w:rPr>
          <w:rFonts w:hint="eastAsia" w:ascii="宋体" w:hAnsi="宋体" w:eastAsia="宋体" w:cs="宋体"/>
          <w:sz w:val="24"/>
          <w:szCs w:val="24"/>
        </w:rPr>
        <w:t>) (x</w:t>
      </w:r>
      <w:r>
        <w:rPr>
          <w:rFonts w:hint="eastAsia" w:ascii="宋体" w:hAnsi="宋体" w:eastAsia="宋体" w:cs="宋体"/>
          <w:sz w:val="24"/>
          <w:szCs w:val="24"/>
          <w:vertAlign w:val="subscript"/>
        </w:rPr>
        <w:t>n</w:t>
      </w:r>
      <w:r>
        <w:rPr>
          <w:rFonts w:hint="eastAsia" w:ascii="宋体" w:hAnsi="宋体" w:eastAsia="宋体" w:cs="宋体"/>
          <w:sz w:val="24"/>
          <w:szCs w:val="24"/>
        </w:rPr>
        <w:t>,y</w:t>
      </w:r>
      <w:r>
        <w:rPr>
          <w:rFonts w:hint="eastAsia" w:ascii="宋体" w:hAnsi="宋体" w:eastAsia="宋体" w:cs="宋体"/>
          <w:sz w:val="24"/>
          <w:szCs w:val="24"/>
          <w:vertAlign w:val="subscript"/>
        </w:rPr>
        <w:t>n</w:t>
      </w:r>
      <w:r>
        <w:rPr>
          <w:rFonts w:hint="eastAsia" w:ascii="宋体" w:hAnsi="宋体" w:eastAsia="宋体" w:cs="宋体"/>
          <w:sz w:val="24"/>
          <w:szCs w:val="24"/>
        </w:rPr>
        <w:t>)之间时为L</w:t>
      </w:r>
      <w:r>
        <w:rPr>
          <w:rFonts w:hint="eastAsia" w:ascii="宋体" w:hAnsi="宋体" w:eastAsia="宋体" w:cs="宋体"/>
          <w:sz w:val="24"/>
          <w:szCs w:val="24"/>
          <w:vertAlign w:val="subscript"/>
        </w:rPr>
        <w:t>backn</w:t>
      </w:r>
      <w:r>
        <w:rPr>
          <w:rFonts w:hint="eastAsia" w:ascii="宋体" w:hAnsi="宋体" w:eastAsia="宋体" w:cs="宋体"/>
          <w:sz w:val="24"/>
          <w:szCs w:val="24"/>
        </w:rPr>
        <w:t>。</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设前面经过等清洁剂量规划得到的返航点往返起飞点的总路程为L</w:t>
      </w:r>
      <w:r>
        <w:rPr>
          <w:rFonts w:hint="eastAsia" w:ascii="宋体" w:hAnsi="宋体" w:eastAsia="宋体" w:cs="宋体"/>
          <w:sz w:val="24"/>
          <w:szCs w:val="24"/>
          <w:vertAlign w:val="subscript"/>
        </w:rPr>
        <w:t>back0</w:t>
      </w:r>
      <w:r>
        <w:rPr>
          <w:rFonts w:hint="eastAsia" w:ascii="宋体" w:hAnsi="宋体" w:eastAsia="宋体" w:cs="宋体"/>
          <w:sz w:val="24"/>
          <w:szCs w:val="24"/>
        </w:rPr>
        <w:t>，则经过路径规划的最优解实质上就是得到返航点往返起飞点的总路程的最小解 L</w:t>
      </w:r>
      <w:r>
        <w:rPr>
          <w:rFonts w:hint="eastAsia" w:ascii="宋体" w:hAnsi="宋体" w:eastAsia="宋体" w:cs="宋体"/>
          <w:sz w:val="24"/>
          <w:szCs w:val="24"/>
          <w:vertAlign w:val="subscript"/>
        </w:rPr>
        <w:t>min</w:t>
      </w:r>
      <w:r>
        <w:rPr>
          <w:rFonts w:hint="eastAsia" w:ascii="宋体" w:hAnsi="宋体" w:eastAsia="宋体" w:cs="宋体"/>
          <w:sz w:val="24"/>
          <w:szCs w:val="24"/>
        </w:rPr>
        <w:t>=min{ L</w:t>
      </w:r>
      <w:r>
        <w:rPr>
          <w:rFonts w:hint="eastAsia" w:ascii="宋体" w:hAnsi="宋体" w:eastAsia="宋体" w:cs="宋体"/>
          <w:sz w:val="24"/>
          <w:szCs w:val="24"/>
          <w:vertAlign w:val="subscript"/>
        </w:rPr>
        <w:t>back0</w:t>
      </w:r>
      <w:r>
        <w:rPr>
          <w:rFonts w:hint="eastAsia" w:ascii="宋体" w:hAnsi="宋体" w:eastAsia="宋体" w:cs="宋体"/>
          <w:sz w:val="24"/>
          <w:szCs w:val="24"/>
        </w:rPr>
        <w:t>， L</w:t>
      </w:r>
      <w:r>
        <w:rPr>
          <w:rFonts w:hint="eastAsia" w:ascii="宋体" w:hAnsi="宋体" w:eastAsia="宋体" w:cs="宋体"/>
          <w:sz w:val="24"/>
          <w:szCs w:val="24"/>
          <w:vertAlign w:val="subscript"/>
        </w:rPr>
        <w:t>back1</w:t>
      </w:r>
      <w:r>
        <w:rPr>
          <w:rFonts w:hint="eastAsia" w:ascii="宋体" w:hAnsi="宋体" w:eastAsia="宋体" w:cs="宋体"/>
          <w:sz w:val="24"/>
          <w:szCs w:val="24"/>
        </w:rPr>
        <w:t>，L</w:t>
      </w:r>
      <w:r>
        <w:rPr>
          <w:rFonts w:hint="eastAsia" w:ascii="宋体" w:hAnsi="宋体" w:eastAsia="宋体" w:cs="宋体"/>
          <w:sz w:val="24"/>
          <w:szCs w:val="24"/>
          <w:vertAlign w:val="subscript"/>
        </w:rPr>
        <w:t>back2</w:t>
      </w:r>
      <w:r>
        <w:rPr>
          <w:rFonts w:hint="eastAsia" w:ascii="宋体" w:hAnsi="宋体" w:eastAsia="宋体" w:cs="宋体"/>
          <w:sz w:val="24"/>
          <w:szCs w:val="24"/>
        </w:rPr>
        <w:t>，…，L</w:t>
      </w:r>
      <w:r>
        <w:rPr>
          <w:rFonts w:hint="eastAsia" w:ascii="宋体" w:hAnsi="宋体" w:eastAsia="宋体" w:cs="宋体"/>
          <w:sz w:val="24"/>
          <w:szCs w:val="24"/>
          <w:vertAlign w:val="subscript"/>
        </w:rPr>
        <w:t>backn</w:t>
      </w:r>
      <w:r>
        <w:rPr>
          <w:rFonts w:hint="eastAsia" w:ascii="宋体" w:hAnsi="宋体" w:eastAsia="宋体" w:cs="宋体"/>
          <w:sz w:val="24"/>
          <w:szCs w:val="24"/>
        </w:rPr>
        <w:t>}。如果空中机器人仅仅考虑到清洁工作的时间来进行路径规划的话，可以知道返航点肯定是在点集{(x,y ) ∈ P</w:t>
      </w:r>
      <w:r>
        <w:rPr>
          <w:rFonts w:hint="eastAsia" w:ascii="宋体" w:hAnsi="宋体" w:eastAsia="宋体" w:cs="宋体"/>
          <w:sz w:val="24"/>
          <w:szCs w:val="24"/>
          <w:vertAlign w:val="subscript"/>
        </w:rPr>
        <w:t>4k</w:t>
      </w:r>
      <w:r>
        <w:rPr>
          <w:rFonts w:hint="eastAsia" w:ascii="宋体" w:hAnsi="宋体" w:eastAsia="宋体" w:cs="宋体"/>
          <w:sz w:val="24"/>
          <w:szCs w:val="24"/>
        </w:rPr>
        <w:t xml:space="preserve">  P</w:t>
      </w:r>
      <w:r>
        <w:rPr>
          <w:rFonts w:hint="eastAsia" w:ascii="宋体" w:hAnsi="宋体" w:eastAsia="宋体" w:cs="宋体"/>
          <w:sz w:val="24"/>
          <w:szCs w:val="24"/>
          <w:vertAlign w:val="subscript"/>
        </w:rPr>
        <w:t>4k +2</w:t>
      </w:r>
      <w:r>
        <w:rPr>
          <w:rFonts w:hint="eastAsia" w:ascii="宋体" w:hAnsi="宋体" w:eastAsia="宋体" w:cs="宋体"/>
          <w:sz w:val="24"/>
          <w:szCs w:val="24"/>
        </w:rPr>
        <w:t xml:space="preserve"> ,k ∈ Z }上。</w:t>
      </w:r>
    </w:p>
    <w:p>
      <w:pPr>
        <w:spacing w:line="360" w:lineRule="auto"/>
        <w:ind w:firstLine="480" w:firstLineChars="200"/>
        <w:rPr>
          <w:rFonts w:hint="eastAsia" w:ascii="宋体" w:hAnsi="宋体" w:cs="宋体"/>
          <w:sz w:val="24"/>
          <w:szCs w:val="24"/>
          <w:lang w:eastAsia="zh-CN"/>
        </w:rPr>
      </w:pPr>
      <w:r>
        <w:rPr>
          <w:rFonts w:hint="eastAsia" w:ascii="宋体" w:hAnsi="宋体" w:eastAsia="宋体" w:cs="宋体"/>
          <w:sz w:val="24"/>
          <w:szCs w:val="24"/>
        </w:rPr>
        <w:t>实际飞行作业中，如果地块面积大一点的话，一块电池或许不够用，因此还需要考虑到更换电池的返航点。但是如果考虑了更换电池的返航，当电池接近没电的时候，进行返航，然后在此期间再进行清洁作业架次的规划的话，势必增加了系统的运算量，增加系统计算负载，对控制系统的实时性也将产生影响；并且飞行作业中电池电量用完需要更换电池的时候，空中机器人机载的清洁剂不一定正好用完，这样进行往返的话，必将增加空中机器人的能耗；那么也必然将增加飞机的返航架次。因此需提出一 种解决方案，减少返航次数，减少清洁机器人的能耗。 拟采用提出一种就近原则，将电池更换返航和补充清洁液过程的返航合并成一次，也就是说，在某一次加载清洁剂的过程中进行更换电池</w:t>
      </w:r>
      <w:r>
        <w:rPr>
          <w:rFonts w:hint="eastAsia" w:ascii="宋体" w:hAnsi="宋体" w:cs="宋体"/>
          <w:sz w:val="24"/>
          <w:szCs w:val="24"/>
          <w:lang w:eastAsia="zh-CN"/>
        </w:rPr>
        <w:t>。</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空中机器人正常飞行用完一块电池的返航点；标线的位置表示进行规划完毕后用于加装清洁剂的返航点；表示通过计算得到坐标后经过判断，将其点坐标移至上一个补充清洁液返航点，为达到最优规划，需要在每次返航后在起飞点起飞前进行剩余电量判断，根据规划的最优路径的飞机的架次顺序，判断剩余电量是否足够下一架次清洁机器人作业完毕返航所需的电量。设 (x</w:t>
      </w:r>
      <w:r>
        <w:rPr>
          <w:rFonts w:hint="eastAsia" w:ascii="宋体" w:hAnsi="宋体" w:eastAsia="宋体" w:cs="宋体"/>
          <w:sz w:val="24"/>
          <w:szCs w:val="24"/>
          <w:vertAlign w:val="subscript"/>
        </w:rPr>
        <w:t>i</w:t>
      </w:r>
      <w:r>
        <w:rPr>
          <w:rFonts w:hint="eastAsia" w:ascii="宋体" w:hAnsi="宋体" w:eastAsia="宋体" w:cs="宋体"/>
          <w:sz w:val="24"/>
          <w:szCs w:val="24"/>
        </w:rPr>
        <w:t>,y</w:t>
      </w:r>
      <w:r>
        <w:rPr>
          <w:rFonts w:hint="eastAsia" w:ascii="宋体" w:hAnsi="宋体" w:eastAsia="宋体" w:cs="宋体"/>
          <w:sz w:val="24"/>
          <w:szCs w:val="24"/>
          <w:vertAlign w:val="subscript"/>
        </w:rPr>
        <w:t>i</w:t>
      </w:r>
      <w:r>
        <w:rPr>
          <w:rFonts w:hint="eastAsia" w:ascii="宋体" w:hAnsi="宋体" w:eastAsia="宋体" w:cs="宋体"/>
          <w:sz w:val="24"/>
          <w:szCs w:val="24"/>
        </w:rPr>
        <w:t>)和(x</w:t>
      </w:r>
      <w:r>
        <w:rPr>
          <w:rFonts w:hint="eastAsia" w:ascii="宋体" w:hAnsi="宋体" w:eastAsia="宋体" w:cs="宋体"/>
          <w:sz w:val="24"/>
          <w:szCs w:val="24"/>
          <w:vertAlign w:val="subscript"/>
        </w:rPr>
        <w:t>i+1</w:t>
      </w:r>
      <w:r>
        <w:rPr>
          <w:rFonts w:hint="eastAsia" w:ascii="宋体" w:hAnsi="宋体" w:eastAsia="宋体" w:cs="宋体"/>
          <w:sz w:val="24"/>
          <w:szCs w:val="24"/>
        </w:rPr>
        <w:t>,y</w:t>
      </w:r>
      <w:r>
        <w:rPr>
          <w:rFonts w:hint="eastAsia" w:ascii="宋体" w:hAnsi="宋体" w:eastAsia="宋体" w:cs="宋体"/>
          <w:sz w:val="24"/>
          <w:szCs w:val="24"/>
          <w:vertAlign w:val="subscript"/>
        </w:rPr>
        <w:t>i+1</w:t>
      </w:r>
      <w:r>
        <w:rPr>
          <w:rFonts w:hint="eastAsia" w:ascii="宋体" w:hAnsi="宋体" w:eastAsia="宋体" w:cs="宋体"/>
          <w:sz w:val="24"/>
          <w:szCs w:val="24"/>
        </w:rPr>
        <w:t>)为空中机器人清洁后的相邻两个返航点，从 点(x</w:t>
      </w:r>
      <w:r>
        <w:rPr>
          <w:rFonts w:hint="eastAsia" w:ascii="宋体" w:hAnsi="宋体" w:eastAsia="宋体" w:cs="宋体"/>
          <w:sz w:val="24"/>
          <w:szCs w:val="24"/>
          <w:vertAlign w:val="subscript"/>
        </w:rPr>
        <w:t>i</w:t>
      </w:r>
      <w:r>
        <w:rPr>
          <w:rFonts w:hint="eastAsia" w:ascii="宋体" w:hAnsi="宋体" w:eastAsia="宋体" w:cs="宋体"/>
          <w:sz w:val="24"/>
          <w:szCs w:val="24"/>
        </w:rPr>
        <w:t>,y</w:t>
      </w:r>
      <w:r>
        <w:rPr>
          <w:rFonts w:hint="eastAsia" w:ascii="宋体" w:hAnsi="宋体" w:eastAsia="宋体" w:cs="宋体"/>
          <w:sz w:val="24"/>
          <w:szCs w:val="24"/>
          <w:vertAlign w:val="subscript"/>
        </w:rPr>
        <w:t>i</w:t>
      </w:r>
      <w:r>
        <w:rPr>
          <w:rFonts w:hint="eastAsia" w:ascii="宋体" w:hAnsi="宋体" w:eastAsia="宋体" w:cs="宋体"/>
          <w:sz w:val="24"/>
          <w:szCs w:val="24"/>
        </w:rPr>
        <w:t>)返回起始点后对飞机的剩余电量进行判断，下一次作业所需要飞行时间为T</w:t>
      </w:r>
      <w:bookmarkStart w:id="65" w:name="OLE_LINK9"/>
      <w:r>
        <w:rPr>
          <w:rFonts w:hint="eastAsia" w:ascii="宋体" w:hAnsi="宋体" w:eastAsia="宋体" w:cs="宋体"/>
          <w:sz w:val="24"/>
          <w:szCs w:val="24"/>
          <w:vertAlign w:val="subscript"/>
        </w:rPr>
        <w:t>pnex</w:t>
      </w:r>
      <w:bookmarkEnd w:id="65"/>
      <w:r>
        <w:rPr>
          <w:rFonts w:hint="eastAsia" w:ascii="宋体" w:hAnsi="宋体" w:eastAsia="宋体" w:cs="宋体"/>
          <w:sz w:val="24"/>
          <w:szCs w:val="24"/>
        </w:rPr>
        <w:t>t，设 T</w:t>
      </w:r>
      <w:r>
        <w:rPr>
          <w:rFonts w:hint="eastAsia" w:ascii="宋体" w:hAnsi="宋体" w:eastAsia="宋体" w:cs="宋体"/>
          <w:sz w:val="24"/>
          <w:szCs w:val="24"/>
          <w:vertAlign w:val="subscript"/>
        </w:rPr>
        <w:t>pi</w:t>
      </w:r>
      <w:r>
        <w:rPr>
          <w:rFonts w:hint="eastAsia" w:ascii="宋体" w:hAnsi="宋体" w:eastAsia="宋体" w:cs="宋体"/>
          <w:sz w:val="24"/>
          <w:szCs w:val="24"/>
        </w:rPr>
        <w:t>和T</w:t>
      </w:r>
      <w:r>
        <w:rPr>
          <w:rFonts w:hint="eastAsia" w:ascii="宋体" w:hAnsi="宋体" w:eastAsia="宋体" w:cs="宋体"/>
          <w:sz w:val="24"/>
          <w:szCs w:val="24"/>
          <w:vertAlign w:val="subscript"/>
        </w:rPr>
        <w:t>p(i+1)</w:t>
      </w:r>
      <w:r>
        <w:rPr>
          <w:rFonts w:hint="eastAsia" w:ascii="宋体" w:hAnsi="宋体" w:eastAsia="宋体" w:cs="宋体"/>
          <w:sz w:val="24"/>
          <w:szCs w:val="24"/>
        </w:rPr>
        <w:t>分别为坐标系中(x</w:t>
      </w:r>
      <w:r>
        <w:rPr>
          <w:rFonts w:hint="eastAsia" w:ascii="宋体" w:hAnsi="宋体" w:eastAsia="宋体" w:cs="宋体"/>
          <w:sz w:val="24"/>
          <w:szCs w:val="24"/>
          <w:vertAlign w:val="subscript"/>
        </w:rPr>
        <w:t>i</w:t>
      </w:r>
      <w:r>
        <w:rPr>
          <w:rFonts w:hint="eastAsia" w:ascii="宋体" w:hAnsi="宋体" w:eastAsia="宋体" w:cs="宋体"/>
          <w:sz w:val="24"/>
          <w:szCs w:val="24"/>
        </w:rPr>
        <w:t>,y</w:t>
      </w:r>
      <w:r>
        <w:rPr>
          <w:rFonts w:hint="eastAsia" w:ascii="宋体" w:hAnsi="宋体" w:eastAsia="宋体" w:cs="宋体"/>
          <w:sz w:val="24"/>
          <w:szCs w:val="24"/>
          <w:vertAlign w:val="subscript"/>
        </w:rPr>
        <w:t>i</w:t>
      </w:r>
      <w:r>
        <w:rPr>
          <w:rFonts w:hint="eastAsia" w:ascii="宋体" w:hAnsi="宋体" w:eastAsia="宋体" w:cs="宋体"/>
          <w:sz w:val="24"/>
          <w:szCs w:val="24"/>
        </w:rPr>
        <w:t>)和(x</w:t>
      </w:r>
      <w:r>
        <w:rPr>
          <w:rFonts w:hint="eastAsia" w:ascii="宋体" w:hAnsi="宋体" w:eastAsia="宋体" w:cs="宋体"/>
          <w:sz w:val="24"/>
          <w:szCs w:val="24"/>
          <w:vertAlign w:val="subscript"/>
        </w:rPr>
        <w:t>i+1</w:t>
      </w:r>
      <w:r>
        <w:rPr>
          <w:rFonts w:hint="eastAsia" w:ascii="宋体" w:hAnsi="宋体" w:eastAsia="宋体" w:cs="宋体"/>
          <w:sz w:val="24"/>
          <w:szCs w:val="24"/>
        </w:rPr>
        <w:t>,y</w:t>
      </w:r>
      <w:r>
        <w:rPr>
          <w:rFonts w:hint="eastAsia" w:ascii="宋体" w:hAnsi="宋体" w:eastAsia="宋体" w:cs="宋体"/>
          <w:sz w:val="24"/>
          <w:szCs w:val="24"/>
          <w:vertAlign w:val="subscript"/>
        </w:rPr>
        <w:t>i+1</w:t>
      </w:r>
      <w:r>
        <w:rPr>
          <w:rFonts w:hint="eastAsia" w:ascii="宋体" w:hAnsi="宋体" w:eastAsia="宋体" w:cs="宋体"/>
          <w:sz w:val="24"/>
          <w:szCs w:val="24"/>
        </w:rPr>
        <w:t>)对应的飞行总时间T</w:t>
      </w:r>
      <w:r>
        <w:rPr>
          <w:rFonts w:hint="eastAsia" w:ascii="宋体" w:hAnsi="宋体" w:eastAsia="宋体" w:cs="宋体"/>
          <w:sz w:val="24"/>
          <w:szCs w:val="24"/>
          <w:vertAlign w:val="subscript"/>
        </w:rPr>
        <w:t>p</w:t>
      </w:r>
      <w:r>
        <w:rPr>
          <w:rFonts w:hint="eastAsia" w:ascii="宋体" w:hAnsi="宋体" w:eastAsia="宋体" w:cs="宋体"/>
          <w:sz w:val="24"/>
          <w:szCs w:val="24"/>
        </w:rPr>
        <w:t>，则可以 得到T</w:t>
      </w:r>
      <w:r>
        <w:rPr>
          <w:rFonts w:hint="eastAsia" w:ascii="宋体" w:hAnsi="宋体" w:eastAsia="宋体" w:cs="宋体"/>
          <w:sz w:val="24"/>
          <w:szCs w:val="24"/>
          <w:vertAlign w:val="subscript"/>
        </w:rPr>
        <w:t>pnext</w:t>
      </w:r>
      <w:r>
        <w:rPr>
          <w:rFonts w:hint="eastAsia" w:ascii="宋体" w:hAnsi="宋体" w:eastAsia="宋体" w:cs="宋体"/>
          <w:sz w:val="24"/>
          <w:szCs w:val="24"/>
        </w:rPr>
        <w:t>的计算表达式：</w:t>
      </w:r>
    </w:p>
    <w:p>
      <w:pPr>
        <w:pStyle w:val="22"/>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2787650" cy="391160"/>
            <wp:effectExtent l="0" t="0" r="12700" b="8890"/>
            <wp:docPr id="28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22"/>
                    <pic:cNvPicPr>
                      <a:picLocks noChangeAspect="1"/>
                    </pic:cNvPicPr>
                  </pic:nvPicPr>
                  <pic:blipFill>
                    <a:blip r:embed="rId34"/>
                    <a:stretch>
                      <a:fillRect/>
                    </a:stretch>
                  </pic:blipFill>
                  <pic:spPr>
                    <a:xfrm>
                      <a:off x="0" y="0"/>
                      <a:ext cx="2787650" cy="391160"/>
                    </a:xfrm>
                    <a:prstGeom prst="rect">
                      <a:avLst/>
                    </a:prstGeom>
                    <a:noFill/>
                    <a:ln>
                      <a:noFill/>
                    </a:ln>
                  </pic:spPr>
                </pic:pic>
              </a:graphicData>
            </a:graphic>
          </wp:inline>
        </w:drawing>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通过检测电池剩余电量，对比其时间关系，判断是否需要更换电池。这样就解决 了考虑电池电量后对路径和飞机架次规划产生的增加功耗的问题。</w:t>
      </w:r>
    </w:p>
    <w:p>
      <w:pPr>
        <w:spacing w:line="360" w:lineRule="auto"/>
        <w:ind w:firstLine="480"/>
        <w:rPr>
          <w:rFonts w:hint="eastAsia" w:ascii="宋体" w:hAnsi="宋体" w:eastAsia="宋体" w:cs="宋体"/>
          <w:sz w:val="24"/>
          <w:szCs w:val="24"/>
        </w:rPr>
      </w:pPr>
      <w:bookmarkStart w:id="66" w:name="_Toc61532214"/>
    </w:p>
    <w:bookmarkEnd w:id="66"/>
    <w:p>
      <w:pPr>
        <w:pStyle w:val="3"/>
        <w:numPr>
          <w:ilvl w:val="0"/>
          <w:numId w:val="0"/>
        </w:numPr>
        <w:ind w:left="420" w:leftChars="0" w:hanging="420" w:firstLineChars="0"/>
        <w:rPr>
          <w:rFonts w:hint="eastAsia" w:ascii="宋体" w:hAnsi="宋体" w:eastAsia="宋体" w:cs="宋体"/>
          <w:sz w:val="24"/>
          <w:szCs w:val="24"/>
        </w:rPr>
      </w:pPr>
      <w:bookmarkStart w:id="67" w:name="_Toc4804"/>
      <w:bookmarkStart w:id="68" w:name="_Toc91832157"/>
      <w:bookmarkStart w:id="69" w:name="_Toc148175931"/>
      <w:bookmarkStart w:id="70" w:name="_Toc14732"/>
      <w:r>
        <w:rPr>
          <w:rFonts w:hint="eastAsia" w:ascii="宋体" w:hAnsi="宋体" w:eastAsia="宋体" w:cs="宋体"/>
          <w:b/>
          <w:bCs w:val="0"/>
          <w:i w:val="0"/>
          <w:iCs w:val="0"/>
          <w:caps w:val="0"/>
          <w:smallCaps w:val="0"/>
          <w:strike w:val="0"/>
          <w:dstrike w:val="0"/>
          <w:vanish w:val="0"/>
          <w:color w:val="000000"/>
          <w:spacing w:val="0"/>
          <w:kern w:val="2"/>
          <w:position w:val="0"/>
          <w:sz w:val="24"/>
          <w:szCs w:val="24"/>
          <w:u w:val="none"/>
          <w:vertAlign w:val="baseline"/>
          <w:lang w:val="en-US" w:eastAsia="zh-CN" w:bidi="ar-SA"/>
          <w14:ligatures w14:val="none"/>
          <w14:numForm w14:val="default"/>
          <w14:numSpacing w14:val="default"/>
        </w:rPr>
        <w:t>(四)</w:t>
      </w:r>
      <w:r>
        <w:rPr>
          <w:rFonts w:hint="eastAsia" w:ascii="宋体" w:hAnsi="宋体" w:eastAsia="宋体" w:cs="宋体"/>
          <w:sz w:val="24"/>
          <w:szCs w:val="24"/>
        </w:rPr>
        <w:t>系统功能实现</w:t>
      </w:r>
      <w:bookmarkEnd w:id="67"/>
      <w:bookmarkEnd w:id="68"/>
      <w:bookmarkEnd w:id="69"/>
      <w:bookmarkEnd w:id="70"/>
    </w:p>
    <w:p>
      <w:pPr>
        <w:pStyle w:val="13"/>
        <w:rPr>
          <w:rFonts w:hint="eastAsia" w:ascii="宋体" w:hAnsi="宋体" w:eastAsia="宋体" w:cs="宋体"/>
          <w:b w:val="0"/>
          <w:bCs w:val="0"/>
          <w:sz w:val="24"/>
          <w:szCs w:val="24"/>
        </w:rPr>
      </w:pPr>
    </w:p>
    <w:p>
      <w:pPr>
        <w:pStyle w:val="21"/>
        <w:numPr>
          <w:ilvl w:val="0"/>
          <w:numId w:val="0"/>
        </w:numPr>
        <w:tabs>
          <w:tab w:val="left" w:pos="960"/>
        </w:tabs>
        <w:bidi w:val="0"/>
        <w:ind w:leftChars="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lang w:val="en-US" w:eastAsia="zh-CN"/>
        </w:rPr>
        <w:tab/>
      </w:r>
      <w:r>
        <w:rPr>
          <w:rFonts w:hint="eastAsia" w:ascii="宋体" w:hAnsi="宋体" w:eastAsia="宋体" w:cs="宋体"/>
          <w:sz w:val="24"/>
          <w:szCs w:val="24"/>
        </w:rPr>
        <w:t>板面尘板分离策略决策模块</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光伏系统的实际运行过程中可能会受到各种复杂因素的影响，导致不同光伏阵列之间的发电性能存在差异。例如，不同光伏阵列所处的位置、方向、倾角、阴影、温度等条件可能不同，这些条件会影响光伏阵列的辐照度、光谱分布、温度和污染等因素，从而影响其实际发电性能。此外，光伏组件本身的质量、损耗和老化等因素也会影响其实际发电性能。</w:t>
      </w:r>
    </w:p>
    <w:p>
      <w:pPr>
        <w:spacing w:line="360" w:lineRule="auto"/>
        <w:ind w:firstLine="480"/>
        <w:rPr>
          <w:rStyle w:val="23"/>
          <w:rFonts w:hint="eastAsia" w:ascii="宋体" w:hAnsi="宋体" w:eastAsia="宋体" w:cs="宋体"/>
          <w:sz w:val="24"/>
          <w:szCs w:val="24"/>
        </w:rPr>
      </w:pPr>
      <w:r>
        <w:rPr>
          <w:rFonts w:hint="eastAsia" w:ascii="宋体" w:hAnsi="宋体" w:eastAsia="宋体" w:cs="宋体"/>
          <w:sz w:val="24"/>
          <w:szCs w:val="24"/>
        </w:rPr>
        <w:t>为了保证光伏系统的最优化运行，需要对光伏阵列的实际运行工况和设备性能进行准确的监测和分析。然而，在实际工程中，监测和分析光伏阵列的实际运行工况和设备性能面临着一些困难。一方面，光伏阵列通常分布在广阔的区域内，监测其实际工况需要建立复杂的监测系统和数据采集系统，成本较高；另一方面，光伏阵列的实际运行工况受到诸多因素的影响，如光谱、辐照、温度、污染等，而这些因素的监测和分析也面临着一些技术上的困难，例如，温度和污染的监测需要采用专门的传感器和监测装置。</w:t>
      </w:r>
      <w:r>
        <w:rPr>
          <w:rFonts w:hint="eastAsia" w:ascii="宋体" w:hAnsi="宋体" w:eastAsia="宋体" w:cs="宋体"/>
          <w:sz w:val="24"/>
          <w:szCs w:val="24"/>
          <w:lang w:val="en-US" w:eastAsia="zh-CN"/>
        </w:rPr>
        <w:t>需设计</w:t>
      </w:r>
      <w:r>
        <w:rPr>
          <w:rFonts w:hint="eastAsia" w:ascii="宋体" w:hAnsi="宋体" w:eastAsia="宋体" w:cs="宋体"/>
          <w:sz w:val="24"/>
          <w:szCs w:val="24"/>
        </w:rPr>
        <w:t>板面尘板分离策略决策模块</w:t>
      </w:r>
      <w:r>
        <w:rPr>
          <w:rFonts w:hint="eastAsia" w:ascii="宋体" w:hAnsi="宋体" w:eastAsia="宋体" w:cs="宋体"/>
          <w:sz w:val="24"/>
          <w:szCs w:val="24"/>
          <w:lang w:val="en-US" w:eastAsia="zh-CN"/>
        </w:rPr>
        <w:t>应对</w:t>
      </w:r>
      <w:r>
        <w:rPr>
          <w:rFonts w:hint="eastAsia" w:ascii="宋体" w:hAnsi="宋体" w:eastAsia="宋体" w:cs="宋体"/>
          <w:sz w:val="24"/>
          <w:szCs w:val="24"/>
        </w:rPr>
        <w:t>实际运行工况受到</w:t>
      </w:r>
      <w:r>
        <w:rPr>
          <w:rFonts w:hint="eastAsia" w:ascii="宋体" w:hAnsi="宋体" w:eastAsia="宋体" w:cs="宋体"/>
          <w:sz w:val="24"/>
          <w:szCs w:val="24"/>
          <w:lang w:val="en-US" w:eastAsia="zh-CN"/>
        </w:rPr>
        <w:t>的</w:t>
      </w:r>
      <w:r>
        <w:rPr>
          <w:rFonts w:hint="eastAsia" w:ascii="宋体" w:hAnsi="宋体" w:eastAsia="宋体" w:cs="宋体"/>
          <w:sz w:val="24"/>
          <w:szCs w:val="24"/>
        </w:rPr>
        <w:t>诸多因素</w:t>
      </w:r>
      <w:r>
        <w:rPr>
          <w:rFonts w:hint="eastAsia" w:ascii="宋体" w:hAnsi="宋体" w:eastAsia="宋体" w:cs="宋体"/>
          <w:sz w:val="24"/>
          <w:szCs w:val="24"/>
          <w:lang w:eastAsia="zh-CN"/>
        </w:rPr>
        <w:t>。</w:t>
      </w:r>
      <w:r>
        <w:rPr>
          <w:rFonts w:hint="eastAsia" w:ascii="宋体" w:hAnsi="宋体" w:eastAsia="宋体" w:cs="宋体"/>
          <w:b w:val="0"/>
          <w:bCs w:val="0"/>
          <w:sz w:val="24"/>
          <w:szCs w:val="24"/>
        </w:rPr>
        <w:cr/>
      </w:r>
      <w:r>
        <w:rPr>
          <w:rStyle w:val="23"/>
          <w:rFonts w:hint="eastAsia" w:ascii="宋体" w:hAnsi="宋体" w:eastAsia="宋体" w:cs="宋体"/>
          <w:sz w:val="24"/>
          <w:szCs w:val="24"/>
        </w:rPr>
        <w:t>1.1板面疏尘环境识别</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为了更好地分析影响光伏阵列实际发电性能的关键因素，需要结合现有的监测手段和先进的分析方法</w:t>
      </w:r>
      <w:r>
        <w:rPr>
          <w:rFonts w:hint="eastAsia" w:ascii="宋体" w:hAnsi="宋体" w:eastAsia="宋体" w:cs="宋体"/>
          <w:sz w:val="24"/>
          <w:szCs w:val="24"/>
          <w:lang w:val="en-US" w:eastAsia="zh-CN"/>
        </w:rPr>
        <w:t>进行板面疏尘环境识别进而准确评估发电性能</w:t>
      </w:r>
      <w:r>
        <w:rPr>
          <w:rFonts w:hint="eastAsia" w:ascii="宋体" w:hAnsi="宋体" w:eastAsia="宋体" w:cs="宋体"/>
          <w:sz w:val="24"/>
          <w:szCs w:val="24"/>
        </w:rPr>
        <w:t>。例如，可以利用多晶硅太阳能电池和单晶硅太阳能电池的不同光谱响应特性，对不同光谱分布下的光伏阵列发电性能进行分析；可以利用现代气象学和光伏组件的温度特性，分析温度对光伏阵列发电性能的影响；可以利用光伏组件表面的灰尘和污染物的特性，分析污染对光伏阵列发电性能的影响。通过对这些关键因素的分析，可以更加准确地评估光伏阵列的实际发电性能，并提出相应的优化建议，为光伏系统的最优化运行提供技术支持。</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光伏发电系统中，由于不同光伏阵列的运行环境和工况存在较大差异，它们的发电性能也会受到不同的影响。为了更好地评估和对比不同光伏阵列的性能，需要对光伏板的清洁状态进行综合评估，并基于评估结果与预期光伏阵列性能指标进行对比。</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为了准确评估每个光伏阵列的清洁状态和发电性能，需要通过不同分析方法分别掌握各个因素对光伏板的实际工况及发电性能的影响。这些因素包括光谱、辐照、温度、积灰、污渍等。通过分析每个因素对不同光伏阵列的影响，可以找到导致工况差异的因素，并修正每个光伏阵列的性能指标PI。</w:t>
      </w:r>
    </w:p>
    <w:p>
      <w:pPr>
        <w:spacing w:line="360" w:lineRule="auto"/>
        <w:ind w:firstLine="480"/>
        <w:rPr>
          <w:rFonts w:hint="eastAsia" w:ascii="宋体" w:hAnsi="宋体" w:eastAsia="宋体" w:cs="宋体"/>
          <w:b w:val="0"/>
          <w:bCs w:val="0"/>
          <w:sz w:val="24"/>
          <w:szCs w:val="24"/>
        </w:rPr>
      </w:pPr>
      <w:r>
        <w:rPr>
          <w:rFonts w:hint="eastAsia" w:ascii="宋体" w:hAnsi="宋体" w:eastAsia="宋体" w:cs="宋体"/>
          <w:sz w:val="24"/>
          <w:szCs w:val="24"/>
        </w:rPr>
        <w:t>在修正每个光伏阵列的性能指标后，可以进行光伏板清洁状态的综合评估。综合评估拟包括对每个光伏阵列的性能指标进行加权平均，以确定整个光伏系统的总体性能。此外，还可以基于评估结果与预期性能指标进行对比，以确定是否需要对光伏板进行清洗或清理。</w:t>
      </w:r>
      <w:r>
        <w:rPr>
          <w:rFonts w:hint="eastAsia" w:ascii="宋体" w:hAnsi="宋体" w:eastAsia="宋体" w:cs="宋体"/>
          <w:b w:val="0"/>
          <w:bCs w:val="0"/>
          <w:sz w:val="24"/>
          <w:szCs w:val="24"/>
        </w:rPr>
        <w:cr/>
      </w:r>
      <w:r>
        <w:rPr>
          <w:rStyle w:val="23"/>
          <w:rFonts w:hint="eastAsia" w:ascii="宋体" w:hAnsi="宋体" w:eastAsia="宋体" w:cs="宋体"/>
          <w:sz w:val="24"/>
          <w:szCs w:val="24"/>
        </w:rPr>
        <w:t>1.2板面路径规划</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自动路径规划可以根据光伏板的布局和机器人的尺寸，自动规划清洁路径，并根据实时监测数据对路径进行调整，以达到最优的清洁效果。这样可以大大提高清洁的效率和质量，减少人工清洁的时间和成本。</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光伏电站中，光伏板的布局和数量是不固定的，因此自动路径规划需要具有智能化和自适应性。同时，路径规划的准确性和高效性也是非常关键的，能否快速准确地规划出清洁路径将直接影响清洁效果和清洁效率。</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因此，在设计自动路径规划功能时需要充分考虑光伏电站的实际情况和需求，设计智能化、自适应的规划算法和模型，以及可视化的路径调整界面，方便操作人员进行实时监控和调整。</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飞行器起飞前，由已知的光伏板面起始航点坐标，结合自身现在位置的坐标，计算出当前航线的大地方位角，即航线与北方向的顺时针夹角，与GPS中的罗盘模块测得飞机本身航向角度比较，得到转向角度后，控制飞机起飞转向正对目标航点并向航点飞行。贴近光伏板面后，开启光流定点模块，飞行平台进入清洗线路。在光伏板平面的线路规划为自上而下的竖线型线路。</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一次清洗完成后，飞行器后退离开光伏板，飞行至第二条清洁路线，重新锁定光伏板，进行下一步的清洗。在清洗完一块光伏板后，自动降落至起飞地点。自动降落的流程与自动起飞基本一致。</w:t>
      </w:r>
    </w:p>
    <w:p>
      <w:pPr>
        <w:pStyle w:val="22"/>
        <w:rPr>
          <w:rFonts w:hint="eastAsia" w:ascii="宋体" w:hAnsi="宋体" w:eastAsia="宋体" w:cs="宋体"/>
          <w:sz w:val="24"/>
          <w:szCs w:val="24"/>
        </w:rPr>
      </w:pPr>
    </w:p>
    <w:p>
      <w:pPr>
        <w:spacing w:line="360" w:lineRule="auto"/>
        <w:rPr>
          <w:rFonts w:hint="eastAsia" w:ascii="宋体" w:hAnsi="宋体" w:eastAsia="宋体" w:cs="宋体"/>
          <w:b w:val="0"/>
          <w:bCs w:val="0"/>
          <w:sz w:val="24"/>
          <w:szCs w:val="24"/>
        </w:rPr>
      </w:pPr>
      <w:r>
        <w:rPr>
          <w:rStyle w:val="24"/>
          <w:rFonts w:hint="eastAsia" w:ascii="宋体" w:hAnsi="宋体" w:eastAsia="宋体" w:cs="宋体"/>
          <w:sz w:val="24"/>
          <w:szCs w:val="24"/>
        </w:rPr>
        <w:t>2</w:t>
      </w:r>
      <w:r>
        <w:rPr>
          <w:rStyle w:val="24"/>
          <w:rFonts w:hint="eastAsia" w:ascii="宋体" w:hAnsi="宋体" w:eastAsia="宋体" w:cs="宋体"/>
          <w:sz w:val="24"/>
          <w:szCs w:val="24"/>
          <w:lang w:val="en-US" w:eastAsia="zh-CN"/>
        </w:rPr>
        <w:t>.</w:t>
      </w:r>
      <w:r>
        <w:rPr>
          <w:rStyle w:val="24"/>
          <w:rFonts w:hint="eastAsia" w:ascii="宋体" w:hAnsi="宋体" w:eastAsia="宋体" w:cs="宋体"/>
          <w:sz w:val="24"/>
          <w:szCs w:val="24"/>
          <w:lang w:val="en-US" w:eastAsia="zh-CN"/>
        </w:rPr>
        <w:tab/>
      </w:r>
      <w:r>
        <w:rPr>
          <w:rStyle w:val="24"/>
          <w:rFonts w:hint="eastAsia" w:ascii="宋体" w:hAnsi="宋体" w:eastAsia="宋体" w:cs="宋体"/>
          <w:sz w:val="24"/>
          <w:szCs w:val="24"/>
          <w:lang w:val="en-US" w:eastAsia="zh-CN"/>
        </w:rPr>
        <w:tab/>
      </w:r>
      <w:r>
        <w:rPr>
          <w:rStyle w:val="24"/>
          <w:rFonts w:hint="eastAsia" w:ascii="宋体" w:hAnsi="宋体" w:eastAsia="宋体" w:cs="宋体"/>
          <w:sz w:val="24"/>
          <w:szCs w:val="24"/>
        </w:rPr>
        <w:t>板面组件尘粒附着分析模块</w:t>
      </w:r>
      <w:r>
        <w:rPr>
          <w:rFonts w:hint="eastAsia" w:ascii="宋体" w:hAnsi="宋体" w:eastAsia="宋体" w:cs="宋体"/>
          <w:b w:val="0"/>
          <w:bCs w:val="0"/>
          <w:sz w:val="24"/>
          <w:szCs w:val="24"/>
        </w:rPr>
        <w:cr/>
      </w:r>
      <w:r>
        <w:rPr>
          <w:rStyle w:val="23"/>
          <w:rFonts w:hint="eastAsia" w:ascii="宋体" w:hAnsi="宋体" w:eastAsia="宋体" w:cs="宋体"/>
          <w:sz w:val="24"/>
          <w:szCs w:val="24"/>
        </w:rPr>
        <w:t>2.1二维信号采集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光伏发电系统中，由于不同光伏阵列的运行环境和工况存在较大差异，它们的发电性能也会受到不同的影响。为了更好地评估和对比不同光伏阵列的性能，需要对光伏板的清洁状态进行综合评估，并基于评估结果与预期光伏阵列性能指标进行对比。</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为了准确评估每个光伏阵列的清洁状态和发电性能，需要通过不同分析方法分别掌握各个因素对光伏板的实际工况及发电性能的影响。这些因素包括光谱、辐照、温度、积灰、污渍等</w:t>
      </w:r>
      <w:r>
        <w:rPr>
          <w:rFonts w:hint="eastAsia" w:ascii="宋体" w:hAnsi="宋体" w:eastAsia="宋体" w:cs="宋体"/>
          <w:sz w:val="24"/>
          <w:szCs w:val="24"/>
          <w:lang w:val="en-US" w:eastAsia="zh-CN"/>
        </w:rPr>
        <w:t>二维信号</w:t>
      </w:r>
      <w:r>
        <w:rPr>
          <w:rFonts w:hint="eastAsia" w:ascii="宋体" w:hAnsi="宋体" w:eastAsia="宋体" w:cs="宋体"/>
          <w:sz w:val="24"/>
          <w:szCs w:val="24"/>
        </w:rPr>
        <w:t>。通过分析每个因素对不同光伏阵列的影响，可以找到导致工况差异的因素，并修正每个光伏阵列的性能指标PI。</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二维信号采集</w:t>
      </w:r>
      <w:r>
        <w:rPr>
          <w:rFonts w:hint="eastAsia" w:ascii="宋体" w:hAnsi="宋体" w:eastAsia="宋体" w:cs="宋体"/>
          <w:sz w:val="24"/>
          <w:szCs w:val="24"/>
        </w:rPr>
        <w:t>组成或包含但不局限于:</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环境监测：该系统主要用于实时监测光伏阵列周围环境因素，包括光照强度、温度、风速、湿度等，以及对积灰、污渍等污染物的监测。环境监测系统可以通过传感器、气象站等设备实现。实时监测环境因素可以提供数据基础，用于后续分析不同因素对光伏阵列发电性能的影响。</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光伏阵列监测：该系统主要用于实时监测光伏阵列的发电状态，包括输出功率、电流、电压等参数。通过监测系统，可以实时掌握每个光伏阵列的实际运行工况和设备性能，为后续的数据分析提供基础数据。</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其中</w:t>
      </w:r>
      <w:r>
        <w:rPr>
          <w:rFonts w:hint="eastAsia" w:ascii="宋体" w:hAnsi="宋体" w:eastAsia="宋体" w:cs="宋体"/>
          <w:sz w:val="24"/>
          <w:szCs w:val="24"/>
        </w:rPr>
        <w:t>涉及到多个硬件和软件组件，通过不同的技术手段，如传感技术、数据处理和分析技术、人工智能技术、清洁技术等，来实现不同光伏阵列在不同时间的实际工况的预测或监测。</w:t>
      </w:r>
    </w:p>
    <w:p>
      <w:pPr>
        <w:spacing w:line="360" w:lineRule="auto"/>
        <w:rPr>
          <w:rStyle w:val="23"/>
          <w:rFonts w:hint="eastAsia" w:ascii="宋体" w:hAnsi="宋体" w:eastAsia="宋体" w:cs="宋体"/>
          <w:sz w:val="24"/>
          <w:szCs w:val="24"/>
        </w:rPr>
      </w:pPr>
      <w:r>
        <w:rPr>
          <w:rFonts w:hint="eastAsia" w:ascii="宋体" w:hAnsi="宋体" w:eastAsia="宋体" w:cs="宋体"/>
          <w:b w:val="0"/>
          <w:bCs w:val="0"/>
          <w:sz w:val="24"/>
          <w:szCs w:val="24"/>
        </w:rPr>
        <w:cr/>
      </w:r>
      <w:r>
        <w:rPr>
          <w:rStyle w:val="23"/>
          <w:rFonts w:hint="eastAsia" w:ascii="宋体" w:hAnsi="宋体" w:eastAsia="宋体" w:cs="宋体"/>
          <w:sz w:val="24"/>
          <w:szCs w:val="24"/>
        </w:rPr>
        <w:t>2.2二维信号预处理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w:t>
      </w:r>
      <w:r>
        <w:rPr>
          <w:rFonts w:hint="eastAsia" w:ascii="宋体" w:hAnsi="宋体" w:eastAsia="宋体" w:cs="宋体"/>
          <w:sz w:val="24"/>
          <w:szCs w:val="24"/>
          <w:lang w:val="en-US" w:eastAsia="zh-CN"/>
        </w:rPr>
        <w:t>获得并</w:t>
      </w:r>
      <w:r>
        <w:rPr>
          <w:rFonts w:hint="eastAsia" w:ascii="宋体" w:hAnsi="宋体" w:eastAsia="宋体" w:cs="宋体"/>
          <w:sz w:val="24"/>
          <w:szCs w:val="24"/>
        </w:rPr>
        <w:t>修正每个光伏阵列的性能指标后，可以进行光伏板清洁状态的综合评估。综合评估拟包括对每个光伏阵列的性能指标进行加权平均，以确定整个光伏系统的总体性能。此外，还可以基于评估结果与预期性能指标进行对比，以确定是否需要对光伏板进行清洗或清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如果评估结果低于预期性能，可以利用人工智能技术智能生成局部或全局光伏阵列清洁策略。这些策略可以通过机器学习算法和大数据分析来制定，以最大程度地提高光伏系统的发电效率和维护成本效益。例如，可以利用历史数据和实时监测信息来预测未来的光伏板清洁需求，并为每个光伏阵列生成最佳的清洁方案。</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二维信号预处理</w:t>
      </w:r>
      <w:r>
        <w:rPr>
          <w:rFonts w:hint="eastAsia" w:ascii="宋体" w:hAnsi="宋体" w:eastAsia="宋体" w:cs="宋体"/>
          <w:sz w:val="24"/>
          <w:szCs w:val="24"/>
        </w:rPr>
        <w:t>组成或包含但不局限于:</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数据分析：该系统主要用于处理和分析环境监测系统和光伏阵列监测系统所提供的数据。通过数据分析，可以对影响光伏阵列发电性能的关键因素进行分析，包括光谱、辐照、温度和积灰、污渍等。通过不同分析方法，可以分别掌握上述因素对不同光伏阵列的实际工况及发电性能的影响。</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性能指标修正：该系统主要用于根据数据分析结果修正光伏阵列的性能指标，以评估和对比不同光伏阵列基于真实预期的运行状态。通过导致工况差异的因素修正每个光伏阵列的性能指标PI，从而给出光伏板清洁状态综合评估结果。同时，还可以基于此结果与预期光伏阵列性能指标进行对比，当评估结果低于预期性能时，通过人工智能技术智能生成局部或全局光伏阵列清洁策略。</w:t>
      </w:r>
    </w:p>
    <w:p>
      <w:pPr>
        <w:pStyle w:val="22"/>
        <w:rPr>
          <w:rFonts w:hint="eastAsia" w:ascii="宋体" w:hAnsi="宋体" w:eastAsia="宋体" w:cs="宋体"/>
          <w:sz w:val="24"/>
          <w:szCs w:val="24"/>
        </w:rPr>
      </w:pPr>
    </w:p>
    <w:p>
      <w:pPr>
        <w:pStyle w:val="5"/>
        <w:numPr>
          <w:ilvl w:val="0"/>
          <w:numId w:val="0"/>
        </w:numPr>
        <w:bidi w:val="0"/>
        <w:ind w:leftChars="0"/>
        <w:rPr>
          <w:rFonts w:hint="eastAsia" w:ascii="宋体" w:hAnsi="宋体" w:eastAsia="宋体" w:cs="宋体"/>
          <w:sz w:val="24"/>
          <w:szCs w:val="24"/>
        </w:rPr>
      </w:pPr>
      <w:r>
        <w:rPr>
          <w:rFonts w:hint="eastAsia" w:ascii="宋体" w:hAnsi="宋体" w:eastAsia="宋体" w:cs="宋体"/>
          <w:sz w:val="24"/>
          <w:szCs w:val="24"/>
        </w:rPr>
        <w:t>2.3附着识别检测</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由于光伏电站建设于室外，表面难免会有沙尘、脏斑，同时，光伏电站上方常有鸟类经过，也会在光伏板上留下粪便等污渍。因此，为了后续的机器人清洗工作，需要能通过可见光相机拍摄的光伏板图像识别出表面的表面缺陷位置。 首先，因为光伏电场占地面积广，清洗任务繁重，所以难以使用人工肉眼检测法，其次，光伏板表面缺陷图像具有如下特征：</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背景通常为饱和度不同的蓝色，上面分布有间隔固定、与边缘平行的白色栅线，形成了一个个大小一致的矩形区域，肉眼可见的缺陷包括污渍、破损等随机分布在图像中，且鸟类粪便通常是白色或灰白色，因此，如何精准区分污渍和栅线的颜色也是一个问题。</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（2）表面如有破损，会在图像上显示为比周围区域较深的颜色，因此，采 用视觉检测法检测时容易与周围区域混淆而漏检。</w:t>
      </w:r>
    </w:p>
    <w:p>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（3）污渍形状不规则，有些呈块状，相对容易检测出来，有些则是条状或 点状，这些污渍容易与栅线混淆而被漏检，且栅线也有可能被误检为污渍，所以在设计算法时也要注意。</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由于环境、采集设备等条件的不同，在用相机采集并且传输图像的时候光伏板图像往往会受到噪声干扰，影响了图像的质量，甚至可能抹掉图像中很重要的细节信息，为后续对图像识别、表面缺陷检测等过程造成不可忽视的影响。同时，光伏电池的发电原理是在PN结上形成了电势差，建立了内在电场。但是因为只有电压存在，所以需要用导线将这些电导出来，光伏板上的栅线就是承载电流的第一级导线</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因而在</w:t>
      </w:r>
      <w:r>
        <w:rPr>
          <w:rFonts w:hint="eastAsia" w:ascii="宋体" w:hAnsi="宋体" w:eastAsia="宋体" w:cs="宋体"/>
          <w:sz w:val="24"/>
          <w:szCs w:val="24"/>
        </w:rPr>
        <w:t>图像上有粗和细两种栅线，细的是副栅线，起到引导电流的作用，粗的是主栅线，是用来收集副栅线电流的，起到汇总的作用。在后续基于像素运算的缺陷检测算法中栅线会对表面缺陷的检测造成比较明显的影响，拟对采集到的光伏电池板图像进行滤波处理。</w:t>
      </w:r>
    </w:p>
    <w:p>
      <w:pPr>
        <w:spacing w:line="360" w:lineRule="auto"/>
        <w:ind w:firstLine="480" w:firstLineChars="200"/>
        <w:rPr>
          <w:rFonts w:hint="eastAsia" w:ascii="宋体" w:hAnsi="宋体" w:eastAsia="宋体" w:cs="宋体"/>
          <w:b w:val="0"/>
          <w:bCs w:val="0"/>
          <w:sz w:val="24"/>
          <w:szCs w:val="24"/>
        </w:rPr>
      </w:pPr>
      <w:r>
        <w:rPr>
          <w:rFonts w:hint="eastAsia" w:ascii="宋体" w:hAnsi="宋体" w:eastAsia="宋体" w:cs="宋体"/>
          <w:sz w:val="24"/>
          <w:szCs w:val="24"/>
        </w:rPr>
        <w:t>图像滤波器能在减弱噪声干扰的同时，去除细栅线的影响，从而突出图像中其他关键的细节信息，也能提高图像品质，有利于后续的图像处理工作。一般使用的图像滤波方法有均值滤波、中值滤波和高斯滤波等。均值滤波选定一个模板，计算该模板内所有像素点的灰度值的平均值，以之代替模板中心像素的原始灰度值，从而实现去除噪声的目的。</w:t>
      </w:r>
      <w:r>
        <w:rPr>
          <w:rFonts w:hint="eastAsia" w:ascii="宋体" w:hAnsi="宋体" w:eastAsia="宋体" w:cs="宋体"/>
          <w:b w:val="0"/>
          <w:bCs w:val="0"/>
          <w:sz w:val="24"/>
          <w:szCs w:val="24"/>
        </w:rPr>
        <w:cr/>
      </w:r>
      <w:r>
        <w:rPr>
          <w:rStyle w:val="23"/>
          <w:rFonts w:hint="eastAsia" w:ascii="宋体" w:hAnsi="宋体" w:eastAsia="宋体" w:cs="宋体"/>
          <w:sz w:val="24"/>
          <w:szCs w:val="24"/>
        </w:rPr>
        <w:t>2.4附着特征提取</w:t>
      </w:r>
    </w:p>
    <w:p>
      <w:pPr>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太阳能电池板主要吸收的是可见光中的绿色波长附近的光子，蓝色波长较长，可以吸收所有的光，而黑色虽然会增加光线吸收效率，但与此同时也会增强热效应，基于标准电池温度（25℃），随着温度的增长，光伏电池的输出效率会显著降低。</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当对光伏板表面缺陷图像进行预处理后，滤去了噪声和细栅线，所得图像留下了蓝色的背景以及表面的白色粗栅线和灰白的污渍等缺陷，为了后续进一步识别图像上的光伏板表面缺陷，先要去除蓝色背景的影响，拟采用RGB颜色空间转HSV颜色空间的方法。在图像处理中，HSV颜色空间模型是一个以圆锥角表示色度的圆锥体，H、S、V分别表示色相、饱和度、明度。由于 RGB 模型中R、G、B三个分量通常都会随着光照的改变而变化，因此对于相近色彩的 R、G、B 值差别可能会相当 大，而HSV模型在视觉上而言会比RGB颜色空间模型更加自然且更具有直观性，对检测与分析表面具有彩色特性的物体来说比较合适。</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对光伏板表面缺陷图像完成RGB转HSV的空间转换之后，就能得到以色相、饱 和度、明度来表示的图像。通过 HSV 空间转换得到的图像是蓝底黑斑的，为了后续处理的便利，先进行二值化操作把彩色图像变成黑白图像。由于在上一步中得到的图像仅有黑、蓝硕两种颜色，拟采用大津法二值，即OSTU法进行处理。</w:t>
      </w:r>
      <w:r>
        <w:rPr>
          <w:rFonts w:hint="eastAsia" w:ascii="宋体" w:hAnsi="宋体" w:eastAsia="宋体" w:cs="宋体"/>
          <w:sz w:val="24"/>
          <w:szCs w:val="24"/>
          <w:lang w:val="en-US" w:eastAsia="zh-CN"/>
        </w:rPr>
        <w:t>接着使用</w:t>
      </w:r>
      <w:r>
        <w:rPr>
          <w:rFonts w:hint="eastAsia" w:ascii="宋体" w:hAnsi="宋体" w:eastAsia="宋体" w:cs="宋体"/>
          <w:sz w:val="24"/>
          <w:szCs w:val="24"/>
        </w:rPr>
        <w:t>开运算对光伏板缺陷图像进行处</w:t>
      </w:r>
      <w:r>
        <w:rPr>
          <w:rFonts w:hint="eastAsia" w:ascii="宋体" w:hAnsi="宋体" w:eastAsia="宋体" w:cs="宋体"/>
          <w:sz w:val="24"/>
          <w:szCs w:val="24"/>
          <w:lang w:val="en-US" w:eastAsia="zh-CN"/>
        </w:rPr>
        <w:t>理，使</w:t>
      </w:r>
      <w:r>
        <w:rPr>
          <w:rFonts w:hint="eastAsia" w:ascii="宋体" w:hAnsi="宋体" w:eastAsia="宋体" w:cs="宋体"/>
          <w:sz w:val="24"/>
          <w:szCs w:val="24"/>
        </w:rPr>
        <w:t>图像比较好地保留了缺陷的形状与轮廓，同时，完全消除了栅线的影响，而经过众数滤波处理的图像虽然也排除了栅线的干扰，但是缺陷的细节信息被遮盖地比较严重。</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根据上一步得到的图像，经过之前的处理已经能过滤掉其他的干扰因素，只剩下污渍位置了，且得到的是二值图像，为了进一步确认缺陷的位置、大小、数 量等数据，可以采用连通域标记污渍的方法。光伏板图像经过一系列处理后，预计可以得到光伏板污渍状况，如图所示：</w:t>
      </w:r>
    </w:p>
    <w:p>
      <w:pPr>
        <w:spacing w:line="360" w:lineRule="auto"/>
        <w:jc w:val="both"/>
        <w:rPr>
          <w:rFonts w:hint="eastAsia" w:ascii="宋体" w:hAnsi="宋体" w:eastAsia="宋体" w:cs="宋体"/>
          <w:sz w:val="24"/>
          <w:szCs w:val="24"/>
        </w:rPr>
      </w:pPr>
      <w:r>
        <w:rPr>
          <w:rFonts w:hint="eastAsia" w:ascii="宋体" w:hAnsi="宋体" w:eastAsia="宋体" w:cs="宋体"/>
          <w:b w:val="0"/>
          <w:bCs w:val="0"/>
          <w:sz w:val="24"/>
          <w:szCs w:val="24"/>
        </w:rPr>
        <w:cr/>
      </w:r>
      <w:r>
        <w:rPr>
          <w:rStyle w:val="23"/>
          <w:rFonts w:hint="eastAsia" w:ascii="宋体" w:hAnsi="宋体" w:eastAsia="宋体" w:cs="宋体"/>
          <w:sz w:val="24"/>
          <w:szCs w:val="24"/>
        </w:rPr>
        <w:t>2.5决策支持</w:t>
      </w:r>
    </w:p>
    <w:p>
      <w:pPr>
        <w:spacing w:line="360" w:lineRule="auto"/>
        <w:ind w:firstLine="480"/>
        <w:rPr>
          <w:rFonts w:hint="eastAsia" w:ascii="宋体" w:hAnsi="宋体" w:eastAsia="宋体" w:cs="宋体"/>
          <w:sz w:val="24"/>
          <w:szCs w:val="24"/>
        </w:rPr>
      </w:pPr>
      <w:bookmarkStart w:id="71" w:name="OLE_LINK2"/>
      <w:r>
        <w:rPr>
          <w:rFonts w:hint="eastAsia" w:ascii="宋体" w:hAnsi="宋体" w:eastAsia="宋体" w:cs="宋体"/>
          <w:sz w:val="24"/>
          <w:szCs w:val="24"/>
        </w:rPr>
        <w:t>环境监测：该部分主要负责采集光谱、辐照、温度、积灰和污渍等环境数据，并将这些数据传输到数据处理模块进行分析。</w:t>
      </w:r>
    </w:p>
    <w:bookmarkEnd w:id="71"/>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数据处理：该部分主要对从环境监测模块采集到的数据进行分析处理，包括对数据进行清洗、校准、统计分析等，以得到每个光伏阵列的实际工况和发电性能的影响因素。</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性能修正：该模块根据环境监测模块和数据处理模块得到的结果，对每个光伏阵列的性能指标PI进行修正，以评估和对比不同光伏阵列的性能指标，给出光伏板清洁状态综合评估结果。</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人工智能：该部分主要利用人工智能技术，智能生成局部或全局光伏阵列清洁策略。当评估结果低于预期性能时，该模块将根据已有的数据和分析结果，结合人工经验，智能生成适用于特定光伏阵列的清洁策略，并将清洁策略推送给清洁机器人或人工操作。</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清洁执行：该部分主要负责实际执行清洁任务。当人工智能模块智能生成清洁策略后，该模块将清洁任务分配给清洁机器人或人工操作，并监控清洁任务的进度和结果，以保证清洁任务的准确性和高效性。</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为准确评估每个光伏阵列的清洁状态和发电性能，需要通过不同分析方法分别掌握各个因素对光伏板的实际工况及发电性能的影响。这些因素包括光谱、辐照、温度、积灰、污渍等。通过分析每个因素对不同光伏阵列的影响，可以找到导致工况差异的因素，并修正每个光伏阵列的性能指标PI。</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修正每个光伏阵列的性能指标后，可以进行光伏板清洁状态的综合评估。综合评估拟包括对每个光伏阵列的性能指标进行加权平均，以确定整个光伏系统的总体性能。此外，还可以基于评估结果与预期性能指标进行对比，以确定是否需要对光伏板进行清洗或清理。如果评估结果低于预期性能，可以利用人工智能技术智能生成局部或全局光伏阵列清洁策略。这些策略可以通过机器学习算法和大数据分析来制定，以最大程度地提高光伏系统的发电效率和维护成本效益。例如，可以利用历史数据和实时监测信息来预测未来的光伏板清洁需求，并为每个光伏阵列生成最佳的清洁方案</w:t>
      </w:r>
    </w:p>
    <w:p>
      <w:pPr>
        <w:pStyle w:val="4"/>
        <w:numPr>
          <w:ilvl w:val="0"/>
          <w:numId w:val="0"/>
        </w:numPr>
        <w:bidi w:val="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ab/>
      </w:r>
      <w:r>
        <w:rPr>
          <w:rFonts w:hint="eastAsia" w:ascii="宋体" w:hAnsi="宋体" w:eastAsia="宋体" w:cs="宋体"/>
          <w:sz w:val="24"/>
          <w:szCs w:val="24"/>
        </w:rPr>
        <w:t>组合尘板分离自适应控制模块</w:t>
      </w:r>
    </w:p>
    <w:p>
      <w:pPr>
        <w:pStyle w:val="5"/>
        <w:numPr>
          <w:ilvl w:val="0"/>
          <w:numId w:val="0"/>
        </w:numPr>
        <w:bidi w:val="0"/>
        <w:ind w:leftChars="0"/>
        <w:rPr>
          <w:rFonts w:hint="eastAsia" w:ascii="宋体" w:hAnsi="宋体" w:eastAsia="宋体" w:cs="宋体"/>
          <w:sz w:val="24"/>
          <w:szCs w:val="24"/>
        </w:rPr>
      </w:pPr>
      <w:r>
        <w:rPr>
          <w:rFonts w:hint="eastAsia" w:ascii="宋体" w:hAnsi="宋体" w:eastAsia="宋体" w:cs="宋体"/>
          <w:sz w:val="24"/>
          <w:szCs w:val="24"/>
        </w:rPr>
        <w:t>3.1环境监测</w:t>
      </w:r>
    </w:p>
    <w:p>
      <w:pPr>
        <w:pStyle w:val="6"/>
        <w:spacing w:line="360" w:lineRule="auto"/>
        <w:ind w:firstLine="420"/>
        <w:jc w:val="both"/>
        <w:rPr>
          <w:rFonts w:hint="eastAsia" w:ascii="宋体" w:hAnsi="宋体" w:eastAsia="宋体" w:cs="宋体"/>
          <w:spacing w:val="0"/>
          <w:sz w:val="24"/>
          <w:szCs w:val="24"/>
        </w:rPr>
      </w:pPr>
      <w:r>
        <w:rPr>
          <w:rFonts w:hint="eastAsia" w:ascii="宋体" w:hAnsi="宋体" w:eastAsia="宋体" w:cs="宋体"/>
          <w:spacing w:val="0"/>
          <w:sz w:val="24"/>
          <w:szCs w:val="24"/>
          <w:lang w:val="en-US" w:eastAsia="zh-CN"/>
        </w:rPr>
        <w:t>该功能</w:t>
      </w:r>
      <w:r>
        <w:rPr>
          <w:rFonts w:hint="eastAsia" w:ascii="宋体" w:hAnsi="宋体" w:eastAsia="宋体" w:cs="宋体"/>
          <w:spacing w:val="0"/>
          <w:sz w:val="24"/>
          <w:szCs w:val="24"/>
        </w:rPr>
        <w:t>可以实时收集来自光伏阵列清洁系统各个模块的</w:t>
      </w:r>
      <w:r>
        <w:rPr>
          <w:rFonts w:hint="eastAsia" w:ascii="宋体" w:hAnsi="宋体" w:eastAsia="宋体" w:cs="宋体"/>
          <w:spacing w:val="0"/>
          <w:sz w:val="24"/>
          <w:szCs w:val="24"/>
          <w:lang w:val="en-US" w:eastAsia="zh-CN"/>
        </w:rPr>
        <w:t>检测的环境数据，</w:t>
      </w:r>
      <w:r>
        <w:rPr>
          <w:rFonts w:hint="eastAsia" w:ascii="宋体" w:hAnsi="宋体" w:eastAsia="宋体" w:cs="宋体"/>
          <w:spacing w:val="0"/>
          <w:sz w:val="24"/>
          <w:szCs w:val="24"/>
        </w:rPr>
        <w:t>并对这些数据进行处理和分析，以便于管理员了解光伏阵列清洁系统的状态和性能。模块拟包含以下子功能：</w:t>
      </w:r>
    </w:p>
    <w:p>
      <w:pPr>
        <w:pStyle w:val="6"/>
        <w:spacing w:line="360" w:lineRule="auto"/>
        <w:jc w:val="both"/>
        <w:rPr>
          <w:rFonts w:hint="eastAsia" w:ascii="宋体" w:hAnsi="宋体" w:eastAsia="宋体" w:cs="宋体"/>
          <w:spacing w:val="0"/>
          <w:sz w:val="24"/>
          <w:szCs w:val="24"/>
        </w:rPr>
      </w:pPr>
      <w:r>
        <w:rPr>
          <w:rFonts w:hint="eastAsia" w:ascii="宋体" w:hAnsi="宋体" w:eastAsia="宋体" w:cs="宋体"/>
          <w:sz w:val="24"/>
          <w:szCs w:val="24"/>
        </w:rPr>
        <w:t>（1）</w:t>
      </w:r>
      <w:r>
        <w:rPr>
          <w:rFonts w:hint="eastAsia" w:ascii="宋体" w:hAnsi="宋体" w:eastAsia="宋体" w:cs="宋体"/>
          <w:spacing w:val="0"/>
          <w:sz w:val="24"/>
          <w:szCs w:val="24"/>
        </w:rPr>
        <w:t>实时数据采集：通过传感器和监测设备，实时采集光伏阵列清洁系统的各种数据，如温度、辐照度、电压、电流等。</w:t>
      </w:r>
    </w:p>
    <w:p>
      <w:pPr>
        <w:pStyle w:val="6"/>
        <w:spacing w:line="360" w:lineRule="auto"/>
        <w:jc w:val="both"/>
        <w:rPr>
          <w:rFonts w:hint="eastAsia" w:ascii="宋体" w:hAnsi="宋体" w:eastAsia="宋体" w:cs="宋体"/>
          <w:spacing w:val="0"/>
          <w:sz w:val="24"/>
          <w:szCs w:val="24"/>
        </w:rPr>
      </w:pPr>
      <w:r>
        <w:rPr>
          <w:rFonts w:hint="eastAsia" w:ascii="宋体" w:hAnsi="宋体" w:eastAsia="宋体" w:cs="宋体"/>
          <w:sz w:val="24"/>
          <w:szCs w:val="24"/>
        </w:rPr>
        <w:t>（2）</w:t>
      </w:r>
      <w:r>
        <w:rPr>
          <w:rFonts w:hint="eastAsia" w:ascii="宋体" w:hAnsi="宋体" w:eastAsia="宋体" w:cs="宋体"/>
          <w:spacing w:val="0"/>
          <w:sz w:val="24"/>
          <w:szCs w:val="24"/>
        </w:rPr>
        <w:t>数据存储：将采集到的数据存储在数据库中，以便后续分析和处理。</w:t>
      </w:r>
    </w:p>
    <w:p>
      <w:pPr>
        <w:pStyle w:val="6"/>
        <w:spacing w:line="360" w:lineRule="auto"/>
        <w:jc w:val="both"/>
        <w:rPr>
          <w:rFonts w:hint="eastAsia" w:ascii="宋体" w:hAnsi="宋体" w:eastAsia="宋体" w:cs="宋体"/>
          <w:spacing w:val="0"/>
          <w:sz w:val="24"/>
          <w:szCs w:val="24"/>
        </w:rPr>
      </w:pPr>
      <w:r>
        <w:rPr>
          <w:rFonts w:hint="eastAsia" w:ascii="宋体" w:hAnsi="宋体" w:eastAsia="宋体" w:cs="宋体"/>
          <w:sz w:val="24"/>
          <w:szCs w:val="24"/>
        </w:rPr>
        <w:t>（3）</w:t>
      </w:r>
      <w:r>
        <w:rPr>
          <w:rFonts w:hint="eastAsia" w:ascii="宋体" w:hAnsi="宋体" w:eastAsia="宋体" w:cs="宋体"/>
          <w:spacing w:val="0"/>
          <w:sz w:val="24"/>
          <w:szCs w:val="24"/>
        </w:rPr>
        <w:t>数据处理和分析：对采集到的数据进行处理和分析，例如计算光伏阵列的实时发电量、功率、PR值、损失等。</w:t>
      </w:r>
    </w:p>
    <w:p>
      <w:pPr>
        <w:pStyle w:val="6"/>
        <w:spacing w:line="360" w:lineRule="auto"/>
        <w:jc w:val="both"/>
        <w:rPr>
          <w:rFonts w:hint="eastAsia" w:ascii="宋体" w:hAnsi="宋体" w:eastAsia="宋体" w:cs="宋体"/>
          <w:spacing w:val="0"/>
          <w:sz w:val="24"/>
          <w:szCs w:val="24"/>
        </w:rPr>
      </w:pPr>
      <w:r>
        <w:rPr>
          <w:rFonts w:hint="eastAsia" w:ascii="宋体" w:hAnsi="宋体" w:eastAsia="宋体" w:cs="宋体"/>
          <w:sz w:val="24"/>
          <w:szCs w:val="24"/>
        </w:rPr>
        <w:t>（4）</w:t>
      </w:r>
      <w:r>
        <w:rPr>
          <w:rFonts w:hint="eastAsia" w:ascii="宋体" w:hAnsi="宋体" w:eastAsia="宋体" w:cs="宋体"/>
          <w:spacing w:val="0"/>
          <w:sz w:val="24"/>
          <w:szCs w:val="24"/>
        </w:rPr>
        <w:t>实时监控：通过可视化界面，实时监控光伏阵列清洁系统的各项数据和状态，包括电量、功率、温度、辐照度、PR值等，同时可以对比不同时间段的数据，以便于管理员对光伏阵列清洁系统的运行情况进行全面的分析和评估。</w:t>
      </w:r>
    </w:p>
    <w:p>
      <w:pPr>
        <w:pStyle w:val="6"/>
        <w:spacing w:line="360" w:lineRule="auto"/>
        <w:jc w:val="both"/>
        <w:rPr>
          <w:rFonts w:hint="eastAsia" w:ascii="宋体" w:hAnsi="宋体" w:eastAsia="宋体" w:cs="宋体"/>
          <w:spacing w:val="0"/>
          <w:sz w:val="24"/>
          <w:szCs w:val="24"/>
        </w:rPr>
      </w:pPr>
      <w:r>
        <w:rPr>
          <w:rFonts w:hint="eastAsia" w:ascii="宋体" w:hAnsi="宋体" w:eastAsia="宋体" w:cs="宋体"/>
          <w:sz w:val="24"/>
          <w:szCs w:val="24"/>
        </w:rPr>
        <w:t>（5）</w:t>
      </w:r>
      <w:r>
        <w:rPr>
          <w:rFonts w:hint="eastAsia" w:ascii="宋体" w:hAnsi="宋体" w:eastAsia="宋体" w:cs="宋体"/>
          <w:spacing w:val="0"/>
          <w:sz w:val="24"/>
          <w:szCs w:val="24"/>
        </w:rPr>
        <w:t>报警机制：当光伏阵列清洁系统出现异常情况时，及时向管理员发出警报，并提供相应的处理建议，以避免系统发生故障。</w:t>
      </w:r>
    </w:p>
    <w:p>
      <w:pPr>
        <w:pStyle w:val="6"/>
        <w:spacing w:line="360" w:lineRule="auto"/>
        <w:jc w:val="both"/>
        <w:rPr>
          <w:rFonts w:hint="eastAsia" w:ascii="宋体" w:hAnsi="宋体" w:eastAsia="宋体" w:cs="宋体"/>
          <w:spacing w:val="0"/>
          <w:sz w:val="24"/>
          <w:szCs w:val="24"/>
        </w:rPr>
      </w:pPr>
      <w:r>
        <w:rPr>
          <w:rFonts w:hint="eastAsia" w:ascii="宋体" w:hAnsi="宋体" w:eastAsia="宋体" w:cs="宋体"/>
          <w:sz w:val="24"/>
          <w:szCs w:val="24"/>
        </w:rPr>
        <w:t>（6）</w:t>
      </w:r>
      <w:r>
        <w:rPr>
          <w:rFonts w:hint="eastAsia" w:ascii="宋体" w:hAnsi="宋体" w:eastAsia="宋体" w:cs="宋体"/>
          <w:spacing w:val="0"/>
          <w:sz w:val="24"/>
          <w:szCs w:val="24"/>
        </w:rPr>
        <w:t>数据可视化：将采集到的数据以图表等形式呈现，以便管理员直观地了解光伏阵列清洁系统的运行情况。</w:t>
      </w:r>
    </w:p>
    <w:p>
      <w:pPr>
        <w:pStyle w:val="6"/>
        <w:spacing w:line="360" w:lineRule="auto"/>
        <w:ind w:firstLine="420"/>
        <w:jc w:val="both"/>
        <w:rPr>
          <w:rFonts w:hint="eastAsia" w:ascii="宋体" w:hAnsi="宋体" w:eastAsia="宋体" w:cs="宋体"/>
          <w:spacing w:val="0"/>
          <w:sz w:val="24"/>
          <w:szCs w:val="24"/>
        </w:rPr>
      </w:pPr>
      <w:r>
        <w:rPr>
          <w:rFonts w:hint="eastAsia" w:ascii="宋体" w:hAnsi="宋体" w:eastAsia="宋体" w:cs="宋体"/>
          <w:spacing w:val="0"/>
          <w:sz w:val="24"/>
          <w:szCs w:val="24"/>
        </w:rPr>
        <w:t>通过实时监测和分析光伏阵列清洁系统的各项数据，管理员可以及时了解系统的运行情况，识别问题并采取相应的措施，提高系统的效率和可靠性，保障光伏电站的稳定运行。</w:t>
      </w:r>
    </w:p>
    <w:p>
      <w:pPr>
        <w:pStyle w:val="5"/>
        <w:numPr>
          <w:ilvl w:val="0"/>
          <w:numId w:val="0"/>
        </w:numPr>
        <w:bidi w:val="0"/>
        <w:ind w:leftChars="0"/>
        <w:rPr>
          <w:rFonts w:hint="eastAsia" w:ascii="宋体" w:hAnsi="宋体" w:eastAsia="宋体" w:cs="宋体"/>
          <w:sz w:val="24"/>
          <w:szCs w:val="24"/>
        </w:rPr>
      </w:pPr>
      <w:r>
        <w:rPr>
          <w:rFonts w:hint="eastAsia" w:ascii="宋体" w:hAnsi="宋体" w:eastAsia="宋体" w:cs="宋体"/>
          <w:sz w:val="24"/>
          <w:szCs w:val="24"/>
        </w:rPr>
        <w:t>3.2</w:t>
      </w:r>
      <w:r>
        <w:rPr>
          <w:rFonts w:hint="eastAsia" w:ascii="宋体" w:hAnsi="宋体" w:eastAsia="宋体" w:cs="宋体"/>
          <w:sz w:val="24"/>
          <w:szCs w:val="24"/>
        </w:rPr>
        <w:tab/>
      </w:r>
      <w:r>
        <w:rPr>
          <w:rFonts w:hint="eastAsia" w:ascii="宋体" w:hAnsi="宋体" w:eastAsia="宋体" w:cs="宋体"/>
          <w:sz w:val="24"/>
          <w:szCs w:val="24"/>
        </w:rPr>
        <w:t>载荷平台姿态控制</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载荷平台</w:t>
      </w:r>
      <w:r>
        <w:rPr>
          <w:rFonts w:hint="eastAsia" w:ascii="宋体" w:hAnsi="宋体" w:eastAsia="宋体" w:cs="宋体"/>
          <w:sz w:val="24"/>
          <w:szCs w:val="24"/>
        </w:rPr>
        <w:t>拟由空中机器人搭载清洁装置、成像装置组成的，在保证空中机器人安全的前提下，要求搭载清洁及成像装置的轻量化。该机器人可使用算法智能调控，优化其飞行轨迹以及清洁的力度，飞行器在地面对飞行线路进行预先规划后，飞行器可以实现自动起飞、自动清洁及自动返回。空中机器人在飞行及光伏板作业时，将开启数据采集功能，对光伏板板面进行数据采集，之后数据处理后用于光伏阵列的智能评估。并且尽量的提高其自动化程度，在尽量少人为干预的条件下对光伏板进行高效的清洁</w:t>
      </w:r>
      <w:r>
        <w:rPr>
          <w:rFonts w:hint="eastAsia" w:ascii="宋体" w:hAnsi="宋体" w:eastAsia="宋体" w:cs="宋体"/>
          <w:sz w:val="24"/>
          <w:szCs w:val="24"/>
          <w:lang w:eastAsia="zh-CN"/>
        </w:rPr>
        <w:t>。</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地面对飞行线路进行预先规划后，飞行器可以实现自动起飞、自动清洁及自动返回。编写的程序实现功能包括：根据接收机信号控制飞行模式，根据已知坐标、实时坐标和飞机朝向自动控制航线飞行以及自动起飞和降落。空中机器人控制器相当于一个虚拟的遥控器，控制器的四个通道与飞控连接，通过对应输出的pwm值的加减，对应控制着副翼、升降、油门和方向四个通道，进而控制飞行器的左右、前后、高度和飞机朝向。</w:t>
      </w:r>
    </w:p>
    <w:p>
      <w:pPr>
        <w:spacing w:line="360" w:lineRule="auto"/>
        <w:ind w:firstLine="480" w:firstLineChars="200"/>
        <w:rPr>
          <w:rFonts w:hint="eastAsia" w:ascii="宋体" w:hAnsi="宋体" w:eastAsia="宋体" w:cs="宋体"/>
          <w:b w:val="0"/>
          <w:bCs w:val="0"/>
          <w:sz w:val="24"/>
          <w:szCs w:val="24"/>
        </w:rPr>
      </w:pPr>
      <w:r>
        <w:rPr>
          <w:rFonts w:hint="eastAsia" w:ascii="宋体" w:hAnsi="宋体" w:eastAsia="宋体" w:cs="宋体"/>
          <w:sz w:val="24"/>
          <w:szCs w:val="24"/>
        </w:rPr>
        <w:t>项目拟选择为专业应用领域打造的空中机器人，拟配备定制的三余度冗余飞控系统，最大载重满足项目需求，这使得可以搭载更多的设备，满足不同领域的需求。同时所选空中机器人有着完整的二次开发环境，满足本项目设计的需求。</w:t>
      </w:r>
      <w:r>
        <w:rPr>
          <w:rFonts w:hint="eastAsia" w:ascii="宋体" w:hAnsi="宋体" w:eastAsia="宋体" w:cs="宋体"/>
          <w:b w:val="0"/>
          <w:bCs w:val="0"/>
          <w:sz w:val="24"/>
          <w:szCs w:val="24"/>
        </w:rPr>
        <w:cr/>
      </w:r>
      <w:r>
        <w:rPr>
          <w:rStyle w:val="23"/>
          <w:rFonts w:hint="eastAsia" w:ascii="宋体" w:hAnsi="宋体" w:eastAsia="宋体" w:cs="宋体"/>
          <w:sz w:val="24"/>
          <w:szCs w:val="24"/>
        </w:rPr>
        <w:t>3.3尘板分离设备运送释放</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在空中机器人上配备的</w:t>
      </w:r>
      <w:r>
        <w:rPr>
          <w:rFonts w:hint="eastAsia" w:ascii="宋体" w:hAnsi="宋体" w:eastAsia="宋体" w:cs="宋体"/>
          <w:sz w:val="24"/>
          <w:szCs w:val="24"/>
          <w:lang w:val="en-US" w:eastAsia="zh-CN"/>
        </w:rPr>
        <w:t>尘板分离装置</w:t>
      </w:r>
      <w:r>
        <w:rPr>
          <w:rFonts w:hint="eastAsia" w:ascii="宋体" w:hAnsi="宋体" w:eastAsia="宋体" w:cs="宋体"/>
          <w:sz w:val="24"/>
          <w:szCs w:val="24"/>
        </w:rPr>
        <w:t>必须遵守一个原则，在保证安全的情况下，要求搭载的设备轻量化。所选的空中机器人荷载较轻，故选择较轻的材料作为装置的设计，拟确保空中机器人一次飞行能够清洁一定数量块光伏组件。</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上图为空中机器人设计示意图，不代表最终设计成果。如上图所示，高压清洁装置60拟配备于空中机器人下方，其功能拟通过云台电机的旋转实现高压清洁装置的俯仰及旋转，确保以所需喷射交角度对光伏组件进行清洗。</w:t>
      </w:r>
    </w:p>
    <w:p>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1）尘板分离设备功能设计</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清洗部分按上述清洗环境和清洗方式的总结，我们在功能设计上要做到以下几点： </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有效分离光伏板表面的灰尘、鸟粪、树叶等各种污物，确保清洁后板面干净</w:t>
      </w:r>
      <w:r>
        <w:rPr>
          <w:rFonts w:hint="eastAsia" w:ascii="宋体" w:hAnsi="宋体" w:eastAsia="宋体" w:cs="宋体"/>
          <w:sz w:val="24"/>
          <w:szCs w:val="24"/>
          <w:lang w:eastAsia="zh-CN"/>
        </w:rPr>
        <w:t>，</w:t>
      </w:r>
      <w:r>
        <w:rPr>
          <w:rFonts w:hint="eastAsia" w:ascii="宋体" w:hAnsi="宋体" w:eastAsia="宋体" w:cs="宋体"/>
          <w:sz w:val="24"/>
          <w:szCs w:val="24"/>
        </w:rPr>
        <w:t>从清洁流程入手，主要分类两类，对于积灰，拟采空中机器人喷水的清洁方式，需配有喷水装置。对于其他污渍采用污渍清洁方式，由于污渍清洁流程中拟包含着一次清洁与二次清洁，即清洁剂清洗与清水冲洗的两个步骤，需要喷出清水和清洗液两种性质不同的液体的喷头；从清洁环境出发，因为光伏板比较平滑，但其角度需要随着太阳光线进行调整，相对比较复杂，需要有能适应不同倾斜角度的清洁结构</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确保每天清扫面积:</w:t>
      </w:r>
      <w:r>
        <w:rPr>
          <w:rFonts w:hint="eastAsia" w:ascii="宋体" w:hAnsi="宋体" w:cs="宋体"/>
          <w:sz w:val="24"/>
          <w:szCs w:val="24"/>
          <w:lang w:val="en-US" w:eastAsia="zh-CN"/>
        </w:rPr>
        <w:t>320</w:t>
      </w:r>
      <w:r>
        <w:rPr>
          <w:rFonts w:hint="eastAsia" w:ascii="宋体" w:hAnsi="宋体" w:eastAsia="宋体" w:cs="宋体"/>
          <w:sz w:val="24"/>
          <w:szCs w:val="24"/>
          <w:lang w:val="en-US" w:eastAsia="zh-CN"/>
        </w:rPr>
        <w:t>㎡</w:t>
      </w:r>
      <w:r>
        <w:rPr>
          <w:rFonts w:hint="eastAsia" w:ascii="宋体" w:hAnsi="宋体" w:eastAsia="宋体" w:cs="宋体"/>
          <w:sz w:val="24"/>
          <w:szCs w:val="24"/>
        </w:rPr>
        <w:t>；从机身稳定来看，当空中机器人使用机载高压清洁时，需要一些平衡其受力状态的结构；从空中机器人本身载荷来考虑，需要尽可能减轻机构的自重。</w:t>
      </w:r>
      <w:r>
        <w:rPr>
          <w:rFonts w:hint="eastAsia" w:ascii="宋体" w:hAnsi="宋体" w:eastAsia="宋体" w:cs="宋体"/>
          <w:sz w:val="24"/>
          <w:szCs w:val="24"/>
          <w:lang w:val="en-US" w:eastAsia="zh-CN"/>
        </w:rPr>
        <w:t>另外充分采用智能化技术，确保具有智能识别污染物与平台边缘能力，自动规划尘粒分离路径。</w:t>
      </w:r>
    </w:p>
    <w:p>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2）硬件配置</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文方案综合以上4个注意点，拟由空中机器人配备清洁装置，情节装置喷水力度应当时钟，在保证清洁质量的同时减少对光伏板板面的损伤。同时基于空中机器人要求重心配平的特点，此方案采取中应考虑空中机器人工作时平衡问题。</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为保证空中机器人所选材料的轻便性能，以及提高空中机器人的清洁效率。尘板分离设备拟选用较为轻便的控制元件。</w:t>
      </w:r>
    </w:p>
    <w:p>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3）清洗顺序及方式</w:t>
      </w:r>
      <w:bookmarkStart w:id="72" w:name="OLE_LINK7"/>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清洁工作的顺序是从上到下，清洁效果更好、效率更高。为适应这样的功能，我们选择在机载高压喷枪作为清洁装置。喷头拟采用串联连接，两头拟连上多条水管分别输送清水及清洁液。这样的机构设计，不仅能依照清洁步骤错开清水和清洁液的喷出时间，同时也可减轻空中机器人的负重。整个清洁机构由上述部分组成，满足其功能需求的基础上，同时尽可能减少机构的重量也是一个重点考虑的部分。</w:t>
      </w:r>
      <w:bookmarkEnd w:id="72"/>
      <w:r>
        <w:rPr>
          <w:rFonts w:hint="eastAsia" w:ascii="宋体" w:hAnsi="宋体" w:eastAsia="宋体" w:cs="宋体"/>
          <w:sz w:val="24"/>
          <w:szCs w:val="24"/>
        </w:rPr>
        <w:t xml:space="preserve"> </w:t>
      </w:r>
    </w:p>
    <w:p>
      <w:pPr>
        <w:spacing w:line="360" w:lineRule="auto"/>
        <w:ind w:firstLine="482"/>
        <w:rPr>
          <w:rFonts w:hint="eastAsia" w:ascii="宋体" w:hAnsi="宋体" w:eastAsia="宋体" w:cs="宋体"/>
          <w:b/>
          <w:bCs/>
          <w:sz w:val="24"/>
          <w:szCs w:val="24"/>
          <w:lang w:val="zh-CN"/>
        </w:rPr>
      </w:pPr>
      <w:r>
        <w:rPr>
          <w:rFonts w:hint="eastAsia" w:ascii="宋体" w:hAnsi="宋体" w:eastAsia="宋体" w:cs="宋体"/>
          <w:b/>
          <w:bCs/>
          <w:sz w:val="24"/>
          <w:szCs w:val="24"/>
        </w:rPr>
        <w:t>4）</w:t>
      </w:r>
      <w:r>
        <w:rPr>
          <w:rFonts w:hint="eastAsia" w:ascii="宋体" w:hAnsi="宋体" w:eastAsia="宋体" w:cs="宋体"/>
          <w:b/>
          <w:bCs/>
          <w:sz w:val="24"/>
          <w:szCs w:val="24"/>
          <w:lang w:val="zh-CN"/>
        </w:rPr>
        <w:t>稳定机构</w:t>
      </w:r>
    </w:p>
    <w:p>
      <w:pPr>
        <w:spacing w:line="360" w:lineRule="auto"/>
        <w:ind w:firstLine="480" w:firstLineChars="200"/>
        <w:rPr>
          <w:rFonts w:hint="eastAsia" w:ascii="宋体" w:hAnsi="宋体" w:eastAsia="宋体" w:cs="宋体"/>
          <w:b w:val="0"/>
          <w:bCs w:val="0"/>
          <w:sz w:val="24"/>
          <w:szCs w:val="24"/>
        </w:rPr>
      </w:pPr>
      <w:r>
        <w:rPr>
          <w:rFonts w:hint="eastAsia" w:ascii="宋体" w:hAnsi="宋体" w:eastAsia="宋体" w:cs="宋体"/>
          <w:sz w:val="24"/>
          <w:szCs w:val="24"/>
        </w:rPr>
        <w:t>在实际使用时，空中机器人使用机载高压喷枪进行清洁时，受到的反冲力会造成空中机器人飞行控制系统不稳定，甚至失去平衡。所以要求我们在设计时，考虑到高压喷枪的反向冲击时，需要配有一个装置起到过渡稳定的作用。经过受力分析得知，空中机器人在飞向光伏板并使清洁机构清洁光伏板时，空中机器人受到一个垂直光伏板的力，又由于光伏板的倾斜角度，空中机器人将受到水平方向的分力。同时，在机载高压喷枪进行清洁的时候，拟考虑将点接触变为面接触，使得空中机器人进行清洁时工作更加稳定。这要求稳定机构能够保持平衡外，适当增加清洁液喷洒面积。在参考上述的要求以后，在空中机器人下方加装稳定装置，它们不仅具有稳定作用，还提供空中机器人初始喷洒清洁液时缓冲过渡。</w:t>
      </w:r>
      <w:r>
        <w:rPr>
          <w:rFonts w:hint="eastAsia" w:ascii="宋体" w:hAnsi="宋体" w:eastAsia="宋体" w:cs="宋体"/>
          <w:b w:val="0"/>
          <w:bCs w:val="0"/>
          <w:sz w:val="24"/>
          <w:szCs w:val="24"/>
        </w:rPr>
        <w:cr/>
      </w:r>
      <w:r>
        <w:rPr>
          <w:rStyle w:val="23"/>
          <w:rFonts w:hint="eastAsia" w:ascii="宋体" w:hAnsi="宋体" w:eastAsia="宋体" w:cs="宋体"/>
          <w:sz w:val="24"/>
          <w:szCs w:val="24"/>
        </w:rPr>
        <w:t>3.4运动学、动力学、MPC</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所选的空中机器人荷载较大，故选择较轻的材料作为清洁装置的设计，确保空中机器人一次飞行能够覆盖清洁一定数量的光伏组件。</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从清洁流程入手，主要分类两类，对于积灰，拟采用机载高压喷枪清洁的方式，需配有机载高压喷枪，使用清水进行清洁。对于其他污渍采用污渍清洁方式，由于污渍清洁流程中包含着一次清洁与二次清洁，即清洁剂清洗与清水冲洗的两个步骤，需要喷出清水和清洗液两种性质不同的液体的喷头；从清洁环境出发，因为光伏板比较平滑，但其角度需要随着太阳光线进行调整，相对比较复杂，需要有能适应不同倾斜角度的清洁结构；从机身稳定来看，当空中机器人喷洒清洁液或清水时，需要一些平衡其受力状态的结构；从空中机器人本身载荷来考虑，需要尽可能减轻机构的自重</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实际使用时，空中机器人使用机载高压喷枪进行清洁时，由于并不加装或改装支架，空中机器人在空中悬停清洁受到的反冲力会造成空中机器人飞行控制系统不稳定，甚至失去平衡。所以要求我们在设计时，考虑到高压喷枪的反向冲击时，需要配有一个装置起到过渡稳定的作用。经过受力分析得知，空中机器人在飞向光伏板并使清洁机构清洁光伏板时，空中机器人受到一个垂直光伏板的力，又由于光伏板的倾斜角度，空中机器人将受到水平方向的分力。在机载高压喷枪进行清洁的时候，我们考虑拟把点接触变为面接触，使得空中机器人进行清洁时工作更加稳定。这要求稳定机构能够保持平衡外，适当增加清洁液喷洒面积。</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此外设计相应算法对空中机器人在清洁时的稳定性是有效的。目前有多种控制算法已应用于空中机器人 , 如PID控制 ,LQ最优控制, 反演控制, 滑膜控制等。但是大都依赖于准确的模型 , 而光伏板清洁实践中常常难以建立精准的动态模型, 因此实际控制的效果反而不如线性控制效果好。 多旋翼空中机器人通过调整本体姿态实现空间灵活机动, 其中悬停飞行是实现其它飞行动作的基础, 因此, 设计一种简洁稳定且适应性强的控制器是推进空中机器人大规模应用的重要保障。因此拟针对空中机器人悬停的两个基本方面 , 即姿态稳定和高度跟踪控制进行了控 制算法设计。为方便演示，以下采用四旋翼进行说明，实际空中机器人选型拟以工程需要为准。</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空中机器人的4个旋翼电机固联在刚性十字交叉结构支架的末端。旋翼1、3 和 2、4分别组成两组动力系统,并以相反的方向旋转,当空中机器人处于悬停状态时,旋翼产生的总扭矩为零。</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通过改变旋翼的转速, 空中机器人就能实现各种动作。同时增加或减小4个旋翼的速度可产生垂直运动 , 以相反的方向改变旋翼2和4的速度 , 可产生滚转以及相应的侧向运动。同理,以相反的方向改变旋翼1和3的速度, 可以产生俯仰运动和相应的纵向运动。成对的改变旋翼1、3和旋翼2、4的速度 , 使得两组旋翼的总扭矩不为零, 就会产生偏航运动。</w:t>
      </w:r>
    </w:p>
    <w:p>
      <w:pPr>
        <w:spacing w:line="360" w:lineRule="auto"/>
        <w:rPr>
          <w:rFonts w:hint="eastAsia" w:ascii="宋体" w:hAnsi="宋体" w:eastAsia="宋体" w:cs="宋体"/>
          <w:b w:val="0"/>
          <w:bCs w:val="0"/>
          <w:sz w:val="24"/>
          <w:szCs w:val="24"/>
        </w:rPr>
      </w:pPr>
      <w:r>
        <w:rPr>
          <w:rStyle w:val="24"/>
          <w:rFonts w:hint="eastAsia" w:ascii="宋体" w:hAnsi="宋体" w:eastAsia="宋体" w:cs="宋体"/>
          <w:sz w:val="24"/>
          <w:szCs w:val="24"/>
        </w:rPr>
        <w:t>4</w:t>
      </w:r>
      <w:r>
        <w:rPr>
          <w:rStyle w:val="24"/>
          <w:rFonts w:hint="eastAsia" w:ascii="宋体" w:hAnsi="宋体" w:eastAsia="宋体" w:cs="宋体"/>
          <w:sz w:val="24"/>
          <w:szCs w:val="24"/>
          <w:lang w:val="en-US" w:eastAsia="zh-CN"/>
        </w:rPr>
        <w:t>.</w:t>
      </w:r>
      <w:r>
        <w:rPr>
          <w:rStyle w:val="24"/>
          <w:rFonts w:hint="eastAsia" w:ascii="宋体" w:hAnsi="宋体" w:eastAsia="宋体" w:cs="宋体"/>
          <w:sz w:val="24"/>
          <w:szCs w:val="24"/>
          <w:lang w:val="en-US" w:eastAsia="zh-CN"/>
        </w:rPr>
        <w:tab/>
      </w:r>
      <w:r>
        <w:rPr>
          <w:rStyle w:val="24"/>
          <w:rFonts w:hint="eastAsia" w:ascii="宋体" w:hAnsi="宋体" w:eastAsia="宋体" w:cs="宋体"/>
          <w:sz w:val="24"/>
          <w:szCs w:val="24"/>
          <w:lang w:val="en-US" w:eastAsia="zh-CN"/>
        </w:rPr>
        <w:tab/>
      </w:r>
      <w:r>
        <w:rPr>
          <w:rStyle w:val="24"/>
          <w:rFonts w:hint="eastAsia" w:ascii="宋体" w:hAnsi="宋体" w:eastAsia="宋体" w:cs="宋体"/>
          <w:sz w:val="24"/>
          <w:szCs w:val="24"/>
        </w:rPr>
        <w:t>尘板分离智慧管理平台</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实际应用场景中，光伏电站的规模不断增大，光伏板数量不断增加，使得清洁工作变得更加困难。因此，需要一种能够自动化、智能化地完成光伏板清洁工作的系统来代替人工清洁。虽然清洁机器人可以使清洁工作简单化，但机器人数量增多时，对机器人的管理问题将更加的凸显，因而这个系统需要一个智慧管理平台，可以对机器人的清洁活动进行管理、并且同时对清洁时的各个数据进行实时监控和管理，保证系统正常运行。</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同时，智慧管理平台也可以帮助管理人员更好地掌握光伏电站的运行情况，及时采取措施解决问题，提高发电效率和光伏电站的经济效益。因此，智慧管理平台对于光伏板清洁系统的实现和运营来说是至关重要的。</w:t>
      </w:r>
    </w:p>
    <w:p>
      <w:pPr>
        <w:spacing w:line="360" w:lineRule="auto"/>
        <w:ind w:firstLine="480"/>
        <w:rPr>
          <w:rFonts w:hint="eastAsia" w:ascii="宋体" w:hAnsi="宋体" w:eastAsia="宋体" w:cs="宋体"/>
          <w:b w:val="0"/>
          <w:bCs w:val="0"/>
          <w:sz w:val="24"/>
          <w:szCs w:val="24"/>
        </w:rPr>
      </w:pPr>
      <w:r>
        <w:rPr>
          <w:rFonts w:hint="eastAsia" w:ascii="宋体" w:hAnsi="宋体" w:eastAsia="宋体" w:cs="宋体"/>
          <w:sz w:val="24"/>
          <w:szCs w:val="24"/>
        </w:rPr>
        <w:t>光伏电站的管理通常依赖于人员操控模式，这种模式可能无法满足可靠、高效的精益化管理要求，同时人工管理模式也面临着许多局限性。因此，研究如何利用一种新型、智能化、高效化的智慧管理平台来提高光伏阵列清洁系统的效率，具有非常重要的意义。通过智慧管理平台，可以实时分析和收集来自光伏阵列清洁系统的各种数据，并对这些数据进行处理和解读。这样可以为管理人员提供一个全面的、实时的、可视化的数据分析平台，帮助他们更好地了解光伏阵列的实时运行状态、优化光伏阵列清洁机器人的行动路径，提高清洁效率、降低管理成本。除此之外，智慧管理平台还可以提供人机交互界面，方便管理人员进行手动控制和调整，以保证光伏阵列清洁系统的正常运行。总之，智慧管理平台可以为光伏阵列清洁系统提供更加智能、高效、可靠的管理模式，保障电力系统的安全稳定运行，并节约电厂管理成本。</w:t>
      </w:r>
      <w:r>
        <w:rPr>
          <w:rFonts w:hint="eastAsia" w:ascii="宋体" w:hAnsi="宋体" w:eastAsia="宋体" w:cs="宋体"/>
          <w:b w:val="0"/>
          <w:bCs w:val="0"/>
          <w:sz w:val="24"/>
          <w:szCs w:val="24"/>
        </w:rPr>
        <w:cr/>
      </w:r>
      <w:r>
        <w:rPr>
          <w:rStyle w:val="23"/>
          <w:rFonts w:hint="eastAsia" w:ascii="宋体" w:hAnsi="宋体" w:eastAsia="宋体" w:cs="宋体"/>
          <w:sz w:val="24"/>
          <w:szCs w:val="24"/>
        </w:rPr>
        <w:t>4.1数据采集</w:t>
      </w:r>
    </w:p>
    <w:p>
      <w:pPr>
        <w:spacing w:line="360" w:lineRule="auto"/>
        <w:ind w:firstLine="480"/>
        <w:rPr>
          <w:rFonts w:hint="eastAsia" w:ascii="宋体" w:hAnsi="宋体" w:eastAsia="宋体" w:cs="宋体"/>
          <w:b w:val="0"/>
          <w:bCs w:val="0"/>
          <w:sz w:val="24"/>
          <w:szCs w:val="24"/>
        </w:rPr>
      </w:pPr>
      <w:r>
        <w:rPr>
          <w:rFonts w:hint="eastAsia" w:ascii="宋体" w:hAnsi="宋体" w:eastAsia="宋体" w:cs="宋体"/>
          <w:sz w:val="24"/>
          <w:szCs w:val="24"/>
        </w:rPr>
        <w:t>负责收集光伏阵列的各种实时数据，包括光谱、辐照、温度、积灰、污渍等。数据采集模块需要能够及时、准确地获取数据，并能够处理数据的质量和时效性问题。</w:t>
      </w:r>
      <w:r>
        <w:rPr>
          <w:rFonts w:hint="eastAsia" w:ascii="宋体" w:hAnsi="宋体" w:eastAsia="宋体" w:cs="宋体"/>
          <w:sz w:val="24"/>
          <w:szCs w:val="24"/>
          <w:lang w:val="en-US" w:eastAsia="zh-CN"/>
        </w:rPr>
        <w:t>同时，进行</w:t>
      </w:r>
      <w:r>
        <w:rPr>
          <w:rFonts w:hint="eastAsia" w:ascii="宋体" w:hAnsi="宋体" w:eastAsia="宋体" w:cs="宋体"/>
          <w:sz w:val="24"/>
          <w:szCs w:val="24"/>
        </w:rPr>
        <w:t>对采集的数据进行预处理、清洗和整理，使其符合后续分析和建模的要求。数据处理模块需要能够自动化地进行数据清洗、去噪和异常值检测，以提高数据的质量和可信度。</w:t>
      </w:r>
      <w:r>
        <w:rPr>
          <w:rFonts w:hint="eastAsia" w:ascii="宋体" w:hAnsi="宋体" w:eastAsia="宋体" w:cs="宋体"/>
          <w:b w:val="0"/>
          <w:bCs w:val="0"/>
          <w:sz w:val="24"/>
          <w:szCs w:val="24"/>
        </w:rPr>
        <w:cr/>
      </w:r>
      <w:r>
        <w:rPr>
          <w:rStyle w:val="23"/>
          <w:rFonts w:hint="eastAsia" w:ascii="宋体" w:hAnsi="宋体" w:eastAsia="宋体" w:cs="宋体"/>
          <w:sz w:val="24"/>
          <w:szCs w:val="24"/>
        </w:rPr>
        <w:t>4.2数据分析</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对采集的数据进行分析和建模，以识别和分析光伏阵列的实时工作状态和发电性能，从而确定光伏阵列清洁的优先级和清洁策略。数据分析与建模模块需要具备一定的统计学和机器学习知识，以能够应对复杂的数据分析和建模任务。</w:t>
      </w:r>
    </w:p>
    <w:p>
      <w:pPr>
        <w:pStyle w:val="6"/>
        <w:spacing w:line="360" w:lineRule="auto"/>
        <w:ind w:firstLine="420"/>
        <w:jc w:val="both"/>
        <w:rPr>
          <w:rFonts w:hint="eastAsia" w:ascii="宋体" w:hAnsi="宋体" w:eastAsia="宋体" w:cs="宋体"/>
          <w:spacing w:val="0"/>
          <w:sz w:val="24"/>
          <w:szCs w:val="24"/>
        </w:rPr>
      </w:pPr>
      <w:r>
        <w:rPr>
          <w:rFonts w:hint="eastAsia" w:ascii="宋体" w:hAnsi="宋体" w:eastAsia="宋体" w:cs="宋体"/>
          <w:spacing w:val="0"/>
          <w:sz w:val="24"/>
          <w:szCs w:val="24"/>
        </w:rPr>
        <w:t>数据实时监测和分析功能是该平台的核心功能之一，可以实时收集来自光伏阵列清洁系统各个模块的数据，并对这些数据进行处理和分析，以便于管理员了解光伏阵列清洁系统的状态和性能。模块拟包含以下子功能：</w:t>
      </w:r>
    </w:p>
    <w:p>
      <w:pPr>
        <w:pStyle w:val="6"/>
        <w:spacing w:line="360" w:lineRule="auto"/>
        <w:jc w:val="both"/>
        <w:rPr>
          <w:rFonts w:hint="eastAsia" w:ascii="宋体" w:hAnsi="宋体" w:eastAsia="宋体" w:cs="宋体"/>
          <w:spacing w:val="0"/>
          <w:sz w:val="24"/>
          <w:szCs w:val="24"/>
        </w:rPr>
      </w:pPr>
      <w:r>
        <w:rPr>
          <w:rFonts w:hint="eastAsia" w:ascii="宋体" w:hAnsi="宋体" w:eastAsia="宋体" w:cs="宋体"/>
          <w:sz w:val="24"/>
          <w:szCs w:val="24"/>
        </w:rPr>
        <w:t>（1）</w:t>
      </w:r>
      <w:r>
        <w:rPr>
          <w:rFonts w:hint="eastAsia" w:ascii="宋体" w:hAnsi="宋体" w:eastAsia="宋体" w:cs="宋体"/>
          <w:spacing w:val="0"/>
          <w:sz w:val="24"/>
          <w:szCs w:val="24"/>
        </w:rPr>
        <w:t>实时数据采集：通过传感器和监测设备，实时采集光伏阵列清洁系统的各种数据，如温度、辐照度、电压、电流等。</w:t>
      </w:r>
    </w:p>
    <w:p>
      <w:pPr>
        <w:pStyle w:val="6"/>
        <w:spacing w:line="360" w:lineRule="auto"/>
        <w:jc w:val="both"/>
        <w:rPr>
          <w:rFonts w:hint="eastAsia" w:ascii="宋体" w:hAnsi="宋体" w:eastAsia="宋体" w:cs="宋体"/>
          <w:spacing w:val="0"/>
          <w:sz w:val="24"/>
          <w:szCs w:val="24"/>
        </w:rPr>
      </w:pPr>
      <w:r>
        <w:rPr>
          <w:rFonts w:hint="eastAsia" w:ascii="宋体" w:hAnsi="宋体" w:eastAsia="宋体" w:cs="宋体"/>
          <w:sz w:val="24"/>
          <w:szCs w:val="24"/>
        </w:rPr>
        <w:t>（2）</w:t>
      </w:r>
      <w:r>
        <w:rPr>
          <w:rFonts w:hint="eastAsia" w:ascii="宋体" w:hAnsi="宋体" w:eastAsia="宋体" w:cs="宋体"/>
          <w:spacing w:val="0"/>
          <w:sz w:val="24"/>
          <w:szCs w:val="24"/>
        </w:rPr>
        <w:t>数据存储：将采集到的数据存储在数据库中，以便后续分析和处理。</w:t>
      </w:r>
    </w:p>
    <w:p>
      <w:pPr>
        <w:pStyle w:val="6"/>
        <w:spacing w:line="360" w:lineRule="auto"/>
        <w:jc w:val="both"/>
        <w:rPr>
          <w:rFonts w:hint="eastAsia" w:ascii="宋体" w:hAnsi="宋体" w:eastAsia="宋体" w:cs="宋体"/>
          <w:spacing w:val="0"/>
          <w:sz w:val="24"/>
          <w:szCs w:val="24"/>
        </w:rPr>
      </w:pPr>
      <w:r>
        <w:rPr>
          <w:rFonts w:hint="eastAsia" w:ascii="宋体" w:hAnsi="宋体" w:eastAsia="宋体" w:cs="宋体"/>
          <w:sz w:val="24"/>
          <w:szCs w:val="24"/>
        </w:rPr>
        <w:t>（3）</w:t>
      </w:r>
      <w:r>
        <w:rPr>
          <w:rFonts w:hint="eastAsia" w:ascii="宋体" w:hAnsi="宋体" w:eastAsia="宋体" w:cs="宋体"/>
          <w:spacing w:val="0"/>
          <w:sz w:val="24"/>
          <w:szCs w:val="24"/>
        </w:rPr>
        <w:t>数据处理和分析：对采集到的数据进行处理和分析，例如计算光伏阵列的实时发电量、功率、PR值、损失等。</w:t>
      </w:r>
    </w:p>
    <w:p>
      <w:pPr>
        <w:pStyle w:val="6"/>
        <w:spacing w:line="360" w:lineRule="auto"/>
        <w:jc w:val="both"/>
        <w:rPr>
          <w:rFonts w:hint="eastAsia" w:ascii="宋体" w:hAnsi="宋体" w:eastAsia="宋体" w:cs="宋体"/>
          <w:spacing w:val="0"/>
          <w:sz w:val="24"/>
          <w:szCs w:val="24"/>
        </w:rPr>
      </w:pPr>
      <w:r>
        <w:rPr>
          <w:rFonts w:hint="eastAsia" w:ascii="宋体" w:hAnsi="宋体" w:eastAsia="宋体" w:cs="宋体"/>
          <w:sz w:val="24"/>
          <w:szCs w:val="24"/>
        </w:rPr>
        <w:t>（4）</w:t>
      </w:r>
      <w:r>
        <w:rPr>
          <w:rFonts w:hint="eastAsia" w:ascii="宋体" w:hAnsi="宋体" w:eastAsia="宋体" w:cs="宋体"/>
          <w:spacing w:val="0"/>
          <w:sz w:val="24"/>
          <w:szCs w:val="24"/>
        </w:rPr>
        <w:t>实时监控：通过可视化界面，实时监控光伏阵列清洁系统的各项数据和状态，包括电量、功率、温度、辐照度、PR值等，同时可以对比不同时间段的数据，以便于管理员对光伏阵列清洁系统的运行情况进行全面的分析和评估。</w:t>
      </w:r>
    </w:p>
    <w:p>
      <w:pPr>
        <w:pStyle w:val="6"/>
        <w:spacing w:line="360" w:lineRule="auto"/>
        <w:jc w:val="both"/>
        <w:rPr>
          <w:rFonts w:hint="eastAsia" w:ascii="宋体" w:hAnsi="宋体" w:eastAsia="宋体" w:cs="宋体"/>
          <w:spacing w:val="0"/>
          <w:sz w:val="24"/>
          <w:szCs w:val="24"/>
        </w:rPr>
      </w:pPr>
      <w:r>
        <w:rPr>
          <w:rFonts w:hint="eastAsia" w:ascii="宋体" w:hAnsi="宋体" w:eastAsia="宋体" w:cs="宋体"/>
          <w:sz w:val="24"/>
          <w:szCs w:val="24"/>
        </w:rPr>
        <w:t>（5）</w:t>
      </w:r>
      <w:r>
        <w:rPr>
          <w:rFonts w:hint="eastAsia" w:ascii="宋体" w:hAnsi="宋体" w:eastAsia="宋体" w:cs="宋体"/>
          <w:spacing w:val="0"/>
          <w:sz w:val="24"/>
          <w:szCs w:val="24"/>
        </w:rPr>
        <w:t>报警机制：当光伏阵列清洁系统出现异常情况时，及时向管理员发出警报，并提供相应的处理建议，以避免系统发生故障。</w:t>
      </w:r>
    </w:p>
    <w:p>
      <w:pPr>
        <w:pStyle w:val="6"/>
        <w:spacing w:line="360" w:lineRule="auto"/>
        <w:jc w:val="both"/>
        <w:rPr>
          <w:rFonts w:hint="eastAsia" w:ascii="宋体" w:hAnsi="宋体" w:eastAsia="宋体" w:cs="宋体"/>
          <w:spacing w:val="0"/>
          <w:sz w:val="24"/>
          <w:szCs w:val="24"/>
        </w:rPr>
      </w:pPr>
      <w:r>
        <w:rPr>
          <w:rFonts w:hint="eastAsia" w:ascii="宋体" w:hAnsi="宋体" w:eastAsia="宋体" w:cs="宋体"/>
          <w:sz w:val="24"/>
          <w:szCs w:val="24"/>
        </w:rPr>
        <w:t>（6）</w:t>
      </w:r>
      <w:r>
        <w:rPr>
          <w:rFonts w:hint="eastAsia" w:ascii="宋体" w:hAnsi="宋体" w:eastAsia="宋体" w:cs="宋体"/>
          <w:spacing w:val="0"/>
          <w:sz w:val="24"/>
          <w:szCs w:val="24"/>
        </w:rPr>
        <w:t>数据可视化：将采集到的数据以图表等形式呈现，以便管理员直观地了解光伏阵列清洁系统的运行情况。</w:t>
      </w:r>
    </w:p>
    <w:p>
      <w:pPr>
        <w:spacing w:line="360" w:lineRule="auto"/>
        <w:ind w:firstLine="480"/>
        <w:rPr>
          <w:rFonts w:hint="eastAsia" w:ascii="宋体" w:hAnsi="宋体" w:eastAsia="宋体" w:cs="宋体"/>
          <w:b w:val="0"/>
          <w:bCs w:val="0"/>
          <w:sz w:val="24"/>
          <w:szCs w:val="24"/>
        </w:rPr>
      </w:pPr>
      <w:r>
        <w:rPr>
          <w:rFonts w:hint="eastAsia" w:ascii="宋体" w:hAnsi="宋体" w:eastAsia="宋体" w:cs="宋体"/>
          <w:spacing w:val="0"/>
          <w:sz w:val="24"/>
          <w:szCs w:val="24"/>
        </w:rPr>
        <w:t>通过实时监测和分析光伏阵列清洁系统的各项数据，管理员可以及时了解系统的运行情况，识别问题并采取相应的措施，提高系统的效率和可靠性，保障光伏电站的稳定运行。</w:t>
      </w:r>
      <w:r>
        <w:rPr>
          <w:rFonts w:hint="eastAsia" w:ascii="宋体" w:hAnsi="宋体" w:eastAsia="宋体" w:cs="宋体"/>
          <w:b w:val="0"/>
          <w:bCs w:val="0"/>
          <w:sz w:val="24"/>
          <w:szCs w:val="24"/>
        </w:rPr>
        <w:cr/>
      </w:r>
      <w:r>
        <w:rPr>
          <w:rStyle w:val="23"/>
          <w:rFonts w:hint="eastAsia" w:ascii="宋体" w:hAnsi="宋体" w:eastAsia="宋体" w:cs="宋体"/>
          <w:sz w:val="24"/>
          <w:szCs w:val="24"/>
        </w:rPr>
        <w:t>4.3运维管理</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智慧管理平台也可以帮助管理人员更好地掌握光伏电站的运行情况，及时采取措施解决问题，提高发电效率和光伏电站的经济效益。因此，智慧管理平台对于光伏板清洁系统的实现和运营来说是至关重要的。</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光伏电站的管理通常依赖于人员操控模式，这种模式可能无法满足可靠、高效的精益化管理要求，同时人工管理模式也面临着许多局限性。因此，研究如何利用一种新型、智能化、高效化的智慧管理平台来提高光伏阵列清洁系统的效率，具有非常重要的意义。通过智慧管理平台，可以实时分析和收集来自光伏阵列清洁系统的各种数据，并对这些数据进行处理和解读。这样可以为管理人员提供一个全面的、实时的、可视化的数据分析平台，帮助他们更好地了解光伏阵列的实时运行状态、优化光伏阵列清洁机器人的行动路径，提高清洁效率、降低管理成本。除此之外，智慧管理平台还可以提供人机交互界面，方便管理人员进行手动控制和调整，以保证光伏阵列清洁系统的正常运行。总之，智慧管理平台可以为光伏阵列清洁系统提供更加智能、高效、可靠的管理模式，保障电力系统的安全稳定运行，并节约电厂管理成本。</w:t>
      </w:r>
    </w:p>
    <w:p>
      <w:pPr>
        <w:pStyle w:val="5"/>
        <w:numPr>
          <w:ilvl w:val="0"/>
          <w:numId w:val="0"/>
        </w:numPr>
        <w:bidi w:val="0"/>
        <w:ind w:leftChars="0"/>
        <w:rPr>
          <w:rFonts w:hint="eastAsia" w:ascii="宋体" w:hAnsi="宋体" w:eastAsia="宋体" w:cs="宋体"/>
          <w:sz w:val="24"/>
          <w:szCs w:val="24"/>
        </w:rPr>
      </w:pPr>
      <w:r>
        <w:rPr>
          <w:rFonts w:hint="eastAsia" w:ascii="宋体" w:hAnsi="宋体" w:eastAsia="宋体" w:cs="宋体"/>
          <w:sz w:val="24"/>
          <w:szCs w:val="24"/>
        </w:rPr>
        <w:t>4.4优化调度</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平台可以根据不同阵列的清洁需求、天气预报、机器人状态等信息，自动规划机器人的飞行轨迹，实现最优的清洁效果和工作效率。</w:t>
      </w:r>
      <w:r>
        <w:rPr>
          <w:rFonts w:hint="eastAsia" w:ascii="宋体" w:hAnsi="宋体" w:eastAsia="宋体" w:cs="宋体"/>
          <w:sz w:val="24"/>
          <w:szCs w:val="24"/>
          <w:lang w:val="en-US" w:eastAsia="zh-CN"/>
        </w:rPr>
        <w:t>拟</w:t>
      </w:r>
      <w:r>
        <w:rPr>
          <w:rFonts w:hint="eastAsia" w:ascii="宋体" w:hAnsi="宋体" w:eastAsia="宋体" w:cs="宋体"/>
          <w:sz w:val="24"/>
          <w:szCs w:val="24"/>
        </w:rPr>
        <w:t>利用人工智能技术</w:t>
      </w:r>
      <w:r>
        <w:rPr>
          <w:rFonts w:hint="eastAsia" w:ascii="宋体" w:hAnsi="宋体" w:eastAsia="宋体" w:cs="宋体"/>
          <w:sz w:val="24"/>
          <w:szCs w:val="24"/>
          <w:lang w:val="en-US" w:eastAsia="zh-CN"/>
        </w:rPr>
        <w:t>进行优化调度</w:t>
      </w:r>
      <w:r>
        <w:rPr>
          <w:rFonts w:hint="eastAsia" w:ascii="宋体" w:hAnsi="宋体" w:eastAsia="宋体" w:cs="宋体"/>
          <w:sz w:val="24"/>
          <w:szCs w:val="24"/>
        </w:rPr>
        <w:t>智能生成局部或全局光伏阵列清洁策略。这些策略可以通过机器学习算法和大数据分析来制定，以最大程度地提高光伏系统的发电效率和维护成本效益。例如，可以利用历史数据和实时监测信息来预测未来的光伏板清洁需求，并为每个光伏阵列生成最佳的清洁方案。</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系统使用过程中，智慧管理平台需要能够规划清洁机器人的飞行轨迹，根据不同的光伏阵列状态进行调整，以达到最佳的清洁效果。同时，平台需要具备控制清洁机器人的能力，可以通过远程控制机器人的行动，避免人员进入危险区域。同时平台为满足数据的可视化，需要设计直观易懂的可视化界面，将数据呈现出来，方便管理人员了解光伏阵列的状态和清洁机器人的工作情况，同时，也可以对数据进行实时监控和分析。</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平台需要有一个方便管理人员操作的界面，可以进行人机交互，实现远程控制和调整，方便管理人员对光伏阵列清洁系统进行监管和管理。平台需要采用人工智能技术，能够根据数据分析结果智能生成清洁策略，并根据实际情况进行动态调整，提高清洁效率和性能。</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智慧管理平台以较小的成本大大增加系统的可操作性，具备有数据采集、处理、规划、控制、可视化呈现和人机操作等多种功能，并且具有人工智能技术，能够提高光伏阵列清洁系统的效率和性能，减少人力成本，为保障电力系统的安全稳定运行提供有力支持</w:t>
      </w:r>
    </w:p>
    <w:p>
      <w:pPr>
        <w:pStyle w:val="5"/>
        <w:numPr>
          <w:ilvl w:val="0"/>
          <w:numId w:val="0"/>
        </w:numPr>
        <w:bidi w:val="0"/>
        <w:ind w:leftChars="0"/>
        <w:rPr>
          <w:rFonts w:hint="eastAsia" w:ascii="宋体" w:hAnsi="宋体" w:eastAsia="宋体" w:cs="宋体"/>
          <w:sz w:val="24"/>
          <w:szCs w:val="24"/>
        </w:rPr>
      </w:pPr>
      <w:r>
        <w:rPr>
          <w:rFonts w:hint="eastAsia" w:ascii="宋体" w:hAnsi="宋体" w:eastAsia="宋体" w:cs="宋体"/>
          <w:sz w:val="24"/>
          <w:szCs w:val="24"/>
        </w:rPr>
        <w:t>4.5移动服务</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空中机器人执行全局清洁或局部清洁任务时，拟智能规划自身电量及清洁液储量，当自身电量或清洁液储量将要告罄时，拟自动规划路线飞行至固定点位蓄装清洁液及电池的简便性，同时拟发出返回信号，能够大大降低人员操作的成本。</w:t>
      </w:r>
    </w:p>
    <w:p>
      <w:pPr>
        <w:spacing w:line="360" w:lineRule="auto"/>
        <w:ind w:firstLine="480"/>
        <w:rPr>
          <w:rFonts w:hint="eastAsia" w:ascii="宋体" w:hAnsi="宋体" w:eastAsia="宋体" w:cs="宋体"/>
          <w:b w:val="0"/>
          <w:bCs w:val="0"/>
          <w:sz w:val="24"/>
          <w:szCs w:val="24"/>
        </w:rPr>
      </w:pPr>
      <w:r>
        <w:rPr>
          <w:rFonts w:hint="eastAsia" w:ascii="宋体" w:hAnsi="宋体" w:eastAsia="宋体" w:cs="宋体"/>
          <w:sz w:val="24"/>
          <w:szCs w:val="24"/>
        </w:rPr>
        <w:t>管理平台</w:t>
      </w:r>
      <w:r>
        <w:rPr>
          <w:rFonts w:hint="eastAsia" w:ascii="宋体" w:hAnsi="宋体" w:eastAsia="宋体" w:cs="宋体"/>
          <w:sz w:val="24"/>
          <w:szCs w:val="24"/>
          <w:lang w:val="en-US" w:eastAsia="zh-CN"/>
        </w:rPr>
        <w:t>拟</w:t>
      </w:r>
      <w:r>
        <w:rPr>
          <w:rFonts w:hint="eastAsia" w:ascii="宋体" w:hAnsi="宋体" w:eastAsia="宋体" w:cs="宋体"/>
          <w:sz w:val="24"/>
          <w:szCs w:val="24"/>
        </w:rPr>
        <w:t>具备数据分析和规划、可视化、人机交互界面、数据存储和处理、安全性、稳定性及简便性等方面的功能，以便实现对光伏阵列清洁系统的智能管理。</w:t>
      </w:r>
      <w:r>
        <w:rPr>
          <w:rFonts w:hint="eastAsia" w:ascii="宋体" w:hAnsi="宋体" w:eastAsia="宋体" w:cs="宋体"/>
          <w:b w:val="0"/>
          <w:bCs w:val="0"/>
          <w:sz w:val="24"/>
          <w:szCs w:val="24"/>
        </w:rPr>
        <w:cr/>
      </w:r>
      <w:r>
        <w:rPr>
          <w:rStyle w:val="23"/>
          <w:rFonts w:hint="eastAsia" w:ascii="宋体" w:hAnsi="宋体" w:eastAsia="宋体" w:cs="宋体"/>
          <w:sz w:val="24"/>
          <w:szCs w:val="24"/>
        </w:rPr>
        <w:t>4.6可视化显示</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智慧管理平台中重要的组成部分，通过该界面，用户可以与系统进行交互，实现对光伏阵列清洁系统的管理和控制。人机交互界面经过精心的设计，以提高用户的使用体验和操作效率。</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在人机交互界面的设计中，拟考虑以下几个方面：</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1.界面布局设计：尽可能地简洁明了地设计界面布局，合理地安排各种功能模块，可以方便地找到所需要的功能，使用户一目了然地了解整个系统的结构和功能。</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功能导航设计：拟设计功能导航，功能导航设计是用户进入系统后第一步需要面对的问题，它关系到用户是否能够快速找到自己需要的功能。因此，需要将功能导航设计得简单明了，让用户可以快速定位到所需的功能。</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3.数据可视化设计：为方便用户查看和分析数据，拟将数据可视化呈现。数据可视化设计时将注意色彩搭配、图表设计、数据展示方式等因素，使用户能够直观地了解数据情况。</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4.交互反馈设计：用户操作后需要得到系统的反馈信息，以便于确认操作结果是否符合预期。因此，拟在界面中加入交互反馈设计，使用户可以清楚地了解自己的操作结果。</w:t>
      </w:r>
    </w:p>
    <w:p>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5.操作提示设计：对于新用户来说，需要提供一些操作提示，帮助用户快速上手使用系统。操作提示设计需要注意语言简单明了、易于理解，让用户可以快速掌握系统的使用方法。</w:t>
      </w:r>
    </w:p>
    <w:p>
      <w:pPr>
        <w:pStyle w:val="22"/>
        <w:rPr>
          <w:rFonts w:hint="eastAsia" w:ascii="宋体" w:hAnsi="宋体" w:eastAsia="宋体" w:cs="宋体"/>
          <w:sz w:val="24"/>
          <w:szCs w:val="24"/>
        </w:rPr>
      </w:pPr>
    </w:p>
    <w:p>
      <w:pPr>
        <w:pStyle w:val="3"/>
        <w:numPr>
          <w:ilvl w:val="0"/>
          <w:numId w:val="0"/>
        </w:numPr>
        <w:ind w:left="420" w:leftChars="0" w:hanging="420" w:firstLineChars="0"/>
        <w:rPr>
          <w:rFonts w:hint="eastAsia" w:ascii="宋体" w:hAnsi="宋体" w:eastAsia="宋体" w:cs="宋体"/>
          <w:sz w:val="24"/>
          <w:szCs w:val="24"/>
        </w:rPr>
      </w:pPr>
      <w:bookmarkStart w:id="73" w:name="_Toc41384125"/>
      <w:bookmarkStart w:id="74" w:name="_Toc31592"/>
      <w:bookmarkStart w:id="75" w:name="_Toc148175935"/>
      <w:bookmarkStart w:id="76" w:name="_Toc91832187"/>
      <w:bookmarkStart w:id="77" w:name="_Toc6228"/>
      <w:r>
        <w:rPr>
          <w:rFonts w:hint="eastAsia" w:ascii="宋体" w:hAnsi="宋体" w:eastAsia="宋体" w:cs="宋体"/>
          <w:b/>
          <w:bCs w:val="0"/>
          <w:i w:val="0"/>
          <w:iCs w:val="0"/>
          <w:caps w:val="0"/>
          <w:smallCaps w:val="0"/>
          <w:strike w:val="0"/>
          <w:dstrike w:val="0"/>
          <w:vanish w:val="0"/>
          <w:color w:val="000000"/>
          <w:spacing w:val="0"/>
          <w:kern w:val="2"/>
          <w:position w:val="0"/>
          <w:sz w:val="24"/>
          <w:szCs w:val="24"/>
          <w:u w:val="none"/>
          <w:vertAlign w:val="baseline"/>
          <w:lang w:val="en-US" w:eastAsia="zh-CN" w:bidi="ar-SA"/>
          <w14:ligatures w14:val="none"/>
          <w14:numForm w14:val="default"/>
          <w14:numSpacing w14:val="default"/>
        </w:rPr>
        <w:t>(五)</w:t>
      </w:r>
      <w:r>
        <w:rPr>
          <w:rFonts w:hint="eastAsia" w:ascii="宋体" w:hAnsi="宋体" w:eastAsia="宋体" w:cs="宋体"/>
          <w:sz w:val="24"/>
          <w:szCs w:val="24"/>
        </w:rPr>
        <w:t>技术指标及实施要求</w:t>
      </w:r>
      <w:bookmarkEnd w:id="73"/>
      <w:bookmarkEnd w:id="74"/>
      <w:bookmarkEnd w:id="75"/>
      <w:bookmarkEnd w:id="76"/>
      <w:bookmarkEnd w:id="77"/>
    </w:p>
    <w:p>
      <w:pPr>
        <w:pStyle w:val="21"/>
        <w:numPr>
          <w:ilvl w:val="0"/>
          <w:numId w:val="0"/>
        </w:numPr>
        <w:tabs>
          <w:tab w:val="left" w:pos="960"/>
        </w:tabs>
        <w:ind w:left="420" w:leftChars="0" w:hanging="420" w:firstLineChars="0"/>
        <w:rPr>
          <w:rFonts w:hint="eastAsia" w:ascii="宋体" w:hAnsi="宋体" w:eastAsia="宋体" w:cs="宋体"/>
          <w:sz w:val="24"/>
          <w:szCs w:val="24"/>
        </w:rPr>
      </w:pPr>
      <w:bookmarkStart w:id="78" w:name="_Toc41384126"/>
      <w:bookmarkStart w:id="79" w:name="_Toc91832188"/>
      <w:bookmarkStart w:id="80" w:name="_Toc4806"/>
      <w:bookmarkStart w:id="81" w:name="_Toc148175936"/>
      <w:r>
        <w:rPr>
          <w:rFonts w:hint="eastAsia" w:ascii="宋体" w:hAnsi="宋体" w:eastAsia="宋体" w:cs="宋体"/>
          <w:b/>
          <w:bCs w:val="0"/>
          <w:kern w:val="0"/>
          <w:sz w:val="24"/>
          <w:szCs w:val="24"/>
          <w:lang w:val="en-US" w:eastAsia="zh-CN" w:bidi="ar-SA"/>
        </w:rPr>
        <w:t>1.</w:t>
      </w:r>
      <w:r>
        <w:rPr>
          <w:rFonts w:hint="eastAsia" w:ascii="宋体" w:hAnsi="宋体" w:eastAsia="宋体" w:cs="宋体"/>
          <w:sz w:val="24"/>
          <w:szCs w:val="24"/>
        </w:rPr>
        <w:t>预期目标与考核指标</w:t>
      </w:r>
      <w:bookmarkEnd w:id="78"/>
      <w:bookmarkEnd w:id="79"/>
      <w:bookmarkEnd w:id="80"/>
      <w:bookmarkEnd w:id="81"/>
    </w:p>
    <w:p>
      <w:p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rPr>
        <w:t>全面提升光伏板块整体数字化、信息化、智能化水平，降低度电成本，提升管理效率，减少发电损失，构建光伏行业技术性管理思维与技术能力，满足光伏场站“区域维检，无人值守”的管理要求。</w:t>
      </w:r>
    </w:p>
    <w:p>
      <w:pPr>
        <w:numPr>
          <w:ilvl w:val="0"/>
          <w:numId w:val="7"/>
        </w:num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rPr>
        <w:t>针对光伏电站的地形气候条件环境、光伏板角度等应用场景，基于搭载成像装置的空中机器人及先进轻量化材料研发适用于各类复杂场景的智能光伏阵列清洁机器人集成巡检与清洁功能，满足智能感知清洁系的高效率需求.</w:t>
      </w:r>
    </w:p>
    <w:p>
      <w:pPr>
        <w:numPr>
          <w:ilvl w:val="0"/>
          <w:numId w:val="7"/>
        </w:num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rPr>
        <w:t>硏究光伏阵列清洁状态智能感知系统，结合光伏运行数据、季节、环境预测光伏发电效率，并智能制定局部或全局清洁策略。</w:t>
      </w:r>
    </w:p>
    <w:p>
      <w:pPr>
        <w:numPr>
          <w:ilvl w:val="0"/>
          <w:numId w:val="7"/>
        </w:num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 研究智能感知驱动的光伏阵列高效清洁系统，清洁机器人共计覆盖不低于100MW光伏发电站，且不应加装或改造支架。建立清洁机器人智慧管理平台，共享设备运行参数、光伏阵列清洁状态、光伏发电效率、大气环境智能清洁策略等，自主规划控制完成光伏板的安全清洁，推进光伏电站智慧化运维。</w:t>
      </w:r>
    </w:p>
    <w:p>
      <w:pPr>
        <w:pStyle w:val="22"/>
        <w:rPr>
          <w:rFonts w:hint="eastAsia" w:ascii="宋体" w:hAnsi="宋体" w:eastAsia="宋体" w:cs="宋体"/>
          <w:sz w:val="24"/>
          <w:szCs w:val="24"/>
        </w:rPr>
      </w:pPr>
      <w:bookmarkStart w:id="82" w:name="_Toc41384128"/>
    </w:p>
    <w:p>
      <w:pPr>
        <w:pStyle w:val="21"/>
        <w:numPr>
          <w:ilvl w:val="0"/>
          <w:numId w:val="0"/>
        </w:numPr>
        <w:tabs>
          <w:tab w:val="left" w:pos="960"/>
        </w:tabs>
        <w:ind w:left="420" w:leftChars="0" w:hanging="420" w:firstLineChars="0"/>
        <w:rPr>
          <w:rFonts w:hint="eastAsia" w:ascii="宋体" w:hAnsi="宋体" w:eastAsia="宋体" w:cs="宋体"/>
          <w:sz w:val="24"/>
          <w:szCs w:val="24"/>
        </w:rPr>
      </w:pPr>
      <w:bookmarkStart w:id="83" w:name="_Toc27169"/>
      <w:bookmarkStart w:id="84" w:name="_Toc91832190"/>
      <w:bookmarkStart w:id="85" w:name="_Toc148175938"/>
      <w:r>
        <w:rPr>
          <w:rFonts w:hint="eastAsia" w:ascii="宋体" w:hAnsi="宋体" w:eastAsia="宋体" w:cs="宋体"/>
          <w:b/>
          <w:bCs w:val="0"/>
          <w:kern w:val="0"/>
          <w:sz w:val="24"/>
          <w:szCs w:val="24"/>
          <w:lang w:val="en-US" w:eastAsia="zh-CN" w:bidi="ar-SA"/>
        </w:rPr>
        <w:t>2.</w:t>
      </w:r>
      <w:r>
        <w:rPr>
          <w:rFonts w:hint="eastAsia" w:ascii="宋体" w:hAnsi="宋体" w:eastAsia="宋体" w:cs="宋体"/>
          <w:sz w:val="24"/>
          <w:szCs w:val="24"/>
        </w:rPr>
        <w:t>进度与时间要求</w:t>
      </w:r>
      <w:bookmarkEnd w:id="82"/>
      <w:bookmarkEnd w:id="83"/>
      <w:bookmarkEnd w:id="84"/>
      <w:bookmarkEnd w:id="85"/>
    </w:p>
    <w:tbl>
      <w:tblPr>
        <w:tblStyle w:val="15"/>
        <w:tblW w:w="7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3"/>
        <w:gridCol w:w="5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663" w:type="dxa"/>
            <w:vAlign w:val="center"/>
          </w:tcPr>
          <w:p>
            <w:pPr>
              <w:numPr>
                <w:ilvl w:val="0"/>
                <w:numId w:val="0"/>
              </w:numPr>
              <w:spacing w:before="50" w:beforeLines="50" w:after="50" w:afterLines="50"/>
              <w:jc w:val="center"/>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2024.9.1-2024.9.6</w:t>
            </w:r>
          </w:p>
        </w:tc>
        <w:tc>
          <w:tcPr>
            <w:tcW w:w="5261" w:type="dxa"/>
            <w:vAlign w:val="center"/>
          </w:tcPr>
          <w:p>
            <w:pPr>
              <w:spacing w:before="50" w:beforeLines="50" w:after="50" w:afterLines="50"/>
              <w:jc w:val="both"/>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 xml:space="preserve">  资料收集及数据，对系统整体进行需求分析。初步开展系统的架构设计和开发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663" w:type="dxa"/>
            <w:vAlign w:val="center"/>
          </w:tcPr>
          <w:p>
            <w:pPr>
              <w:numPr>
                <w:ilvl w:val="0"/>
                <w:numId w:val="0"/>
              </w:numPr>
              <w:spacing w:before="50" w:beforeLines="50" w:after="50" w:afterLines="50"/>
              <w:ind w:leftChars="0"/>
              <w:jc w:val="center"/>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2024.9.6-2024.9.10</w:t>
            </w:r>
          </w:p>
        </w:tc>
        <w:tc>
          <w:tcPr>
            <w:tcW w:w="5261" w:type="dxa"/>
            <w:vAlign w:val="center"/>
          </w:tcPr>
          <w:p>
            <w:pPr>
              <w:spacing w:before="50" w:beforeLines="50" w:after="50" w:afterLines="50"/>
              <w:ind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开展数据采集和实时检测相应功能研发，同时进行数据存储和分析相关研究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663" w:type="dxa"/>
            <w:vAlign w:val="center"/>
          </w:tcPr>
          <w:p>
            <w:pPr>
              <w:numPr>
                <w:ilvl w:val="0"/>
                <w:numId w:val="0"/>
              </w:numPr>
              <w:spacing w:before="50" w:beforeLines="50" w:after="50" w:afterLines="50"/>
              <w:ind w:leftChars="0"/>
              <w:jc w:val="center"/>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2024.9.10-2024.9.15</w:t>
            </w:r>
          </w:p>
        </w:tc>
        <w:tc>
          <w:tcPr>
            <w:tcW w:w="5261" w:type="dxa"/>
            <w:vAlign w:val="center"/>
          </w:tcPr>
          <w:p>
            <w:pPr>
              <w:spacing w:before="50" w:beforeLines="50" w:after="50" w:afterLines="50"/>
              <w:ind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开发清洁机器人相关设备，设计空中机器人控制、定位及路径规划相关算法，</w:t>
            </w:r>
            <w:r>
              <w:rPr>
                <w:rFonts w:hint="eastAsia" w:ascii="宋体" w:hAnsi="宋体" w:eastAsia="宋体" w:cs="宋体"/>
                <w:sz w:val="24"/>
                <w:szCs w:val="24"/>
                <w:lang w:val="en-US" w:eastAsia="zh-CN"/>
              </w:rPr>
              <w:t>完成课题研究任务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663" w:type="dxa"/>
            <w:vAlign w:val="center"/>
          </w:tcPr>
          <w:p>
            <w:pPr>
              <w:numPr>
                <w:ilvl w:val="0"/>
                <w:numId w:val="0"/>
              </w:numPr>
              <w:spacing w:before="50" w:beforeLines="50" w:after="50" w:afterLines="5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2024.9.15-2024.9.20</w:t>
            </w:r>
          </w:p>
        </w:tc>
        <w:tc>
          <w:tcPr>
            <w:tcW w:w="5261" w:type="dxa"/>
            <w:vAlign w:val="center"/>
          </w:tcPr>
          <w:p>
            <w:pPr>
              <w:spacing w:before="50" w:beforeLines="50" w:after="50" w:afterLines="50"/>
              <w:ind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开发人机交互界面，整体系统集成并测试整体功能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663" w:type="dxa"/>
            <w:vAlign w:val="center"/>
          </w:tcPr>
          <w:p>
            <w:pPr>
              <w:spacing w:before="50" w:beforeLines="50" w:after="50" w:afterLines="50"/>
              <w:jc w:val="center"/>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2024.9.20-2024.9.26</w:t>
            </w:r>
          </w:p>
        </w:tc>
        <w:tc>
          <w:tcPr>
            <w:tcW w:w="5261" w:type="dxa"/>
            <w:vAlign w:val="center"/>
          </w:tcPr>
          <w:p>
            <w:pPr>
              <w:spacing w:before="50" w:beforeLines="50" w:after="50" w:afterLines="50"/>
              <w:ind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系统调试和优化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663" w:type="dxa"/>
            <w:vAlign w:val="center"/>
          </w:tcPr>
          <w:p>
            <w:pPr>
              <w:spacing w:before="50" w:beforeLines="50" w:after="50" w:afterLines="5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2024.9.26-2024.10.1</w:t>
            </w:r>
          </w:p>
        </w:tc>
        <w:tc>
          <w:tcPr>
            <w:tcW w:w="5261" w:type="dxa"/>
            <w:vAlign w:val="center"/>
          </w:tcPr>
          <w:p>
            <w:pPr>
              <w:spacing w:before="50" w:beforeLines="50" w:after="50" w:afterLines="50"/>
              <w:ind w:firstLine="480" w:firstLineChars="200"/>
              <w:jc w:val="both"/>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lang w:val="en-US" w:eastAsia="zh-CN"/>
              </w:rPr>
              <w:t>最终验收和上线运行</w:t>
            </w:r>
          </w:p>
        </w:tc>
      </w:tr>
    </w:tbl>
    <w:p>
      <w:pPr>
        <w:spacing w:line="360" w:lineRule="auto"/>
        <w:rPr>
          <w:rStyle w:val="17"/>
          <w:rFonts w:hint="eastAsia" w:ascii="宋体" w:hAnsi="宋体" w:eastAsia="宋体" w:cs="宋体"/>
          <w:sz w:val="24"/>
          <w:szCs w:val="24"/>
        </w:rPr>
        <w:sectPr>
          <w:headerReference r:id="rId3" w:type="default"/>
          <w:footerReference r:id="rId4" w:type="default"/>
          <w:pgSz w:w="11906" w:h="16838"/>
          <w:pgMar w:top="1440" w:right="1797" w:bottom="1440" w:left="1797" w:header="851" w:footer="1020" w:gutter="0"/>
          <w:pgNumType w:fmt="decimal"/>
          <w:cols w:space="425" w:num="1"/>
          <w:docGrid w:type="lines" w:linePitch="312" w:charSpace="0"/>
        </w:sectPr>
      </w:pPr>
    </w:p>
    <w:p>
      <w:pPr>
        <w:pStyle w:val="21"/>
        <w:numPr>
          <w:ilvl w:val="0"/>
          <w:numId w:val="0"/>
        </w:numPr>
        <w:tabs>
          <w:tab w:val="left" w:pos="960"/>
        </w:tabs>
        <w:ind w:left="420" w:leftChars="0" w:hanging="420" w:firstLineChars="0"/>
        <w:rPr>
          <w:rFonts w:hint="eastAsia" w:ascii="宋体" w:hAnsi="宋体" w:eastAsia="宋体" w:cs="宋体"/>
          <w:sz w:val="24"/>
          <w:szCs w:val="24"/>
        </w:rPr>
      </w:pPr>
      <w:bookmarkStart w:id="86" w:name="_Toc148175939"/>
      <w:bookmarkStart w:id="87" w:name="_Toc41384129"/>
      <w:bookmarkStart w:id="88" w:name="_Toc7977"/>
      <w:bookmarkStart w:id="89" w:name="_Toc91832191"/>
      <w:r>
        <w:rPr>
          <w:rFonts w:hint="eastAsia" w:ascii="宋体" w:hAnsi="宋体" w:eastAsia="宋体" w:cs="宋体"/>
          <w:b/>
          <w:bCs w:val="0"/>
          <w:kern w:val="0"/>
          <w:sz w:val="24"/>
          <w:szCs w:val="24"/>
          <w:lang w:val="en-US" w:eastAsia="zh-CN" w:bidi="ar-SA"/>
        </w:rPr>
        <w:t>3.</w:t>
      </w:r>
      <w:r>
        <w:rPr>
          <w:rFonts w:hint="eastAsia" w:ascii="宋体" w:hAnsi="宋体" w:eastAsia="宋体" w:cs="宋体"/>
          <w:sz w:val="24"/>
          <w:szCs w:val="24"/>
        </w:rPr>
        <w:t>通过验收的条件</w:t>
      </w:r>
      <w:bookmarkEnd w:id="86"/>
      <w:bookmarkEnd w:id="87"/>
      <w:bookmarkEnd w:id="88"/>
      <w:bookmarkEnd w:id="89"/>
    </w:p>
    <w:p>
      <w:p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（1）有效提升作业效率，提升效率不低于 50%； </w:t>
      </w:r>
    </w:p>
    <w:p>
      <w:p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（2）降低其他资源的损耗不低于 50kg。 </w:t>
      </w:r>
    </w:p>
    <w:p>
      <w:p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（3）达到相应技术要求与功能； </w:t>
      </w:r>
    </w:p>
    <w:p>
      <w:p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（4）完成并向甲方移交全部项目文件，包含但不仅限于： </w:t>
      </w:r>
    </w:p>
    <w:p>
      <w:p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①《自主型高负载空中机器人及其控制系统需求说明书》1 份； </w:t>
      </w:r>
    </w:p>
    <w:p>
      <w:p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②完成《自主型高负载空中机器人及其控制系统设计文件》1 份； </w:t>
      </w:r>
    </w:p>
    <w:p>
      <w:p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③完成《自主型高负载空中机器人及其控制系统测试报告》1 份； </w:t>
      </w:r>
    </w:p>
    <w:p>
      <w:p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④完成《自主型高负载空中机器人及其控制系统用户手册》1 份； </w:t>
      </w:r>
    </w:p>
    <w:p>
      <w:p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⑤完成《自主型高负载空中机器人及其控制系统项目总结报告》1 份</w:t>
      </w:r>
    </w:p>
    <w:p>
      <w:p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5</w:t>
      </w:r>
      <w:r>
        <w:rPr>
          <w:rFonts w:hint="eastAsia" w:ascii="宋体" w:hAnsi="宋体" w:eastAsia="宋体" w:cs="宋体"/>
          <w:sz w:val="24"/>
          <w:szCs w:val="24"/>
        </w:rPr>
        <w:t>）培训服务</w:t>
      </w:r>
    </w:p>
    <w:p>
      <w:pPr>
        <w:adjustRightInd w:val="0"/>
        <w:snapToGrid w:val="0"/>
        <w:spacing w:before="156" w:beforeLines="50" w:line="360" w:lineRule="auto"/>
        <w:ind w:firstLine="480"/>
        <w:rPr>
          <w:rFonts w:hint="eastAsia" w:ascii="宋体" w:hAnsi="宋体" w:eastAsia="宋体" w:cs="宋体"/>
          <w:sz w:val="24"/>
          <w:szCs w:val="24"/>
        </w:rPr>
      </w:pPr>
      <w:r>
        <w:rPr>
          <w:rFonts w:hint="eastAsia" w:ascii="宋体" w:hAnsi="宋体" w:eastAsia="宋体" w:cs="宋体"/>
          <w:sz w:val="24"/>
          <w:szCs w:val="24"/>
        </w:rPr>
        <w:t>双方确定，乙方应在向甲方交付研究开发成果后，根据甲方的要求，为甲方指定的人员提供技术指导和培训，或提供与使用该研究开发成果相关的技术服务。技术培训和指导内容： 包括但不限于：技术方案、实施路径、成果说明、使用说明、课题评价等。</w:t>
      </w:r>
    </w:p>
    <w:p>
      <w:pPr>
        <w:pStyle w:val="3"/>
        <w:numPr>
          <w:ilvl w:val="0"/>
          <w:numId w:val="0"/>
        </w:numPr>
        <w:ind w:left="420" w:leftChars="0" w:hanging="420" w:firstLineChars="0"/>
        <w:rPr>
          <w:rFonts w:hint="eastAsia" w:ascii="宋体" w:hAnsi="宋体" w:eastAsia="宋体" w:cs="宋体"/>
          <w:b/>
          <w:bCs w:val="0"/>
          <w:sz w:val="24"/>
          <w:szCs w:val="24"/>
        </w:rPr>
      </w:pPr>
      <w:bookmarkStart w:id="90" w:name="_Toc468266795"/>
      <w:bookmarkStart w:id="91" w:name="_Toc148175940"/>
      <w:bookmarkStart w:id="92" w:name="_Toc32362"/>
      <w:bookmarkStart w:id="93" w:name="_Toc91832192"/>
      <w:bookmarkStart w:id="94" w:name="_Toc19293"/>
      <w:r>
        <w:rPr>
          <w:rFonts w:hint="eastAsia" w:ascii="宋体" w:hAnsi="宋体" w:eastAsia="宋体" w:cs="宋体"/>
          <w:b/>
          <w:bCs w:val="0"/>
          <w:i w:val="0"/>
          <w:iCs w:val="0"/>
          <w:caps w:val="0"/>
          <w:smallCaps w:val="0"/>
          <w:strike w:val="0"/>
          <w:dstrike w:val="0"/>
          <w:vanish w:val="0"/>
          <w:color w:val="000000"/>
          <w:spacing w:val="0"/>
          <w:kern w:val="2"/>
          <w:position w:val="0"/>
          <w:sz w:val="24"/>
          <w:szCs w:val="24"/>
          <w:u w:val="none"/>
          <w:vertAlign w:val="baseline"/>
          <w:lang w:val="en-US" w:eastAsia="zh-CN" w:bidi="ar-SA"/>
          <w14:ligatures w14:val="none"/>
          <w14:numForm w14:val="default"/>
          <w14:numSpacing w14:val="default"/>
        </w:rPr>
        <w:t>(六)</w:t>
      </w:r>
      <w:r>
        <w:rPr>
          <w:rFonts w:hint="eastAsia" w:ascii="宋体" w:hAnsi="宋体" w:eastAsia="宋体" w:cs="宋体"/>
          <w:b/>
          <w:bCs w:val="0"/>
          <w:sz w:val="24"/>
          <w:szCs w:val="24"/>
        </w:rPr>
        <w:t>项目实施保证</w:t>
      </w:r>
      <w:bookmarkEnd w:id="90"/>
      <w:r>
        <w:rPr>
          <w:rFonts w:hint="eastAsia" w:ascii="宋体" w:hAnsi="宋体" w:eastAsia="宋体" w:cs="宋体"/>
          <w:b/>
          <w:bCs w:val="0"/>
          <w:sz w:val="24"/>
          <w:szCs w:val="24"/>
        </w:rPr>
        <w:t>措施</w:t>
      </w:r>
      <w:bookmarkEnd w:id="91"/>
      <w:bookmarkEnd w:id="92"/>
      <w:bookmarkEnd w:id="93"/>
      <w:bookmarkEnd w:id="94"/>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为保证项目的顺利实施和实施，我们制定了以下三个方案：人员保证方案、软件开发质量保证方案和项目进度保证方案。这些方案将有助于确保项目按计划进行，并且能够按照高质量标准完成。</w:t>
      </w:r>
    </w:p>
    <w:p>
      <w:pPr>
        <w:pStyle w:val="21"/>
        <w:numPr>
          <w:ilvl w:val="0"/>
          <w:numId w:val="0"/>
        </w:numPr>
        <w:tabs>
          <w:tab w:val="left" w:pos="960"/>
        </w:tabs>
        <w:ind w:left="420" w:leftChars="0" w:hanging="420" w:firstLineChars="0"/>
        <w:rPr>
          <w:rFonts w:hint="eastAsia" w:ascii="宋体" w:hAnsi="宋体" w:eastAsia="宋体" w:cs="宋体"/>
          <w:sz w:val="24"/>
          <w:szCs w:val="24"/>
        </w:rPr>
      </w:pPr>
      <w:bookmarkStart w:id="95" w:name="_Toc1352"/>
      <w:bookmarkStart w:id="96" w:name="_Toc148175941"/>
      <w:bookmarkStart w:id="97" w:name="_Toc91832194"/>
      <w:r>
        <w:rPr>
          <w:rFonts w:hint="eastAsia" w:ascii="宋体" w:hAnsi="宋体" w:eastAsia="宋体" w:cs="宋体"/>
          <w:b/>
          <w:bCs w:val="0"/>
          <w:kern w:val="0"/>
          <w:sz w:val="24"/>
          <w:szCs w:val="24"/>
          <w:lang w:val="en-US" w:eastAsia="zh-CN" w:bidi="ar-SA"/>
        </w:rPr>
        <w:t>1.</w:t>
      </w:r>
      <w:r>
        <w:rPr>
          <w:rFonts w:hint="eastAsia" w:ascii="宋体" w:hAnsi="宋体" w:eastAsia="宋体" w:cs="宋体"/>
          <w:sz w:val="24"/>
          <w:szCs w:val="24"/>
        </w:rPr>
        <w:t>软件系统质量保证方案</w:t>
      </w:r>
      <w:bookmarkEnd w:id="95"/>
      <w:bookmarkEnd w:id="96"/>
      <w:bookmarkEnd w:id="97"/>
      <w:bookmarkStart w:id="98" w:name="_Toc91832195"/>
    </w:p>
    <w:p>
      <w:pPr>
        <w:pStyle w:val="25"/>
        <w:rPr>
          <w:rFonts w:hint="eastAsia" w:ascii="宋体" w:hAnsi="宋体" w:eastAsia="宋体" w:cs="宋体"/>
          <w:sz w:val="24"/>
          <w:szCs w:val="24"/>
        </w:rPr>
      </w:pPr>
      <w:r>
        <w:rPr>
          <w:rFonts w:hint="eastAsia" w:ascii="宋体" w:hAnsi="宋体" w:eastAsia="宋体" w:cs="宋体"/>
          <w:sz w:val="24"/>
          <w:szCs w:val="24"/>
        </w:rPr>
        <w:t>质量管理内容</w:t>
      </w:r>
      <w:bookmarkEnd w:id="98"/>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为了确保项目的质量目标得以实现，需要制定一个质量保证计划。该计划的制定过程应该基于项目计划和质量目标，确定需要检查的主要过程和工作产品，同时识别项目过程中的干系人及其活动。此外，还需要对检查时间和人员进行估算，最终制定出本项目的质量保证计划。</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质量保证计划的主要内容应该包括例行审计和里程碑评审。需要监督的重要活动和工作产品也需要在计划中明确，并确定审计方式。在此基础上，根据项目计划中的评审计划确定质量保证人员需要参加的评审计划，并明确质量审计报告的报送范围。</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质量保证计划需要经过评审方能生效，以确保质量保证计划和项目计划的一致性。经过批准的质量保证计划需要纳入配置管理。当项目计划变更时，需要及时更改和复审质量保证计划，以确保计划的有效性和可操作性。</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按照质量保证计划，进行质量审计并出具报告。审计的重点是：是否遵循过程要求完成活动和工作产品。本项目的质量控制主要靠各个阶段的审计实现。</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项目组要在审计后尽快处理不符合项，质量保证人员要跟踪不符合项的进展，直到所有不符合项都标记为“完成”。</w:t>
      </w:r>
    </w:p>
    <w:p>
      <w:pPr>
        <w:pStyle w:val="25"/>
        <w:rPr>
          <w:rFonts w:hint="eastAsia" w:ascii="宋体" w:hAnsi="宋体" w:eastAsia="宋体" w:cs="宋体"/>
          <w:sz w:val="24"/>
          <w:szCs w:val="24"/>
        </w:rPr>
      </w:pPr>
      <w:bookmarkStart w:id="99" w:name="_Toc91832196"/>
      <w:r>
        <w:rPr>
          <w:rFonts w:hint="eastAsia" w:ascii="宋体" w:hAnsi="宋体" w:eastAsia="宋体" w:cs="宋体"/>
          <w:sz w:val="24"/>
          <w:szCs w:val="24"/>
        </w:rPr>
        <w:t>质量管理责任分配</w:t>
      </w:r>
      <w:bookmarkEnd w:id="99"/>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我们公司在软件开发项目中采用规范化的生产方式，为确保项目质量的实施，每个项目都会配备质量保证小组、配置管理小组和测试小组，以下是这三种角色的具体说明：</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质量保证小组是质量保证的实施小组，几乎所有部门都与之有关。该小组的主要职责是以独立审查方式监控软件开发任务的执行，分析项目内存在的质量问题，审查项目的质量活动，并给出质量审计报告。他们的目标是确保项目遵循已制定的计划、标准和规程，向开发人员和管理层提供反映产品和过程质量的信息和数据，使他们了解整个项目生命周期中工作产品和过程的情况，提高项目透明度，并支持项目交付高质量的软件产品。</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质量保证人员依据质量保证计划，通过质量审计报告向项目经理及有关人员提出已经识别出的不符合项，并跟踪不符合项的解决过程。此外，他们还向项目经理提供过程和产品质量数据，并与项目组协商不符合项的解决办法。</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质量保证小组的检测范围主要包括：项目进度是否按照项目计划执行；用户需求是否得到了用户的签字确认；软件需求是否正确地反映了用户的需求，并将每一项用户需求映射到软件需求；系统设计是否完全反映了软件需求；实现的软件是否正确地体现了系统设计；测试人员是否进行了彻底和全面的测试；客户验收和交接清单是否完备；维护人员是否记录了详细的维护记录；配置管理员是否按照配置管理计划建立了基线，严格控制变更过程，并对配置库进行了维护。</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为确保质量保证计划的一致性和有效性，质量保证计划需要经过评审才能生效，并纳入配置管理。在项目计划变更时，需要及时更改和复审质量保证计划。</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配置管理活动的主要目的是通过实施版本控制、变更控制和基线管理等规程，利用配置管理工具来确保整个生命周期中生成的所有配置项的完整性、一致性和可追溯性。配置管理是一种有效的工作成果保护形式，用于集中管理反映项目及其工作产品的过去、现在和动态资料和数据集。</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配置管理小组的主要职责包括制定配置管理计划、建立配置库、分配配置库权限、创建需求、设计、开发、测试和交付阶段的基线。当纳入基线库的工作产品发生变更时，必须严格按照配置项变更控制过程执行变更，并建立新的基线。</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测试作为质量控制的主要手段之一，与软件开发一样，需要在执行之前制定软件测试计划、编写和执行测试用例。本项目中，测试可以分为代码走查、单元测试、集成测试和系统测试。为了保证程序质量，开发人员需要对同伴的代码进行代码走查，并对自己编写的程序进行单元测试，以确保程序编译和运行正确。</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测试人员根据软件需求分析报告编写软件集成测试用例和系统测试用例，并将编写完成的测试用例提交项目组进行评审。同时，质量保证人员对评审过程和工作产品进行监控。</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测试人员根据测试计划和测试用例执行测试用例，并记录发现的缺陷，以确保项目组开发的软件产品满足用户需求。在完成集成测试后，可以进行软件系统测试，其中包括功能测试、性能测试、安全测试和压力测试。只有进行了系统测试，才能确保软件测试的完整性。在本项目中，系统测试占据了重要的地位，因为性能要求可能会改变软件设计。为避免在软件后期造成返工，测试在性能方面需要更加重视。</w:t>
      </w:r>
    </w:p>
    <w:p>
      <w:pPr>
        <w:pStyle w:val="25"/>
        <w:rPr>
          <w:rFonts w:hint="eastAsia" w:ascii="宋体" w:hAnsi="宋体" w:eastAsia="宋体" w:cs="宋体"/>
          <w:sz w:val="24"/>
          <w:szCs w:val="24"/>
        </w:rPr>
      </w:pPr>
      <w:bookmarkStart w:id="100" w:name="_Toc91832197"/>
      <w:r>
        <w:rPr>
          <w:rFonts w:hint="eastAsia" w:ascii="宋体" w:hAnsi="宋体" w:eastAsia="宋体" w:cs="宋体"/>
          <w:sz w:val="24"/>
          <w:szCs w:val="24"/>
        </w:rPr>
        <w:t>质量管理保证措施</w:t>
      </w:r>
      <w:bookmarkEnd w:id="100"/>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通过分配质量管理责任，实施质量保证的过程包括以下几个方面：</w:t>
      </w:r>
    </w:p>
    <w:p>
      <w:pPr>
        <w:widowControl/>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1）项目进度</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通过制定项目计划，能够为工程项目的实施、管理和支持工作、项目进度、成本、质量及过程产品的有效控制打下坚实的基础，以确保相关人员有序开展工作。在制定项目计划时，需要获得相关干系人的认可，并将其作为项目跟踪的基础。</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项目进度是衡量项目进展是否顺利的最直观指标，因此，制定合理的项目计划必须有经验的项目负责人参与制定项目进度计划。项目计划由项目负责人制定，项目各小组组长、项目成员、干系人、质量保证人员参加评审。评审过程主要讨论项目计划的可行性，对不合理之处提出修改意见，并由质量保证人员对结果进行跟踪处理，以确保项目计划的完整性和可行性。通过项目计划评审后，交由配置管理人员进行配置管理。</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在计划实施过程中，按照项目计划中的里程碑，将整个开发周期划分为若干阶段。根据里程碑的完成情况，适当调整每个较小阶段的任务量和完成时间，动态跟踪和动态调整，以促进项目质量保证的实施。</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实际运作中，质量保证人员在对项目执行过程进行检查时，对于发现的项目偏差，以质量审计报告的形式提交项目负责人。项目负责人组织人员对计划进行维护，对于已经变动的项目计划，由配置管理进行配置管理。</w:t>
      </w:r>
    </w:p>
    <w:p>
      <w:pPr>
        <w:widowControl/>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2）需求分析</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需求分析是定义系统需要做什么以及如何做的过程。根据系统分析经验，这是一个逐步深入的过程，很难一次性对系统形成完整的认识。只有不断与客户领域专家进行交流确认，才能逐步明确用户需求。分析时犯下的错误会在后续阶段成倍放大，特别是在开发后期纠正错误的代价更加昂贵，也更有可能影响系统的工期和质量。</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在本项目中，招标方技术负责人将被邀请参与需求调研，以保证调研的质量并形成用户需求说明书。需求评审将与双方管理层和项目实施层共同进行，通过用户确认的需求将移交给配置管理员形成需求基线。用户需求确认后，系统分析人员将形成软件需求分析报告，并进行评审。评审通过的软件需求分析报告可移交给测试人员编写测试计划和测试用例。</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对于开发过程中的需求变动，招标方应填写变更申请单并提交给项目经理。在质量保证人员的参与下，变更将进行评审。项目经理将组织项目组成员讨论变更的可行性及变更带来的影响。对于影响小的变更，将直接记录，而对于影响大的变更，则需要形成正式的变更报告。无论哪种变更，都需要对相应的文档进行同步变更，包括需求说明、系统设计、用户手册等。对于无法实现或变更将导致进度延期的情况，变更报告将提交给招标方并召开协调会议，以讨论变更的选择或项目进度变更问题。</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决定变更后，由项目负责人组织实施变更，测试人员检测变更结果，而质量保证人员监督变更实施过程，并协助配置管理员对变更后的成果进行配置管理。变更实施完毕后，需要协助用户进行测试并由招标方签字同意后方可上线。</w:t>
      </w:r>
    </w:p>
    <w:p>
      <w:pPr>
        <w:widowControl/>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3）系统设计</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为了确保项目的体系结构具备良好的可扩展性和可配置性，我们需要采用适合项目结构、特征和用户需求的好的设计方法进行分析。因此，在本项目中，我们将邀请我公司的高级系统架构师担任项目总体设计师，并与总体设计小组一起完成系统设计。</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同时，我们将根据用户需求仔细研究并识别公共类模块，并进行定义和设计，以避免重复工作。对于项目组提供的设计文档，我们将组织项目经理和质保小组成员参与评审，及时发现设计中可能存在的错误，降低项目开发风险，并确保设计文档能够为开发人员和测试人员提供实际指导。对于可复用的设计，我们将提取其作为公共库进行设计和开发，并为项目组提供支持。最后，我们将由配置管理员进行设计文档的版本控制，以确保所有人都能够使用最新的文档。</w:t>
      </w:r>
    </w:p>
    <w:p>
      <w:pPr>
        <w:widowControl/>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4）系统实现</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系统实现的目的是根据系统设计文档，由程序员编写代码，以满足设计要求。在系统实现过程中，开发人员需要对模块进行代码审查和单元测试，以确保代码质量。这个阶段是软件开发的核心环节，也是将设计文档转化为可执行软件的过程。程序员根据设计文档编写代码，并在编写完成后进行代码审查和单元测试，以验证代码是否符合设计要求和质量标准。完成测试后，可交由配置管理人员进行配置管理，以确保代码的版本控制和可追溯性。</w:t>
      </w:r>
    </w:p>
    <w:p>
      <w:pPr>
        <w:widowControl/>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5）系统测试</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系统开发是一个涉及到多个过程的复杂工程，每个过程都有可能引入缺陷，因此本系统的质量控制需要贯穿于所有阶段和所有参与系统的人员中，包括系统分析、设计和编码。在分阶段的评审和测试过程中，系统质量得到有力保障。</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系统测试涉及到平台测试、应用系统测试和最终测试。由于测试也存在协调的问题，如错误具体定位，测试人员需要进行准确的判断。本系统测试工作由测试组完成，采用黑盒测试和白盒测试两种方法：</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黑盒测试着重于测试软件系统的外部特性，根据系统的设计要求，逐个测试每一项功能，检查其是否达到了预期的要求，是否能正确地接受输入，是否能正确地输出结果。</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白盒测试对软件内部的逻辑规则和数据流程进行测试，以检查代码编写是否符合设计要求。</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测试策略分为集成测试和系统测试。集成测试在所有模块通过了单元测试后，将各个模块组装在一起进行组装测试，用于发现与接口相联系的问题。系统测试是在通过以上测试步骤后，与其他系统元素进行集成测试和系统级确认测试，排除各种可能的缺陷，从根本上保证系统的长期稳定运行。</w:t>
      </w:r>
    </w:p>
    <w:p>
      <w:pPr>
        <w:widowControl/>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6）系统维护</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技术支持小组在本项目中的任务主要包括两方面，一方面是跟踪项目客户的服务请求并提供相关技术支持，另一方面是提供项目的技术咨询工作。</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在系统维护期间，技术支持小组负责处理一般性错误，例如因为用户操作不当引起的问题，并且需要确保问题得到解决并经过用户测试确认上线。对于较大的修改，技术支持小组需要走变更控制流程，填写变更申请，并经过项目组讨论分析可行方案后进行实施。经过测试确认无误后，技术支持小组方可将修改提交给用户。在此过程中，质量人员需要对维护过程和维护记录单进行检查，以确保维护过程和记录的质量。</w:t>
      </w:r>
    </w:p>
    <w:p>
      <w:pPr>
        <w:pStyle w:val="21"/>
        <w:numPr>
          <w:ilvl w:val="0"/>
          <w:numId w:val="0"/>
        </w:numPr>
        <w:tabs>
          <w:tab w:val="left" w:pos="960"/>
        </w:tabs>
        <w:ind w:left="420" w:leftChars="0" w:hanging="420" w:firstLineChars="0"/>
        <w:rPr>
          <w:rFonts w:hint="eastAsia" w:ascii="宋体" w:hAnsi="宋体" w:eastAsia="宋体" w:cs="宋体"/>
          <w:sz w:val="24"/>
          <w:szCs w:val="24"/>
        </w:rPr>
      </w:pPr>
      <w:bookmarkStart w:id="101" w:name="_Toc91832193"/>
      <w:bookmarkStart w:id="102" w:name="_Toc148175942"/>
      <w:bookmarkStart w:id="103" w:name="_Toc31391"/>
      <w:r>
        <w:rPr>
          <w:rFonts w:hint="eastAsia" w:ascii="宋体" w:hAnsi="宋体" w:eastAsia="宋体" w:cs="宋体"/>
          <w:b/>
          <w:bCs w:val="0"/>
          <w:kern w:val="0"/>
          <w:sz w:val="24"/>
          <w:szCs w:val="24"/>
          <w:lang w:val="en-US" w:eastAsia="zh-CN" w:bidi="ar-SA"/>
        </w:rPr>
        <w:t>2.</w:t>
      </w:r>
      <w:r>
        <w:rPr>
          <w:rFonts w:hint="eastAsia" w:ascii="宋体" w:hAnsi="宋体" w:eastAsia="宋体" w:cs="宋体"/>
          <w:sz w:val="24"/>
          <w:szCs w:val="24"/>
        </w:rPr>
        <w:t>人员保证方案</w:t>
      </w:r>
      <w:bookmarkEnd w:id="101"/>
      <w:bookmarkEnd w:id="102"/>
      <w:bookmarkEnd w:id="103"/>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为保证项目进度，拟建立团队协作和沟通机制：建立良好的团队协作和沟通机制，促进团队成员之间的交流和合作，保证项目能够顺利进行。同时对工作量分配和进度控制：合理分配团队成员的工作量，根据项目计划进行进度控制，确保项目能够按时完成。拟建立绩效考核和激励机制：建立绩效考核和激励机制，对项目组成员的工作进行评价，及时发现问题并采取措施加以解决。完善的人员变动和备案管理方案：对项目组成员的变动进行备案管理，及时调整项目组成员，确保项目能够持续稳定进行。</w:t>
      </w:r>
    </w:p>
    <w:p>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为确保项目的顺利开展和实施，项目组的人员配备既有高层次的技术带头人（专家、教授等），也有中坚力量（博士、工程师、研发经理等），还有一般工作人员（具体开发设计工作的人员、试验人员、管理人员等），并实行项目经理、技术负责人质量负责制，加强技术管理的有效性和研发过程的科学性、准确性。</w:t>
      </w:r>
    </w:p>
    <w:p>
      <w:pPr>
        <w:pStyle w:val="21"/>
        <w:numPr>
          <w:ilvl w:val="0"/>
          <w:numId w:val="0"/>
        </w:numPr>
        <w:tabs>
          <w:tab w:val="left" w:pos="960"/>
        </w:tabs>
        <w:ind w:left="420" w:leftChars="0" w:hanging="420" w:firstLineChars="0"/>
        <w:rPr>
          <w:rFonts w:hint="eastAsia" w:ascii="宋体" w:hAnsi="宋体" w:eastAsia="宋体" w:cs="宋体"/>
          <w:sz w:val="24"/>
          <w:szCs w:val="24"/>
        </w:rPr>
      </w:pPr>
      <w:bookmarkStart w:id="104" w:name="_Toc91832198"/>
      <w:bookmarkStart w:id="105" w:name="_Toc21825"/>
      <w:bookmarkStart w:id="106" w:name="_Toc148175943"/>
      <w:r>
        <w:rPr>
          <w:rFonts w:hint="eastAsia" w:ascii="宋体" w:hAnsi="宋体" w:eastAsia="宋体" w:cs="宋体"/>
          <w:b/>
          <w:bCs w:val="0"/>
          <w:kern w:val="0"/>
          <w:sz w:val="24"/>
          <w:szCs w:val="24"/>
          <w:lang w:val="en-US" w:eastAsia="zh-CN" w:bidi="ar-SA"/>
        </w:rPr>
        <w:t>3.</w:t>
      </w:r>
      <w:r>
        <w:rPr>
          <w:rFonts w:hint="eastAsia" w:ascii="宋体" w:hAnsi="宋体" w:eastAsia="宋体" w:cs="宋体"/>
          <w:sz w:val="24"/>
          <w:szCs w:val="24"/>
        </w:rPr>
        <w:t>项目进度保证方案</w:t>
      </w:r>
      <w:bookmarkEnd w:id="104"/>
      <w:bookmarkEnd w:id="105"/>
      <w:bookmarkEnd w:id="106"/>
    </w:p>
    <w:p>
      <w:pPr>
        <w:pStyle w:val="7"/>
        <w:numPr>
          <w:ilvl w:val="0"/>
          <w:numId w:val="15"/>
        </w:numPr>
        <w:rPr>
          <w:rFonts w:hint="eastAsia" w:ascii="宋体" w:hAnsi="宋体" w:eastAsia="宋体" w:cs="宋体"/>
          <w:sz w:val="24"/>
          <w:szCs w:val="24"/>
        </w:rPr>
      </w:pPr>
      <w:bookmarkStart w:id="107" w:name="_Toc91832199"/>
      <w:r>
        <w:rPr>
          <w:rFonts w:hint="eastAsia" w:ascii="宋体" w:hAnsi="宋体" w:eastAsia="宋体" w:cs="宋体"/>
          <w:sz w:val="24"/>
          <w:szCs w:val="24"/>
        </w:rPr>
        <w:t>加强项目进度管理</w:t>
      </w:r>
      <w:bookmarkEnd w:id="107"/>
    </w:p>
    <w:p>
      <w:pPr>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rPr>
        <w:t>为确保项目能按时完成，拟采取一系列措施加强项目进度管理。其中包括制定项目里程碑管理运行表，定期举行项目状态会议，比较各项任务的实际开始日期与计划开始日期是否相符，以及确定正式的项目里程碑是否在预期时间内完成等。通过这些方式，可以更好地掌握项目进展情况，及时发现并解决进度滞后的问题，确保项目能够按计划进行并按时完成。</w:t>
      </w:r>
    </w:p>
    <w:p>
      <w:pPr>
        <w:pStyle w:val="7"/>
        <w:rPr>
          <w:rFonts w:hint="eastAsia" w:ascii="宋体" w:hAnsi="宋体" w:eastAsia="宋体" w:cs="宋体"/>
          <w:sz w:val="24"/>
          <w:szCs w:val="24"/>
        </w:rPr>
      </w:pPr>
      <w:bookmarkStart w:id="108" w:name="_Toc91832200"/>
      <w:r>
        <w:rPr>
          <w:rFonts w:hint="eastAsia" w:ascii="宋体" w:hAnsi="宋体" w:eastAsia="宋体" w:cs="宋体"/>
          <w:sz w:val="24"/>
          <w:szCs w:val="24"/>
        </w:rPr>
        <w:t>控制项目进度措施</w:t>
      </w:r>
      <w:bookmarkEnd w:id="108"/>
    </w:p>
    <w:p>
      <w:pPr>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rPr>
        <w:t>为确保项目能够按期完成，项目经理需要对整个项目开发周期有清晰的了解。任务的划分应以每天为单位，而非模块为单位。每个开发人员和测试人员都应该对自己的工作进行大致估计，并在每天下午向项目经理报告项目进展，并做好相应的记录。已解决的问题需要进行详细记录，而未解决的问题也需要重视并找到根本原因，不应推迟处理。项目经理应加强与开发人员的沟通和交流，了解其实际进展和对开发工具的熟练程度，以便进行任务的重新安排。难点应该提出让团队共同克服，或者由技术精通的人来解决。解决完难点后，要让团队熟悉编程思路，并对经常使用的知识点进行详细说明，以实现资源共享。最后，项目总结应该包括难点和问题，并确保团队成员都能够理解和掌握，这有助于提高技术水平。</w:t>
      </w:r>
    </w:p>
    <w:p>
      <w:pPr>
        <w:widowControl/>
        <w:shd w:val="clear" w:color="auto" w:fill="FFFFFF"/>
        <w:spacing w:line="360" w:lineRule="auto"/>
        <w:jc w:val="left"/>
        <w:rPr>
          <w:rFonts w:ascii="宋体" w:hAnsi="宋体"/>
          <w:kern w:val="0"/>
          <w:szCs w:val="21"/>
        </w:rPr>
      </w:pPr>
    </w:p>
    <w:p>
      <w:pPr>
        <w:widowControl/>
        <w:shd w:val="clear" w:color="auto" w:fill="FFFFFF"/>
        <w:spacing w:line="360" w:lineRule="auto"/>
        <w:jc w:val="left"/>
        <w:rPr>
          <w:rFonts w:ascii="宋体" w:hAnsi="宋体"/>
          <w:kern w:val="0"/>
          <w:szCs w:val="21"/>
        </w:rPr>
      </w:pPr>
    </w:p>
    <w:p>
      <w:pPr>
        <w:widowControl/>
        <w:shd w:val="clear" w:color="auto" w:fill="FFFFFF"/>
        <w:spacing w:line="360" w:lineRule="auto"/>
        <w:jc w:val="left"/>
        <w:rPr>
          <w:rFonts w:ascii="宋体" w:hAnsi="宋体"/>
          <w:b/>
          <w:bCs/>
          <w:kern w:val="0"/>
          <w:szCs w:val="21"/>
        </w:rPr>
      </w:pPr>
    </w:p>
    <w:p>
      <w:pPr>
        <w:pStyle w:val="3"/>
        <w:numPr>
          <w:ilvl w:val="0"/>
          <w:numId w:val="0"/>
        </w:numPr>
        <w:rPr>
          <w:rFonts w:hint="default"/>
          <w:sz w:val="24"/>
          <w:lang w:val="en-US"/>
        </w:rPr>
      </w:pPr>
      <w:bookmarkStart w:id="109" w:name="_Toc24271"/>
      <w:r>
        <w:rPr>
          <w:rFonts w:hint="eastAsia" w:ascii="宋体" w:hAnsi="宋体" w:eastAsia="宋体" w:cs="宋体"/>
          <w:b/>
          <w:bCs w:val="0"/>
          <w:i w:val="0"/>
          <w:iCs w:val="0"/>
          <w:caps w:val="0"/>
          <w:smallCaps w:val="0"/>
          <w:strike w:val="0"/>
          <w:dstrike w:val="0"/>
          <w:vanish w:val="0"/>
          <w:color w:val="000000"/>
          <w:spacing w:val="0"/>
          <w:kern w:val="2"/>
          <w:position w:val="0"/>
          <w:sz w:val="24"/>
          <w:szCs w:val="24"/>
          <w:u w:val="none"/>
          <w:vertAlign w:val="baseline"/>
          <w:lang w:val="en-US" w:eastAsia="zh-CN" w:bidi="ar-SA"/>
          <w14:ligatures w14:val="none"/>
          <w14:numForm w14:val="default"/>
          <w14:numSpacing w14:val="default"/>
        </w:rPr>
        <w:t>（七）售后服务方案</w:t>
      </w:r>
      <w:bookmarkEnd w:id="109"/>
      <w:r>
        <w:rPr>
          <w:rFonts w:hint="eastAsia" w:ascii="宋体" w:hAnsi="宋体" w:eastAsia="宋体" w:cs="宋体"/>
          <w:b/>
          <w:bCs w:val="0"/>
          <w:i w:val="0"/>
          <w:iCs w:val="0"/>
          <w:caps w:val="0"/>
          <w:smallCaps w:val="0"/>
          <w:strike w:val="0"/>
          <w:dstrike w:val="0"/>
          <w:vanish w:val="0"/>
          <w:color w:val="000000"/>
          <w:spacing w:val="0"/>
          <w:kern w:val="2"/>
          <w:position w:val="0"/>
          <w:sz w:val="24"/>
          <w:szCs w:val="24"/>
          <w:u w:val="none"/>
          <w:vertAlign w:val="baseline"/>
          <w:lang w:val="en-US" w:eastAsia="zh-CN" w:bidi="ar-SA"/>
          <w14:ligatures w14:val="none"/>
          <w14:numForm w14:val="default"/>
          <w14:numSpacing w14:val="default"/>
        </w:rPr>
        <w:t xml:space="preserve"> </w:t>
      </w:r>
    </w:p>
    <w:p>
      <w:pPr>
        <w:spacing w:line="360" w:lineRule="auto"/>
        <w:ind w:firstLine="480" w:firstLineChars="200"/>
        <w:rPr>
          <w:rFonts w:hint="eastAsia"/>
          <w:sz w:val="24"/>
        </w:rPr>
      </w:pPr>
      <w:r>
        <w:rPr>
          <w:rFonts w:hint="eastAsia"/>
          <w:sz w:val="24"/>
        </w:rPr>
        <w:t>我公司做出如下售后服务计划及承诺：</w:t>
      </w:r>
    </w:p>
    <w:p>
      <w:pPr>
        <w:spacing w:line="360" w:lineRule="auto"/>
        <w:ind w:firstLine="600" w:firstLineChars="249"/>
        <w:rPr>
          <w:rFonts w:hint="eastAsia"/>
          <w:b/>
          <w:sz w:val="24"/>
        </w:rPr>
      </w:pPr>
      <w:r>
        <w:rPr>
          <w:rFonts w:hint="eastAsia"/>
          <w:b/>
          <w:sz w:val="24"/>
        </w:rPr>
        <w:t>一、安装调试</w:t>
      </w:r>
    </w:p>
    <w:p>
      <w:pPr>
        <w:spacing w:line="360" w:lineRule="auto"/>
        <w:ind w:left="181" w:leftChars="86" w:firstLine="480" w:firstLineChars="200"/>
        <w:rPr>
          <w:rFonts w:hint="eastAsia"/>
          <w:sz w:val="24"/>
        </w:rPr>
      </w:pPr>
      <w:r>
        <w:rPr>
          <w:rFonts w:hint="eastAsia"/>
          <w:sz w:val="24"/>
        </w:rPr>
        <w:t>1、我公司负责按合同中规定的设备型号、数量将设备免费送达指定地点，并保证按合同要求按时完成设备安装、调试、启动、运行等工作；</w:t>
      </w:r>
    </w:p>
    <w:p>
      <w:pPr>
        <w:spacing w:line="360" w:lineRule="auto"/>
        <w:ind w:left="181" w:leftChars="86" w:firstLine="480" w:firstLineChars="200"/>
        <w:rPr>
          <w:rFonts w:hint="eastAsia"/>
          <w:sz w:val="24"/>
        </w:rPr>
      </w:pPr>
      <w:r>
        <w:rPr>
          <w:rFonts w:hint="eastAsia"/>
          <w:sz w:val="24"/>
        </w:rPr>
        <w:t>2、我公司按照合同要求测试所有硬件、软件；</w:t>
      </w:r>
    </w:p>
    <w:p>
      <w:pPr>
        <w:spacing w:line="360" w:lineRule="auto"/>
        <w:ind w:left="181" w:leftChars="86" w:firstLine="480" w:firstLineChars="200"/>
        <w:rPr>
          <w:rFonts w:hint="eastAsia"/>
          <w:sz w:val="24"/>
        </w:rPr>
      </w:pPr>
      <w:r>
        <w:rPr>
          <w:rFonts w:hint="eastAsia"/>
          <w:sz w:val="24"/>
        </w:rPr>
        <w:t>3、我公司提供详细的技术培训；</w:t>
      </w:r>
    </w:p>
    <w:p>
      <w:pPr>
        <w:spacing w:line="360" w:lineRule="auto"/>
        <w:ind w:left="181" w:leftChars="86" w:firstLine="480" w:firstLineChars="200"/>
        <w:rPr>
          <w:rFonts w:hint="eastAsia"/>
          <w:sz w:val="24"/>
        </w:rPr>
      </w:pPr>
      <w:r>
        <w:rPr>
          <w:rFonts w:hint="eastAsia"/>
          <w:sz w:val="24"/>
        </w:rPr>
        <w:t>4、我公司负责合同中所有设备的现场安装调试、现场验收测试。</w:t>
      </w:r>
    </w:p>
    <w:p>
      <w:pPr>
        <w:spacing w:line="360" w:lineRule="auto"/>
        <w:ind w:left="181" w:leftChars="86" w:firstLine="480" w:firstLineChars="200"/>
        <w:rPr>
          <w:rFonts w:hint="eastAsia"/>
          <w:sz w:val="24"/>
        </w:rPr>
      </w:pPr>
      <w:r>
        <w:rPr>
          <w:rFonts w:hint="eastAsia"/>
          <w:sz w:val="24"/>
        </w:rPr>
        <w:t>5、货物到达后，由本公司和用户人员监督下，由用户人员清点货物，并检查货物的外观。</w:t>
      </w:r>
    </w:p>
    <w:p>
      <w:pPr>
        <w:spacing w:line="360" w:lineRule="auto"/>
        <w:ind w:left="181" w:leftChars="86" w:firstLine="480" w:firstLineChars="200"/>
        <w:rPr>
          <w:rFonts w:hint="eastAsia"/>
          <w:sz w:val="24"/>
        </w:rPr>
      </w:pPr>
      <w:r>
        <w:rPr>
          <w:rFonts w:hint="eastAsia"/>
          <w:sz w:val="24"/>
        </w:rPr>
        <w:t>6、所有设备完成安装调试后，双方即可进行验收测试。</w:t>
      </w:r>
    </w:p>
    <w:p>
      <w:pPr>
        <w:spacing w:line="360" w:lineRule="auto"/>
        <w:ind w:left="181" w:leftChars="86" w:firstLine="472" w:firstLineChars="196"/>
        <w:rPr>
          <w:rFonts w:hint="eastAsia"/>
          <w:b/>
          <w:sz w:val="24"/>
        </w:rPr>
      </w:pPr>
      <w:r>
        <w:rPr>
          <w:rFonts w:hint="eastAsia"/>
          <w:b/>
          <w:sz w:val="24"/>
        </w:rPr>
        <w:t>二、技术培训</w:t>
      </w:r>
    </w:p>
    <w:p>
      <w:pPr>
        <w:spacing w:line="360" w:lineRule="auto"/>
        <w:ind w:left="181" w:leftChars="86" w:firstLine="720" w:firstLineChars="300"/>
        <w:rPr>
          <w:rFonts w:hint="eastAsia"/>
          <w:sz w:val="24"/>
        </w:rPr>
      </w:pPr>
      <w:r>
        <w:rPr>
          <w:rFonts w:hint="eastAsia"/>
          <w:sz w:val="24"/>
        </w:rPr>
        <w:t>设备正常运行验收后，我公司指派专业工程师负责在现场为贵单位提供不受人员限制的维修和使用操作培训，每年公司组织培训两次。培训内容包括：设备正确操作使用知识；识别初级故障及必要的恢复方法；常见故障排除方法。</w:t>
      </w:r>
    </w:p>
    <w:p>
      <w:pPr>
        <w:spacing w:line="360" w:lineRule="auto"/>
        <w:ind w:left="181" w:leftChars="86" w:firstLine="472" w:firstLineChars="196"/>
        <w:rPr>
          <w:rFonts w:hint="eastAsia"/>
          <w:b/>
          <w:sz w:val="24"/>
        </w:rPr>
      </w:pPr>
      <w:r>
        <w:rPr>
          <w:rFonts w:hint="eastAsia"/>
          <w:b/>
          <w:sz w:val="24"/>
        </w:rPr>
        <w:t>三、售后服务体系及维修保养方案</w:t>
      </w:r>
    </w:p>
    <w:p>
      <w:pPr>
        <w:spacing w:line="360" w:lineRule="auto"/>
        <w:ind w:left="181" w:leftChars="86" w:firstLine="480" w:firstLineChars="200"/>
        <w:rPr>
          <w:rFonts w:hint="eastAsia"/>
          <w:sz w:val="24"/>
        </w:rPr>
      </w:pPr>
      <w:r>
        <w:rPr>
          <w:rFonts w:hint="eastAsia"/>
          <w:sz w:val="24"/>
        </w:rPr>
        <w:t>我们以客户第一、服务第一的宗旨、进行系统的售后服务工作，除按照厂家的售后服务承诺外，我公司承诺所有的设备提供</w:t>
      </w:r>
      <w:r>
        <w:rPr>
          <w:rFonts w:hint="eastAsia"/>
          <w:sz w:val="24"/>
          <w:lang w:val="en-US" w:eastAsia="zh-CN"/>
        </w:rPr>
        <w:t>两年</w:t>
      </w:r>
      <w:r>
        <w:rPr>
          <w:rFonts w:hint="eastAsia"/>
          <w:sz w:val="24"/>
        </w:rPr>
        <w:t>年质保、终身保修，凡设备出现故障接到贵单位的报修电话后</w:t>
      </w:r>
      <w:r>
        <w:rPr>
          <w:rFonts w:hint="eastAsia"/>
          <w:sz w:val="24"/>
          <w:lang w:val="en-US" w:eastAsia="zh-CN"/>
        </w:rPr>
        <w:t>12</w:t>
      </w:r>
      <w:r>
        <w:rPr>
          <w:rFonts w:hint="eastAsia"/>
          <w:sz w:val="24"/>
        </w:rPr>
        <w:t>小时内到达现场，24小时解决问题。</w:t>
      </w:r>
    </w:p>
    <w:p>
      <w:pPr>
        <w:spacing w:line="360" w:lineRule="auto"/>
        <w:ind w:left="181" w:leftChars="86" w:firstLine="480" w:firstLineChars="200"/>
        <w:rPr>
          <w:rFonts w:hint="eastAsia"/>
          <w:sz w:val="24"/>
        </w:rPr>
      </w:pPr>
      <w:r>
        <w:rPr>
          <w:rFonts w:hint="eastAsia"/>
          <w:sz w:val="24"/>
        </w:rPr>
        <w:t>保证用户的故障投诉都得到及时的调查和解决。技术维护人员全天值守，</w:t>
      </w:r>
    </w:p>
    <w:p>
      <w:pPr>
        <w:spacing w:line="360" w:lineRule="auto"/>
        <w:ind w:left="181" w:leftChars="86" w:firstLine="480" w:firstLineChars="200"/>
        <w:rPr>
          <w:rFonts w:hint="eastAsia"/>
          <w:sz w:val="24"/>
        </w:rPr>
      </w:pPr>
      <w:r>
        <w:rPr>
          <w:rFonts w:hint="eastAsia"/>
          <w:sz w:val="24"/>
        </w:rPr>
        <w:t>定期回访：公司人员对用户进行定期回访，对设备的隐含故障源进行检测及排除，并会请用户相关负责人填写巡查反馈信息单。</w:t>
      </w:r>
    </w:p>
    <w:p>
      <w:pPr>
        <w:numPr>
          <w:ilvl w:val="0"/>
          <w:numId w:val="16"/>
        </w:numPr>
        <w:spacing w:line="360" w:lineRule="auto"/>
        <w:rPr>
          <w:rFonts w:hint="eastAsia"/>
          <w:b/>
          <w:sz w:val="24"/>
        </w:rPr>
      </w:pPr>
      <w:r>
        <w:rPr>
          <w:rFonts w:hint="eastAsia"/>
          <w:b/>
          <w:sz w:val="24"/>
        </w:rPr>
        <w:t>伴随服务及保证</w:t>
      </w:r>
    </w:p>
    <w:p>
      <w:pPr>
        <w:spacing w:line="360" w:lineRule="auto"/>
        <w:ind w:left="181" w:leftChars="86" w:firstLine="480" w:firstLineChars="200"/>
        <w:rPr>
          <w:rFonts w:hint="eastAsia"/>
          <w:sz w:val="24"/>
        </w:rPr>
      </w:pPr>
      <w:r>
        <w:rPr>
          <w:rFonts w:hint="eastAsia"/>
          <w:sz w:val="24"/>
        </w:rPr>
        <w:t>1、随产品提供一套完整的技术资料：包括说明书、维修保养手册等。</w:t>
      </w:r>
    </w:p>
    <w:p>
      <w:pPr>
        <w:spacing w:line="360" w:lineRule="auto"/>
        <w:ind w:left="181" w:leftChars="86" w:firstLine="480" w:firstLineChars="200"/>
        <w:rPr>
          <w:rFonts w:hint="eastAsia"/>
          <w:sz w:val="24"/>
        </w:rPr>
      </w:pPr>
      <w:r>
        <w:rPr>
          <w:rFonts w:hint="eastAsia"/>
          <w:sz w:val="24"/>
        </w:rPr>
        <w:t>2、我们在质量保证期内安装的任何零配件，都是原设备厂家生产的或是经过其认可的。</w:t>
      </w:r>
    </w:p>
    <w:p>
      <w:pPr>
        <w:spacing w:line="360" w:lineRule="auto"/>
        <w:ind w:left="420" w:leftChars="200" w:firstLine="240" w:firstLineChars="100"/>
        <w:rPr>
          <w:rFonts w:hint="eastAsia"/>
          <w:sz w:val="24"/>
        </w:rPr>
      </w:pPr>
      <w:r>
        <w:rPr>
          <w:rFonts w:hint="eastAsia"/>
          <w:sz w:val="24"/>
        </w:rPr>
        <w:t>3、质保期（免费维修期）自设备完成并验收签字次日开始计算，质保期为一年。</w:t>
      </w:r>
    </w:p>
    <w:p>
      <w:pPr>
        <w:spacing w:line="360" w:lineRule="auto"/>
        <w:ind w:left="420" w:leftChars="200" w:firstLine="240" w:firstLineChars="100"/>
        <w:rPr>
          <w:rFonts w:hint="eastAsia"/>
          <w:sz w:val="24"/>
        </w:rPr>
      </w:pPr>
      <w:r>
        <w:rPr>
          <w:rFonts w:hint="eastAsia"/>
          <w:sz w:val="24"/>
        </w:rPr>
        <w:t>4、在质保期内由我公司与厂家质保，不会以任何理由推诿或暗示贵方自行联系。</w:t>
      </w:r>
    </w:p>
    <w:p>
      <w:pPr>
        <w:spacing w:line="360" w:lineRule="auto"/>
        <w:ind w:left="420" w:leftChars="200" w:firstLine="240" w:firstLineChars="100"/>
        <w:rPr>
          <w:rFonts w:hint="eastAsia"/>
          <w:sz w:val="24"/>
        </w:rPr>
      </w:pPr>
      <w:r>
        <w:rPr>
          <w:rFonts w:hint="eastAsia"/>
          <w:sz w:val="24"/>
        </w:rPr>
        <w:t>5、我公司提供365天24小时可靠的服务热线电话及技术人员联系方式。</w:t>
      </w:r>
    </w:p>
    <w:p>
      <w:pPr>
        <w:spacing w:line="360" w:lineRule="auto"/>
        <w:ind w:left="420" w:leftChars="200" w:firstLine="240" w:firstLineChars="100"/>
        <w:rPr>
          <w:rFonts w:hint="eastAsia"/>
          <w:sz w:val="24"/>
        </w:rPr>
      </w:pPr>
      <w:r>
        <w:rPr>
          <w:rFonts w:hint="eastAsia"/>
          <w:sz w:val="24"/>
        </w:rPr>
        <w:t>6、在质保期内，凡设备出现故障接到贵单位的保修电话后</w:t>
      </w:r>
      <w:r>
        <w:rPr>
          <w:rFonts w:hint="eastAsia"/>
          <w:sz w:val="24"/>
          <w:lang w:val="en-US" w:eastAsia="zh-CN"/>
        </w:rPr>
        <w:t>12</w:t>
      </w:r>
      <w:r>
        <w:rPr>
          <w:rFonts w:hint="eastAsia"/>
          <w:sz w:val="24"/>
        </w:rPr>
        <w:t>小时内到达现场，</w:t>
      </w:r>
      <w:r>
        <w:rPr>
          <w:rFonts w:hint="eastAsia"/>
          <w:sz w:val="24"/>
          <w:lang w:val="en-US" w:eastAsia="zh-CN"/>
        </w:rPr>
        <w:t>24</w:t>
      </w:r>
      <w:r>
        <w:rPr>
          <w:rFonts w:hint="eastAsia"/>
          <w:sz w:val="24"/>
        </w:rPr>
        <w:t>小时解决问题。</w:t>
      </w:r>
    </w:p>
    <w:p>
      <w:pPr>
        <w:spacing w:line="360" w:lineRule="auto"/>
        <w:ind w:left="779" w:leftChars="371" w:firstLine="120" w:firstLineChars="50"/>
        <w:rPr>
          <w:rFonts w:hint="eastAsia"/>
          <w:sz w:val="24"/>
        </w:rPr>
      </w:pPr>
      <w:r>
        <w:rPr>
          <w:rFonts w:hint="eastAsia"/>
          <w:sz w:val="24"/>
        </w:rPr>
        <w:t>7、所有设备全部都安装到位。</w:t>
      </w:r>
    </w:p>
    <w:p>
      <w:pPr>
        <w:spacing w:line="360" w:lineRule="auto"/>
        <w:ind w:left="420" w:leftChars="200" w:firstLine="360" w:firstLineChars="150"/>
        <w:rPr>
          <w:rFonts w:hint="eastAsia"/>
          <w:sz w:val="24"/>
        </w:rPr>
      </w:pPr>
      <w:r>
        <w:rPr>
          <w:rFonts w:hint="eastAsia"/>
          <w:sz w:val="24"/>
        </w:rPr>
        <w:t>我公司一贯非常重视为客户提供优质的售后服务，以支持我们客户的成功，本公司技术人员素质高，其服务质量、效率、态度各方面都得到国内客户的好评。为了确保我公司所提供设备的优质运行，本公司愿为用户提供高质量的维护服务。</w:t>
      </w:r>
    </w:p>
    <w:p>
      <w:pPr>
        <w:spacing w:line="360" w:lineRule="auto"/>
        <w:ind w:firstLine="480" w:firstLineChars="200"/>
        <w:rPr>
          <w:rFonts w:hint="eastAsia" w:ascii="宋体" w:hAnsi="宋体"/>
          <w:sz w:val="24"/>
        </w:rPr>
      </w:pPr>
      <w:r>
        <w:rPr>
          <w:rFonts w:hint="eastAsia" w:ascii="宋体" w:hAnsi="宋体"/>
          <w:sz w:val="24"/>
        </w:rPr>
        <w:t>我们将提供硬件、本地网络、远程网络、系统平台、开发环境等的综合优化选择、提供系统规划或二次开发支持。我们拥有多年提供各种计算机系统全面解决方案的丰富经验,是其为客户量体裁衣,提供客户最优化选择的基础。我们可以从客户的实际业务和条件出发,结合将来信息业的发展趋势,在系统建设初期与用户一起确立系统目标，确定系统建设规划，并根据客户的需要为客户提供系统的可行性分析报告、合情合理的业务规范、项目建议书、系统建议方案及实施方案,使客户通过规范的业务流程和最优化的解决方案提高企业的管理能力,从而提高企业的竞争力,最终获得提高企业效率的效果。</w:t>
      </w:r>
    </w:p>
    <w:p>
      <w:pPr>
        <w:spacing w:line="360" w:lineRule="auto"/>
        <w:ind w:firstLine="480" w:firstLineChars="200"/>
        <w:rPr>
          <w:rFonts w:hint="eastAsia" w:ascii="宋体" w:hAnsi="宋体"/>
          <w:sz w:val="24"/>
        </w:rPr>
      </w:pPr>
      <w:r>
        <w:rPr>
          <w:rFonts w:hint="eastAsia" w:ascii="宋体" w:hAnsi="宋体"/>
          <w:sz w:val="24"/>
        </w:rPr>
        <w:t>我们公司可帮助客户:选择最适合的硬件；确定符合需求的网络系统方案,包括本地网络和远程网络；确定系统平台的选用；确定开发环境；提供方案选择。</w:t>
      </w:r>
    </w:p>
    <w:p>
      <w:pPr>
        <w:numPr>
          <w:ilvl w:val="0"/>
          <w:numId w:val="16"/>
        </w:numPr>
        <w:spacing w:before="156" w:beforeLines="50" w:after="156" w:afterLines="50" w:line="360" w:lineRule="auto"/>
        <w:outlineLvl w:val="2"/>
        <w:rPr>
          <w:rFonts w:hint="eastAsia" w:ascii="宋体" w:hAnsi="宋体"/>
          <w:b/>
          <w:sz w:val="28"/>
          <w:szCs w:val="28"/>
        </w:rPr>
      </w:pPr>
      <w:bookmarkStart w:id="110" w:name="_Toc234105729"/>
      <w:bookmarkStart w:id="111" w:name="_Toc251571338"/>
      <w:bookmarkStart w:id="112" w:name="_Toc52382554"/>
      <w:bookmarkStart w:id="113" w:name="_Toc248564011"/>
      <w:bookmarkStart w:id="114" w:name="_Toc209256152"/>
      <w:bookmarkStart w:id="115" w:name="_Toc117001547"/>
      <w:bookmarkStart w:id="116" w:name="_Toc42328245"/>
      <w:bookmarkStart w:id="117" w:name="_Toc123566878"/>
      <w:bookmarkStart w:id="118" w:name="_Toc251572845"/>
      <w:bookmarkStart w:id="119" w:name="_Toc151377755"/>
      <w:bookmarkStart w:id="120" w:name="_Toc220173164"/>
      <w:r>
        <w:rPr>
          <w:rFonts w:hint="eastAsia" w:ascii="宋体" w:hAnsi="宋体"/>
          <w:b/>
          <w:sz w:val="28"/>
          <w:szCs w:val="28"/>
        </w:rPr>
        <w:t>实施支持</w:t>
      </w:r>
      <w:bookmarkEnd w:id="110"/>
      <w:bookmarkEnd w:id="111"/>
      <w:bookmarkEnd w:id="112"/>
      <w:bookmarkEnd w:id="113"/>
      <w:bookmarkEnd w:id="114"/>
      <w:bookmarkEnd w:id="115"/>
      <w:bookmarkEnd w:id="116"/>
      <w:bookmarkEnd w:id="117"/>
      <w:bookmarkEnd w:id="118"/>
      <w:bookmarkEnd w:id="119"/>
      <w:bookmarkEnd w:id="120"/>
    </w:p>
    <w:p>
      <w:pPr>
        <w:spacing w:line="360" w:lineRule="auto"/>
        <w:ind w:firstLine="480" w:firstLineChars="200"/>
        <w:rPr>
          <w:rFonts w:hint="eastAsia" w:ascii="宋体" w:hAnsi="宋体"/>
          <w:sz w:val="24"/>
        </w:rPr>
      </w:pPr>
      <w:r>
        <w:rPr>
          <w:rFonts w:hint="eastAsia" w:ascii="宋体" w:hAnsi="宋体"/>
          <w:sz w:val="24"/>
        </w:rPr>
        <w:t>我们公司提供硬件、系统软件的安装、调试，应用软件的开发。由于具有丰富经验的技术支持和开发队伍，帮助客户根据各自需求和条件提供软硬件及外设的安装和调试，设计、建立网络系统，开发应用系统软件；也可以帮助客户规划和管理网络，将已有的应用移植到开放系统和其他平台，并提供对上述系统维护的建议，从而使客户真正满足需要。</w:t>
      </w:r>
    </w:p>
    <w:p>
      <w:pPr>
        <w:numPr>
          <w:ilvl w:val="2"/>
          <w:numId w:val="16"/>
        </w:numPr>
        <w:spacing w:before="156" w:beforeLines="50" w:after="156" w:afterLines="50" w:line="360" w:lineRule="auto"/>
        <w:outlineLvl w:val="2"/>
        <w:rPr>
          <w:rFonts w:hint="eastAsia" w:ascii="宋体" w:hAnsi="宋体"/>
          <w:b/>
          <w:sz w:val="28"/>
          <w:szCs w:val="28"/>
        </w:rPr>
      </w:pPr>
      <w:bookmarkStart w:id="121" w:name="_Toc151377756"/>
      <w:bookmarkStart w:id="122" w:name="_Toc123566879"/>
      <w:bookmarkStart w:id="123" w:name="_Toc220173165"/>
      <w:bookmarkStart w:id="124" w:name="_Toc52382555"/>
      <w:bookmarkStart w:id="125" w:name="_Toc42328246"/>
      <w:bookmarkStart w:id="126" w:name="_Toc251571339"/>
      <w:bookmarkStart w:id="127" w:name="_Toc234105730"/>
      <w:bookmarkStart w:id="128" w:name="_Toc209256153"/>
      <w:bookmarkStart w:id="129" w:name="_Toc248564012"/>
      <w:bookmarkStart w:id="130" w:name="_Toc251572846"/>
      <w:bookmarkStart w:id="131" w:name="_Toc117001548"/>
      <w:r>
        <w:rPr>
          <w:rFonts w:hint="eastAsia" w:ascii="宋体" w:hAnsi="宋体"/>
          <w:b/>
          <w:sz w:val="28"/>
          <w:szCs w:val="28"/>
        </w:rPr>
        <w:t>售后服务</w:t>
      </w:r>
      <w:bookmarkEnd w:id="121"/>
      <w:bookmarkEnd w:id="122"/>
      <w:bookmarkEnd w:id="123"/>
      <w:bookmarkEnd w:id="124"/>
      <w:bookmarkEnd w:id="125"/>
      <w:bookmarkEnd w:id="126"/>
      <w:bookmarkEnd w:id="127"/>
      <w:bookmarkEnd w:id="128"/>
      <w:bookmarkEnd w:id="129"/>
      <w:bookmarkEnd w:id="130"/>
      <w:bookmarkEnd w:id="131"/>
    </w:p>
    <w:p>
      <w:pPr>
        <w:spacing w:line="360" w:lineRule="auto"/>
        <w:ind w:firstLine="480" w:firstLineChars="200"/>
        <w:rPr>
          <w:rFonts w:hint="eastAsia" w:ascii="宋体" w:hAnsi="宋体"/>
          <w:sz w:val="24"/>
        </w:rPr>
      </w:pPr>
      <w:r>
        <w:rPr>
          <w:rFonts w:hint="eastAsia" w:ascii="宋体" w:hAnsi="宋体"/>
          <w:sz w:val="24"/>
        </w:rPr>
        <w:t>目前，我们公司所提供的售后服务有：</w:t>
      </w:r>
    </w:p>
    <w:p>
      <w:pPr>
        <w:numPr>
          <w:ilvl w:val="0"/>
          <w:numId w:val="17"/>
        </w:numPr>
        <w:rPr>
          <w:rFonts w:hint="eastAsia"/>
          <w:b/>
          <w:sz w:val="24"/>
        </w:rPr>
      </w:pPr>
      <w:bookmarkStart w:id="132" w:name="_Toc123566880"/>
      <w:bookmarkStart w:id="133" w:name="_Toc117001549"/>
      <w:bookmarkStart w:id="134" w:name="_Toc42328247"/>
      <w:bookmarkStart w:id="135" w:name="_Toc52382556"/>
      <w:r>
        <w:rPr>
          <w:rFonts w:hint="eastAsia"/>
          <w:b/>
          <w:sz w:val="24"/>
        </w:rPr>
        <w:t>免费电话技术咨询</w:t>
      </w:r>
      <w:bookmarkEnd w:id="132"/>
      <w:bookmarkEnd w:id="133"/>
      <w:bookmarkEnd w:id="134"/>
      <w:bookmarkEnd w:id="135"/>
    </w:p>
    <w:p>
      <w:pPr>
        <w:spacing w:line="360" w:lineRule="auto"/>
        <w:ind w:firstLine="480" w:firstLineChars="200"/>
        <w:rPr>
          <w:rFonts w:hint="eastAsia" w:ascii="宋体" w:hAnsi="宋体"/>
          <w:sz w:val="24"/>
        </w:rPr>
      </w:pPr>
      <w:r>
        <w:rPr>
          <w:rFonts w:hint="eastAsia" w:ascii="宋体" w:hAnsi="宋体"/>
          <w:sz w:val="24"/>
        </w:rPr>
        <w:t>当用户系统发生故障或用户有疑问时，用户可拨打本公司电话寻求技术支持,我们公司的专业工程师将及时回答客户提出的各种有关技术问题。公司电话：010-61772370，地址：北京市怀柔区九渡河镇怀长路8号</w:t>
      </w:r>
    </w:p>
    <w:p>
      <w:pPr>
        <w:numPr>
          <w:ilvl w:val="0"/>
          <w:numId w:val="17"/>
        </w:numPr>
        <w:rPr>
          <w:rFonts w:hint="eastAsia"/>
          <w:b/>
          <w:sz w:val="24"/>
        </w:rPr>
      </w:pPr>
      <w:bookmarkStart w:id="136" w:name="_Toc42328248"/>
      <w:bookmarkStart w:id="137" w:name="_Toc123566881"/>
      <w:bookmarkStart w:id="138" w:name="_Toc52382557"/>
      <w:bookmarkStart w:id="139" w:name="_Toc117001550"/>
      <w:r>
        <w:rPr>
          <w:rFonts w:hint="eastAsia"/>
          <w:b/>
          <w:sz w:val="24"/>
        </w:rPr>
        <w:t>现场维护服务</w:t>
      </w:r>
      <w:bookmarkEnd w:id="136"/>
      <w:bookmarkEnd w:id="137"/>
      <w:bookmarkEnd w:id="138"/>
      <w:bookmarkEnd w:id="139"/>
    </w:p>
    <w:p>
      <w:pPr>
        <w:spacing w:line="360" w:lineRule="auto"/>
        <w:ind w:firstLine="480" w:firstLineChars="200"/>
        <w:rPr>
          <w:rFonts w:hint="eastAsia" w:ascii="宋体" w:hAnsi="宋体"/>
          <w:sz w:val="24"/>
        </w:rPr>
      </w:pPr>
      <w:r>
        <w:rPr>
          <w:rFonts w:hint="eastAsia" w:ascii="宋体" w:hAnsi="宋体"/>
          <w:sz w:val="24"/>
        </w:rPr>
        <w:t>当客户报告的故障通过技术电话支持不能被解决时，本公司将按照合同规定的响应时间派遣工程师赴客户现场排除故障，进行维修。包括故障设备的取回和送还。</w:t>
      </w:r>
    </w:p>
    <w:p>
      <w:pPr>
        <w:numPr>
          <w:ilvl w:val="0"/>
          <w:numId w:val="17"/>
        </w:numPr>
        <w:rPr>
          <w:rFonts w:hint="eastAsia"/>
          <w:b/>
          <w:sz w:val="24"/>
        </w:rPr>
      </w:pPr>
      <w:bookmarkStart w:id="140" w:name="_Toc42328249"/>
      <w:bookmarkStart w:id="141" w:name="_Toc52382558"/>
      <w:bookmarkStart w:id="142" w:name="_Toc123566882"/>
      <w:bookmarkStart w:id="143" w:name="_Toc117001551"/>
      <w:r>
        <w:rPr>
          <w:rFonts w:hint="eastAsia"/>
          <w:b/>
          <w:sz w:val="24"/>
        </w:rPr>
        <w:t>互连远程维护</w:t>
      </w:r>
      <w:bookmarkEnd w:id="140"/>
      <w:bookmarkEnd w:id="141"/>
      <w:bookmarkEnd w:id="142"/>
      <w:bookmarkEnd w:id="143"/>
    </w:p>
    <w:p>
      <w:pPr>
        <w:spacing w:line="360" w:lineRule="auto"/>
        <w:ind w:firstLine="480" w:firstLineChars="200"/>
        <w:rPr>
          <w:rFonts w:hint="eastAsia" w:ascii="宋体" w:hAnsi="宋体"/>
          <w:sz w:val="24"/>
        </w:rPr>
      </w:pPr>
      <w:r>
        <w:rPr>
          <w:rFonts w:hint="eastAsia" w:ascii="宋体" w:hAnsi="宋体"/>
          <w:sz w:val="24"/>
        </w:rPr>
        <w:t>根据情况与客户联机，进行远程软件维护，快捷、方便、及时解决客户的软件问题。</w:t>
      </w:r>
    </w:p>
    <w:p>
      <w:pPr>
        <w:numPr>
          <w:ilvl w:val="0"/>
          <w:numId w:val="17"/>
        </w:numPr>
        <w:rPr>
          <w:rFonts w:hint="eastAsia"/>
          <w:b/>
          <w:sz w:val="24"/>
        </w:rPr>
      </w:pPr>
      <w:bookmarkStart w:id="144" w:name="_Toc123566883"/>
      <w:bookmarkStart w:id="145" w:name="_Toc52382559"/>
      <w:bookmarkStart w:id="146" w:name="_Toc117001552"/>
      <w:bookmarkStart w:id="147" w:name="_Toc42328250"/>
      <w:r>
        <w:rPr>
          <w:rFonts w:hint="eastAsia"/>
          <w:b/>
          <w:sz w:val="24"/>
        </w:rPr>
        <w:t>合约定期维护</w:t>
      </w:r>
      <w:bookmarkEnd w:id="144"/>
      <w:bookmarkEnd w:id="145"/>
      <w:bookmarkEnd w:id="146"/>
      <w:bookmarkEnd w:id="147"/>
    </w:p>
    <w:p>
      <w:pPr>
        <w:spacing w:line="360" w:lineRule="auto"/>
        <w:ind w:firstLine="480" w:firstLineChars="200"/>
        <w:rPr>
          <w:rFonts w:hint="eastAsia" w:ascii="宋体" w:hAnsi="宋体"/>
          <w:sz w:val="24"/>
        </w:rPr>
      </w:pPr>
      <w:r>
        <w:rPr>
          <w:rFonts w:hint="eastAsia" w:ascii="宋体" w:hAnsi="宋体"/>
          <w:sz w:val="24"/>
        </w:rPr>
        <w:t>通过签订维护合约，我们公司工程师将依靠专业化的技术手段，为客户进行计算机系统的定期维护，及时发现并解决潜在的问题。每季度一次的现场服务，包括软硬件系统的检查、调试和设备的清洁，了解网络系统的运作情况，对潜在的问题给出合理化的解决方案；一旦故障发生，将提供最高优先级的现场维护，准确地排除故障，恢复系统的正常运行。当用户设备出现故障在规定的时间内不能修复，我们公司将提供同等功能的设备供用户使用，直至故障修复为止。</w:t>
      </w:r>
    </w:p>
    <w:p>
      <w:pPr>
        <w:numPr>
          <w:ilvl w:val="0"/>
          <w:numId w:val="17"/>
        </w:numPr>
        <w:rPr>
          <w:rFonts w:hint="eastAsia"/>
          <w:b/>
          <w:sz w:val="24"/>
        </w:rPr>
      </w:pPr>
      <w:bookmarkStart w:id="148" w:name="_Toc52382560"/>
      <w:bookmarkStart w:id="149" w:name="_Toc123566884"/>
      <w:bookmarkStart w:id="150" w:name="_Toc117001553"/>
      <w:bookmarkStart w:id="151" w:name="_Toc42328251"/>
      <w:r>
        <w:rPr>
          <w:rFonts w:hint="eastAsia"/>
          <w:b/>
          <w:sz w:val="24"/>
        </w:rPr>
        <w:t>保修期服务</w:t>
      </w:r>
      <w:bookmarkEnd w:id="148"/>
      <w:bookmarkEnd w:id="149"/>
      <w:bookmarkEnd w:id="150"/>
      <w:bookmarkEnd w:id="151"/>
    </w:p>
    <w:p>
      <w:pPr>
        <w:spacing w:line="360" w:lineRule="auto"/>
        <w:ind w:firstLine="480" w:firstLineChars="200"/>
        <w:rPr>
          <w:rFonts w:hint="eastAsia" w:ascii="宋体" w:hAnsi="宋体"/>
          <w:sz w:val="24"/>
        </w:rPr>
      </w:pPr>
      <w:r>
        <w:rPr>
          <w:rFonts w:hint="eastAsia" w:ascii="宋体" w:hAnsi="宋体"/>
          <w:sz w:val="24"/>
        </w:rPr>
        <w:t>用户从我们公司购买设备，配置网络，均享受保修期服务。在此期间，我们公司将为您提供免费电话咨询服务，排除硬件故障，恢复硬件系统的正常运行。在保修期结束后，建议用户签订计算机系统整体维护合约。</w:t>
      </w:r>
    </w:p>
    <w:p>
      <w:pPr>
        <w:numPr>
          <w:ilvl w:val="0"/>
          <w:numId w:val="17"/>
        </w:numPr>
        <w:rPr>
          <w:rFonts w:hint="eastAsia"/>
          <w:b/>
          <w:sz w:val="24"/>
        </w:rPr>
      </w:pPr>
      <w:bookmarkStart w:id="152" w:name="_Toc123566885"/>
      <w:bookmarkStart w:id="153" w:name="_Toc42328252"/>
      <w:bookmarkStart w:id="154" w:name="_Toc52382561"/>
      <w:bookmarkStart w:id="155" w:name="_Toc117001554"/>
      <w:r>
        <w:rPr>
          <w:rFonts w:hint="eastAsia"/>
          <w:b/>
          <w:sz w:val="24"/>
        </w:rPr>
        <w:t>用户培训</w:t>
      </w:r>
      <w:bookmarkEnd w:id="152"/>
      <w:bookmarkEnd w:id="153"/>
      <w:bookmarkEnd w:id="154"/>
      <w:bookmarkEnd w:id="155"/>
    </w:p>
    <w:p>
      <w:pPr>
        <w:spacing w:line="360" w:lineRule="auto"/>
        <w:ind w:firstLine="480" w:firstLineChars="200"/>
        <w:rPr>
          <w:rFonts w:hint="eastAsia" w:ascii="宋体" w:hAnsi="宋体"/>
          <w:sz w:val="24"/>
        </w:rPr>
      </w:pPr>
      <w:r>
        <w:rPr>
          <w:rFonts w:hint="eastAsia" w:ascii="宋体" w:hAnsi="宋体"/>
          <w:sz w:val="24"/>
        </w:rPr>
        <w:t>新的系统必然需要掌握新技术的人员，我们公司愿意根据您的需要，提供适当的培训内容。培训包括技术培训和管理培训。通过技术培训帮助您建立一支灵活、强大的信息技术队伍，加强您员工的技术能力；通过管理培训，帮助您对公司内部的各种文档、光盘、资料等资源进行有效地管理和充分利用。</w:t>
      </w:r>
    </w:p>
    <w:p>
      <w:pPr>
        <w:spacing w:line="360" w:lineRule="auto"/>
        <w:ind w:firstLine="480" w:firstLineChars="200"/>
        <w:rPr>
          <w:rFonts w:hint="eastAsia" w:ascii="宋体" w:hAnsi="宋体"/>
          <w:sz w:val="24"/>
        </w:rPr>
      </w:pPr>
      <w:r>
        <w:rPr>
          <w:rFonts w:hint="eastAsia" w:ascii="宋体" w:hAnsi="宋体"/>
          <w:sz w:val="24"/>
        </w:rPr>
        <w:t>及时提供产品和技术的更新信息。</w:t>
      </w:r>
    </w:p>
    <w:p>
      <w:pPr>
        <w:spacing w:line="360" w:lineRule="auto"/>
        <w:ind w:firstLine="480" w:firstLineChars="200"/>
        <w:rPr>
          <w:rFonts w:hint="eastAsia" w:ascii="宋体" w:hAnsi="宋体"/>
          <w:sz w:val="24"/>
        </w:rPr>
      </w:pPr>
      <w:r>
        <w:rPr>
          <w:rFonts w:hint="eastAsia" w:ascii="宋体" w:hAnsi="宋体"/>
          <w:sz w:val="24"/>
        </w:rPr>
        <w:t>我们公司将定期向客户通过E_mail传递或邮寄相关产品、相关技术的新动态，并经常性举办讲座和展示会，帮助客户及时掌握信息产业的趋势和发展方向。</w:t>
      </w:r>
    </w:p>
    <w:p>
      <w:pPr>
        <w:spacing w:line="360" w:lineRule="auto"/>
        <w:ind w:firstLine="480" w:firstLineChars="200"/>
        <w:rPr>
          <w:rFonts w:hint="eastAsia" w:ascii="宋体" w:hAnsi="宋体"/>
          <w:sz w:val="24"/>
        </w:rPr>
      </w:pPr>
      <w:r>
        <w:rPr>
          <w:rFonts w:hint="eastAsia" w:ascii="宋体" w:hAnsi="宋体"/>
          <w:sz w:val="24"/>
        </w:rPr>
        <w:t>总之，我们的目标就是为您提供综合性的、专门的服务与支持，让您能够利用计算机稳定、可靠、方便地工作。用户的利益即是我们的利益，最终用户在我们公司所享受到的将是全方位的支持。无论是现在还是将来，我们公司都会让您得到最满意的服务。系统维护及售后服务。</w:t>
      </w:r>
    </w:p>
    <w:p>
      <w:pPr>
        <w:spacing w:line="360" w:lineRule="auto"/>
        <w:ind w:firstLine="480" w:firstLineChars="200"/>
        <w:rPr>
          <w:rFonts w:hint="eastAsia" w:ascii="宋体" w:hAnsi="宋体"/>
          <w:b/>
          <w:sz w:val="28"/>
          <w:szCs w:val="28"/>
        </w:rPr>
      </w:pPr>
      <w:r>
        <w:rPr>
          <w:rFonts w:hint="eastAsia" w:ascii="宋体" w:hAnsi="宋体"/>
          <w:sz w:val="24"/>
        </w:rPr>
        <w:br w:type="page"/>
      </w:r>
      <w:bookmarkStart w:id="156" w:name="_Toc209256154"/>
      <w:bookmarkStart w:id="157" w:name="_Toc123566886"/>
      <w:bookmarkStart w:id="158" w:name="_Toc248564013"/>
      <w:bookmarkStart w:id="159" w:name="_Toc251572847"/>
      <w:bookmarkStart w:id="160" w:name="_Toc42328253"/>
      <w:bookmarkStart w:id="161" w:name="_Toc234105731"/>
      <w:bookmarkStart w:id="162" w:name="_Toc117001555"/>
      <w:bookmarkStart w:id="163" w:name="_Toc251571340"/>
      <w:bookmarkStart w:id="164" w:name="_Toc220173166"/>
      <w:bookmarkStart w:id="165" w:name="_Toc151377757"/>
      <w:bookmarkStart w:id="166" w:name="_Toc52382562"/>
      <w:r>
        <w:rPr>
          <w:rFonts w:hint="eastAsia" w:ascii="宋体" w:hAnsi="宋体" w:cs="Times New Roman"/>
          <w:b/>
          <w:sz w:val="28"/>
          <w:szCs w:val="28"/>
          <w:lang w:val="en-US" w:eastAsia="zh-CN"/>
        </w:rPr>
        <w:t>2.</w:t>
      </w:r>
      <w:r>
        <w:rPr>
          <w:rFonts w:hint="eastAsia" w:ascii="宋体" w:hAnsi="宋体"/>
          <w:b/>
          <w:sz w:val="28"/>
          <w:szCs w:val="28"/>
        </w:rPr>
        <w:t>售后服务组织结构</w:t>
      </w:r>
      <w:bookmarkEnd w:id="156"/>
      <w:bookmarkEnd w:id="157"/>
      <w:bookmarkEnd w:id="158"/>
      <w:bookmarkEnd w:id="159"/>
      <w:bookmarkEnd w:id="160"/>
      <w:bookmarkEnd w:id="161"/>
      <w:bookmarkEnd w:id="162"/>
      <w:bookmarkEnd w:id="163"/>
      <w:bookmarkEnd w:id="164"/>
      <w:bookmarkEnd w:id="165"/>
      <w:bookmarkEnd w:id="166"/>
    </w:p>
    <w:p>
      <w:pPr>
        <w:spacing w:line="360" w:lineRule="auto"/>
        <w:jc w:val="center"/>
        <w:rPr>
          <w:rFonts w:hint="eastAsia" w:ascii="宋体" w:hAnsi="宋体"/>
        </w:rPr>
      </w:pPr>
      <w:r>
        <w:rPr>
          <w:rFonts w:ascii="宋体" w:hAnsi="宋体"/>
        </w:rPr>
        <w:drawing>
          <wp:inline distT="0" distB="0" distL="114300" distR="114300">
            <wp:extent cx="4698365" cy="2191385"/>
            <wp:effectExtent l="0" t="0" r="6985" b="18415"/>
            <wp:docPr id="3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图片 1"/>
                    <pic:cNvPicPr>
                      <a:picLocks noChangeAspect="1"/>
                    </pic:cNvPicPr>
                  </pic:nvPicPr>
                  <pic:blipFill>
                    <a:blip r:embed="rId35"/>
                    <a:stretch>
                      <a:fillRect/>
                    </a:stretch>
                  </pic:blipFill>
                  <pic:spPr>
                    <a:xfrm>
                      <a:off x="0" y="0"/>
                      <a:ext cx="4698365" cy="2191385"/>
                    </a:xfrm>
                    <a:prstGeom prst="rect">
                      <a:avLst/>
                    </a:prstGeom>
                    <a:noFill/>
                    <a:ln>
                      <a:noFill/>
                    </a:ln>
                  </pic:spPr>
                </pic:pic>
              </a:graphicData>
            </a:graphic>
          </wp:inline>
        </w:drawing>
      </w:r>
    </w:p>
    <w:p>
      <w:pPr>
        <w:spacing w:line="360" w:lineRule="auto"/>
        <w:ind w:firstLine="480" w:firstLineChars="200"/>
        <w:rPr>
          <w:rFonts w:hint="eastAsia" w:ascii="宋体" w:hAnsi="宋体"/>
          <w:sz w:val="24"/>
        </w:rPr>
      </w:pPr>
      <w:r>
        <w:rPr>
          <w:rFonts w:hint="eastAsia" w:ascii="宋体" w:hAnsi="宋体"/>
          <w:sz w:val="24"/>
        </w:rPr>
        <w:t>现场技术小组：属于一线工程实施或者技术支持人员，是我公司派驻用户管理现场的技术小组。技术小组按照《标准化服务流程》和《系统网络管理规范》中的工作要求，进行项目实施和管理，以及受用户委托管理相关网络、主机和应用系统。技术小组成员都接受过严格的专业训练，能够立即处理用户现场绝大部分问题。如果遇到尚不清楚、无法解决的技术问题，小组在最短时间内将其转交给专业服务中心处理。</w:t>
      </w:r>
    </w:p>
    <w:p>
      <w:pPr>
        <w:spacing w:line="360" w:lineRule="auto"/>
        <w:ind w:firstLine="480" w:firstLineChars="200"/>
        <w:rPr>
          <w:rFonts w:hint="eastAsia" w:ascii="宋体" w:hAnsi="宋体"/>
          <w:sz w:val="24"/>
        </w:rPr>
      </w:pPr>
      <w:r>
        <w:rPr>
          <w:rFonts w:hint="eastAsia" w:ascii="宋体" w:hAnsi="宋体"/>
          <w:sz w:val="24"/>
        </w:rPr>
        <w:t>专业服务中心：是公司的IT管理技术核心部门，集中了公司大部分的技术精英。专业服务中心成员不但通过了初级和高级培训及认证，精通一到二个典型的大型应用，而且在管理项目管理和客户支持方面具有丰富的经验。专业服务中心接受现场技术小组转来的有关问题，并进行研究，给出解决方案建议，交现场技术小组落实解决，并记录入公司的咨询服务数据库中。在有些涉及到开发方面的问题，会转到公司的研究发展部门予以解决；某些问题可能需要协调厂商共同解决。</w:t>
      </w:r>
    </w:p>
    <w:p>
      <w:pPr>
        <w:spacing w:line="360" w:lineRule="auto"/>
        <w:ind w:firstLine="480" w:firstLineChars="200"/>
        <w:rPr>
          <w:rFonts w:hint="eastAsia" w:ascii="宋体" w:hAnsi="宋体"/>
          <w:sz w:val="24"/>
        </w:rPr>
      </w:pPr>
      <w:r>
        <w:rPr>
          <w:rFonts w:hint="eastAsia" w:ascii="宋体" w:hAnsi="宋体"/>
          <w:sz w:val="24"/>
        </w:rPr>
        <w:t>应用研究发展部：集中了最优秀的软件开发工程师，他们专精于软件产品的设计和开发，可以为客户定制某些特殊的管理应用。在需要时，也能帮助客户找出问题并提供解答。</w:t>
      </w:r>
    </w:p>
    <w:p>
      <w:pPr>
        <w:spacing w:line="360" w:lineRule="auto"/>
        <w:ind w:firstLine="480" w:firstLineChars="200"/>
        <w:rPr>
          <w:rFonts w:hint="eastAsia" w:ascii="宋体" w:hAnsi="宋体"/>
          <w:sz w:val="24"/>
        </w:rPr>
      </w:pPr>
      <w:r>
        <w:rPr>
          <w:rFonts w:hint="eastAsia" w:ascii="宋体" w:hAnsi="宋体"/>
          <w:sz w:val="24"/>
        </w:rPr>
        <w:t>厂商技术支持中心：某些问题可能需要协调厂商方面予以解决。公司负责问题的全程跟踪，从而能够加快问题解决的速度，保证服务质量。</w:t>
      </w:r>
    </w:p>
    <w:p>
      <w:pPr>
        <w:pStyle w:val="13"/>
        <w:jc w:val="both"/>
        <w:rPr>
          <w:lang w:val="en-US" w:eastAsia="zh-CN"/>
        </w:rPr>
      </w:pPr>
    </w:p>
    <w:p>
      <w:pPr>
        <w:pStyle w:val="13"/>
        <w:jc w:val="both"/>
        <w:rPr>
          <w:lang w:val="en-US" w:eastAsia="zh-CN"/>
        </w:rPr>
      </w:pPr>
      <w:r>
        <w:rPr>
          <w:lang w:val="en-US" w:eastAsia="zh-CN"/>
        </w:rPr>
        <w:drawing>
          <wp:inline distT="0" distB="0" distL="114300" distR="114300">
            <wp:extent cx="5271135" cy="7453630"/>
            <wp:effectExtent l="0" t="0" r="5715" b="13970"/>
            <wp:docPr id="1" name="图片 1" descr="中 标 通 知 书（无水印）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中 标 通 知 书（无水印）_00"/>
                    <pic:cNvPicPr>
                      <a:picLocks noChangeAspect="1"/>
                    </pic:cNvPicPr>
                  </pic:nvPicPr>
                  <pic:blipFill>
                    <a:blip r:embed="rId36"/>
                    <a:stretch>
                      <a:fillRect/>
                    </a:stretch>
                  </pic:blipFill>
                  <pic:spPr>
                    <a:xfrm>
                      <a:off x="0" y="0"/>
                      <a:ext cx="5271135" cy="7453630"/>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rFonts w:asciiTheme="minorEastAsia" w:hAnsiTheme="minor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1" name="文本框 1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ZRPKgzAgAAZQ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tsxJYZptPz04/vp&#10;58Pp1zeSDiFR48IMkfcOsbF9Z1uED+cBh4l5W3mdvuBE4IfAx4vAoo2Ep0vTyXSaw8XhGzbAzx6v&#10;Ox/ie2E1SUZBPTrYCcsOmxD70CEkZTN2LZXquqgMaQp69fpN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ZRPKgzAgAAZQQAAA4AAAAAAAAAAQAgAAAAHwEAAGRycy9lMm9Eb2MueG1sUEsF&#10;BgAAAAAGAAYAWQEAAMQ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abstractNum w:abstractNumId="0">
    <w:nsid w:val="866233DB"/>
    <w:multiLevelType w:val="singleLevel"/>
    <w:tmpl w:val="866233DB"/>
    <w:lvl w:ilvl="0" w:tentative="0">
      <w:start w:val="1"/>
      <w:numFmt w:val="decimal"/>
      <w:suff w:val="nothing"/>
      <w:lvlText w:val="%1）"/>
      <w:lvlJc w:val="left"/>
    </w:lvl>
  </w:abstractNum>
  <w:abstractNum w:abstractNumId="1">
    <w:nsid w:val="CBC53236"/>
    <w:multiLevelType w:val="multilevel"/>
    <w:tmpl w:val="CBC53236"/>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2">
    <w:nsid w:val="D420FF62"/>
    <w:multiLevelType w:val="singleLevel"/>
    <w:tmpl w:val="D420FF62"/>
    <w:lvl w:ilvl="0" w:tentative="0">
      <w:start w:val="1"/>
      <w:numFmt w:val="decimal"/>
      <w:suff w:val="nothing"/>
      <w:lvlText w:val="（%1）"/>
      <w:lvlJc w:val="left"/>
    </w:lvl>
  </w:abstractNum>
  <w:abstractNum w:abstractNumId="3">
    <w:nsid w:val="EFAE21AF"/>
    <w:multiLevelType w:val="singleLevel"/>
    <w:tmpl w:val="EFAE21AF"/>
    <w:lvl w:ilvl="0" w:tentative="0">
      <w:start w:val="2"/>
      <w:numFmt w:val="decimal"/>
      <w:lvlText w:val="(%1)"/>
      <w:lvlJc w:val="left"/>
      <w:pPr>
        <w:tabs>
          <w:tab w:val="left" w:pos="312"/>
        </w:tabs>
      </w:pPr>
    </w:lvl>
  </w:abstractNum>
  <w:abstractNum w:abstractNumId="4">
    <w:nsid w:val="F2875F45"/>
    <w:multiLevelType w:val="singleLevel"/>
    <w:tmpl w:val="F2875F45"/>
    <w:lvl w:ilvl="0" w:tentative="0">
      <w:start w:val="1"/>
      <w:numFmt w:val="decimal"/>
      <w:suff w:val="nothing"/>
      <w:lvlText w:val="%1）"/>
      <w:lvlJc w:val="left"/>
    </w:lvl>
  </w:abstractNum>
  <w:abstractNum w:abstractNumId="5">
    <w:nsid w:val="FDAB67B7"/>
    <w:multiLevelType w:val="singleLevel"/>
    <w:tmpl w:val="FDAB67B7"/>
    <w:lvl w:ilvl="0" w:tentative="0">
      <w:start w:val="2"/>
      <w:numFmt w:val="decimal"/>
      <w:suff w:val="nothing"/>
      <w:lvlText w:val="%1）"/>
      <w:lvlJc w:val="left"/>
    </w:lvl>
  </w:abstractNum>
  <w:abstractNum w:abstractNumId="6">
    <w:nsid w:val="00000021"/>
    <w:multiLevelType w:val="multilevel"/>
    <w:tmpl w:val="00000021"/>
    <w:lvl w:ilvl="0" w:tentative="0">
      <w:start w:val="1"/>
      <w:numFmt w:val="decimal"/>
      <w:pStyle w:val="9"/>
      <w:suff w:val="space"/>
      <w:lvlText w:val="图%1."/>
      <w:lvlJc w:val="left"/>
      <w:pPr>
        <w:ind w:left="4107" w:hanging="420"/>
      </w:pPr>
      <w:rPr>
        <w:b w:val="0"/>
        <w:bCs w:val="0"/>
        <w:i w:val="0"/>
        <w:iCs w:val="0"/>
        <w:caps w:val="0"/>
        <w:smallCaps w:val="0"/>
        <w:vanish w:val="0"/>
        <w:spacing w:val="0"/>
        <w:position w:val="0"/>
        <w:u w:val="none"/>
        <w:vertAlign w:val="baseline"/>
        <w14:ligatures w14:val="none"/>
        <w14:numForm w14:val="default"/>
        <w14:numSpacing w14:val="default"/>
      </w:rPr>
    </w:lvl>
    <w:lvl w:ilvl="1" w:tentative="0">
      <w:start w:val="1"/>
      <w:numFmt w:val="lowerLetter"/>
      <w:lvlText w:val="%2)"/>
      <w:lvlJc w:val="left"/>
      <w:pPr>
        <w:ind w:left="2683" w:hanging="420"/>
      </w:pPr>
    </w:lvl>
    <w:lvl w:ilvl="2" w:tentative="0">
      <w:start w:val="1"/>
      <w:numFmt w:val="lowerRoman"/>
      <w:lvlText w:val="%3."/>
      <w:lvlJc w:val="right"/>
      <w:pPr>
        <w:ind w:left="3103" w:hanging="420"/>
      </w:pPr>
    </w:lvl>
    <w:lvl w:ilvl="3" w:tentative="0">
      <w:start w:val="1"/>
      <w:numFmt w:val="decimal"/>
      <w:lvlText w:val="%4."/>
      <w:lvlJc w:val="left"/>
      <w:pPr>
        <w:ind w:left="3523" w:hanging="420"/>
      </w:pPr>
    </w:lvl>
    <w:lvl w:ilvl="4" w:tentative="0">
      <w:start w:val="1"/>
      <w:numFmt w:val="lowerLetter"/>
      <w:lvlText w:val="%5)"/>
      <w:lvlJc w:val="left"/>
      <w:pPr>
        <w:ind w:left="3943" w:hanging="420"/>
      </w:pPr>
    </w:lvl>
    <w:lvl w:ilvl="5" w:tentative="0">
      <w:start w:val="1"/>
      <w:numFmt w:val="lowerRoman"/>
      <w:lvlText w:val="%6."/>
      <w:lvlJc w:val="right"/>
      <w:pPr>
        <w:ind w:left="4363" w:hanging="420"/>
      </w:pPr>
    </w:lvl>
    <w:lvl w:ilvl="6" w:tentative="0">
      <w:start w:val="1"/>
      <w:numFmt w:val="decimal"/>
      <w:lvlText w:val="%7."/>
      <w:lvlJc w:val="left"/>
      <w:pPr>
        <w:ind w:left="4783" w:hanging="420"/>
      </w:pPr>
    </w:lvl>
    <w:lvl w:ilvl="7" w:tentative="0">
      <w:start w:val="1"/>
      <w:numFmt w:val="lowerLetter"/>
      <w:lvlText w:val="%8)"/>
      <w:lvlJc w:val="left"/>
      <w:pPr>
        <w:ind w:left="5203" w:hanging="420"/>
      </w:pPr>
    </w:lvl>
    <w:lvl w:ilvl="8" w:tentative="0">
      <w:start w:val="1"/>
      <w:numFmt w:val="lowerRoman"/>
      <w:lvlText w:val="%9."/>
      <w:lvlJc w:val="right"/>
      <w:pPr>
        <w:ind w:left="5623" w:hanging="420"/>
      </w:pPr>
    </w:lvl>
  </w:abstractNum>
  <w:abstractNum w:abstractNumId="7">
    <w:nsid w:val="04C3E24D"/>
    <w:multiLevelType w:val="singleLevel"/>
    <w:tmpl w:val="04C3E24D"/>
    <w:lvl w:ilvl="0" w:tentative="0">
      <w:start w:val="7"/>
      <w:numFmt w:val="decimal"/>
      <w:suff w:val="nothing"/>
      <w:lvlText w:val="（%1）"/>
      <w:lvlJc w:val="left"/>
    </w:lvl>
  </w:abstractNum>
  <w:abstractNum w:abstractNumId="8">
    <w:nsid w:val="21D22840"/>
    <w:multiLevelType w:val="multilevel"/>
    <w:tmpl w:val="21D22840"/>
    <w:lvl w:ilvl="0" w:tentative="0">
      <w:start w:val="1"/>
      <w:numFmt w:val="decimal"/>
      <w:pStyle w:val="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3A6854A7"/>
    <w:multiLevelType w:val="multilevel"/>
    <w:tmpl w:val="3A6854A7"/>
    <w:lvl w:ilvl="0" w:tentative="0">
      <w:start w:val="1"/>
      <w:numFmt w:val="decimal"/>
      <w:pStyle w:val="5"/>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40109D0D"/>
    <w:multiLevelType w:val="singleLevel"/>
    <w:tmpl w:val="40109D0D"/>
    <w:lvl w:ilvl="0" w:tentative="0">
      <w:start w:val="1"/>
      <w:numFmt w:val="decimal"/>
      <w:suff w:val="nothing"/>
      <w:lvlText w:val="（%1）"/>
      <w:lvlJc w:val="left"/>
    </w:lvl>
  </w:abstractNum>
  <w:abstractNum w:abstractNumId="11">
    <w:nsid w:val="4D765EA5"/>
    <w:multiLevelType w:val="multilevel"/>
    <w:tmpl w:val="4D765EA5"/>
    <w:lvl w:ilvl="0" w:tentative="0">
      <w:start w:val="1"/>
      <w:numFmt w:val="decimal"/>
      <w:pStyle w:val="25"/>
      <w:lvlText w:val="（%1）"/>
      <w:lvlJc w:val="left"/>
      <w:pPr>
        <w:ind w:left="420" w:hanging="420"/>
      </w:pPr>
      <w:rPr>
        <w:rFonts w:hint="default"/>
        <w:b w:val="0"/>
        <w:bCs/>
        <w:i w:val="0"/>
        <w:iCs w:val="0"/>
        <w:caps w:val="0"/>
        <w:smallCaps w:val="0"/>
        <w:strike w:val="0"/>
        <w:dstrike w:val="0"/>
        <w:vanish w:val="0"/>
        <w:spacing w:val="0"/>
        <w:position w:val="0"/>
        <w:u w:val="none"/>
        <w:vertAlign w:val="baseline"/>
        <w14:ligatures w14:val="none"/>
        <w14:numForm w14:val="default"/>
        <w14:numSpacing w14:val="default"/>
        <w14:cntxtalts w14: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6CE76F1"/>
    <w:multiLevelType w:val="multilevel"/>
    <w:tmpl w:val="56CE76F1"/>
    <w:lvl w:ilvl="0" w:tentative="0">
      <w:start w:val="4"/>
      <w:numFmt w:val="japaneseCounting"/>
      <w:lvlText w:val="%1、"/>
      <w:lvlJc w:val="left"/>
      <w:pPr>
        <w:tabs>
          <w:tab w:val="left" w:pos="1141"/>
        </w:tabs>
        <w:ind w:left="1141" w:hanging="480"/>
      </w:pPr>
      <w:rPr>
        <w:rFonts w:hint="default"/>
      </w:rPr>
    </w:lvl>
    <w:lvl w:ilvl="1" w:tentative="0">
      <w:start w:val="1"/>
      <w:numFmt w:val="lowerLetter"/>
      <w:lvlText w:val="%2)"/>
      <w:lvlJc w:val="left"/>
      <w:pPr>
        <w:tabs>
          <w:tab w:val="left" w:pos="1501"/>
        </w:tabs>
        <w:ind w:left="1501" w:hanging="420"/>
      </w:pPr>
    </w:lvl>
    <w:lvl w:ilvl="2" w:tentative="0">
      <w:start w:val="1"/>
      <w:numFmt w:val="decimal"/>
      <w:lvlText w:val="%3."/>
      <w:lvlJc w:val="left"/>
      <w:pPr>
        <w:tabs>
          <w:tab w:val="left" w:pos="1921"/>
        </w:tabs>
        <w:ind w:left="1921" w:hanging="420"/>
      </w:pPr>
      <w:rPr>
        <w:rFonts w:hint="default"/>
      </w:rPr>
    </w:lvl>
    <w:lvl w:ilvl="3" w:tentative="0">
      <w:start w:val="1"/>
      <w:numFmt w:val="decimal"/>
      <w:lvlText w:val="%4."/>
      <w:lvlJc w:val="left"/>
      <w:pPr>
        <w:tabs>
          <w:tab w:val="left" w:pos="2341"/>
        </w:tabs>
        <w:ind w:left="2341" w:hanging="420"/>
      </w:pPr>
    </w:lvl>
    <w:lvl w:ilvl="4" w:tentative="0">
      <w:start w:val="1"/>
      <w:numFmt w:val="lowerLetter"/>
      <w:lvlText w:val="%5)"/>
      <w:lvlJc w:val="left"/>
      <w:pPr>
        <w:tabs>
          <w:tab w:val="left" w:pos="2761"/>
        </w:tabs>
        <w:ind w:left="2761" w:hanging="420"/>
      </w:pPr>
    </w:lvl>
    <w:lvl w:ilvl="5" w:tentative="0">
      <w:start w:val="1"/>
      <w:numFmt w:val="lowerRoman"/>
      <w:lvlText w:val="%6."/>
      <w:lvlJc w:val="right"/>
      <w:pPr>
        <w:tabs>
          <w:tab w:val="left" w:pos="3181"/>
        </w:tabs>
        <w:ind w:left="3181" w:hanging="420"/>
      </w:pPr>
    </w:lvl>
    <w:lvl w:ilvl="6" w:tentative="0">
      <w:start w:val="1"/>
      <w:numFmt w:val="decimal"/>
      <w:lvlText w:val="%7."/>
      <w:lvlJc w:val="left"/>
      <w:pPr>
        <w:tabs>
          <w:tab w:val="left" w:pos="3601"/>
        </w:tabs>
        <w:ind w:left="3601" w:hanging="420"/>
      </w:pPr>
    </w:lvl>
    <w:lvl w:ilvl="7" w:tentative="0">
      <w:start w:val="1"/>
      <w:numFmt w:val="lowerLetter"/>
      <w:lvlText w:val="%8)"/>
      <w:lvlJc w:val="left"/>
      <w:pPr>
        <w:tabs>
          <w:tab w:val="left" w:pos="4021"/>
        </w:tabs>
        <w:ind w:left="4021" w:hanging="420"/>
      </w:pPr>
    </w:lvl>
    <w:lvl w:ilvl="8" w:tentative="0">
      <w:start w:val="1"/>
      <w:numFmt w:val="lowerRoman"/>
      <w:lvlText w:val="%9."/>
      <w:lvlJc w:val="right"/>
      <w:pPr>
        <w:tabs>
          <w:tab w:val="left" w:pos="4441"/>
        </w:tabs>
        <w:ind w:left="4441" w:hanging="420"/>
      </w:pPr>
    </w:lvl>
  </w:abstractNum>
  <w:abstractNum w:abstractNumId="13">
    <w:nsid w:val="735839A0"/>
    <w:multiLevelType w:val="multilevel"/>
    <w:tmpl w:val="735839A0"/>
    <w:lvl w:ilvl="0" w:tentative="0">
      <w:start w:val="1"/>
      <w:numFmt w:val="decimal"/>
      <w:pStyle w:val="21"/>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74A23255"/>
    <w:multiLevelType w:val="multilevel"/>
    <w:tmpl w:val="74A23255"/>
    <w:lvl w:ilvl="0" w:tentative="0">
      <w:start w:val="1"/>
      <w:numFmt w:val="decimal"/>
      <w:pStyle w:val="7"/>
      <w:lvlText w:val="%1)"/>
      <w:lvlJc w:val="left"/>
      <w:pPr>
        <w:ind w:left="420" w:hanging="420"/>
      </w:pPr>
      <w:rPr>
        <w:rFonts w:asciiTheme="minorEastAsia" w:hAnsiTheme="minorEastAsia" w:eastAsiaTheme="minor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7C830D36"/>
    <w:multiLevelType w:val="multilevel"/>
    <w:tmpl w:val="7C830D36"/>
    <w:lvl w:ilvl="0" w:tentative="0">
      <w:start w:val="1"/>
      <w:numFmt w:val="bullet"/>
      <w:lvlText w:val=""/>
      <w:lvlPicBulletId w:val="0"/>
      <w:lvlJc w:val="left"/>
      <w:pPr>
        <w:tabs>
          <w:tab w:val="left" w:pos="660"/>
        </w:tabs>
        <w:ind w:left="660" w:hanging="420"/>
      </w:pPr>
      <w:rPr>
        <w:rFonts w:hint="default" w:ascii="Wingdings" w:hAnsi="Wingdings"/>
      </w:rPr>
    </w:lvl>
    <w:lvl w:ilvl="1" w:tentative="0">
      <w:start w:val="1"/>
      <w:numFmt w:val="lowerLetter"/>
      <w:lvlText w:val="%2)"/>
      <w:lvlJc w:val="left"/>
      <w:pPr>
        <w:tabs>
          <w:tab w:val="left" w:pos="600"/>
        </w:tabs>
        <w:ind w:left="600" w:hanging="420"/>
      </w:pPr>
    </w:lvl>
    <w:lvl w:ilvl="2" w:tentative="0">
      <w:start w:val="1"/>
      <w:numFmt w:val="lowerRoman"/>
      <w:lvlText w:val="%3."/>
      <w:lvlJc w:val="right"/>
      <w:pPr>
        <w:tabs>
          <w:tab w:val="left" w:pos="1020"/>
        </w:tabs>
        <w:ind w:left="1020" w:hanging="420"/>
      </w:pPr>
    </w:lvl>
    <w:lvl w:ilvl="3" w:tentative="0">
      <w:start w:val="1"/>
      <w:numFmt w:val="decimal"/>
      <w:lvlText w:val="%4."/>
      <w:lvlJc w:val="left"/>
      <w:pPr>
        <w:tabs>
          <w:tab w:val="left" w:pos="1440"/>
        </w:tabs>
        <w:ind w:left="1440" w:hanging="420"/>
      </w:pPr>
    </w:lvl>
    <w:lvl w:ilvl="4" w:tentative="0">
      <w:start w:val="1"/>
      <w:numFmt w:val="lowerLetter"/>
      <w:lvlText w:val="%5)"/>
      <w:lvlJc w:val="left"/>
      <w:pPr>
        <w:tabs>
          <w:tab w:val="left" w:pos="1860"/>
        </w:tabs>
        <w:ind w:left="1860" w:hanging="420"/>
      </w:pPr>
    </w:lvl>
    <w:lvl w:ilvl="5" w:tentative="0">
      <w:start w:val="1"/>
      <w:numFmt w:val="lowerRoman"/>
      <w:lvlText w:val="%6."/>
      <w:lvlJc w:val="right"/>
      <w:pPr>
        <w:tabs>
          <w:tab w:val="left" w:pos="2280"/>
        </w:tabs>
        <w:ind w:left="2280" w:hanging="420"/>
      </w:pPr>
    </w:lvl>
    <w:lvl w:ilvl="6" w:tentative="0">
      <w:start w:val="1"/>
      <w:numFmt w:val="decimal"/>
      <w:lvlText w:val="%7."/>
      <w:lvlJc w:val="left"/>
      <w:pPr>
        <w:tabs>
          <w:tab w:val="left" w:pos="2700"/>
        </w:tabs>
        <w:ind w:left="2700" w:hanging="420"/>
      </w:pPr>
    </w:lvl>
    <w:lvl w:ilvl="7" w:tentative="0">
      <w:start w:val="1"/>
      <w:numFmt w:val="lowerLetter"/>
      <w:lvlText w:val="%8)"/>
      <w:lvlJc w:val="left"/>
      <w:pPr>
        <w:tabs>
          <w:tab w:val="left" w:pos="3120"/>
        </w:tabs>
        <w:ind w:left="3120" w:hanging="420"/>
      </w:pPr>
    </w:lvl>
    <w:lvl w:ilvl="8" w:tentative="0">
      <w:start w:val="1"/>
      <w:numFmt w:val="lowerRoman"/>
      <w:lvlText w:val="%9."/>
      <w:lvlJc w:val="right"/>
      <w:pPr>
        <w:tabs>
          <w:tab w:val="left" w:pos="3540"/>
        </w:tabs>
        <w:ind w:left="3540" w:hanging="420"/>
      </w:pPr>
    </w:lvl>
  </w:abstractNum>
  <w:num w:numId="1">
    <w:abstractNumId w:val="8"/>
  </w:num>
  <w:num w:numId="2">
    <w:abstractNumId w:val="9"/>
  </w:num>
  <w:num w:numId="3">
    <w:abstractNumId w:val="14"/>
  </w:num>
  <w:num w:numId="4">
    <w:abstractNumId w:val="6"/>
  </w:num>
  <w:num w:numId="5">
    <w:abstractNumId w:val="13"/>
  </w:num>
  <w:num w:numId="6">
    <w:abstractNumId w:val="11"/>
  </w:num>
  <w:num w:numId="7">
    <w:abstractNumId w:val="10"/>
  </w:num>
  <w:num w:numId="8">
    <w:abstractNumId w:val="7"/>
  </w:num>
  <w:num w:numId="9">
    <w:abstractNumId w:val="0"/>
  </w:num>
  <w:num w:numId="10">
    <w:abstractNumId w:val="4"/>
  </w:num>
  <w:num w:numId="11">
    <w:abstractNumId w:val="5"/>
  </w:num>
  <w:num w:numId="12">
    <w:abstractNumId w:val="1"/>
  </w:num>
  <w:num w:numId="13">
    <w:abstractNumId w:val="2"/>
  </w:num>
  <w:num w:numId="14">
    <w:abstractNumId w:val="3"/>
  </w:num>
  <w:num w:numId="15">
    <w:abstractNumId w:val="14"/>
    <w:lvlOverride w:ilvl="0">
      <w:startOverride w:val="1"/>
    </w:lvlOverride>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wY2ZmOTE2OGViYmJkYWZlNWQ3MTg3NWFiZTIzNWUifQ=="/>
    <w:docVar w:name="KSO_WPS_MARK_KEY" w:val="bcc569fb-a9bf-4007-84f0-04ae55e7b07f"/>
  </w:docVars>
  <w:rsids>
    <w:rsidRoot w:val="14947AFB"/>
    <w:rsid w:val="14947AFB"/>
    <w:rsid w:val="30812644"/>
    <w:rsid w:val="3D211E74"/>
    <w:rsid w:val="3D8504A8"/>
    <w:rsid w:val="3DEE4A93"/>
    <w:rsid w:val="77DA0232"/>
    <w:rsid w:val="7D6E3F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9" w:semiHidden="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9"/>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tabs>
        <w:tab w:val="left" w:pos="2940"/>
      </w:tabs>
      <w:spacing w:before="260" w:beforeLines="0" w:beforeAutospacing="0" w:after="260" w:afterLines="0" w:afterAutospacing="0" w:line="413" w:lineRule="auto"/>
      <w:outlineLvl w:val="1"/>
    </w:pPr>
    <w:rPr>
      <w:rFonts w:ascii="Arial" w:hAnsi="Arial" w:eastAsia="黑体"/>
      <w:sz w:val="32"/>
    </w:rPr>
  </w:style>
  <w:style w:type="paragraph" w:styleId="4">
    <w:name w:val="heading 3"/>
    <w:basedOn w:val="1"/>
    <w:next w:val="1"/>
    <w:link w:val="24"/>
    <w:unhideWhenUsed/>
    <w:qFormat/>
    <w:uiPriority w:val="9"/>
    <w:pPr>
      <w:keepNext/>
      <w:keepLines/>
      <w:numPr>
        <w:ilvl w:val="0"/>
        <w:numId w:val="1"/>
      </w:numPr>
      <w:spacing w:before="40" w:after="40" w:line="360" w:lineRule="auto"/>
      <w:outlineLvl w:val="2"/>
    </w:pPr>
    <w:rPr>
      <w:rFonts w:ascii="宋体" w:hAnsi="宋体" w:cs="宋体"/>
      <w:b/>
      <w:bCs/>
      <w:sz w:val="28"/>
      <w:szCs w:val="28"/>
    </w:rPr>
  </w:style>
  <w:style w:type="paragraph" w:styleId="5">
    <w:name w:val="heading 4"/>
    <w:basedOn w:val="1"/>
    <w:next w:val="6"/>
    <w:link w:val="23"/>
    <w:unhideWhenUsed/>
    <w:qFormat/>
    <w:uiPriority w:val="9"/>
    <w:pPr>
      <w:keepNext/>
      <w:keepLines/>
      <w:numPr>
        <w:ilvl w:val="0"/>
        <w:numId w:val="2"/>
      </w:numPr>
      <w:spacing w:before="40" w:after="40" w:line="360" w:lineRule="auto"/>
      <w:ind w:left="0" w:firstLine="0"/>
      <w:outlineLvl w:val="3"/>
    </w:pPr>
    <w:rPr>
      <w:rFonts w:asciiTheme="minorEastAsia" w:hAnsiTheme="minorEastAsia" w:eastAsiaTheme="minorEastAsia" w:cstheme="minorEastAsia"/>
      <w:b/>
      <w:bCs/>
      <w:sz w:val="24"/>
      <w:szCs w:val="24"/>
    </w:rPr>
  </w:style>
  <w:style w:type="paragraph" w:styleId="7">
    <w:name w:val="heading 5"/>
    <w:basedOn w:val="1"/>
    <w:next w:val="1"/>
    <w:unhideWhenUsed/>
    <w:qFormat/>
    <w:uiPriority w:val="9"/>
    <w:pPr>
      <w:keepNext/>
      <w:keepLines/>
      <w:numPr>
        <w:ilvl w:val="0"/>
        <w:numId w:val="3"/>
      </w:numPr>
      <w:spacing w:line="360" w:lineRule="auto"/>
      <w:outlineLvl w:val="4"/>
    </w:pPr>
    <w:rPr>
      <w:rFonts w:ascii="宋体" w:hAnsi="宋体" w:cs="宋体"/>
      <w:b/>
      <w:bCs/>
      <w:sz w:val="24"/>
      <w:szCs w:val="28"/>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customStyle="1" w:styleId="6">
    <w:name w:val="应答文本"/>
    <w:basedOn w:val="1"/>
    <w:qFormat/>
    <w:uiPriority w:val="0"/>
    <w:pPr>
      <w:adjustRightInd w:val="0"/>
      <w:spacing w:line="400" w:lineRule="exact"/>
      <w:ind w:firstLine="436" w:firstLineChars="200"/>
      <w:jc w:val="left"/>
    </w:pPr>
    <w:rPr>
      <w:rFonts w:ascii="Arial" w:hAnsi="Arial" w:cs="宋体"/>
      <w:spacing w:val="4"/>
      <w:szCs w:val="21"/>
    </w:rPr>
  </w:style>
  <w:style w:type="paragraph" w:styleId="8">
    <w:name w:val="Normal Indent"/>
    <w:basedOn w:val="1"/>
    <w:qFormat/>
    <w:uiPriority w:val="0"/>
    <w:pPr>
      <w:ind w:firstLine="420"/>
    </w:pPr>
    <w:rPr>
      <w:b/>
      <w:sz w:val="24"/>
      <w:szCs w:val="20"/>
    </w:rPr>
  </w:style>
  <w:style w:type="paragraph" w:styleId="9">
    <w:name w:val="caption"/>
    <w:basedOn w:val="1"/>
    <w:next w:val="1"/>
    <w:qFormat/>
    <w:uiPriority w:val="0"/>
    <w:pPr>
      <w:numPr>
        <w:ilvl w:val="0"/>
        <w:numId w:val="4"/>
      </w:numPr>
      <w:spacing w:line="360" w:lineRule="auto"/>
      <w:ind w:left="0" w:firstLine="0" w:firstLineChars="200"/>
      <w:jc w:val="center"/>
    </w:pPr>
    <w:rPr>
      <w:rFonts w:ascii="Times New Roman" w:hAnsi="Times New Roman" w:cs="宋体"/>
      <w:sz w:val="24"/>
      <w:szCs w:val="21"/>
    </w:rPr>
  </w:style>
  <w:style w:type="paragraph" w:styleId="10">
    <w:name w:val="Body Text"/>
    <w:basedOn w:val="1"/>
    <w:qFormat/>
    <w:uiPriority w:val="0"/>
    <w:pPr>
      <w:jc w:val="center"/>
    </w:pPr>
    <w:rPr>
      <w:rFonts w:eastAsia="幼圆"/>
      <w:b/>
      <w:bCs/>
      <w:sz w:val="44"/>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Body Text First Indent"/>
    <w:basedOn w:val="10"/>
    <w:qFormat/>
    <w:uiPriority w:val="99"/>
    <w:pPr>
      <w:spacing w:after="0"/>
      <w:ind w:firstLine="36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annotation reference"/>
    <w:basedOn w:val="16"/>
    <w:qFormat/>
    <w:uiPriority w:val="99"/>
    <w:rPr>
      <w:sz w:val="21"/>
      <w:szCs w:val="21"/>
    </w:rPr>
  </w:style>
  <w:style w:type="character" w:customStyle="1" w:styleId="18">
    <w:name w:val="15"/>
    <w:basedOn w:val="16"/>
    <w:qFormat/>
    <w:uiPriority w:val="0"/>
    <w:rPr>
      <w:rFonts w:hint="eastAsia" w:ascii="宋体" w:hAnsi="宋体" w:eastAsia="宋体" w:cs="宋体"/>
      <w:color w:val="000000"/>
      <w:sz w:val="21"/>
      <w:szCs w:val="21"/>
    </w:rPr>
  </w:style>
  <w:style w:type="character" w:customStyle="1" w:styleId="19">
    <w:name w:val="标题 1 Char"/>
    <w:link w:val="2"/>
    <w:qFormat/>
    <w:uiPriority w:val="0"/>
    <w:rPr>
      <w:b/>
      <w:kern w:val="44"/>
      <w:sz w:val="44"/>
    </w:rPr>
  </w:style>
  <w:style w:type="paragraph" w:customStyle="1" w:styleId="20">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1">
    <w:name w:val="标题 3（Hirisun）"/>
    <w:basedOn w:val="4"/>
    <w:next w:val="1"/>
    <w:qFormat/>
    <w:uiPriority w:val="0"/>
    <w:pPr>
      <w:numPr>
        <w:numId w:val="5"/>
      </w:numPr>
      <w:jc w:val="left"/>
    </w:pPr>
    <w:rPr>
      <w:rFonts w:asciiTheme="minorEastAsia" w:hAnsiTheme="minorEastAsia" w:eastAsiaTheme="minorEastAsia" w:cstheme="minorEastAsia"/>
      <w:bCs w:val="0"/>
      <w:kern w:val="0"/>
      <w:sz w:val="24"/>
      <w:szCs w:val="24"/>
    </w:rPr>
  </w:style>
  <w:style w:type="paragraph" w:customStyle="1" w:styleId="2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3">
    <w:name w:val="标题 4 字符"/>
    <w:basedOn w:val="16"/>
    <w:link w:val="5"/>
    <w:qFormat/>
    <w:uiPriority w:val="8"/>
    <w:rPr>
      <w:rFonts w:asciiTheme="minorEastAsia" w:hAnsiTheme="minorEastAsia" w:eastAsiaTheme="minorEastAsia" w:cstheme="minorEastAsia"/>
      <w:b/>
      <w:bCs/>
      <w:sz w:val="24"/>
      <w:szCs w:val="24"/>
    </w:rPr>
  </w:style>
  <w:style w:type="character" w:customStyle="1" w:styleId="24">
    <w:name w:val="标题 3 字符"/>
    <w:basedOn w:val="16"/>
    <w:link w:val="4"/>
    <w:qFormat/>
    <w:uiPriority w:val="0"/>
    <w:rPr>
      <w:rFonts w:ascii="宋体" w:hAnsi="宋体" w:cs="宋体"/>
      <w:b/>
      <w:bCs/>
      <w:sz w:val="28"/>
      <w:szCs w:val="28"/>
    </w:rPr>
  </w:style>
  <w:style w:type="paragraph" w:customStyle="1" w:styleId="25">
    <w:name w:val="标题 4（有编号）（Hirisun）"/>
    <w:basedOn w:val="1"/>
    <w:next w:val="1"/>
    <w:qFormat/>
    <w:uiPriority w:val="0"/>
    <w:pPr>
      <w:keepNext/>
      <w:keepLines/>
      <w:numPr>
        <w:ilvl w:val="0"/>
        <w:numId w:val="6"/>
      </w:numPr>
      <w:spacing w:before="156" w:beforeLines="50" w:after="156" w:afterLines="50" w:line="360" w:lineRule="auto"/>
      <w:jc w:val="left"/>
      <w:outlineLvl w:val="3"/>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image" Target="media/image31.png"/><Relationship Id="rId35" Type="http://schemas.openxmlformats.org/officeDocument/2006/relationships/image" Target="media/image30.wmf"/><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header" Target="head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32.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47986</Words>
  <Characters>50315</Characters>
  <Lines>0</Lines>
  <Paragraphs>0</Paragraphs>
  <TotalTime>4</TotalTime>
  <ScaleCrop>false</ScaleCrop>
  <LinksUpToDate>false</LinksUpToDate>
  <CharactersWithSpaces>50786</CharactersWithSpaces>
  <Application>WPS Office_11.1.0.12650_F1E327BC-269C-435d-A152-05C5408002CA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2024-09-12T01:09:00Z</dcterms:created>
  <dc:creator>Windows 用户</dc:creator>
  <cp:lastModifiedBy>王文艺</cp:lastModifiedBy>
  <dcterms:modified xsi:type="dcterms:W3CDTF">2024-09-20T08:31:26Z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2052-11.1.0.12650</vt:lpwstr>
  </property>
  <property fmtid="{D5CDD505-2E9C-101B-9397-08002B2CF9AE}" pid="3" name="ICV">
    <vt:lpwstr>AFEFEF85999E4793B62B870A33DFA587</vt:lpwstr>
  </property>
</Properties>
</file>