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500A4C">
      <w:pPr>
        <w:jc w:val="center"/>
        <w:rPr>
          <w:rFonts w:ascii="宋体" w:hAnsi="宋体" w:cs="宋体"/>
          <w:b/>
          <w:sz w:val="44"/>
          <w:shd w:val="clear" w:color="auto" w:fill="FFFFFF"/>
        </w:rPr>
      </w:pPr>
      <w:r>
        <w:rPr>
          <w:rFonts w:hint="eastAsia" w:ascii="宋体" w:hAnsi="宋体" w:cs="宋体"/>
          <w:b/>
          <w:sz w:val="44"/>
          <w:shd w:val="clear" w:color="auto" w:fill="FFFFFF"/>
        </w:rPr>
        <w:t>南京邮电大学</w:t>
      </w:r>
    </w:p>
    <w:p w14:paraId="24E70907">
      <w:pPr>
        <w:jc w:val="center"/>
        <w:rPr>
          <w:rFonts w:ascii="宋体" w:hAnsi="宋体" w:cs="宋体"/>
          <w:b/>
          <w:sz w:val="44"/>
          <w:shd w:val="clear" w:color="auto" w:fill="FFFFFF"/>
        </w:rPr>
      </w:pPr>
      <w:r>
        <w:rPr>
          <w:rFonts w:hint="eastAsia" w:ascii="宋体" w:hAnsi="宋体" w:cs="宋体"/>
          <w:b/>
          <w:sz w:val="44"/>
          <w:shd w:val="clear" w:color="auto" w:fill="FFFFFF"/>
        </w:rPr>
        <w:t>信息办校园网4G出口带宽服务</w:t>
      </w:r>
    </w:p>
    <w:p w14:paraId="261DC2E6">
      <w:pPr>
        <w:pStyle w:val="17"/>
        <w:ind w:firstLine="480"/>
        <w:jc w:val="center"/>
        <w:rPr>
          <w:rFonts w:ascii="宋体" w:hAnsi="宋体"/>
        </w:rPr>
      </w:pPr>
    </w:p>
    <w:p w14:paraId="1275455B">
      <w:pPr>
        <w:pStyle w:val="17"/>
        <w:ind w:firstLine="480"/>
        <w:jc w:val="center"/>
        <w:rPr>
          <w:rFonts w:ascii="宋体" w:hAnsi="宋体"/>
        </w:rPr>
      </w:pPr>
    </w:p>
    <w:p w14:paraId="015E31EB">
      <w:pPr>
        <w:pStyle w:val="17"/>
        <w:ind w:firstLine="480"/>
        <w:jc w:val="center"/>
        <w:rPr>
          <w:rFonts w:ascii="宋体" w:hAnsi="宋体"/>
        </w:rPr>
      </w:pPr>
    </w:p>
    <w:p w14:paraId="1468AAD6">
      <w:pPr>
        <w:spacing w:line="360" w:lineRule="auto"/>
        <w:jc w:val="center"/>
        <w:rPr>
          <w:rFonts w:ascii="宋体" w:hAnsi="宋体" w:cs="宋体"/>
          <w:b/>
          <w:sz w:val="72"/>
        </w:rPr>
      </w:pPr>
    </w:p>
    <w:p w14:paraId="382994BA">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0C326636">
      <w:pPr>
        <w:spacing w:line="360" w:lineRule="auto"/>
        <w:jc w:val="center"/>
        <w:rPr>
          <w:rFonts w:ascii="宋体" w:hAnsi="宋体" w:cs="宋体"/>
          <w:b/>
          <w:sz w:val="28"/>
        </w:rPr>
      </w:pPr>
      <w:r>
        <w:rPr>
          <w:rFonts w:ascii="宋体" w:hAnsi="宋体" w:cs="宋体"/>
          <w:b/>
          <w:sz w:val="28"/>
        </w:rPr>
        <w:t>项目编号：</w:t>
      </w:r>
      <w:r>
        <w:rPr>
          <w:rFonts w:hint="eastAsia" w:ascii="宋体" w:hAnsi="宋体" w:cs="宋体"/>
          <w:b/>
          <w:sz w:val="28"/>
        </w:rPr>
        <w:t>NYCG2025-F056</w:t>
      </w:r>
    </w:p>
    <w:p w14:paraId="63D988E2">
      <w:pPr>
        <w:spacing w:line="360" w:lineRule="auto"/>
        <w:jc w:val="center"/>
        <w:rPr>
          <w:rFonts w:ascii="宋体" w:hAnsi="宋体" w:cs="宋体"/>
          <w:b/>
          <w:sz w:val="36"/>
        </w:rPr>
      </w:pPr>
      <w:r>
        <w:rPr>
          <w:rFonts w:hint="eastAsia" w:ascii="仿宋" w:hAnsi="仿宋" w:eastAsia="仿宋" w:cs="仿宋"/>
        </w:rPr>
        <w:drawing>
          <wp:inline distT="0" distB="0" distL="114300" distR="114300">
            <wp:extent cx="1714500" cy="2133600"/>
            <wp:effectExtent l="0" t="0" r="0" b="0"/>
            <wp:docPr id="1"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我的插图-1"/>
                    <pic:cNvPicPr>
                      <a:picLocks noChangeAspect="1"/>
                    </pic:cNvPicPr>
                  </pic:nvPicPr>
                  <pic:blipFill>
                    <a:blip r:embed="rId8"/>
                    <a:stretch>
                      <a:fillRect/>
                    </a:stretch>
                  </pic:blipFill>
                  <pic:spPr>
                    <a:xfrm>
                      <a:off x="0" y="0"/>
                      <a:ext cx="1714500" cy="2133600"/>
                    </a:xfrm>
                    <a:prstGeom prst="rect">
                      <a:avLst/>
                    </a:prstGeom>
                    <a:noFill/>
                    <a:ln>
                      <a:noFill/>
                    </a:ln>
                  </pic:spPr>
                </pic:pic>
              </a:graphicData>
            </a:graphic>
          </wp:inline>
        </w:drawing>
      </w:r>
    </w:p>
    <w:p w14:paraId="3667FE90">
      <w:pPr>
        <w:spacing w:line="360" w:lineRule="auto"/>
        <w:jc w:val="center"/>
        <w:rPr>
          <w:rFonts w:ascii="宋体" w:hAnsi="宋体" w:cs="宋体"/>
          <w:b/>
          <w:sz w:val="36"/>
        </w:rPr>
      </w:pPr>
    </w:p>
    <w:p w14:paraId="6180C025">
      <w:pPr>
        <w:spacing w:line="360" w:lineRule="auto"/>
        <w:jc w:val="center"/>
        <w:rPr>
          <w:rFonts w:ascii="宋体" w:hAnsi="宋体" w:cs="宋体"/>
          <w:b/>
          <w:sz w:val="36"/>
        </w:rPr>
      </w:pPr>
    </w:p>
    <w:p w14:paraId="449FC524">
      <w:pPr>
        <w:spacing w:line="360" w:lineRule="auto"/>
        <w:jc w:val="center"/>
        <w:rPr>
          <w:rFonts w:ascii="宋体" w:hAnsi="宋体" w:cs="宋体"/>
          <w:b/>
          <w:sz w:val="36"/>
        </w:rPr>
      </w:pPr>
    </w:p>
    <w:p w14:paraId="69441A18">
      <w:pPr>
        <w:spacing w:line="360" w:lineRule="auto"/>
        <w:jc w:val="center"/>
        <w:rPr>
          <w:rFonts w:ascii="宋体" w:hAnsi="宋体" w:cs="宋体"/>
          <w:b/>
          <w:sz w:val="36"/>
        </w:rPr>
      </w:pPr>
    </w:p>
    <w:p w14:paraId="40779037">
      <w:pPr>
        <w:pStyle w:val="17"/>
        <w:ind w:firstLine="480"/>
        <w:jc w:val="center"/>
        <w:rPr>
          <w:rFonts w:ascii="宋体" w:hAnsi="宋体"/>
        </w:rPr>
      </w:pPr>
    </w:p>
    <w:p w14:paraId="544D6C7C">
      <w:pPr>
        <w:tabs>
          <w:tab w:val="left" w:pos="360"/>
        </w:tabs>
        <w:spacing w:line="360" w:lineRule="auto"/>
        <w:ind w:firstLine="1606" w:firstLineChars="500"/>
        <w:rPr>
          <w:rFonts w:cs="Microsoft New Tai Lue"/>
          <w:b/>
          <w:sz w:val="32"/>
        </w:rPr>
      </w:pPr>
      <w:r>
        <w:rPr>
          <w:rFonts w:cs="Microsoft New Tai Lue"/>
          <w:b/>
          <w:sz w:val="32"/>
        </w:rPr>
        <w:t>采购人：</w:t>
      </w:r>
      <w:r>
        <w:rPr>
          <w:rFonts w:hint="eastAsia" w:cs="Microsoft New Tai Lue"/>
          <w:b/>
          <w:sz w:val="32"/>
        </w:rPr>
        <w:t>南京邮电大学</w:t>
      </w:r>
    </w:p>
    <w:p w14:paraId="4A6C6FD2">
      <w:pPr>
        <w:tabs>
          <w:tab w:val="left" w:pos="360"/>
        </w:tabs>
        <w:spacing w:line="360" w:lineRule="auto"/>
        <w:jc w:val="center"/>
        <w:rPr>
          <w:rFonts w:cs="Microsoft New Tai Lue"/>
          <w:b/>
          <w:sz w:val="32"/>
        </w:rPr>
      </w:pPr>
      <w:r>
        <w:rPr>
          <w:rFonts w:cs="Microsoft New Tai Lue"/>
          <w:b/>
          <w:sz w:val="32"/>
        </w:rPr>
        <w:t>采购代理机构：</w:t>
      </w:r>
      <w:r>
        <w:rPr>
          <w:rFonts w:hint="eastAsia" w:cs="Microsoft New Tai Lue"/>
          <w:b/>
          <w:sz w:val="32"/>
        </w:rPr>
        <w:t>南京苏宁工程咨询有限公司</w:t>
      </w:r>
    </w:p>
    <w:p w14:paraId="65CED53F">
      <w:pPr>
        <w:ind w:firstLine="1606" w:firstLineChars="500"/>
        <w:rPr>
          <w:rFonts w:cs="Microsoft New Tai Lue"/>
          <w:b/>
          <w:sz w:val="32"/>
        </w:rPr>
      </w:pPr>
      <w:r>
        <w:rPr>
          <w:rFonts w:hint="eastAsia" w:cs="Microsoft New Tai Lue"/>
          <w:b/>
          <w:sz w:val="32"/>
        </w:rPr>
        <w:t>发放日期：二〇二五</w:t>
      </w:r>
      <w:r>
        <w:rPr>
          <w:rFonts w:cs="Microsoft New Tai Lue"/>
          <w:b/>
          <w:sz w:val="32"/>
        </w:rPr>
        <w:t>年</w:t>
      </w:r>
      <w:r>
        <w:rPr>
          <w:rFonts w:hint="eastAsia" w:cs="Microsoft New Tai Lue"/>
          <w:b/>
          <w:sz w:val="32"/>
        </w:rPr>
        <w:t>十二</w:t>
      </w:r>
      <w:r>
        <w:rPr>
          <w:rFonts w:cs="Microsoft New Tai Lue"/>
          <w:b/>
          <w:sz w:val="32"/>
        </w:rPr>
        <w:t>月</w:t>
      </w:r>
    </w:p>
    <w:p w14:paraId="2633AE47">
      <w:pPr>
        <w:pStyle w:val="41"/>
        <w:rPr>
          <w:rFonts w:cs="Microsoft New Tai Lue"/>
        </w:rPr>
        <w:sectPr>
          <w:headerReference r:id="rId3" w:type="default"/>
          <w:footerReference r:id="rId4" w:type="default"/>
          <w:pgSz w:w="11906" w:h="16838"/>
          <w:pgMar w:top="1474" w:right="1531" w:bottom="1474" w:left="1531" w:header="737" w:footer="992" w:gutter="0"/>
          <w:pgNumType w:start="1"/>
          <w:cols w:space="720" w:num="1"/>
          <w:docGrid w:type="lines" w:linePitch="312" w:charSpace="0"/>
        </w:sectPr>
      </w:pPr>
    </w:p>
    <w:p w14:paraId="1C1CB48F">
      <w:pPr>
        <w:jc w:val="center"/>
        <w:outlineLvl w:val="0"/>
        <w:rPr>
          <w:rFonts w:ascii="宋体" w:hAnsi="宋体" w:cs="黑体"/>
          <w:b/>
          <w:sz w:val="28"/>
          <w:szCs w:val="28"/>
        </w:rPr>
      </w:pPr>
      <w:r>
        <w:rPr>
          <w:rFonts w:hint="eastAsia" w:ascii="宋体" w:hAnsi="宋体" w:cs="黑体"/>
          <w:b/>
          <w:sz w:val="28"/>
          <w:szCs w:val="28"/>
          <w:lang w:val="zh-CN"/>
        </w:rPr>
        <w:t>第一章</w:t>
      </w:r>
      <w:r>
        <w:rPr>
          <w:rFonts w:hint="eastAsia" w:ascii="宋体" w:hAnsi="宋体" w:cs="黑体"/>
          <w:b/>
          <w:sz w:val="28"/>
          <w:szCs w:val="28"/>
        </w:rPr>
        <w:t xml:space="preserve">  公开比选公告</w:t>
      </w:r>
    </w:p>
    <w:p w14:paraId="1E2BA137">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一、项目基本情况</w:t>
      </w:r>
    </w:p>
    <w:p w14:paraId="07949C46">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t>项目编号：NYCG2025-F056</w:t>
      </w:r>
    </w:p>
    <w:p w14:paraId="24A994C0">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rPr>
        <w:t>项目名称：南京邮电大学信息办校园网4G出口带宽服务</w:t>
      </w:r>
    </w:p>
    <w:p w14:paraId="5A1CE9AB">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3、</w:t>
      </w:r>
      <w:r>
        <w:rPr>
          <w:rFonts w:hint="eastAsia" w:asciiTheme="majorEastAsia" w:hAnsiTheme="majorEastAsia" w:eastAsiaTheme="majorEastAsia" w:cstheme="majorEastAsia"/>
          <w:sz w:val="21"/>
          <w:szCs w:val="21"/>
        </w:rPr>
        <w:t>预算金额：46万元/年</w:t>
      </w:r>
    </w:p>
    <w:p w14:paraId="6E88767A">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4、</w:t>
      </w:r>
      <w:r>
        <w:rPr>
          <w:rFonts w:hint="eastAsia" w:asciiTheme="majorEastAsia" w:hAnsiTheme="majorEastAsia" w:eastAsiaTheme="majorEastAsia" w:cstheme="majorEastAsia"/>
          <w:sz w:val="21"/>
          <w:szCs w:val="21"/>
        </w:rPr>
        <w:t>最高限价：46万元/年，响应报价超过最高限价的，响应文件作无效处理</w:t>
      </w:r>
    </w:p>
    <w:p w14:paraId="3CBCC1F8">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5、</w:t>
      </w:r>
      <w:r>
        <w:rPr>
          <w:rFonts w:hint="eastAsia" w:asciiTheme="majorEastAsia" w:hAnsiTheme="majorEastAsia" w:eastAsiaTheme="majorEastAsia" w:cstheme="majorEastAsia"/>
          <w:sz w:val="21"/>
          <w:szCs w:val="21"/>
        </w:rPr>
        <w:t>采购方式：公开比选</w:t>
      </w:r>
    </w:p>
    <w:p w14:paraId="361C786F">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6、</w:t>
      </w:r>
      <w:r>
        <w:rPr>
          <w:rFonts w:hint="eastAsia" w:asciiTheme="majorEastAsia" w:hAnsiTheme="majorEastAsia" w:eastAsiaTheme="majorEastAsia" w:cstheme="majorEastAsia"/>
          <w:sz w:val="21"/>
          <w:szCs w:val="21"/>
        </w:rPr>
        <w:t>采购需求：</w:t>
      </w:r>
      <w:r>
        <w:rPr>
          <w:rFonts w:hint="eastAsia" w:asciiTheme="majorEastAsia" w:hAnsiTheme="majorEastAsia" w:eastAsiaTheme="majorEastAsia" w:cstheme="majorEastAsia"/>
          <w:bCs/>
          <w:sz w:val="21"/>
          <w:szCs w:val="21"/>
        </w:rPr>
        <w:t>南京邮电大学信息办校园网4G出口带宽服务，</w:t>
      </w:r>
      <w:r>
        <w:rPr>
          <w:rFonts w:hint="eastAsia" w:asciiTheme="majorEastAsia" w:hAnsiTheme="majorEastAsia" w:eastAsiaTheme="majorEastAsia" w:cstheme="majorEastAsia"/>
          <w:sz w:val="21"/>
          <w:szCs w:val="21"/>
        </w:rPr>
        <w:t>具体详见第四章采购需求</w:t>
      </w:r>
    </w:p>
    <w:p w14:paraId="6800A08A">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7、</w:t>
      </w:r>
      <w:r>
        <w:rPr>
          <w:rFonts w:hint="eastAsia" w:asciiTheme="majorEastAsia" w:hAnsiTheme="majorEastAsia" w:eastAsiaTheme="majorEastAsia" w:cstheme="majorEastAsia"/>
          <w:sz w:val="21"/>
          <w:szCs w:val="21"/>
        </w:rPr>
        <w:t>合同履行期限：自合同签订起三年（合同一年一签）</w:t>
      </w:r>
    </w:p>
    <w:p w14:paraId="0E1A2E37">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二、申请人的资格要求：</w:t>
      </w:r>
    </w:p>
    <w:p w14:paraId="4E11D7DA">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1、满足《中华人民共和国政府采购法》第二十二条规定：</w:t>
      </w:r>
    </w:p>
    <w:p w14:paraId="79720AC6">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（1）具有独立承担民事责任的能力（提供法人或者其他组织的营业执照等证明材料复印件加盖公章，自然人的身份证复印件加盖公章）；</w:t>
      </w:r>
    </w:p>
    <w:p w14:paraId="038FCBE8">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具有良好的商业信誉和健全的财务会计制度（提供2024年度的审计报告复印件加盖公章或响应截止时间前半年内（2025年6月至2025年11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4DFC5098">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（3）具有履行合同所必需的设备和专业技术能力（根据项目需求提供履行合同所必需的设备和专业技术能力的声明函或证明材料）（格式见后附件）；</w:t>
      </w:r>
    </w:p>
    <w:p w14:paraId="070B607E">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4）有依法缴纳税收和社会保障资金的良好记录（提供响应截止时间前半年内（2025年6月至2025年11月）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BD3471E">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（5）参加采购活动前三年内，在经营活动中没有重大违法记录（提供参加本次采购活动前三年内在经营活动中没有重大违法记录的书面声明）（格式见后附件）；</w:t>
      </w:r>
    </w:p>
    <w:p w14:paraId="133B84FF">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（6）法律、行政法规规定的其他条件：</w:t>
      </w:r>
    </w:p>
    <w:p w14:paraId="569EE9ED">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6.1单位负责人为同一人或者存在直接控股、管理关系的不同供应商，不得参加同一合同项下的政府采购活动。</w:t>
      </w:r>
    </w:p>
    <w:p w14:paraId="41AB6F11">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6.2为采购项目提供整体设计、规范编制或者项目管理、监理、检测等服务的供应商，不得再参加该采购项目的其他采购活动。</w:t>
      </w:r>
    </w:p>
    <w:p w14:paraId="370C7930">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6.3拒绝列入失信被执行人、重大税收违法失信主体、政府采购严重违法失信行为记录名单的供应商参与政府采购活动。采购代理机构将在开标后，通过“中国政府采购网”“信用中国”网站等渠道查询供应商信用记录并保存。</w:t>
      </w:r>
    </w:p>
    <w:p w14:paraId="19778114">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2、本项目的特定资格要求：无。</w:t>
      </w:r>
    </w:p>
    <w:p w14:paraId="669380DA">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三、获取采购文件</w:t>
      </w:r>
    </w:p>
    <w:p w14:paraId="739E5B15">
      <w:pPr>
        <w:spacing w:line="360" w:lineRule="auto"/>
        <w:ind w:firstLine="420" w:firstLineChars="200"/>
        <w:rPr>
          <w:rFonts w:ascii="宋体" w:hAnsi="宋体" w:cs="宋体"/>
          <w:szCs w:val="21"/>
        </w:rPr>
      </w:pPr>
      <w:r>
        <w:rPr>
          <w:rFonts w:hint="eastAsia" w:ascii="宋体" w:hAnsi="宋体" w:cs="宋体"/>
          <w:szCs w:val="21"/>
        </w:rPr>
        <w:t>获取时间：2025年</w:t>
      </w:r>
      <w:r>
        <w:rPr>
          <w:rFonts w:hint="eastAsia" w:ascii="宋体" w:hAnsi="宋体" w:cs="宋体"/>
          <w:szCs w:val="21"/>
          <w:lang w:val="en-US" w:eastAsia="zh-CN"/>
        </w:rPr>
        <w:t>12</w:t>
      </w:r>
      <w:r>
        <w:rPr>
          <w:rFonts w:hint="eastAsia" w:ascii="宋体" w:hAnsi="宋体" w:cs="宋体"/>
          <w:szCs w:val="21"/>
        </w:rPr>
        <w:t>月</w:t>
      </w:r>
      <w:r>
        <w:rPr>
          <w:rFonts w:hint="eastAsia" w:ascii="宋体" w:hAnsi="宋体" w:cs="宋体"/>
          <w:szCs w:val="21"/>
          <w:lang w:val="en-US" w:eastAsia="zh-CN"/>
        </w:rPr>
        <w:t>4</w:t>
      </w:r>
      <w:r>
        <w:rPr>
          <w:rFonts w:hint="eastAsia" w:ascii="宋体" w:hAnsi="宋体" w:cs="宋体"/>
          <w:szCs w:val="21"/>
        </w:rPr>
        <w:t>日上午09:00至2025年</w:t>
      </w:r>
      <w:r>
        <w:rPr>
          <w:rFonts w:hint="eastAsia" w:ascii="宋体" w:hAnsi="宋体" w:cs="宋体"/>
          <w:szCs w:val="21"/>
          <w:lang w:val="en-US" w:eastAsia="zh-CN"/>
        </w:rPr>
        <w:t>12</w:t>
      </w:r>
      <w:r>
        <w:rPr>
          <w:rFonts w:hint="eastAsia" w:ascii="宋体" w:hAnsi="宋体" w:cs="宋体"/>
          <w:szCs w:val="21"/>
        </w:rPr>
        <w:t>月</w:t>
      </w:r>
      <w:r>
        <w:rPr>
          <w:rFonts w:hint="eastAsia" w:ascii="宋体" w:hAnsi="宋体" w:cs="宋体"/>
          <w:szCs w:val="21"/>
          <w:lang w:val="en-US" w:eastAsia="zh-CN"/>
        </w:rPr>
        <w:t>10</w:t>
      </w:r>
      <w:r>
        <w:rPr>
          <w:rFonts w:hint="eastAsia" w:ascii="宋体" w:hAnsi="宋体" w:cs="宋体"/>
          <w:szCs w:val="21"/>
        </w:rPr>
        <w:t>日17:00（北京时间）</w:t>
      </w:r>
    </w:p>
    <w:p w14:paraId="21CFD69C">
      <w:pPr>
        <w:spacing w:line="360" w:lineRule="auto"/>
        <w:ind w:firstLine="420" w:firstLineChars="200"/>
        <w:rPr>
          <w:rFonts w:ascii="宋体" w:hAnsi="宋体" w:cs="宋体"/>
          <w:szCs w:val="21"/>
        </w:rPr>
      </w:pPr>
      <w:r>
        <w:rPr>
          <w:rFonts w:hint="eastAsia" w:ascii="宋体" w:hAnsi="宋体" w:cs="宋体"/>
          <w:szCs w:val="21"/>
        </w:rPr>
        <w:t>地点：南京市鼓楼区中山路99号12楼1212室</w:t>
      </w:r>
    </w:p>
    <w:p w14:paraId="2F08CACC">
      <w:pPr>
        <w:spacing w:line="360" w:lineRule="auto"/>
        <w:ind w:firstLine="420" w:firstLineChars="200"/>
        <w:rPr>
          <w:rFonts w:ascii="宋体" w:hAnsi="宋体" w:cs="宋体"/>
          <w:szCs w:val="21"/>
        </w:rPr>
      </w:pPr>
      <w:r>
        <w:rPr>
          <w:rFonts w:hint="eastAsia" w:ascii="宋体" w:hAnsi="宋体" w:cs="宋体"/>
          <w:szCs w:val="21"/>
        </w:rPr>
        <w:t>方式：网址为：https://njsnzx.cn/#/detail?id=2593</w:t>
      </w:r>
      <w:bookmarkStart w:id="29" w:name="_GoBack"/>
      <w:bookmarkEnd w:id="29"/>
      <w:r>
        <w:rPr>
          <w:rFonts w:hint="eastAsia" w:ascii="宋体" w:hAnsi="宋体" w:cs="宋体"/>
          <w:szCs w:val="21"/>
        </w:rPr>
        <w:t>；有意参加者，请于上述时间内登录网址（免费注册）根据平台提示完成采购文件获取事宜。获取者应充分考虑所需时间，获取采购文件时间截止后不再接受提交的获取信息。平台提交为一次性工作请确认信息后再提交，若有需要查询获取状态可用注册手机号登录网址：https://njsnzx.cn/查询。也可与代理机构联系。</w:t>
      </w:r>
    </w:p>
    <w:p w14:paraId="7A0026AA">
      <w:pPr>
        <w:spacing w:line="360" w:lineRule="auto"/>
        <w:ind w:firstLine="420" w:firstLineChars="200"/>
        <w:rPr>
          <w:rFonts w:ascii="宋体" w:hAnsi="宋体" w:cs="宋体"/>
          <w:szCs w:val="21"/>
        </w:rPr>
      </w:pPr>
      <w:r>
        <w:rPr>
          <w:rFonts w:hint="eastAsia" w:ascii="宋体" w:hAnsi="宋体" w:cs="宋体"/>
          <w:szCs w:val="21"/>
        </w:rPr>
        <w:t>未按照上述要求合法获取采购文件的，采购人将不予受理其投标。</w:t>
      </w:r>
    </w:p>
    <w:p w14:paraId="7FE97752">
      <w:pPr>
        <w:spacing w:line="360" w:lineRule="auto"/>
        <w:ind w:firstLine="420" w:firstLineChars="200"/>
        <w:rPr>
          <w:rFonts w:ascii="宋体" w:hAnsi="宋体" w:cs="宋体"/>
          <w:szCs w:val="21"/>
        </w:rPr>
      </w:pPr>
      <w:r>
        <w:rPr>
          <w:rFonts w:hint="eastAsia" w:ascii="宋体" w:hAnsi="宋体" w:cs="宋体"/>
          <w:szCs w:val="21"/>
        </w:rPr>
        <w:t>售价：500.00元，本公告包含的招标（采购）文件售价总和。</w:t>
      </w:r>
    </w:p>
    <w:p w14:paraId="13BDBC86">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四、提交响应文件截止时间、响应文件开启时间和地点</w:t>
      </w:r>
    </w:p>
    <w:p w14:paraId="02B2AF90">
      <w:pPr>
        <w:spacing w:line="360" w:lineRule="auto"/>
        <w:ind w:firstLine="420" w:firstLineChars="200"/>
        <w:rPr>
          <w:rFonts w:ascii="宋体" w:hAnsi="宋体" w:cs="宋体"/>
          <w:szCs w:val="21"/>
        </w:rPr>
      </w:pPr>
      <w:r>
        <w:rPr>
          <w:rFonts w:hint="eastAsia" w:ascii="宋体" w:hAnsi="宋体" w:cs="宋体"/>
          <w:szCs w:val="21"/>
        </w:rPr>
        <w:t>提交响应文件截止时间、开标时间：2025-</w:t>
      </w:r>
      <w:r>
        <w:rPr>
          <w:rFonts w:hint="eastAsia" w:ascii="宋体" w:hAnsi="宋体" w:cs="宋体"/>
          <w:szCs w:val="21"/>
          <w:lang w:val="en-US" w:eastAsia="zh-CN"/>
        </w:rPr>
        <w:t>12</w:t>
      </w:r>
      <w:r>
        <w:rPr>
          <w:rFonts w:hint="eastAsia" w:ascii="宋体" w:hAnsi="宋体" w:cs="宋体"/>
          <w:szCs w:val="21"/>
        </w:rPr>
        <w:t>-</w:t>
      </w:r>
      <w:r>
        <w:rPr>
          <w:rFonts w:hint="eastAsia" w:ascii="宋体" w:hAnsi="宋体" w:cs="宋体"/>
          <w:szCs w:val="21"/>
          <w:lang w:val="en-US" w:eastAsia="zh-CN"/>
        </w:rPr>
        <w:t>12</w:t>
      </w:r>
      <w:r>
        <w:rPr>
          <w:rFonts w:hint="eastAsia" w:ascii="宋体" w:hAnsi="宋体" w:cs="宋体"/>
          <w:szCs w:val="21"/>
        </w:rPr>
        <w:t xml:space="preserve"> 9:30（北京时间）</w:t>
      </w:r>
    </w:p>
    <w:p w14:paraId="39DA2A20">
      <w:pPr>
        <w:spacing w:line="360" w:lineRule="auto"/>
        <w:ind w:firstLine="420" w:firstLineChars="200"/>
        <w:rPr>
          <w:rFonts w:ascii="宋体" w:hAnsi="宋体" w:cs="宋体"/>
          <w:szCs w:val="21"/>
        </w:rPr>
      </w:pPr>
      <w:r>
        <w:rPr>
          <w:rFonts w:hint="eastAsia" w:ascii="宋体" w:hAnsi="宋体" w:cs="宋体"/>
          <w:szCs w:val="21"/>
        </w:rPr>
        <w:t>地点：南京市中山路99号12楼1212室二楼开标室</w:t>
      </w:r>
    </w:p>
    <w:p w14:paraId="5C6F3894">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届时请供应商法定代表人或其委托授权代表出席响应文件开启仪式。</w:t>
      </w:r>
    </w:p>
    <w:p w14:paraId="68390E47">
      <w:pPr>
        <w:pStyle w:val="17"/>
        <w:spacing w:after="0" w:line="360" w:lineRule="auto"/>
        <w:ind w:firstLine="422"/>
        <w:rPr>
          <w:rFonts w:asciiTheme="majorEastAsia" w:hAnsiTheme="majorEastAsia" w:eastAsiaTheme="majorEastAsia" w:cstheme="majorEastAsia"/>
          <w:b/>
          <w:sz w:val="21"/>
          <w:szCs w:val="21"/>
        </w:rPr>
      </w:pPr>
      <w:bookmarkStart w:id="0" w:name="六、公告期限"/>
      <w:bookmarkEnd w:id="0"/>
      <w:r>
        <w:rPr>
          <w:rFonts w:hint="eastAsia" w:asciiTheme="majorEastAsia" w:hAnsiTheme="majorEastAsia" w:eastAsiaTheme="majorEastAsia" w:cstheme="majorEastAsia"/>
          <w:b/>
          <w:sz w:val="21"/>
          <w:szCs w:val="21"/>
        </w:rPr>
        <w:t>五、公告期限</w:t>
      </w:r>
    </w:p>
    <w:p w14:paraId="109AF897">
      <w:pPr>
        <w:pStyle w:val="17"/>
        <w:spacing w:after="0" w:line="360" w:lineRule="auto"/>
        <w:rPr>
          <w:rFonts w:asciiTheme="majorEastAsia" w:hAnsiTheme="majorEastAsia" w:eastAsiaTheme="majorEastAsia" w:cstheme="majorEastAsia"/>
          <w:sz w:val="21"/>
          <w:szCs w:val="21"/>
        </w:rPr>
      </w:pPr>
      <w:bookmarkStart w:id="1" w:name="自本公告发布之日起5个工作日。"/>
      <w:bookmarkEnd w:id="1"/>
      <w:r>
        <w:rPr>
          <w:rFonts w:hint="eastAsia" w:asciiTheme="majorEastAsia" w:hAnsiTheme="majorEastAsia" w:eastAsiaTheme="majorEastAsia" w:cstheme="majorEastAsia"/>
          <w:sz w:val="21"/>
          <w:szCs w:val="21"/>
        </w:rPr>
        <w:t>自本公告发布之日起5日。</w:t>
      </w:r>
    </w:p>
    <w:p w14:paraId="11E10DF5">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六、其他补充事宜</w:t>
      </w:r>
    </w:p>
    <w:p w14:paraId="06244E96">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t>响应文件份数：一式伍份（壹份正本、肆份副本），电子版响应文件壹份（一般应为PDF格式（正本盖章扫描件）、U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52FA14A7">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2、本项目是否接受联合体响应：不接受。</w:t>
      </w:r>
    </w:p>
    <w:p w14:paraId="2DD50C99">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w:t>
      </w:r>
      <w:r>
        <w:rPr>
          <w:rFonts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rPr>
        <w:t>本项目是否接受进口产品响应：不接受。</w:t>
      </w:r>
    </w:p>
    <w:p w14:paraId="6978F479">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4、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p>
    <w:p w14:paraId="28A9112C">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七、发布公告的媒介</w:t>
      </w:r>
    </w:p>
    <w:p w14:paraId="2720D1E7">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本采购公告在南京邮电大学采购招标管理办公室网站（https://zbb.njupt.edu.cn/）发布，敬请各供应商关注。</w:t>
      </w:r>
    </w:p>
    <w:p w14:paraId="47C038FC">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八、对本次采购提出询问，请按以下方式联系。</w:t>
      </w:r>
    </w:p>
    <w:p w14:paraId="4C817208">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1、采购人信息</w:t>
      </w:r>
    </w:p>
    <w:p w14:paraId="56FA2602">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名称：南京邮电大学</w:t>
      </w:r>
    </w:p>
    <w:p w14:paraId="425760A0">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地址：南京市栖霞区文苑路9号</w:t>
      </w:r>
    </w:p>
    <w:p w14:paraId="6D4E7CD6">
      <w:pPr>
        <w:pStyle w:val="17"/>
        <w:spacing w:after="0" w:line="360" w:lineRule="auto"/>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z w:val="21"/>
          <w:szCs w:val="21"/>
        </w:rPr>
        <w:t>联系人：张老师</w:t>
      </w:r>
    </w:p>
    <w:p w14:paraId="3898575F">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联系方式：025-85866541</w:t>
      </w:r>
    </w:p>
    <w:p w14:paraId="48CE6A9E">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2、采购代理机构信息</w:t>
      </w:r>
    </w:p>
    <w:p w14:paraId="1791A2AB">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名称：</w:t>
      </w:r>
      <w:r>
        <w:rPr>
          <w:rFonts w:hint="eastAsia" w:asciiTheme="majorEastAsia" w:hAnsiTheme="majorEastAsia" w:eastAsiaTheme="majorEastAsia" w:cstheme="majorEastAsia"/>
          <w:snapToGrid w:val="0"/>
          <w:sz w:val="21"/>
          <w:szCs w:val="21"/>
        </w:rPr>
        <w:t>南京苏宁工程咨询有限公司</w:t>
      </w:r>
      <w:r>
        <w:rPr>
          <w:rFonts w:hint="eastAsia" w:asciiTheme="majorEastAsia" w:hAnsiTheme="majorEastAsia" w:eastAsiaTheme="majorEastAsia" w:cstheme="majorEastAsia"/>
          <w:sz w:val="21"/>
          <w:szCs w:val="21"/>
        </w:rPr>
        <w:t xml:space="preserve"> </w:t>
      </w:r>
    </w:p>
    <w:p w14:paraId="66F830CA">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地址：</w:t>
      </w:r>
      <w:r>
        <w:rPr>
          <w:rFonts w:hint="eastAsia" w:asciiTheme="majorEastAsia" w:hAnsiTheme="majorEastAsia" w:eastAsiaTheme="majorEastAsia" w:cstheme="majorEastAsia"/>
          <w:snapToGrid w:val="0"/>
          <w:sz w:val="21"/>
          <w:szCs w:val="21"/>
        </w:rPr>
        <w:t>南京市鼓楼区中山路99号12楼1212室</w:t>
      </w:r>
    </w:p>
    <w:p w14:paraId="1DBE78F6">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联系方式：</w:t>
      </w:r>
      <w:r>
        <w:rPr>
          <w:rFonts w:hint="eastAsia" w:asciiTheme="majorEastAsia" w:hAnsiTheme="majorEastAsia" w:eastAsiaTheme="majorEastAsia" w:cstheme="majorEastAsia"/>
          <w:snapToGrid w:val="0"/>
          <w:sz w:val="21"/>
          <w:szCs w:val="21"/>
        </w:rPr>
        <w:t>聂工025-84205129</w:t>
      </w:r>
    </w:p>
    <w:p w14:paraId="73D2A1B5">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3、项目联系方式</w:t>
      </w:r>
    </w:p>
    <w:p w14:paraId="7CBD1C19">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项目联系人：聂工</w:t>
      </w:r>
    </w:p>
    <w:p w14:paraId="22D9F16D">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电话：</w:t>
      </w:r>
      <w:r>
        <w:rPr>
          <w:rFonts w:hint="eastAsia" w:asciiTheme="majorEastAsia" w:hAnsiTheme="majorEastAsia" w:eastAsiaTheme="majorEastAsia" w:cstheme="majorEastAsia"/>
          <w:snapToGrid w:val="0"/>
          <w:sz w:val="21"/>
          <w:szCs w:val="21"/>
        </w:rPr>
        <w:t>025-84205129</w:t>
      </w:r>
    </w:p>
    <w:p w14:paraId="4F9720FD">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请贵单位领取本次采购文件后，认真阅读各项内容，进行必要的响应准备，按文件的要求详细填写和编制响应文件，并按以上确定的时间、地点准时参加采购活动。</w:t>
      </w:r>
      <w:bookmarkStart w:id="2" w:name="_Toc35393627"/>
      <w:bookmarkStart w:id="3" w:name="_Toc35393796"/>
      <w:bookmarkStart w:id="4" w:name="_Toc28359008"/>
      <w:bookmarkStart w:id="5" w:name="_Toc28359085"/>
    </w:p>
    <w:bookmarkEnd w:id="2"/>
    <w:bookmarkEnd w:id="3"/>
    <w:bookmarkEnd w:id="4"/>
    <w:bookmarkEnd w:id="5"/>
    <w:p w14:paraId="291297C8">
      <w:pPr>
        <w:rPr>
          <w:rFonts w:ascii="宋体" w:hAnsi="宋体" w:cs="黑体"/>
          <w:sz w:val="36"/>
        </w:rPr>
      </w:pPr>
      <w:r>
        <w:rPr>
          <w:rFonts w:ascii="宋体" w:hAnsi="宋体" w:cs="黑体"/>
          <w:sz w:val="36"/>
        </w:rPr>
        <w:br w:type="page"/>
      </w:r>
    </w:p>
    <w:p w14:paraId="0671399A">
      <w:pPr>
        <w:pStyle w:val="261"/>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第二章  供应商须知</w:t>
      </w:r>
    </w:p>
    <w:p w14:paraId="68D6D162">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一、总则</w:t>
      </w:r>
    </w:p>
    <w:p w14:paraId="1B5DE14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1.适用规则</w:t>
      </w:r>
    </w:p>
    <w:p w14:paraId="5A0407B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本采购项目为非政府采购项目，本次采购适用《南京邮电大学采购招标管理办法（修订）》（校发〔2025〕34号）、《南京邮电大学校内集中采购管理实施细则（试行）》（校发〔2023〕39号）、《南京邮电大学采购项目质疑答复和投诉处理实施细则（试行）》（校发〔2023〕38号）等南京邮电大学内控制度（文件详见链接https://zbb.njupt.edu.cn/xngzzd/index.chtml）。</w:t>
      </w:r>
    </w:p>
    <w:p w14:paraId="199D3F82">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2.定义</w:t>
      </w:r>
    </w:p>
    <w:p w14:paraId="2AD0F8A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2.1“采购人”“招标人”指依法进行政府采购的国家机关、事业单位、团体组织。</w:t>
      </w:r>
    </w:p>
    <w:p w14:paraId="5AFA478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2.2“采购代理”是指集中采购机构和集中采购机构以外的采购代理机构。</w:t>
      </w:r>
    </w:p>
    <w:p w14:paraId="505C5E1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2.3“供应商”“投标人”是指参加采购竞争，并符合采购文件规定资格条件的法人、其他组织或者自然人。</w:t>
      </w:r>
    </w:p>
    <w:p w14:paraId="224D0E6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2.4“货物或服务”是指本采购文件中所述相关货物或服务。</w:t>
      </w:r>
    </w:p>
    <w:p w14:paraId="6222A34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2.5“用户或使用单位”是指接受服务的单位。</w:t>
      </w:r>
    </w:p>
    <w:p w14:paraId="1920BF87">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二、采购文件</w:t>
      </w:r>
    </w:p>
    <w:p w14:paraId="63DB656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3.采购文件组成</w:t>
      </w:r>
    </w:p>
    <w:p w14:paraId="545B0C3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3.1采购文件组成：</w:t>
      </w:r>
    </w:p>
    <w:p w14:paraId="493092A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第一章  公开比选公告</w:t>
      </w:r>
    </w:p>
    <w:p w14:paraId="5FFFEBA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第二章  供应商须知</w:t>
      </w:r>
    </w:p>
    <w:p w14:paraId="07BF239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第三章  评审标准</w:t>
      </w:r>
    </w:p>
    <w:p w14:paraId="6AB6A8B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第四章  采购需求</w:t>
      </w:r>
    </w:p>
    <w:p w14:paraId="5AED257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第五章  合同主要条款及格式</w:t>
      </w:r>
    </w:p>
    <w:p w14:paraId="27A860E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3.2采购的最小单位是包。采购服务数量及技术要求中未分包的，供应商对要求提供的服务不得部分响应；采购服务数量及技术要求中已经分包的，应当以包为单位响应。</w:t>
      </w:r>
    </w:p>
    <w:p w14:paraId="35817766">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3.3采购文件如果要求供应商提交备选方案的，供应商可以提交备选方案，否则，不接受备选方案。</w:t>
      </w:r>
    </w:p>
    <w:p w14:paraId="2380C078">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4.采购文件的澄清修改</w:t>
      </w:r>
    </w:p>
    <w:p w14:paraId="1C5EF35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08A4D89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4.2代理机构在采购文件要求提交响应文件截止时间前，有权决定延长提交响应文件截止时间和响应文件开启时间，并在原采购信息发布媒体上发布更正公告。</w:t>
      </w:r>
    </w:p>
    <w:p w14:paraId="4994B57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4.3供应商应在提交响应文件截止时间前关注“南京邮电大学采购招标管理办公室网站”上有关本采购项目有无更正公告。</w:t>
      </w:r>
    </w:p>
    <w:p w14:paraId="5C882A24">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三、响应</w:t>
      </w:r>
    </w:p>
    <w:p w14:paraId="2D4CF540">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5.响应文件的语言、计量单位、货币、技术标准和编制</w:t>
      </w:r>
    </w:p>
    <w:p w14:paraId="2B7AD9A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1B61F5E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5.2供应商所使用的计量单位应为国家法定计量单位。</w:t>
      </w:r>
    </w:p>
    <w:p w14:paraId="5BC462D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5.3供应商应用人民币报价。</w:t>
      </w:r>
    </w:p>
    <w:p w14:paraId="34DB675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5.4响应文件应字迹清楚、内容齐全、不得涂改。如有修改，修改处须有响应文件签署人签字或加盖公章。</w:t>
      </w:r>
    </w:p>
    <w:p w14:paraId="085486B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5.5供应商所使用的技术标准应遵循国家最新标准及规范。</w:t>
      </w:r>
    </w:p>
    <w:p w14:paraId="28A33D0B">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6.联合体及分包：本项目不接受联合体响应，不接受分包、转包。</w:t>
      </w:r>
    </w:p>
    <w:p w14:paraId="29A0EE6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6.1采购项目如接受联合体响应的，两个以上的自然人、法人或者其他组织可以组成一个联合体，以一个供应商的身份共同参加响应。</w:t>
      </w:r>
    </w:p>
    <w:p w14:paraId="297B24B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3A1C403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6.3采购合同分包履行的，成交供应商就采购项目和分包项目向采购人负责，分包项目供应商就分包项目承担责任，成交供应商与分包人之间应该签订分包意向协议。</w:t>
      </w:r>
    </w:p>
    <w:p w14:paraId="2940490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7.响应费用</w:t>
      </w:r>
    </w:p>
    <w:p w14:paraId="4123F89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7.1供应商应承担所有与准备和参加响应有关的费用，无论采购结果如何，代理机构和采购人在任何情况下均无义务和责任承担这些费用。</w:t>
      </w:r>
    </w:p>
    <w:p w14:paraId="343CCD5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7.2采购代理服务费按照国家发展和改革委员会下发的《关于降低部分建设项目收费标准规范收费行为等有关问题的通知》（发改价格〔2011〕534 号）所列采购代理服务费收费标准下浮</w:t>
      </w:r>
      <w:r>
        <w:rPr>
          <w:rFonts w:hint="eastAsia" w:asciiTheme="minorEastAsia" w:hAnsiTheme="minorEastAsia" w:eastAsiaTheme="minorEastAsia" w:cstheme="minorEastAsia"/>
          <w:sz w:val="21"/>
          <w:szCs w:val="21"/>
          <w:u w:val="single"/>
        </w:rPr>
        <w:t>48</w:t>
      </w:r>
      <w:r>
        <w:rPr>
          <w:rFonts w:hint="eastAsia" w:asciiTheme="minorEastAsia" w:hAnsiTheme="minorEastAsia" w:eastAsiaTheme="minorEastAsia" w:cstheme="minorEastAsia"/>
          <w:sz w:val="21"/>
          <w:szCs w:val="21"/>
        </w:rPr>
        <w:t>%（优惠率）收取。代理服务费包括所供服务相关的所有费用，工程类采购代理项目报价包含编制工程量清单、确定招标控制价等所有费用。</w:t>
      </w:r>
    </w:p>
    <w:p w14:paraId="44A3BC7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7.3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307DB6A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7.4采购代理服务费按项目结算，由采购代理服务商向具体项目的成交单位收取。成交供应商须在领取中标（成交）通知书前，向采购代理机构一次性缴清采购代理服务费。</w:t>
      </w:r>
    </w:p>
    <w:p w14:paraId="02FA0646">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8.响应文件组成</w:t>
      </w:r>
    </w:p>
    <w:p w14:paraId="43E3192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供应商应当根据采购文件要求编制响应文件，响应文件应对采购文件提出的要求和条件作出实质性响应，并在《商务条款偏离表》和《技术条款偏离表》《资格性和符合性检查响应对照表》等处逐条标明满足与否。</w:t>
      </w:r>
    </w:p>
    <w:p w14:paraId="4684DD2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8.2响应文件由商务部分、技术部分、价格部分，以及其他部分组成。</w:t>
      </w:r>
    </w:p>
    <w:p w14:paraId="5154950D">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9.响应文件的商务部分</w:t>
      </w:r>
    </w:p>
    <w:p w14:paraId="0154DD3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9.1商务部分是证明供应商有资格参加采购和成交后有能力履行合同的文件，这些文件应能满足采购的要求，包括但不限于下列文件，其中加“★”项目不得有缺失或无效：</w:t>
      </w:r>
    </w:p>
    <w:p w14:paraId="479C1B7F">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（1）★响应申请及声明；</w:t>
      </w:r>
    </w:p>
    <w:p w14:paraId="3960339B">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法定代表人授权委托书及授权委托人的身份证复印件（有授权委托的，另需提供授权委托人的社保缴纳证明材料），或法定代表人身份证复印件（无授权委托的，另需提供法定代表人的社保缴纳证明材料）；</w:t>
      </w:r>
    </w:p>
    <w:p w14:paraId="0FBF4435">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（3）★第一章比选公告中“二、</w:t>
      </w:r>
      <w:r>
        <w:rPr>
          <w:rFonts w:hint="eastAsia" w:asciiTheme="majorEastAsia" w:hAnsiTheme="majorEastAsia" w:eastAsiaTheme="majorEastAsia" w:cstheme="majorEastAsia"/>
          <w:b/>
          <w:sz w:val="21"/>
          <w:szCs w:val="21"/>
        </w:rPr>
        <w:t>申请人的资格要求</w:t>
      </w:r>
      <w:r>
        <w:rPr>
          <w:rFonts w:hint="eastAsia" w:asciiTheme="minorEastAsia" w:hAnsiTheme="minorEastAsia" w:eastAsiaTheme="minorEastAsia" w:cstheme="minorEastAsia"/>
          <w:sz w:val="21"/>
          <w:szCs w:val="21"/>
        </w:rPr>
        <w:t>”的资格证明文件；</w:t>
      </w:r>
    </w:p>
    <w:p w14:paraId="7F41F8E4">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（4）分项报价表格式</w:t>
      </w:r>
    </w:p>
    <w:p w14:paraId="1424AD22">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（5）《商务条款偏离表》；</w:t>
      </w:r>
    </w:p>
    <w:p w14:paraId="4E90AA7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（6）合同条款；</w:t>
      </w:r>
    </w:p>
    <w:p w14:paraId="4CA6C0D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（7）供应商认为需要提供的其他资格证明文件和商务资料。</w:t>
      </w:r>
    </w:p>
    <w:p w14:paraId="0AE91B38">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10.响应文件的技术部分</w:t>
      </w:r>
    </w:p>
    <w:p w14:paraId="2E6BF44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10.1技术部分是证明供应商提供的服务是合格的、并符合采购文件要求的证明文件，以及对响应报价表中的服务的详细说明，这些文件可以是文字资料、图纸和数据等。</w:t>
      </w:r>
    </w:p>
    <w:p w14:paraId="0274E87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10.2若提供的服务与采购文件要求有不符之处，应说明其差别之所在。</w:t>
      </w:r>
    </w:p>
    <w:p w14:paraId="69D6143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10.3响应文件应按照采购文件要求提供服务说明，技术资料、文件和有关证明，包括但不限于以下材料：</w:t>
      </w:r>
    </w:p>
    <w:p w14:paraId="6674C91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（1）《技术条款偏离表》；</w:t>
      </w:r>
    </w:p>
    <w:p w14:paraId="3B0CB53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（2）服务方案或承诺；</w:t>
      </w:r>
    </w:p>
    <w:p w14:paraId="6B5DE51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（3）拟投入本项目人员一览表；</w:t>
      </w:r>
    </w:p>
    <w:p w14:paraId="4F190AFB">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（4）供应商认为需要提供的其他技术资料。</w:t>
      </w:r>
    </w:p>
    <w:p w14:paraId="58146A33">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11.响应文件的价格部分</w:t>
      </w:r>
    </w:p>
    <w:p w14:paraId="49EF914B">
      <w:pPr>
        <w:pStyle w:val="17"/>
        <w:spacing w:after="0"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11.1价格部分是对响应服务价格构成的说明，每一项服务仅接受一个价格。</w:t>
      </w:r>
      <w:r>
        <w:rPr>
          <w:rFonts w:hint="eastAsia" w:asciiTheme="minorEastAsia" w:hAnsiTheme="minorEastAsia" w:eastAsiaTheme="minorEastAsia" w:cstheme="minorEastAsia"/>
          <w:b/>
          <w:bCs/>
          <w:sz w:val="21"/>
          <w:szCs w:val="21"/>
        </w:rPr>
        <w:t>其中，《响应一览表》不得缺失或无效。</w:t>
      </w:r>
    </w:p>
    <w:p w14:paraId="5CEA319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28ED7A1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11.3供应商的任何错漏、优惠、竞争性报价不得作为减轻责任、减少服务、增加收费、降低质量的理由。</w:t>
      </w:r>
    </w:p>
    <w:p w14:paraId="1DBD24D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11.4供应商应在《响应一览表》《分项报价表》中列明提供货物或服务的单价、总价以及分项报价。</w:t>
      </w:r>
    </w:p>
    <w:p w14:paraId="3178505D">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12.响应文件的其他部分</w:t>
      </w:r>
    </w:p>
    <w:p w14:paraId="3C221CC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供应商编制响应文件需要提供的其他相关文件。</w:t>
      </w:r>
    </w:p>
    <w:p w14:paraId="4C2722C7">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13.响应保证金：无。</w:t>
      </w:r>
    </w:p>
    <w:p w14:paraId="1ECEBFD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14.响应有效期</w:t>
      </w:r>
    </w:p>
    <w:p w14:paraId="2C1DF18D">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14.1</w:t>
      </w:r>
      <w:r>
        <w:rPr>
          <w:rFonts w:hint="eastAsia" w:asciiTheme="minorEastAsia" w:hAnsiTheme="minorEastAsia" w:eastAsiaTheme="minorEastAsia" w:cstheme="minorEastAsia"/>
          <w:sz w:val="21"/>
          <w:szCs w:val="21"/>
        </w:rPr>
        <w:t>自响应文件开启之日起九十日内响应有效。</w:t>
      </w:r>
    </w:p>
    <w:p w14:paraId="63A940EB">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14.2</w:t>
      </w:r>
      <w:r>
        <w:rPr>
          <w:rFonts w:hint="eastAsia" w:asciiTheme="minorEastAsia" w:hAnsiTheme="minorEastAsia" w:eastAsiaTheme="minorEastAsia" w:cstheme="minorEastAsia"/>
          <w:sz w:val="21"/>
          <w:szCs w:val="21"/>
        </w:rPr>
        <w:t>特殊情况下，在原响应有效期截止之前，代理机构可要求供应商同意延长响应有效期，这种要求与答复均以书面形式提交。供应商可以拒绝这种要求，但接受延长响应有效期的供应商将不会要求和允许修正其响应。</w:t>
      </w:r>
    </w:p>
    <w:p w14:paraId="5DA9CEC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15.响应文件的份数、签署</w:t>
      </w:r>
    </w:p>
    <w:p w14:paraId="2E04BBE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15.1供应商应按照采购文件要求的份数准备响应文件，每份响应文件须清楚地标明“正本”或“副本”字样。正本和副本不符时，以正本为准。</w:t>
      </w:r>
    </w:p>
    <w:p w14:paraId="5F76D8E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67F8251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15.3除供应商对错处做必要修改外，响应文件不得行间插字、涂改或增删。如有修改错漏处，必须由响应文件签署人签字或加盖公章。</w:t>
      </w:r>
    </w:p>
    <w:p w14:paraId="1052BF9A">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16.响应文件的密封和递交</w:t>
      </w:r>
    </w:p>
    <w:p w14:paraId="3491F68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16.1供应商应当将响应文件密封。</w:t>
      </w:r>
    </w:p>
    <w:p w14:paraId="3D63C4F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16.2供应商应当在采购文件要求提交响应文件的截止时间前，将密封的响应文件送达响应地点。</w:t>
      </w:r>
    </w:p>
    <w:p w14:paraId="2CDC854F">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17.有下列情形之一的响应文件将被拒收</w:t>
      </w:r>
    </w:p>
    <w:p w14:paraId="7CD5893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17.1在采购文件要求提交响应文件的截止时间之后送达的；</w:t>
      </w:r>
    </w:p>
    <w:p w14:paraId="08F649E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17.2响应文件未密封的。</w:t>
      </w:r>
    </w:p>
    <w:p w14:paraId="098E3B44">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18.响应文件的修改和撤回</w:t>
      </w:r>
    </w:p>
    <w:p w14:paraId="4DE2092F">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18.1</w:t>
      </w:r>
      <w:r>
        <w:rPr>
          <w:rFonts w:hint="eastAsia" w:asciiTheme="minorEastAsia" w:hAnsiTheme="minorEastAsia" w:eastAsiaTheme="minorEastAsia" w:cstheme="minorEastAsia"/>
          <w:sz w:val="21"/>
          <w:szCs w:val="21"/>
        </w:rPr>
        <w:t>供应商在响应截止时间之前，可以对所递交的响应文件进行补充、修改或撤回，并书面通知代理机构。补充、修改的内容应当按照采购文件要求签署、盖章，并作为响应文件的组成部分。</w:t>
      </w:r>
    </w:p>
    <w:p w14:paraId="591C58D2">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18.2</w:t>
      </w:r>
      <w:r>
        <w:rPr>
          <w:rFonts w:hint="eastAsia" w:asciiTheme="minorEastAsia" w:hAnsiTheme="minorEastAsia" w:eastAsiaTheme="minorEastAsia" w:cstheme="minorEastAsia"/>
          <w:sz w:val="21"/>
          <w:szCs w:val="21"/>
        </w:rPr>
        <w:t>响应截止时间之后，响应文件不得撤回。</w:t>
      </w:r>
    </w:p>
    <w:p w14:paraId="59631FE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四、响应文件开启、评审与确定成交供应商</w:t>
      </w:r>
    </w:p>
    <w:p w14:paraId="7459760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19.响应文件开启</w:t>
      </w:r>
    </w:p>
    <w:p w14:paraId="017C4E6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19.1代理机构将在采购文件确定的时间和地点进行响应文件开启。供应商应委派代表准时参加，未参加响应文件开启的，视同认可响应文件开启结果。</w:t>
      </w:r>
    </w:p>
    <w:p w14:paraId="42F4D1C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19.2响应文件开启时，由供应商或者其推选的代表检查响应文件的密封情况，经确认无误后，由采购人或者代理机构工作人员当众拆封，宣布供应商名称、响应价格和采购文件规定的需要宣布的其他内容。</w:t>
      </w:r>
    </w:p>
    <w:p w14:paraId="38F978E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19.3未宣读的响应价格、价格折扣和采购文件允许提供的备选响应方案等实质性内容，评审时不予承认。</w:t>
      </w:r>
    </w:p>
    <w:p w14:paraId="44C3E39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19.4响应文件开启时，《响应一览表》（报价表）内容与响应文件中相应内容不一致的，以《响应一览表》（报价表）为准。</w:t>
      </w:r>
    </w:p>
    <w:p w14:paraId="3C06569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19.5响应文件、《响应一览表》（报价表）中报价的大写金额与小写金额不一致的，以大写金额为准。</w:t>
      </w:r>
    </w:p>
    <w:p w14:paraId="0D8D013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19.6单价金额小数点或者百分比有明显错位的，以《响应一览表》（报价表）的总价为准，并修改单价。</w:t>
      </w:r>
    </w:p>
    <w:p w14:paraId="4A23AEF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19.7总价金额与按单价汇总金额不一致的，以单价金额计算结果为准。</w:t>
      </w:r>
    </w:p>
    <w:p w14:paraId="0D1B9DB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19.8同时出现19.4-19.7中两种以上不一致的，按照19.4-19.7的顺序修正。修正后的报价由法定代表人或其授权的代表确认后产生约束力，供应商不确认的，其响应无效。</w:t>
      </w:r>
    </w:p>
    <w:p w14:paraId="0975A65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19.9对不同文字文本响应文件的解释发生异议的，以中文文本为准。</w:t>
      </w:r>
    </w:p>
    <w:p w14:paraId="644F637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19.10响应截止时间响应供应商或者合格供应商不足3家，可按以下情形处理：</w:t>
      </w:r>
    </w:p>
    <w:p w14:paraId="00EE0F5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 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24BD3A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19.10.1所列两个条件的，可转为单一来源方式采购。</w:t>
      </w:r>
    </w:p>
    <w:p w14:paraId="2AAA5775">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20.评审</w:t>
      </w:r>
    </w:p>
    <w:p w14:paraId="0EEC502E">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20.1评审组织</w:t>
      </w:r>
    </w:p>
    <w:p w14:paraId="2A108FC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20.1.1评审工作由代理机构组织，具体评审事务由依法组建的评审委员会负责，并独立履行下列职责：</w:t>
      </w:r>
    </w:p>
    <w:p w14:paraId="222E5ACE">
      <w:pPr>
        <w:pStyle w:val="17"/>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审查、评价响应文件是否符合采购文件的商务、技术等实质性要求；</w:t>
      </w:r>
    </w:p>
    <w:p w14:paraId="5D771D51">
      <w:pPr>
        <w:pStyle w:val="17"/>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要求供应商对响应文件有关事项作出澄清或者说明；</w:t>
      </w:r>
    </w:p>
    <w:p w14:paraId="41BE7B79">
      <w:pPr>
        <w:pStyle w:val="17"/>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对响应文件进行比较和评价；</w:t>
      </w:r>
    </w:p>
    <w:p w14:paraId="4E951138">
      <w:pPr>
        <w:pStyle w:val="17"/>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推荐成交候选人或根据采购人委托直接确定成交供应商；</w:t>
      </w:r>
    </w:p>
    <w:p w14:paraId="2674D8E3">
      <w:pPr>
        <w:pStyle w:val="17"/>
        <w:numPr>
          <w:ilvl w:val="0"/>
          <w:numId w:val="2"/>
        </w:numPr>
        <w:spacing w:after="0"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向采购人报告评审中发现的违法行为。</w:t>
      </w:r>
    </w:p>
    <w:p w14:paraId="18D3366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20.1.2评审委员会由采购人代表和有关技术、经济等方面的专家组成，独立开展评审工作。</w:t>
      </w:r>
    </w:p>
    <w:p w14:paraId="0E20E3DD">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20.2评审程序</w:t>
      </w:r>
    </w:p>
    <w:p w14:paraId="08548D03">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20.2.1响应文件的资格审查</w:t>
      </w:r>
    </w:p>
    <w:p w14:paraId="3D3D024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20.2.1.1采购代理机构或采购人依法对供应商的资格进行审查。</w:t>
      </w:r>
    </w:p>
    <w:p w14:paraId="0967536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20.2.1.2采购代理机构依据法律法规和采购文件的规定，对响应文件中的资格证明文件等进行审查，以确定供应商是否具备响应资格。</w:t>
      </w:r>
    </w:p>
    <w:p w14:paraId="0800661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20.2.1.3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660254D9">
      <w:pPr>
        <w:pStyle w:val="17"/>
        <w:widowControl/>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20.2.1.4响应文件有下列情况之一的，在资格审查时按照无效响应处理：</w:t>
      </w:r>
    </w:p>
    <w:p w14:paraId="44D2C000">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（1）不具备采购文件第一章规定“申请人的资格要求”的；</w:t>
      </w:r>
    </w:p>
    <w:p w14:paraId="0C77E2D1">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40704A47">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20.2.2响应文件的符合性审查</w:t>
      </w:r>
    </w:p>
    <w:p w14:paraId="659EEA1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20.2.2.1评审委员会将依据法律法规和采购文件的规定，对响应文件的有效性、完整性和对采购文件的响应程度进行审查，以确定是否对采购文件的实质性要求作出响应。</w:t>
      </w:r>
    </w:p>
    <w:p w14:paraId="0682A66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20.2.2.2实质性要求是指本采购文件中带“★”的商务和技术要求。</w:t>
      </w:r>
    </w:p>
    <w:p w14:paraId="39B6C6E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20.2.2.3如果响应文件实质上没有响应采购文件的要求，评审委员会将予以拒绝，供应商不得通过修改或撤销不符合要求的偏离而使其响应成为实质性响应的响应。</w:t>
      </w:r>
    </w:p>
    <w:p w14:paraId="6BD5F3C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20.2.2.4响应文件有下列情况之一的，在符合性审查时按照无效响应处理：</w:t>
      </w:r>
    </w:p>
    <w:p w14:paraId="0B7D7FF3">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（1）未按照采购文件规定要求密封、签署、盖章的；</w:t>
      </w:r>
    </w:p>
    <w:p w14:paraId="65971997">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（2）报价超过采购文件中规定的预算金额或者对应最高限价的；</w:t>
      </w:r>
    </w:p>
    <w:p w14:paraId="6AB09838">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（3）不同供应商的响应文件由同一单位或者个人编制；</w:t>
      </w:r>
    </w:p>
    <w:p w14:paraId="09904943">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（4）不同供应商委托同一单位或者个人办理投标事宜；</w:t>
      </w:r>
    </w:p>
    <w:p w14:paraId="72423170">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（5）不同供应商的响应文件载明的项目管理成员或者联系人员为同一人；</w:t>
      </w:r>
    </w:p>
    <w:p w14:paraId="7ACD79E6">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（6）不同供应商的响应文件异常一致或者投标报价呈规律性差异；</w:t>
      </w:r>
    </w:p>
    <w:p w14:paraId="3349B1B1">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（7）不同供应商的响应文件相互混装；</w:t>
      </w:r>
    </w:p>
    <w:p w14:paraId="664D80A8">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（8）不同供应商的负责人为同一人或者存在控股、管理关系的；</w:t>
      </w:r>
    </w:p>
    <w:p w14:paraId="015EA39C">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（9）未响应采购文件实质性要求的；</w:t>
      </w:r>
    </w:p>
    <w:p w14:paraId="02E02F3D">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（10）响应文件含有采购人不能接受的附加条件的；</w:t>
      </w:r>
    </w:p>
    <w:p w14:paraId="7593A7FF">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（11）启动异常低价投标（响应）审查程序中评审委员会作无效投标处理的；</w:t>
      </w:r>
    </w:p>
    <w:p w14:paraId="5A979293">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（12）不符合法律法规或采购文件规定的其他无效情形。</w:t>
      </w:r>
    </w:p>
    <w:p w14:paraId="3B05D92E">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★20.2.2.5评审委员会启动异常低价投标（响应）审查的情形和具体要求，包括：</w:t>
      </w:r>
    </w:p>
    <w:p w14:paraId="7D165873">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（1）评审过程中出现下列情形之一的，评审委员会应当启动异常低价投标（响应）审查程序：</w:t>
      </w:r>
    </w:p>
    <w:p w14:paraId="01B714BF">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①投标（响应）报价低于采购项目预算50%的，即投标（响应）报价&lt;采购项目预算x50%;</w:t>
      </w:r>
    </w:p>
    <w:p w14:paraId="07004D92">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②投标（响应）报价低于采购项目最高限价45%的，即投标（响应）报价&lt;采购项目最高限价x45%;</w:t>
      </w:r>
    </w:p>
    <w:p w14:paraId="697DEBC7">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③评审委员会认定的供应商报价过低、有可能影响产品质量或者不能诚信履约的其他情形。</w:t>
      </w:r>
    </w:p>
    <w:p w14:paraId="2BBA34EF">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46706A3E">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20.2.2.6提交响应文件截止时间后供应商不足3家或者通过资格审查或符合性审查的供应商不足3家的，除采购任务取消情形外，按照19.10条款处理：</w:t>
      </w:r>
    </w:p>
    <w:p w14:paraId="5FFF3D19">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20.2.2.7有下列情形之一的予以废标，同时将废标理由通知所有供应商</w:t>
      </w:r>
    </w:p>
    <w:p w14:paraId="0E69B8F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（1）除19.10中规定的情形外，符合资格条件的供应商或者对采购文件作实质性响应的供应商不足三家的；</w:t>
      </w:r>
    </w:p>
    <w:p w14:paraId="00AC267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（2）出现影响采购公正的违法、违规行为的；</w:t>
      </w:r>
    </w:p>
    <w:p w14:paraId="71C417DB">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（3）因重大变故，采购任务取消的；</w:t>
      </w:r>
    </w:p>
    <w:p w14:paraId="10C975B5">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（4）采购文件存在歧义、重大缺陷，或者采购文件内容违反国家有关强制性规定的；</w:t>
      </w:r>
    </w:p>
    <w:p w14:paraId="71851864">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20.2.3响应文件的进一步评审</w:t>
      </w:r>
    </w:p>
    <w:p w14:paraId="2792AB2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20.2.3.1评审委员会将对确定为实质性响应的响应文件进行进一步评审，看其是否有计算上或累加上的算术错误，修正错误的原则如下：</w:t>
      </w:r>
    </w:p>
    <w:p w14:paraId="355E71C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（1）如果用数字表示的金额和用文字表示的金额不一致时，应以文字表示的金额为准进行修正；</w:t>
      </w:r>
    </w:p>
    <w:p w14:paraId="6E52AEA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（2）当单价与数量的乘积和总价不一致时，以单价为准进行修正。只有在评审委员会认为单价有明显的小数点错误时，才能以标出的总价为准，并修改单价。</w:t>
      </w:r>
    </w:p>
    <w:p w14:paraId="6130382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20.2.3.2评审委员会将按上述修正错误的方法调整响应文件中的响应价，调整后的价格应对供应商具有约束力。如果供应商不接受修正后的价格，则其响应将被拒绝。</w:t>
      </w:r>
    </w:p>
    <w:p w14:paraId="5548BBD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20.2.3.3评审委员会将允许修正响应文件中不构成重大偏离的、微小的、非正规的、不一致的或不规则的地方，但这些修改不能影响任何供应商相应的名次排列。</w:t>
      </w:r>
    </w:p>
    <w:p w14:paraId="0686AB24">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20.2.3.4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44171EF8">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20.2.3.5评价。按照采购文件中规定的评审方法和标准，对资格性检查和符合性检查合格的响应文件进行评价。</w:t>
      </w:r>
    </w:p>
    <w:p w14:paraId="722B0788">
      <w:pPr>
        <w:pStyle w:val="17"/>
        <w:widowControl/>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20.3评审方法和标准</w:t>
      </w:r>
    </w:p>
    <w:p w14:paraId="0B5396CF">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20.3.1采用综合评分法。即在响应文件满足采购文件全部实质性要求前提下，按照评审因素的量化指标评分。</w:t>
      </w:r>
    </w:p>
    <w:p w14:paraId="5A611F0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20.3.2综合评分的主要因素是：详见文件第三章。</w:t>
      </w:r>
    </w:p>
    <w:p w14:paraId="3BE4E0C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20.3.3评分标准详见文件第三章。</w:t>
      </w:r>
    </w:p>
    <w:p w14:paraId="696D443B">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21.确定成交供应商</w:t>
      </w:r>
    </w:p>
    <w:p w14:paraId="68FC04A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21.1在综合评审后按照得分由高到低顺序对供应商进行排序。评审委员会按综合得分排名推荐3名成交候选人。得分相同的，按响应报价由低到高顺序排列。按以下第</w:t>
      </w:r>
      <w:r>
        <w:rPr>
          <w:rFonts w:hint="eastAsia" w:asciiTheme="minorEastAsia" w:hAnsiTheme="minorEastAsia" w:eastAsiaTheme="minorEastAsia" w:cstheme="minorEastAsia"/>
          <w:sz w:val="21"/>
          <w:szCs w:val="21"/>
          <w:u w:val="single"/>
        </w:rPr>
        <w:t>（2）</w:t>
      </w:r>
      <w:r>
        <w:rPr>
          <w:rFonts w:hint="eastAsia" w:asciiTheme="minorEastAsia" w:hAnsiTheme="minorEastAsia" w:eastAsiaTheme="minorEastAsia" w:cstheme="minorEastAsia"/>
          <w:sz w:val="21"/>
          <w:szCs w:val="21"/>
        </w:rPr>
        <w:t>种方式确定成交供应商</w:t>
      </w:r>
    </w:p>
    <w:p w14:paraId="5D4B09D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（1）评审委员会直接确定排名第一的成交候选人为成交供应商；</w:t>
      </w:r>
    </w:p>
    <w:p w14:paraId="5CAA808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（2）采购人项目单位在评审委员会推荐的成交候选人中按顺序确定成交供应商。</w:t>
      </w:r>
    </w:p>
    <w:p w14:paraId="003F1FF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79959B3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21.2成交供应商确定之日起两个工作日内，将在“</w:t>
      </w:r>
      <w:r>
        <w:rPr>
          <w:rFonts w:hint="eastAsia" w:asciiTheme="majorEastAsia" w:hAnsiTheme="majorEastAsia" w:eastAsiaTheme="majorEastAsia" w:cstheme="majorEastAsia"/>
          <w:sz w:val="21"/>
          <w:szCs w:val="21"/>
        </w:rPr>
        <w:t>南京邮电大学采购招标管理办公室网站</w:t>
      </w:r>
      <w:r>
        <w:rPr>
          <w:rFonts w:hint="eastAsia" w:asciiTheme="minorEastAsia" w:hAnsiTheme="minorEastAsia" w:eastAsiaTheme="minorEastAsia" w:cstheme="minorEastAsia"/>
          <w:sz w:val="21"/>
          <w:szCs w:val="21"/>
        </w:rPr>
        <w:t>”发布公告，并向成交供应商发出《中标（成交）通知书》。</w:t>
      </w:r>
    </w:p>
    <w:p w14:paraId="201CAF4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21.3《中标（成交）通知书》对采购人和成交供应商具有同等法律效力。</w:t>
      </w:r>
    </w:p>
    <w:p w14:paraId="0546DC1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21.4《中标（成交）通知书》发出后，成交供应商无正当理由不与采购人签订合同的，应当依法承担法律责任。</w:t>
      </w:r>
    </w:p>
    <w:p w14:paraId="6E0864B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21.5代理机构和评审委员会对未成交的供应商不作未成交原因的解释。</w:t>
      </w:r>
    </w:p>
    <w:p w14:paraId="7E901D0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21.6所有响应文件不论成交与否均不退回。</w:t>
      </w:r>
    </w:p>
    <w:p w14:paraId="2A8DFF87">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22.编写评审报告</w:t>
      </w:r>
    </w:p>
    <w:p w14:paraId="7D46458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评审委员会根据全体评审成员签字的原始评审记录和评审结果编写评审报告。</w:t>
      </w:r>
    </w:p>
    <w:p w14:paraId="14D8C5D5">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23.评审过程的保密</w:t>
      </w:r>
    </w:p>
    <w:p w14:paraId="65B39B4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23.1代理机构将采取必要措施，保证评审在严格保密的情况下进行。</w:t>
      </w:r>
    </w:p>
    <w:p w14:paraId="469F4DE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23.2任何单位和个人不得非法干预、影响评审办法的确定，以及评审过程和结果。</w:t>
      </w:r>
    </w:p>
    <w:p w14:paraId="00262A1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23.3凡是与审查、澄清、评价和比较响应的有关资料等，均不得向供应商及与评审无关的人员透露。</w:t>
      </w:r>
    </w:p>
    <w:p w14:paraId="5D6D7BF3">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五、签订合同</w:t>
      </w:r>
    </w:p>
    <w:p w14:paraId="7E642B98">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24.签订合同</w:t>
      </w:r>
    </w:p>
    <w:p w14:paraId="566F832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采购人项目单位应当自《中标（成交）通知书》发出之日起三十日内，按照采购文件和成交供应商响应文件与成交供应商签订书面合同。所签订的合同不得对采购文件确定事项和成交供应商响应文件作实质性修改。</w:t>
      </w:r>
    </w:p>
    <w:p w14:paraId="3C5C3E0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24.2采购人不得向成交供应商提出任何不合理的要求作为签订合同的条件，不得与成交供应商私下订立背离合同实质性内容的协议。</w:t>
      </w:r>
    </w:p>
    <w:p w14:paraId="4051E1C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0610332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24.4采购合同履行中，采购人需追加与合同标的相同服务的，在不改变合同其他条款的前提下，可以与供应商协商签订补充合同，但所有补充合同的采购金额不得超过原合同采购金额的百分之十。</w:t>
      </w:r>
    </w:p>
    <w:p w14:paraId="36AAEF5A">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六、询问、质疑、投诉和诚实信用</w:t>
      </w:r>
    </w:p>
    <w:p w14:paraId="3426457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25.询问提出与答复</w:t>
      </w:r>
    </w:p>
    <w:p w14:paraId="19BE026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供应商对采购活动事项有疑问的，如认为采购文件表述有歧义或表述不清，或了解本公司响应被拒绝详细理由等事项，可以通过电话、信函、电子邮件、传真等方式向采购人、代理机构（以下简称被询问人）提出询问。</w:t>
      </w:r>
    </w:p>
    <w:p w14:paraId="03F548A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536F8CD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对采购文件资格条件、采购需求、评审办法等实质性内容提出的询问，被询问人可以按照审慎原则组织专家论证，参考论证意见进行澄清、修改和答复。</w:t>
      </w:r>
    </w:p>
    <w:p w14:paraId="36B6075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25.3如供应商询问事项涉及依法应当保密的内容，被询问人不予答复，向供应商说明理由和依据。</w:t>
      </w:r>
    </w:p>
    <w:p w14:paraId="37B59258">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26.质疑提出与答复</w:t>
      </w:r>
    </w:p>
    <w:p w14:paraId="37DFB19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26.1供应商认为采购文件、采购过程、成交或者成交结果使自己的权益受到损害的，可以在知道或者应知其权益受到损害之日起规定质疑期7个工作日内，以书面形式向采购人、代理机构提出质疑。</w:t>
      </w:r>
    </w:p>
    <w:p w14:paraId="0B53A55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26.1.1供应商在规定质疑期内应一次性提出针对同一采购程序环节的质疑。</w:t>
      </w:r>
    </w:p>
    <w:p w14:paraId="411CC5A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26.2供应商知道或者应知其权益受到损害之日，是指：</w:t>
      </w:r>
    </w:p>
    <w:p w14:paraId="492F21D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（1）对可以质疑的采购文件提出质疑的，为收到采购文件之日或者采购文件公告期限届满之日；</w:t>
      </w:r>
    </w:p>
    <w:p w14:paraId="1155E84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（2）对采购过程提出质疑的，为各采购程序环节结束之日；</w:t>
      </w:r>
    </w:p>
    <w:p w14:paraId="5CE556D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（3）对成交或者成交结果提出质疑的，为成交或者成交结果公告期限届满之日。</w:t>
      </w:r>
    </w:p>
    <w:p w14:paraId="4A25692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26.3提出质疑的供应商应当是参与所质疑项目采购活动的供应商。潜在供应商已依法获取其可质疑的采购文件的，可以对该文件提出质疑。</w:t>
      </w:r>
    </w:p>
    <w:p w14:paraId="47AB470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26.4供应商提出质疑应当提交质疑函和必要的证明材料。质疑函应当包括下列内容：</w:t>
      </w:r>
    </w:p>
    <w:p w14:paraId="095C66D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（1）供应商的姓名或者名称、地址、邮编、联系人及联系电话；</w:t>
      </w:r>
    </w:p>
    <w:p w14:paraId="6C69EF6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（2）质疑项目的名称、编号；</w:t>
      </w:r>
    </w:p>
    <w:p w14:paraId="62FB316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（3）具体、明确的质疑事项和与质疑事项相关的请求；</w:t>
      </w:r>
    </w:p>
    <w:p w14:paraId="6AD6A82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（4）事实依据；</w:t>
      </w:r>
    </w:p>
    <w:p w14:paraId="70F7A5D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（5）必要的法律依据；</w:t>
      </w:r>
    </w:p>
    <w:p w14:paraId="07D0283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（6）提出质疑的日期。</w:t>
      </w:r>
    </w:p>
    <w:p w14:paraId="383B9E2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供应商为自然人的，应当由本人签字；供应商为法人或者其他组织的，应当由法定代表人、主要负责人，或者其授权代表签字或者盖章，并加盖公章。</w:t>
      </w:r>
    </w:p>
    <w:p w14:paraId="2B447F9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26.5采购人、代理机构不得拒收质疑供应商在规定质疑期内发出的质疑函。质疑函通过邮寄送达的，按交邮时间计算。逾期送达的，不予接收。</w:t>
      </w:r>
    </w:p>
    <w:p w14:paraId="21A461D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26.6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4D716FE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（1）供应商不是参与所质疑项目采购活动的供应商或依法获取可质疑采购文件的潜在供应商；</w:t>
      </w:r>
    </w:p>
    <w:p w14:paraId="1B3AE6C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（2）潜在供应商所质疑事项均为采购文件以外的事项；</w:t>
      </w:r>
    </w:p>
    <w:p w14:paraId="75FBA26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（3）供应商提交质疑的时间已超过规定质疑期。</w:t>
      </w:r>
    </w:p>
    <w:p w14:paraId="17BEC56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（4）质疑函未按规定签字、盖章，或代理人提出质疑未提交供应商签署的授权委托书，采购人、代理机构告知后，供应商或代理人未在规定质疑期内补正后提出的。</w:t>
      </w:r>
    </w:p>
    <w:p w14:paraId="564179E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（5）其他不符合受理条件的情形。</w:t>
      </w:r>
    </w:p>
    <w:p w14:paraId="71651A2E">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27.投诉提起与处理</w:t>
      </w:r>
    </w:p>
    <w:p w14:paraId="4993E64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27.1投诉提起</w:t>
      </w:r>
    </w:p>
    <w:p w14:paraId="039B08A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质疑供应商对代理机构的答复不满意，或者代理机构未在规定时间内作出答复的，可以在答复期满后10日内向有关行政监督部门提起投诉。</w:t>
      </w:r>
    </w:p>
    <w:p w14:paraId="6FEB934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27.2供应商投诉时，应当提交投诉书和必要的证明材料。投诉书应当包括下列内容：</w:t>
      </w:r>
    </w:p>
    <w:p w14:paraId="3D5D2AC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（1）投诉人和被投诉人的姓名或者名称、通讯地址、邮编、联系人及联系电话；</w:t>
      </w:r>
    </w:p>
    <w:p w14:paraId="66A8DB8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（2）质疑和质疑答复情况说明及相关证明材料；</w:t>
      </w:r>
    </w:p>
    <w:p w14:paraId="285D1F9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（3）具体、明确的投诉事项和与投诉事项相关的投诉请求；</w:t>
      </w:r>
    </w:p>
    <w:p w14:paraId="0BB0DE3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（4）事实依据；</w:t>
      </w:r>
    </w:p>
    <w:p w14:paraId="63E6CEC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（5）法律依据；</w:t>
      </w:r>
    </w:p>
    <w:p w14:paraId="3151F77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（6）提起投诉的日期。</w:t>
      </w:r>
    </w:p>
    <w:p w14:paraId="4C923D9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投诉人为自然人的，应当由本人签字；投诉人为法人或者其他组织的，应当由法定代表人、主要负责人，或者其授权代表签字或者盖章，并加盖公章。</w:t>
      </w:r>
    </w:p>
    <w:p w14:paraId="31EF9BED">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28.诚实信用</w:t>
      </w:r>
    </w:p>
    <w:p w14:paraId="05F8F13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28.1供应商之间不得相互串通响应报价，不得妨碍其他供应商的公平竞争，不得损害采购人和其他供应商的合法权益。</w:t>
      </w:r>
    </w:p>
    <w:p w14:paraId="526B6BC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28.2供应商不得向代理机构工作人员、评审委员会成员行贿或者采取其他不正当手段谋取成交。经查实供应商有此行为的，采购管理部门将供应商列入不良行为记录名单，按照有关规定处理。</w:t>
      </w:r>
    </w:p>
    <w:p w14:paraId="10A03AC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28.3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2E55BDD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28.4供应商不得虚假承诺，否则，按照提供虚假材料谋取成交处理。</w:t>
      </w:r>
    </w:p>
    <w:p w14:paraId="1EF16BB7">
      <w:pPr>
        <w:rPr>
          <w:rFonts w:ascii="宋体" w:hAnsi="宋体" w:cs="黑体"/>
          <w:b/>
          <w:sz w:val="36"/>
        </w:rPr>
      </w:pPr>
      <w:r>
        <w:rPr>
          <w:rFonts w:ascii="宋体" w:hAnsi="宋体" w:cs="黑体"/>
          <w:b/>
          <w:sz w:val="36"/>
        </w:rPr>
        <w:br w:type="page"/>
      </w:r>
    </w:p>
    <w:p w14:paraId="1D4D01DB">
      <w:pPr>
        <w:jc w:val="center"/>
        <w:outlineLvl w:val="0"/>
        <w:rPr>
          <w:rFonts w:ascii="宋体" w:hAnsi="宋体" w:cs="黑体"/>
          <w:b/>
          <w:sz w:val="28"/>
          <w:szCs w:val="28"/>
        </w:rPr>
      </w:pPr>
      <w:r>
        <w:rPr>
          <w:rFonts w:hint="eastAsia" w:ascii="宋体" w:hAnsi="宋体" w:cs="黑体"/>
          <w:b/>
          <w:sz w:val="28"/>
          <w:szCs w:val="28"/>
        </w:rPr>
        <w:t>第三章  评审标准</w:t>
      </w:r>
    </w:p>
    <w:p w14:paraId="08F17815">
      <w:pPr>
        <w:pStyle w:val="17"/>
        <w:spacing w:line="360" w:lineRule="auto"/>
        <w:ind w:firstLine="482" w:firstLineChars="0"/>
        <w:rPr>
          <w:b/>
          <w:sz w:val="21"/>
          <w:szCs w:val="21"/>
        </w:rPr>
      </w:pPr>
      <w:r>
        <w:rPr>
          <w:b/>
          <w:sz w:val="21"/>
          <w:szCs w:val="21"/>
        </w:rPr>
        <w:t>1、评审方法与</w:t>
      </w:r>
      <w:r>
        <w:rPr>
          <w:rFonts w:hint="eastAsia"/>
          <w:b/>
          <w:sz w:val="21"/>
          <w:szCs w:val="21"/>
        </w:rPr>
        <w:t>确定成交供应商</w:t>
      </w:r>
      <w:r>
        <w:rPr>
          <w:b/>
          <w:sz w:val="21"/>
          <w:szCs w:val="21"/>
        </w:rPr>
        <w:t>原则</w:t>
      </w:r>
    </w:p>
    <w:p w14:paraId="5812819C">
      <w:pPr>
        <w:pStyle w:val="17"/>
        <w:spacing w:line="360" w:lineRule="auto"/>
        <w:rPr>
          <w:sz w:val="21"/>
          <w:szCs w:val="21"/>
        </w:rPr>
      </w:pPr>
      <w:r>
        <w:rPr>
          <w:rFonts w:hint="eastAsia"/>
          <w:sz w:val="21"/>
          <w:szCs w:val="21"/>
        </w:rPr>
        <w:t>本项目采用综合评分法。评审工作组将对确定为实质性响应采购文件要求的响应文件进行评审，评分统计方法采用百分制（满分100分），将全部评委评分直接进行算术平均，小数点后保留2位。</w:t>
      </w:r>
    </w:p>
    <w:p w14:paraId="3103E50C">
      <w:pPr>
        <w:pStyle w:val="17"/>
        <w:spacing w:line="360" w:lineRule="auto"/>
        <w:ind w:firstLine="482" w:firstLineChars="0"/>
        <w:rPr>
          <w:bCs/>
          <w:sz w:val="21"/>
          <w:szCs w:val="21"/>
        </w:rPr>
      </w:pPr>
      <w:r>
        <w:rPr>
          <w:bCs/>
          <w:sz w:val="21"/>
          <w:szCs w:val="21"/>
        </w:rPr>
        <w:t>评标结果按评审后得分由高到低顺序排列。得分相同的，按投标报价由低到高顺序排列。得分且投标报价相同的并列，按技术指标优劣顺序排列</w:t>
      </w:r>
      <w:r>
        <w:rPr>
          <w:rFonts w:hint="eastAsia"/>
          <w:bCs/>
          <w:sz w:val="21"/>
          <w:szCs w:val="21"/>
        </w:rPr>
        <w:t>。</w:t>
      </w:r>
      <w:r>
        <w:rPr>
          <w:bCs/>
          <w:sz w:val="21"/>
          <w:szCs w:val="21"/>
        </w:rPr>
        <w:t>采购人或评标委员会经采购人授权后按中标候选供应商顺序确定一名中标供应商。</w:t>
      </w:r>
    </w:p>
    <w:p w14:paraId="5AA06B5F">
      <w:pPr>
        <w:pStyle w:val="17"/>
        <w:spacing w:line="360" w:lineRule="auto"/>
        <w:ind w:firstLine="482" w:firstLineChars="0"/>
        <w:rPr>
          <w:b/>
          <w:sz w:val="21"/>
          <w:szCs w:val="21"/>
        </w:rPr>
      </w:pPr>
      <w:r>
        <w:rPr>
          <w:b/>
          <w:sz w:val="21"/>
          <w:szCs w:val="21"/>
        </w:rPr>
        <w:t>2、评分标准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7597"/>
      </w:tblGrid>
      <w:tr w14:paraId="24F0E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00" w:type="dxa"/>
            <w:vAlign w:val="center"/>
          </w:tcPr>
          <w:p w14:paraId="70FF8D25">
            <w:pPr>
              <w:widowControl/>
              <w:adjustRightInd w:val="0"/>
              <w:snapToGrid w:val="0"/>
              <w:spacing w:line="360" w:lineRule="auto"/>
              <w:jc w:val="center"/>
              <w:rPr>
                <w:rFonts w:ascii="宋体" w:hAnsi="宋体"/>
                <w:szCs w:val="21"/>
              </w:rPr>
            </w:pPr>
            <w:r>
              <w:rPr>
                <w:rFonts w:hint="eastAsia" w:ascii="宋体" w:hAnsi="宋体" w:cs="仿宋"/>
                <w:b/>
                <w:bCs/>
                <w:szCs w:val="21"/>
              </w:rPr>
              <w:t>评分因素</w:t>
            </w:r>
          </w:p>
        </w:tc>
        <w:tc>
          <w:tcPr>
            <w:tcW w:w="7597" w:type="dxa"/>
            <w:vAlign w:val="center"/>
          </w:tcPr>
          <w:p w14:paraId="178E41CF">
            <w:pPr>
              <w:widowControl/>
              <w:adjustRightInd w:val="0"/>
              <w:snapToGrid w:val="0"/>
              <w:spacing w:line="360" w:lineRule="auto"/>
              <w:jc w:val="center"/>
              <w:rPr>
                <w:rFonts w:ascii="宋体" w:hAnsi="宋体"/>
                <w:szCs w:val="21"/>
              </w:rPr>
            </w:pPr>
            <w:r>
              <w:rPr>
                <w:rFonts w:hint="eastAsia" w:ascii="宋体" w:hAnsi="宋体" w:cs="仿宋"/>
                <w:b/>
                <w:bCs/>
                <w:szCs w:val="21"/>
              </w:rPr>
              <w:t>评审标准分值</w:t>
            </w:r>
          </w:p>
        </w:tc>
      </w:tr>
      <w:tr w14:paraId="590B0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0" w:type="dxa"/>
            <w:vAlign w:val="center"/>
          </w:tcPr>
          <w:p w14:paraId="7EC4414C">
            <w:pPr>
              <w:adjustRightInd w:val="0"/>
              <w:snapToGrid w:val="0"/>
              <w:spacing w:line="360" w:lineRule="auto"/>
              <w:jc w:val="center"/>
              <w:rPr>
                <w:rFonts w:ascii="宋体" w:hAnsi="宋体" w:cs="仿宋"/>
                <w:b/>
                <w:bCs/>
                <w:szCs w:val="21"/>
              </w:rPr>
            </w:pPr>
            <w:r>
              <w:rPr>
                <w:rFonts w:hint="eastAsia" w:ascii="宋体" w:hAnsi="宋体" w:cs="仿宋"/>
                <w:b/>
                <w:bCs/>
                <w:szCs w:val="21"/>
              </w:rPr>
              <w:t>响应报价</w:t>
            </w:r>
          </w:p>
          <w:p w14:paraId="79C37411">
            <w:pPr>
              <w:widowControl/>
              <w:adjustRightInd w:val="0"/>
              <w:snapToGrid w:val="0"/>
              <w:spacing w:line="360" w:lineRule="auto"/>
              <w:jc w:val="center"/>
              <w:rPr>
                <w:rFonts w:ascii="宋体" w:hAnsi="宋体"/>
                <w:szCs w:val="21"/>
              </w:rPr>
            </w:pPr>
            <w:r>
              <w:rPr>
                <w:rFonts w:hint="eastAsia" w:ascii="宋体" w:hAnsi="宋体" w:cs="仿宋"/>
                <w:b/>
                <w:bCs/>
                <w:szCs w:val="21"/>
              </w:rPr>
              <w:t>（25分）</w:t>
            </w:r>
          </w:p>
        </w:tc>
        <w:tc>
          <w:tcPr>
            <w:tcW w:w="7597" w:type="dxa"/>
            <w:vAlign w:val="center"/>
          </w:tcPr>
          <w:p w14:paraId="029F9EA1">
            <w:pPr>
              <w:widowControl/>
              <w:adjustRightInd w:val="0"/>
              <w:snapToGrid w:val="0"/>
              <w:spacing w:line="360" w:lineRule="auto"/>
              <w:jc w:val="left"/>
              <w:rPr>
                <w:rFonts w:ascii="宋体" w:hAnsi="宋体"/>
                <w:szCs w:val="21"/>
              </w:rPr>
            </w:pPr>
            <w:r>
              <w:rPr>
                <w:rFonts w:hint="eastAsia" w:ascii="宋体" w:hAnsi="宋体"/>
                <w:szCs w:val="21"/>
              </w:rPr>
              <w:t>价格分采用低价优先法计算，即满足采购文件要求且报价最低的供应商报价为评审基准价，其价格分为满分25分，其他供应商的价格分统一按照以下公式计算：报价得分=（最低报价/该单位的响应报价）*25。</w:t>
            </w:r>
          </w:p>
          <w:p w14:paraId="595BE13E">
            <w:pPr>
              <w:widowControl/>
              <w:adjustRightInd w:val="0"/>
              <w:snapToGrid w:val="0"/>
              <w:spacing w:line="360" w:lineRule="auto"/>
              <w:jc w:val="left"/>
              <w:rPr>
                <w:rFonts w:ascii="宋体" w:hAnsi="宋体"/>
                <w:b/>
                <w:bCs/>
                <w:szCs w:val="21"/>
              </w:rPr>
            </w:pPr>
            <w:r>
              <w:rPr>
                <w:rFonts w:hint="eastAsia" w:ascii="宋体" w:hAnsi="宋体"/>
                <w:b/>
                <w:bCs/>
                <w:szCs w:val="21"/>
              </w:rPr>
              <w:t>启动异常低价审查的情形和具体要求：</w:t>
            </w:r>
          </w:p>
          <w:p w14:paraId="65914127">
            <w:pPr>
              <w:widowControl/>
              <w:adjustRightInd w:val="0"/>
              <w:snapToGrid w:val="0"/>
              <w:spacing w:line="360" w:lineRule="auto"/>
              <w:jc w:val="left"/>
              <w:rPr>
                <w:rFonts w:ascii="宋体" w:hAnsi="宋体"/>
                <w:szCs w:val="21"/>
              </w:rPr>
            </w:pPr>
            <w:r>
              <w:rPr>
                <w:rFonts w:hint="eastAsia" w:ascii="宋体" w:hAnsi="宋体"/>
                <w:szCs w:val="21"/>
              </w:rPr>
              <w:t>（一）评审过程中出现下列情形之一的，评审委员会应当启动异常低价响应审查程序：</w:t>
            </w:r>
          </w:p>
          <w:p w14:paraId="325FE055">
            <w:pPr>
              <w:widowControl/>
              <w:adjustRightInd w:val="0"/>
              <w:snapToGrid w:val="0"/>
              <w:spacing w:line="360" w:lineRule="auto"/>
              <w:jc w:val="left"/>
              <w:rPr>
                <w:rFonts w:ascii="宋体" w:hAnsi="宋体"/>
                <w:szCs w:val="21"/>
              </w:rPr>
            </w:pPr>
            <w:r>
              <w:rPr>
                <w:rFonts w:hint="eastAsia" w:ascii="宋体" w:hAnsi="宋体"/>
                <w:szCs w:val="21"/>
              </w:rPr>
              <w:t>1.响应报价低于采购项目预算50%的，即响应报价&lt;采购项目预算x50%；</w:t>
            </w:r>
          </w:p>
          <w:p w14:paraId="3BB15087">
            <w:pPr>
              <w:widowControl/>
              <w:adjustRightInd w:val="0"/>
              <w:snapToGrid w:val="0"/>
              <w:spacing w:line="360" w:lineRule="auto"/>
              <w:jc w:val="left"/>
              <w:rPr>
                <w:rFonts w:ascii="宋体" w:hAnsi="宋体"/>
                <w:szCs w:val="21"/>
              </w:rPr>
            </w:pPr>
            <w:r>
              <w:rPr>
                <w:rFonts w:hint="eastAsia" w:ascii="宋体" w:hAnsi="宋体"/>
                <w:szCs w:val="21"/>
              </w:rPr>
              <w:t>2.响应报价低于采购项目最高限价45%的，即响应报价&lt;采购项目最高限价x45%；</w:t>
            </w:r>
          </w:p>
          <w:p w14:paraId="5B9440D9">
            <w:pPr>
              <w:widowControl/>
              <w:adjustRightInd w:val="0"/>
              <w:snapToGrid w:val="0"/>
              <w:spacing w:line="360" w:lineRule="auto"/>
              <w:jc w:val="left"/>
              <w:rPr>
                <w:rFonts w:ascii="宋体" w:hAnsi="宋体"/>
                <w:szCs w:val="21"/>
              </w:rPr>
            </w:pPr>
            <w:r>
              <w:rPr>
                <w:rFonts w:hint="eastAsia" w:ascii="宋体" w:hAnsi="宋体"/>
                <w:szCs w:val="21"/>
              </w:rPr>
              <w:t>3.评审委员会认定的供应商报价过低、有可能影响产品质量或者不能诚信履约的其他情形。</w:t>
            </w:r>
          </w:p>
          <w:p w14:paraId="115A6888">
            <w:pPr>
              <w:adjustRightInd w:val="0"/>
              <w:snapToGrid w:val="0"/>
              <w:spacing w:line="360" w:lineRule="auto"/>
              <w:jc w:val="left"/>
              <w:rPr>
                <w:rFonts w:ascii="宋体" w:hAnsi="宋体"/>
                <w:szCs w:val="21"/>
              </w:rPr>
            </w:pPr>
            <w:r>
              <w:rPr>
                <w:rFonts w:hint="eastAsia" w:ascii="宋体" w:hAnsi="宋体"/>
                <w:szCs w:val="21"/>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7CCB4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0" w:type="dxa"/>
            <w:vAlign w:val="center"/>
          </w:tcPr>
          <w:p w14:paraId="37326B69">
            <w:pPr>
              <w:spacing w:line="360" w:lineRule="auto"/>
              <w:jc w:val="center"/>
              <w:rPr>
                <w:rFonts w:asciiTheme="minorEastAsia" w:hAnsiTheme="minorEastAsia"/>
                <w:b/>
                <w:color w:val="000000"/>
                <w:szCs w:val="21"/>
              </w:rPr>
            </w:pPr>
            <w:r>
              <w:rPr>
                <w:rFonts w:hint="eastAsia" w:asciiTheme="minorEastAsia" w:hAnsiTheme="minorEastAsia"/>
                <w:b/>
                <w:color w:val="000000"/>
                <w:szCs w:val="21"/>
              </w:rPr>
              <w:t>技术响应</w:t>
            </w:r>
          </w:p>
          <w:p w14:paraId="2B0ACE09">
            <w:pPr>
              <w:pStyle w:val="13"/>
              <w:ind w:firstLine="0"/>
            </w:pPr>
            <w:r>
              <w:rPr>
                <w:rFonts w:hint="eastAsia" w:asciiTheme="minorEastAsia" w:hAnsiTheme="minorEastAsia"/>
                <w:b/>
                <w:color w:val="000000"/>
                <w:szCs w:val="21"/>
              </w:rPr>
              <w:t>（30分）</w:t>
            </w:r>
          </w:p>
        </w:tc>
        <w:tc>
          <w:tcPr>
            <w:tcW w:w="7597" w:type="dxa"/>
            <w:vAlign w:val="center"/>
          </w:tcPr>
          <w:p w14:paraId="7199DCAD">
            <w:pPr>
              <w:spacing w:line="360" w:lineRule="auto"/>
              <w:rPr>
                <w:rFonts w:ascii="宋体" w:hAnsi="宋体"/>
                <w:szCs w:val="21"/>
              </w:rPr>
            </w:pPr>
            <w:r>
              <w:rPr>
                <w:rFonts w:hint="eastAsia" w:asciiTheme="minorEastAsia" w:hAnsiTheme="minorEastAsia"/>
                <w:bCs/>
                <w:color w:val="000000"/>
                <w:szCs w:val="21"/>
              </w:rPr>
              <w:t>供应商投标响应技术要求全部满足比选文件第四章“具体要求”的，得</w:t>
            </w:r>
            <w:r>
              <w:rPr>
                <w:rFonts w:cs="Arial" w:asciiTheme="minorEastAsia" w:hAnsiTheme="minorEastAsia"/>
                <w:color w:val="000000"/>
                <w:szCs w:val="21"/>
              </w:rPr>
              <w:t>24</w:t>
            </w:r>
            <w:r>
              <w:rPr>
                <w:rFonts w:hint="eastAsia" w:asciiTheme="minorEastAsia" w:hAnsiTheme="minorEastAsia"/>
                <w:bCs/>
                <w:color w:val="000000"/>
                <w:szCs w:val="21"/>
              </w:rPr>
              <w:t>分；</w:t>
            </w:r>
            <w:r>
              <w:rPr>
                <w:rFonts w:hint="eastAsia" w:cs="Arial" w:asciiTheme="minorEastAsia" w:hAnsiTheme="minorEastAsia"/>
                <w:color w:val="000000"/>
                <w:szCs w:val="21"/>
              </w:rPr>
              <w:t>每有一项正偏离的，加</w:t>
            </w:r>
            <w:r>
              <w:rPr>
                <w:rFonts w:cs="Arial" w:asciiTheme="minorEastAsia" w:hAnsiTheme="minorEastAsia"/>
                <w:color w:val="000000"/>
                <w:szCs w:val="21"/>
              </w:rPr>
              <w:t>1</w:t>
            </w:r>
            <w:r>
              <w:rPr>
                <w:rFonts w:hint="eastAsia" w:cs="Arial" w:asciiTheme="minorEastAsia" w:hAnsiTheme="minorEastAsia"/>
                <w:color w:val="000000"/>
                <w:szCs w:val="21"/>
              </w:rPr>
              <w:t>分，最高加</w:t>
            </w:r>
            <w:r>
              <w:rPr>
                <w:rFonts w:cs="Arial" w:asciiTheme="minorEastAsia" w:hAnsiTheme="minorEastAsia"/>
                <w:color w:val="000000"/>
                <w:szCs w:val="21"/>
              </w:rPr>
              <w:t>6</w:t>
            </w:r>
            <w:r>
              <w:rPr>
                <w:rFonts w:hint="eastAsia" w:cs="Arial" w:asciiTheme="minorEastAsia" w:hAnsiTheme="minorEastAsia"/>
                <w:color w:val="000000"/>
                <w:szCs w:val="21"/>
              </w:rPr>
              <w:t>分</w:t>
            </w:r>
            <w:r>
              <w:rPr>
                <w:rFonts w:cs="Arial" w:asciiTheme="minorEastAsia" w:hAnsiTheme="minorEastAsia"/>
                <w:color w:val="000000"/>
                <w:szCs w:val="21"/>
              </w:rPr>
              <w:t>。</w:t>
            </w:r>
            <w:r>
              <w:rPr>
                <w:rFonts w:hint="eastAsia" w:cs="Arial" w:asciiTheme="minorEastAsia" w:hAnsiTheme="minorEastAsia"/>
                <w:color w:val="000000"/>
                <w:szCs w:val="21"/>
              </w:rPr>
              <w:t>（</w:t>
            </w:r>
            <w:r>
              <w:rPr>
                <w:rFonts w:hint="eastAsia" w:ascii="宋体" w:hAnsi="宋体" w:cs="宋体"/>
                <w:b/>
                <w:bCs/>
                <w:szCs w:val="21"/>
              </w:rPr>
              <w:t>招标文件第四章项目采购需求中“</w:t>
            </w:r>
            <w:r>
              <w:rPr>
                <w:rFonts w:hint="eastAsia" w:asciiTheme="minorEastAsia" w:hAnsiTheme="minorEastAsia"/>
                <w:b/>
              </w:rPr>
              <w:t>二、技术要求，具体要求</w:t>
            </w:r>
            <w:r>
              <w:rPr>
                <w:rFonts w:hint="eastAsia" w:ascii="宋体" w:hAnsi="宋体" w:cs="宋体"/>
                <w:b/>
                <w:bCs/>
                <w:szCs w:val="21"/>
              </w:rPr>
              <w:t>”内有明确要求的，根据要求提供且提供的相关证明材料需反映或体现相关数据或内容，否则视为负偏离。</w:t>
            </w:r>
            <w:r>
              <w:rPr>
                <w:rFonts w:hint="eastAsia" w:cs="Arial" w:asciiTheme="minorEastAsia" w:hAnsiTheme="minorEastAsia"/>
                <w:color w:val="000000"/>
                <w:szCs w:val="21"/>
              </w:rPr>
              <w:t>）</w:t>
            </w:r>
          </w:p>
        </w:tc>
      </w:tr>
      <w:tr w14:paraId="473D2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1200" w:type="dxa"/>
            <w:vAlign w:val="center"/>
          </w:tcPr>
          <w:p w14:paraId="79A42091">
            <w:pPr>
              <w:spacing w:line="360" w:lineRule="auto"/>
              <w:jc w:val="center"/>
              <w:rPr>
                <w:rFonts w:asciiTheme="minorEastAsia" w:hAnsiTheme="minorEastAsia"/>
                <w:b/>
                <w:color w:val="000000"/>
                <w:szCs w:val="21"/>
              </w:rPr>
            </w:pPr>
            <w:r>
              <w:rPr>
                <w:rFonts w:hint="eastAsia" w:asciiTheme="minorEastAsia" w:hAnsiTheme="minorEastAsia"/>
                <w:b/>
                <w:color w:val="000000"/>
                <w:szCs w:val="21"/>
              </w:rPr>
              <w:t>业绩</w:t>
            </w:r>
          </w:p>
          <w:p w14:paraId="70DC19CE">
            <w:pPr>
              <w:pStyle w:val="13"/>
              <w:ind w:firstLine="0"/>
            </w:pPr>
            <w:r>
              <w:rPr>
                <w:rFonts w:hint="eastAsia" w:asciiTheme="minorEastAsia" w:hAnsiTheme="minorEastAsia"/>
                <w:b/>
                <w:color w:val="000000"/>
                <w:szCs w:val="21"/>
              </w:rPr>
              <w:t>（10分）</w:t>
            </w:r>
          </w:p>
        </w:tc>
        <w:tc>
          <w:tcPr>
            <w:tcW w:w="7597" w:type="dxa"/>
            <w:vAlign w:val="center"/>
          </w:tcPr>
          <w:p w14:paraId="652E8FBC">
            <w:pPr>
              <w:spacing w:line="360" w:lineRule="auto"/>
              <w:rPr>
                <w:rFonts w:ascii="宋体" w:hAnsi="宋体"/>
                <w:szCs w:val="21"/>
              </w:rPr>
            </w:pPr>
            <w:r>
              <w:rPr>
                <w:rFonts w:hint="eastAsia" w:asciiTheme="minorEastAsia" w:hAnsiTheme="minorEastAsia"/>
                <w:color w:val="000000"/>
                <w:szCs w:val="21"/>
              </w:rPr>
              <w:t>自2022年12月1日（含）以来，供应商每承担过一个</w:t>
            </w:r>
            <w:r>
              <w:rPr>
                <w:rFonts w:asciiTheme="minorEastAsia" w:hAnsiTheme="minorEastAsia"/>
                <w:color w:val="000000"/>
                <w:szCs w:val="21"/>
              </w:rPr>
              <w:t>带宽</w:t>
            </w:r>
            <w:r>
              <w:rPr>
                <w:rFonts w:hint="eastAsia" w:asciiTheme="minorEastAsia" w:hAnsiTheme="minorEastAsia"/>
                <w:color w:val="000000"/>
                <w:szCs w:val="21"/>
              </w:rPr>
              <w:t>服务项目或类似业绩的得2.5分，满分</w:t>
            </w:r>
            <w:r>
              <w:rPr>
                <w:rFonts w:asciiTheme="minorEastAsia" w:hAnsiTheme="minorEastAsia"/>
                <w:color w:val="000000"/>
                <w:szCs w:val="21"/>
              </w:rPr>
              <w:t>1</w:t>
            </w:r>
            <w:r>
              <w:rPr>
                <w:rFonts w:hint="eastAsia" w:asciiTheme="minorEastAsia" w:hAnsiTheme="minorEastAsia"/>
                <w:color w:val="000000"/>
                <w:szCs w:val="21"/>
              </w:rPr>
              <w:t>0分。（提供业绩合同复印件并加盖公章；时间以合同签订时间为准；提供的证明材料需反映或体现相关数据或内容，否则视为未提供）</w:t>
            </w:r>
          </w:p>
        </w:tc>
      </w:tr>
      <w:tr w14:paraId="6D003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0" w:type="dxa"/>
            <w:shd w:val="clear" w:color="auto" w:fill="auto"/>
            <w:vAlign w:val="center"/>
          </w:tcPr>
          <w:p w14:paraId="48AC0229">
            <w:pPr>
              <w:spacing w:line="360" w:lineRule="auto"/>
              <w:jc w:val="center"/>
              <w:rPr>
                <w:rFonts w:asciiTheme="minorEastAsia" w:hAnsiTheme="minorEastAsia"/>
                <w:b/>
                <w:color w:val="000000"/>
                <w:szCs w:val="21"/>
              </w:rPr>
            </w:pPr>
            <w:r>
              <w:rPr>
                <w:rFonts w:hint="eastAsia" w:asciiTheme="minorEastAsia" w:hAnsiTheme="minorEastAsia"/>
                <w:b/>
                <w:color w:val="000000"/>
                <w:szCs w:val="21"/>
              </w:rPr>
              <w:t>业务过渡平滑性</w:t>
            </w:r>
          </w:p>
          <w:p w14:paraId="77E1905E">
            <w:pPr>
              <w:pStyle w:val="13"/>
              <w:ind w:firstLine="0"/>
            </w:pPr>
            <w:r>
              <w:rPr>
                <w:rFonts w:hint="eastAsia" w:asciiTheme="minorEastAsia" w:hAnsiTheme="minorEastAsia"/>
                <w:b/>
                <w:color w:val="000000"/>
                <w:szCs w:val="21"/>
              </w:rPr>
              <w:t>（6分）</w:t>
            </w:r>
          </w:p>
        </w:tc>
        <w:tc>
          <w:tcPr>
            <w:tcW w:w="7597" w:type="dxa"/>
            <w:shd w:val="clear" w:color="auto" w:fill="auto"/>
            <w:vAlign w:val="center"/>
          </w:tcPr>
          <w:p w14:paraId="1659395C">
            <w:pPr>
              <w:spacing w:line="360" w:lineRule="auto"/>
              <w:rPr>
                <w:rFonts w:asciiTheme="minorEastAsia" w:hAnsiTheme="minorEastAsia"/>
                <w:color w:val="000000"/>
                <w:szCs w:val="21"/>
              </w:rPr>
            </w:pPr>
            <w:r>
              <w:rPr>
                <w:rFonts w:hint="eastAsia" w:asciiTheme="minorEastAsia" w:hAnsiTheme="minorEastAsia"/>
                <w:color w:val="000000"/>
                <w:szCs w:val="21"/>
              </w:rPr>
              <w:t>为保障业务平稳过渡，供应商应在充分调研客户组网方案和运行情况以及各接入点的电路接入情况的基础上，就电路组网制定科学、合理、详细的割接方案。</w:t>
            </w:r>
          </w:p>
          <w:p w14:paraId="785A5900">
            <w:pPr>
              <w:spacing w:line="360" w:lineRule="auto"/>
              <w:rPr>
                <w:rFonts w:asciiTheme="minorEastAsia" w:hAnsiTheme="minorEastAsia"/>
                <w:color w:val="000000"/>
                <w:szCs w:val="21"/>
              </w:rPr>
            </w:pPr>
            <w:r>
              <w:rPr>
                <w:rFonts w:hint="eastAsia" w:asciiTheme="minorEastAsia" w:hAnsiTheme="minorEastAsia"/>
                <w:color w:val="000000"/>
                <w:szCs w:val="21"/>
              </w:rPr>
              <w:t>（1）线路施工上线过程中业务不中断的，得6分；</w:t>
            </w:r>
          </w:p>
          <w:p w14:paraId="3B291CD4">
            <w:pPr>
              <w:spacing w:line="360" w:lineRule="auto"/>
              <w:rPr>
                <w:rFonts w:asciiTheme="minorEastAsia" w:hAnsiTheme="minorEastAsia"/>
                <w:color w:val="000000"/>
                <w:szCs w:val="21"/>
              </w:rPr>
            </w:pPr>
            <w:r>
              <w:rPr>
                <w:rFonts w:hint="eastAsia" w:asciiTheme="minorEastAsia" w:hAnsiTheme="minorEastAsia"/>
                <w:color w:val="000000"/>
                <w:szCs w:val="21"/>
              </w:rPr>
              <w:t>（2）业务虽有中断但中断时长不超过15分钟的，得4分；</w:t>
            </w:r>
          </w:p>
          <w:p w14:paraId="4C7FB71D">
            <w:pPr>
              <w:spacing w:line="360" w:lineRule="auto"/>
              <w:rPr>
                <w:rFonts w:asciiTheme="minorEastAsia" w:hAnsiTheme="minorEastAsia"/>
                <w:color w:val="000000"/>
                <w:szCs w:val="21"/>
              </w:rPr>
            </w:pPr>
            <w:r>
              <w:rPr>
                <w:rFonts w:hint="eastAsia" w:asciiTheme="minorEastAsia" w:hAnsiTheme="minorEastAsia"/>
                <w:color w:val="000000"/>
                <w:szCs w:val="21"/>
              </w:rPr>
              <w:t>（3）业务中断超过15分钟但不超过30分钟的，得2分。</w:t>
            </w:r>
          </w:p>
          <w:p w14:paraId="025E6FB9">
            <w:pPr>
              <w:spacing w:line="360" w:lineRule="auto"/>
              <w:rPr>
                <w:rFonts w:asciiTheme="minorEastAsia" w:hAnsiTheme="minorEastAsia"/>
                <w:color w:val="000000"/>
                <w:szCs w:val="21"/>
              </w:rPr>
            </w:pPr>
            <w:r>
              <w:rPr>
                <w:rFonts w:hint="eastAsia" w:asciiTheme="minorEastAsia" w:hAnsiTheme="minorEastAsia"/>
                <w:color w:val="000000"/>
                <w:szCs w:val="21"/>
              </w:rPr>
              <w:t>（4）其余不得分。</w:t>
            </w:r>
          </w:p>
          <w:p w14:paraId="0CEA6614">
            <w:pPr>
              <w:spacing w:line="360" w:lineRule="auto"/>
              <w:rPr>
                <w:rFonts w:asciiTheme="minorEastAsia" w:hAnsiTheme="minorEastAsia"/>
                <w:color w:val="000000"/>
                <w:szCs w:val="21"/>
              </w:rPr>
            </w:pPr>
            <w:r>
              <w:rPr>
                <w:rFonts w:hint="eastAsia" w:asciiTheme="minorEastAsia" w:hAnsiTheme="minorEastAsia"/>
                <w:color w:val="000000"/>
                <w:szCs w:val="21"/>
              </w:rPr>
              <w:t>（供应商需提供承诺书并加盖公章，承诺书格式自拟；提供的承诺书需清晰地体现业务中断时长（如需中断的）；提供的承诺书内容表述不清或存在评审歧义的，视为未提供）</w:t>
            </w:r>
          </w:p>
        </w:tc>
      </w:tr>
      <w:tr w14:paraId="0CC4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7" w:hRule="atLeast"/>
          <w:jc w:val="center"/>
        </w:trPr>
        <w:tc>
          <w:tcPr>
            <w:tcW w:w="1200" w:type="dxa"/>
            <w:shd w:val="clear" w:color="auto" w:fill="auto"/>
            <w:vAlign w:val="center"/>
          </w:tcPr>
          <w:p w14:paraId="519944BF">
            <w:pPr>
              <w:spacing w:line="360" w:lineRule="auto"/>
              <w:jc w:val="center"/>
              <w:rPr>
                <w:rFonts w:asciiTheme="minorEastAsia" w:hAnsiTheme="minorEastAsia"/>
                <w:b/>
                <w:color w:val="000000"/>
                <w:szCs w:val="21"/>
              </w:rPr>
            </w:pPr>
            <w:r>
              <w:rPr>
                <w:rFonts w:hint="eastAsia" w:asciiTheme="minorEastAsia" w:hAnsiTheme="minorEastAsia"/>
                <w:b/>
                <w:color w:val="000000"/>
                <w:szCs w:val="21"/>
              </w:rPr>
              <w:t>组织实施方案</w:t>
            </w:r>
          </w:p>
          <w:p w14:paraId="689A2887">
            <w:pPr>
              <w:pStyle w:val="13"/>
              <w:ind w:firstLine="0"/>
              <w:jc w:val="center"/>
            </w:pPr>
            <w:r>
              <w:rPr>
                <w:rFonts w:hint="eastAsia" w:asciiTheme="minorEastAsia" w:hAnsiTheme="minorEastAsia"/>
                <w:b/>
                <w:color w:val="000000"/>
                <w:szCs w:val="21"/>
              </w:rPr>
              <w:t>（7分）</w:t>
            </w:r>
          </w:p>
        </w:tc>
        <w:tc>
          <w:tcPr>
            <w:tcW w:w="7597" w:type="dxa"/>
            <w:shd w:val="clear" w:color="auto" w:fill="auto"/>
            <w:vAlign w:val="center"/>
          </w:tcPr>
          <w:p w14:paraId="721422BD">
            <w:pPr>
              <w:spacing w:line="360" w:lineRule="auto"/>
              <w:rPr>
                <w:rFonts w:asciiTheme="minorEastAsia" w:hAnsiTheme="minorEastAsia"/>
                <w:color w:val="000000"/>
                <w:szCs w:val="21"/>
              </w:rPr>
            </w:pPr>
            <w:r>
              <w:rPr>
                <w:rFonts w:hint="eastAsia" w:asciiTheme="minorEastAsia" w:hAnsiTheme="minorEastAsia"/>
                <w:color w:val="000000"/>
                <w:szCs w:val="21"/>
              </w:rPr>
              <w:t>根据供应商提供的组织实施方案进行评审：</w:t>
            </w:r>
          </w:p>
          <w:p w14:paraId="79261EBB">
            <w:pPr>
              <w:spacing w:line="360" w:lineRule="auto"/>
              <w:rPr>
                <w:rFonts w:asciiTheme="minorEastAsia" w:hAnsiTheme="minorEastAsia"/>
                <w:color w:val="000000"/>
                <w:szCs w:val="21"/>
              </w:rPr>
            </w:pPr>
            <w:r>
              <w:rPr>
                <w:rFonts w:hint="eastAsia" w:asciiTheme="minorEastAsia" w:hAnsiTheme="minorEastAsia"/>
                <w:color w:val="000000"/>
                <w:szCs w:val="21"/>
              </w:rPr>
              <w:t>组织实施方案内容描述具体详细，完全满足项目的需要；可行且具有先进性、科学合理，具有良好的项目投资控制、进度控制；方案构想及建议针对性强，有特点，可实施性强的得7分；</w:t>
            </w:r>
          </w:p>
          <w:p w14:paraId="76759D5C">
            <w:pPr>
              <w:spacing w:line="360" w:lineRule="auto"/>
              <w:rPr>
                <w:rFonts w:asciiTheme="minorEastAsia" w:hAnsiTheme="minorEastAsia"/>
                <w:szCs w:val="21"/>
              </w:rPr>
            </w:pPr>
            <w:r>
              <w:rPr>
                <w:rFonts w:hint="eastAsia" w:asciiTheme="minorEastAsia" w:hAnsiTheme="minorEastAsia"/>
                <w:szCs w:val="21"/>
              </w:rPr>
              <w:t>组织实施方案较详细描述了服务项目的内容以及实现方式，组织实施方案可行，符合项目实际情况，有明确的项目进度，项目管理制度及方法严谨的得4分。</w:t>
            </w:r>
          </w:p>
          <w:p w14:paraId="062B9336">
            <w:pPr>
              <w:spacing w:line="360" w:lineRule="auto"/>
              <w:rPr>
                <w:rFonts w:asciiTheme="minorEastAsia" w:hAnsiTheme="minorEastAsia"/>
                <w:szCs w:val="21"/>
              </w:rPr>
            </w:pPr>
            <w:r>
              <w:rPr>
                <w:rFonts w:hint="eastAsia" w:asciiTheme="minorEastAsia" w:hAnsiTheme="minorEastAsia"/>
                <w:szCs w:val="21"/>
              </w:rPr>
              <w:t>项目组织实施方案内容缺失，方案内容描述不清，不满足项目需要，可实施性弱的得1分；</w:t>
            </w:r>
          </w:p>
          <w:p w14:paraId="23737CE9">
            <w:pPr>
              <w:pStyle w:val="13"/>
              <w:ind w:firstLine="0"/>
            </w:pPr>
            <w:r>
              <w:rPr>
                <w:rFonts w:hint="eastAsia"/>
              </w:rPr>
              <w:t>未提供的不得分。</w:t>
            </w:r>
          </w:p>
        </w:tc>
      </w:tr>
      <w:tr w14:paraId="5ED0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0" w:type="dxa"/>
            <w:shd w:val="clear" w:color="auto" w:fill="auto"/>
            <w:vAlign w:val="center"/>
          </w:tcPr>
          <w:p w14:paraId="734FB027">
            <w:pPr>
              <w:spacing w:line="360" w:lineRule="auto"/>
              <w:jc w:val="center"/>
              <w:rPr>
                <w:rFonts w:asciiTheme="minorEastAsia" w:hAnsiTheme="minorEastAsia"/>
                <w:b/>
                <w:color w:val="000000"/>
                <w:szCs w:val="21"/>
              </w:rPr>
            </w:pPr>
            <w:r>
              <w:rPr>
                <w:rFonts w:asciiTheme="minorEastAsia" w:hAnsiTheme="minorEastAsia"/>
                <w:b/>
                <w:color w:val="000000"/>
                <w:szCs w:val="21"/>
              </w:rPr>
              <w:t>质量控制措施</w:t>
            </w:r>
          </w:p>
          <w:p w14:paraId="0D9AFDF2">
            <w:pPr>
              <w:pStyle w:val="13"/>
              <w:ind w:firstLine="0"/>
            </w:pPr>
            <w:r>
              <w:rPr>
                <w:rFonts w:hint="eastAsia" w:asciiTheme="minorEastAsia" w:hAnsiTheme="minorEastAsia"/>
                <w:b/>
                <w:color w:val="000000"/>
                <w:szCs w:val="21"/>
              </w:rPr>
              <w:t>（5分）</w:t>
            </w:r>
          </w:p>
        </w:tc>
        <w:tc>
          <w:tcPr>
            <w:tcW w:w="7597" w:type="dxa"/>
            <w:shd w:val="clear" w:color="auto" w:fill="auto"/>
            <w:vAlign w:val="center"/>
          </w:tcPr>
          <w:p w14:paraId="24E5F756">
            <w:pPr>
              <w:spacing w:line="360" w:lineRule="auto"/>
              <w:rPr>
                <w:rFonts w:asciiTheme="minorEastAsia" w:hAnsiTheme="minorEastAsia"/>
                <w:color w:val="000000"/>
                <w:szCs w:val="21"/>
              </w:rPr>
            </w:pPr>
            <w:r>
              <w:rPr>
                <w:rFonts w:hint="eastAsia" w:asciiTheme="minorEastAsia" w:hAnsiTheme="minorEastAsia"/>
                <w:color w:val="000000"/>
                <w:szCs w:val="21"/>
              </w:rPr>
              <w:t>评委对供应商提供的质量控制措施的合理性、时效性、可靠性综合评价：</w:t>
            </w:r>
          </w:p>
          <w:p w14:paraId="5AC2745E">
            <w:pPr>
              <w:spacing w:line="360" w:lineRule="auto"/>
            </w:pPr>
            <w:r>
              <w:rPr>
                <w:rFonts w:hint="eastAsia"/>
              </w:rPr>
              <w:t>质量控制措施方案完整详细、科学规范，关键节点控制措施有力、可行且专业针对性强，内容及核心要点精准契合项目特点的，得 5 分；</w:t>
            </w:r>
          </w:p>
          <w:p w14:paraId="49C6EF47">
            <w:pPr>
              <w:spacing w:line="360" w:lineRule="auto"/>
            </w:pPr>
            <w:r>
              <w:rPr>
                <w:rFonts w:hint="eastAsia"/>
              </w:rPr>
              <w:t>质量控制措施方案较完整，关键节点控制措施有力、可行且专业针对性较强，内容及核心要点基本符合项目特点的，得 3 分；</w:t>
            </w:r>
          </w:p>
          <w:p w14:paraId="3EDB4489">
            <w:pPr>
              <w:spacing w:line="360" w:lineRule="auto"/>
            </w:pPr>
            <w:r>
              <w:rPr>
                <w:rFonts w:hint="eastAsia"/>
              </w:rPr>
              <w:t>质量控制措施方案略有瑕疵，关键节点控制措施基本可行、专业性一般，勉强适配项目实际应用场景的，得 1 分；</w:t>
            </w:r>
          </w:p>
          <w:p w14:paraId="1FD6F1EE">
            <w:pPr>
              <w:spacing w:line="360" w:lineRule="auto"/>
              <w:rPr>
                <w:rFonts w:asciiTheme="minorEastAsia" w:hAnsiTheme="minorEastAsia"/>
                <w:color w:val="000000"/>
                <w:szCs w:val="21"/>
              </w:rPr>
            </w:pPr>
            <w:r>
              <w:rPr>
                <w:rFonts w:hint="eastAsia"/>
              </w:rPr>
              <w:t>未提供质量控制措施方案的，不得分。</w:t>
            </w:r>
          </w:p>
        </w:tc>
      </w:tr>
      <w:tr w14:paraId="39858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0" w:type="dxa"/>
            <w:shd w:val="clear" w:color="auto" w:fill="auto"/>
            <w:vAlign w:val="center"/>
          </w:tcPr>
          <w:p w14:paraId="7541CD02">
            <w:pPr>
              <w:spacing w:line="360" w:lineRule="auto"/>
              <w:jc w:val="center"/>
              <w:rPr>
                <w:rFonts w:asciiTheme="minorEastAsia" w:hAnsiTheme="minorEastAsia"/>
                <w:b/>
                <w:color w:val="000000"/>
                <w:szCs w:val="21"/>
              </w:rPr>
            </w:pPr>
            <w:r>
              <w:rPr>
                <w:rFonts w:hint="eastAsia" w:asciiTheme="minorEastAsia" w:hAnsiTheme="minorEastAsia"/>
                <w:b/>
                <w:color w:val="000000"/>
                <w:szCs w:val="21"/>
              </w:rPr>
              <w:t>故障处理方案</w:t>
            </w:r>
          </w:p>
          <w:p w14:paraId="60E33483">
            <w:pPr>
              <w:pStyle w:val="13"/>
              <w:ind w:firstLine="0"/>
            </w:pPr>
            <w:r>
              <w:rPr>
                <w:rFonts w:hint="eastAsia" w:asciiTheme="minorEastAsia" w:hAnsiTheme="minorEastAsia"/>
                <w:b/>
                <w:color w:val="000000"/>
                <w:szCs w:val="21"/>
              </w:rPr>
              <w:t>（7分）</w:t>
            </w:r>
          </w:p>
        </w:tc>
        <w:tc>
          <w:tcPr>
            <w:tcW w:w="7597" w:type="dxa"/>
            <w:shd w:val="clear" w:color="auto" w:fill="auto"/>
            <w:vAlign w:val="center"/>
          </w:tcPr>
          <w:p w14:paraId="44206DFB">
            <w:pPr>
              <w:spacing w:line="360" w:lineRule="auto"/>
              <w:rPr>
                <w:rFonts w:asciiTheme="minorEastAsia" w:hAnsiTheme="minorEastAsia"/>
                <w:color w:val="000000"/>
                <w:szCs w:val="21"/>
              </w:rPr>
            </w:pPr>
            <w:r>
              <w:rPr>
                <w:rFonts w:hint="eastAsia" w:asciiTheme="minorEastAsia" w:hAnsiTheme="minorEastAsia"/>
                <w:color w:val="000000"/>
                <w:szCs w:val="21"/>
              </w:rPr>
              <w:t>根据供应商提供的针对本项目的故障处理方案（包括但不限于落实的各项保障、方案实施中的过程控制、现场情况的实时反馈和动态调整方案等）进行评价：</w:t>
            </w:r>
          </w:p>
          <w:p w14:paraId="0CBEA928">
            <w:pPr>
              <w:spacing w:line="360" w:lineRule="auto"/>
              <w:rPr>
                <w:rFonts w:asciiTheme="minorEastAsia" w:hAnsiTheme="minorEastAsia"/>
                <w:color w:val="000000"/>
                <w:szCs w:val="21"/>
              </w:rPr>
            </w:pPr>
            <w:r>
              <w:rPr>
                <w:rFonts w:hint="eastAsia" w:asciiTheme="minorEastAsia" w:hAnsiTheme="minorEastAsia"/>
                <w:color w:val="000000"/>
                <w:szCs w:val="21"/>
              </w:rPr>
              <w:t>方案保障措施体系完善，过程管控力度强劲，现场信息采集及时全面，动态优化调整响应迅速，与项目核心要求高度契合，落地执行性极强，得 7 分；</w:t>
            </w:r>
          </w:p>
          <w:p w14:paraId="0FD36C09">
            <w:pPr>
              <w:spacing w:line="360" w:lineRule="auto"/>
              <w:rPr>
                <w:rFonts w:asciiTheme="minorEastAsia" w:hAnsiTheme="minorEastAsia"/>
                <w:color w:val="000000"/>
                <w:szCs w:val="21"/>
              </w:rPr>
            </w:pPr>
            <w:r>
              <w:rPr>
                <w:rFonts w:hint="eastAsia" w:asciiTheme="minorEastAsia" w:hAnsiTheme="minorEastAsia"/>
                <w:color w:val="000000"/>
                <w:szCs w:val="21"/>
              </w:rPr>
              <w:t>方案保障措施较为完善，过程管控成效尚可，现场基础信息能够有效归集，与项目基本要求适配，具备稳定落地执行条件，得 4 分；</w:t>
            </w:r>
          </w:p>
          <w:p w14:paraId="30A6E48B">
            <w:pPr>
              <w:spacing w:line="360" w:lineRule="auto"/>
              <w:rPr>
                <w:rFonts w:asciiTheme="minorEastAsia" w:hAnsiTheme="minorEastAsia"/>
                <w:color w:val="000000"/>
                <w:szCs w:val="21"/>
              </w:rPr>
            </w:pPr>
            <w:r>
              <w:rPr>
                <w:rFonts w:hint="eastAsia" w:asciiTheme="minorEastAsia" w:hAnsiTheme="minorEastAsia"/>
                <w:color w:val="000000"/>
                <w:szCs w:val="21"/>
              </w:rPr>
              <w:t>方案保障体系存在明显短板，过程管控环节存在突出缺陷，现场信息流转不顺畅，与项目执行要求适配度不足，落地可行性较弱，得 1 分；</w:t>
            </w:r>
          </w:p>
          <w:p w14:paraId="2EFC5CD1">
            <w:pPr>
              <w:pStyle w:val="13"/>
              <w:ind w:firstLine="0"/>
            </w:pPr>
            <w:r>
              <w:rPr>
                <w:rFonts w:hint="eastAsia" w:asciiTheme="minorEastAsia" w:hAnsiTheme="minorEastAsia"/>
                <w:color w:val="000000"/>
                <w:szCs w:val="21"/>
              </w:rPr>
              <w:t>未提供相关方案的，不得分。</w:t>
            </w:r>
          </w:p>
        </w:tc>
      </w:tr>
      <w:tr w14:paraId="5375E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jc w:val="center"/>
        </w:trPr>
        <w:tc>
          <w:tcPr>
            <w:tcW w:w="1200" w:type="dxa"/>
            <w:shd w:val="clear" w:color="auto" w:fill="auto"/>
            <w:vAlign w:val="center"/>
          </w:tcPr>
          <w:p w14:paraId="1BF6AA83">
            <w:pPr>
              <w:spacing w:line="360" w:lineRule="auto"/>
              <w:jc w:val="center"/>
              <w:rPr>
                <w:rFonts w:asciiTheme="minorEastAsia" w:hAnsiTheme="minorEastAsia"/>
                <w:b/>
                <w:color w:val="000000"/>
                <w:szCs w:val="21"/>
              </w:rPr>
            </w:pPr>
            <w:r>
              <w:rPr>
                <w:rFonts w:hint="eastAsia" w:asciiTheme="minorEastAsia" w:hAnsiTheme="minorEastAsia"/>
                <w:b/>
                <w:color w:val="000000"/>
                <w:szCs w:val="21"/>
              </w:rPr>
              <w:t>监测方案</w:t>
            </w:r>
          </w:p>
          <w:p w14:paraId="3FE5C1CF">
            <w:pPr>
              <w:pStyle w:val="13"/>
              <w:ind w:firstLine="0"/>
            </w:pPr>
            <w:r>
              <w:rPr>
                <w:rFonts w:hint="eastAsia" w:asciiTheme="minorEastAsia" w:hAnsiTheme="minorEastAsia"/>
                <w:b/>
                <w:color w:val="000000"/>
                <w:szCs w:val="21"/>
              </w:rPr>
              <w:t>（5分）</w:t>
            </w:r>
          </w:p>
        </w:tc>
        <w:tc>
          <w:tcPr>
            <w:tcW w:w="7597" w:type="dxa"/>
            <w:shd w:val="clear" w:color="auto" w:fill="auto"/>
            <w:vAlign w:val="center"/>
          </w:tcPr>
          <w:p w14:paraId="17DFF73F">
            <w:pPr>
              <w:spacing w:line="360" w:lineRule="auto"/>
              <w:rPr>
                <w:rFonts w:asciiTheme="minorEastAsia" w:hAnsiTheme="minorEastAsia"/>
                <w:color w:val="000000"/>
                <w:szCs w:val="21"/>
              </w:rPr>
            </w:pPr>
            <w:r>
              <w:rPr>
                <w:rFonts w:hint="eastAsia" w:asciiTheme="minorEastAsia" w:hAnsiTheme="minorEastAsia"/>
                <w:color w:val="000000"/>
                <w:szCs w:val="21"/>
              </w:rPr>
              <w:t>根据供应商提供的针对本项目的监测方案进行评价：</w:t>
            </w:r>
          </w:p>
          <w:p w14:paraId="1077CA5D">
            <w:pPr>
              <w:spacing w:line="360" w:lineRule="auto"/>
              <w:rPr>
                <w:rFonts w:asciiTheme="minorEastAsia" w:hAnsiTheme="minorEastAsia"/>
                <w:color w:val="000000"/>
                <w:szCs w:val="21"/>
              </w:rPr>
            </w:pPr>
            <w:r>
              <w:rPr>
                <w:rFonts w:hint="eastAsia" w:asciiTheme="minorEastAsia" w:hAnsiTheme="minorEastAsia"/>
                <w:color w:val="000000"/>
                <w:szCs w:val="21"/>
              </w:rPr>
              <w:t>监测点位布置全面科学、布局周全，配备专职人员值守监控，监测流程可操作性强，方案设计充分契合监测工作核心要求，合理性与实用性兼具，得 5 分；</w:t>
            </w:r>
          </w:p>
          <w:p w14:paraId="0685857F">
            <w:pPr>
              <w:spacing w:line="360" w:lineRule="auto"/>
              <w:rPr>
                <w:rFonts w:asciiTheme="minorEastAsia" w:hAnsiTheme="minorEastAsia"/>
                <w:color w:val="000000"/>
                <w:szCs w:val="21"/>
              </w:rPr>
            </w:pPr>
            <w:r>
              <w:rPr>
                <w:rFonts w:hint="eastAsia" w:asciiTheme="minorEastAsia" w:hAnsiTheme="minorEastAsia"/>
                <w:color w:val="000000"/>
                <w:szCs w:val="21"/>
              </w:rPr>
              <w:t>监测点位布置较为合理周全，已配置相应监控值守人员，监测流程整体可操作性良好，基本满足监测工作基础开展需求，得 3 分；</w:t>
            </w:r>
          </w:p>
          <w:p w14:paraId="57B21F5E">
            <w:pPr>
              <w:spacing w:line="360" w:lineRule="auto"/>
              <w:rPr>
                <w:rFonts w:asciiTheme="minorEastAsia" w:hAnsiTheme="minorEastAsia"/>
                <w:color w:val="000000"/>
                <w:szCs w:val="21"/>
              </w:rPr>
            </w:pPr>
            <w:r>
              <w:rPr>
                <w:rFonts w:hint="eastAsia" w:asciiTheme="minorEastAsia" w:hAnsiTheme="minorEastAsia"/>
                <w:color w:val="000000"/>
                <w:szCs w:val="21"/>
              </w:rPr>
              <w:t>监测点位布置仅具备基础可操作性，未配置专门监控值守人员，监测方案完整性不足，与监测工作基本要求适配度欠缺，得 1 分；</w:t>
            </w:r>
          </w:p>
          <w:p w14:paraId="7E5B6679">
            <w:pPr>
              <w:pStyle w:val="13"/>
              <w:ind w:firstLine="0"/>
            </w:pPr>
            <w:r>
              <w:rPr>
                <w:rFonts w:hint="eastAsia" w:asciiTheme="minorEastAsia" w:hAnsiTheme="minorEastAsia"/>
                <w:color w:val="000000"/>
                <w:szCs w:val="21"/>
              </w:rPr>
              <w:t>未提供相关监测布置方案的，不得分。</w:t>
            </w:r>
          </w:p>
        </w:tc>
      </w:tr>
      <w:tr w14:paraId="2D827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0" w:type="dxa"/>
            <w:shd w:val="clear" w:color="auto" w:fill="auto"/>
            <w:vAlign w:val="center"/>
          </w:tcPr>
          <w:p w14:paraId="7FAA4B87">
            <w:pPr>
              <w:spacing w:line="360" w:lineRule="auto"/>
              <w:jc w:val="center"/>
              <w:rPr>
                <w:rFonts w:asciiTheme="minorEastAsia" w:hAnsiTheme="minorEastAsia"/>
                <w:b/>
                <w:color w:val="000000"/>
                <w:szCs w:val="21"/>
              </w:rPr>
            </w:pPr>
            <w:r>
              <w:rPr>
                <w:rFonts w:hint="eastAsia" w:asciiTheme="minorEastAsia" w:hAnsiTheme="minorEastAsia"/>
                <w:b/>
                <w:color w:val="000000"/>
                <w:szCs w:val="21"/>
              </w:rPr>
              <w:t>特殊情况响应方案</w:t>
            </w:r>
          </w:p>
          <w:p w14:paraId="3FB0564B">
            <w:pPr>
              <w:pStyle w:val="13"/>
              <w:ind w:firstLine="0"/>
            </w:pPr>
            <w:r>
              <w:rPr>
                <w:rFonts w:hint="eastAsia" w:asciiTheme="minorEastAsia" w:hAnsiTheme="minorEastAsia"/>
                <w:b/>
                <w:color w:val="000000"/>
                <w:szCs w:val="21"/>
              </w:rPr>
              <w:t>（5分）</w:t>
            </w:r>
          </w:p>
        </w:tc>
        <w:tc>
          <w:tcPr>
            <w:tcW w:w="7597" w:type="dxa"/>
            <w:shd w:val="clear" w:color="auto" w:fill="auto"/>
            <w:vAlign w:val="center"/>
          </w:tcPr>
          <w:p w14:paraId="0FED684E">
            <w:pPr>
              <w:pStyle w:val="234"/>
              <w:spacing w:line="360" w:lineRule="auto"/>
              <w:rPr>
                <w:rFonts w:cs="Times New Roman" w:asciiTheme="minorEastAsia" w:hAnsiTheme="minorEastAsia" w:eastAsiaTheme="minorEastAsia"/>
                <w:bCs/>
                <w:color w:val="000000"/>
                <w:szCs w:val="21"/>
              </w:rPr>
            </w:pPr>
            <w:r>
              <w:rPr>
                <w:rFonts w:hint="eastAsia" w:cs="Times New Roman" w:asciiTheme="minorEastAsia" w:hAnsiTheme="minorEastAsia" w:eastAsiaTheme="minorEastAsia"/>
                <w:bCs/>
                <w:color w:val="000000"/>
                <w:szCs w:val="21"/>
              </w:rPr>
              <w:t>根据</w:t>
            </w:r>
            <w:r>
              <w:rPr>
                <w:rFonts w:hint="eastAsia" w:cs="Times New Roman" w:asciiTheme="minorEastAsia" w:hAnsiTheme="minorEastAsia" w:eastAsiaTheme="minorEastAsia"/>
                <w:bCs/>
                <w:color w:val="000000"/>
                <w:szCs w:val="21"/>
                <w:lang w:val="en-US"/>
              </w:rPr>
              <w:t>供应商</w:t>
            </w:r>
            <w:r>
              <w:rPr>
                <w:rFonts w:hint="eastAsia" w:cs="Times New Roman" w:asciiTheme="minorEastAsia" w:hAnsiTheme="minorEastAsia" w:eastAsiaTheme="minorEastAsia"/>
                <w:bCs/>
                <w:color w:val="000000"/>
                <w:szCs w:val="21"/>
              </w:rPr>
              <w:t>提供的针对本项目的特殊情况响应方案进行评价：</w:t>
            </w:r>
          </w:p>
          <w:p w14:paraId="356670D7">
            <w:pPr>
              <w:spacing w:line="360" w:lineRule="auto"/>
              <w:rPr>
                <w:rFonts w:asciiTheme="minorEastAsia" w:hAnsiTheme="minorEastAsia"/>
                <w:color w:val="000000"/>
                <w:szCs w:val="21"/>
              </w:rPr>
            </w:pPr>
            <w:r>
              <w:rPr>
                <w:rFonts w:hint="eastAsia" w:asciiTheme="minorEastAsia" w:hAnsiTheme="minorEastAsia"/>
                <w:color w:val="000000"/>
                <w:szCs w:val="21"/>
              </w:rPr>
              <w:t>针对重大活动用网保障、特殊情况预防预警及应急演练等全流程措施完备，应急响应机制高效敏捷，已构建系统化应急响应标准体系，与项目应急保障核心要求高度契合，得 5 分；</w:t>
            </w:r>
          </w:p>
          <w:p w14:paraId="45D5A8F3">
            <w:pPr>
              <w:spacing w:line="360" w:lineRule="auto"/>
              <w:rPr>
                <w:rFonts w:asciiTheme="minorEastAsia" w:hAnsiTheme="minorEastAsia"/>
                <w:color w:val="000000"/>
                <w:szCs w:val="21"/>
              </w:rPr>
            </w:pPr>
            <w:r>
              <w:rPr>
                <w:rFonts w:hint="eastAsia" w:asciiTheme="minorEastAsia" w:hAnsiTheme="minorEastAsia"/>
                <w:color w:val="000000"/>
                <w:szCs w:val="21"/>
              </w:rPr>
              <w:t>特殊情况应对措施基本成型，应急响应标准较为健全，应急处置响应效率尚可，可支撑项目基础应急保障工作开展，得 3 分；</w:t>
            </w:r>
          </w:p>
          <w:p w14:paraId="3D3AC284">
            <w:pPr>
              <w:spacing w:line="360" w:lineRule="auto"/>
              <w:rPr>
                <w:rFonts w:asciiTheme="minorEastAsia" w:hAnsiTheme="minorEastAsia"/>
                <w:color w:val="000000"/>
                <w:szCs w:val="21"/>
              </w:rPr>
            </w:pPr>
            <w:r>
              <w:rPr>
                <w:rFonts w:hint="eastAsia" w:asciiTheme="minorEastAsia" w:hAnsiTheme="minorEastAsia"/>
                <w:color w:val="000000"/>
                <w:szCs w:val="21"/>
              </w:rPr>
              <w:t>特殊情况应对核心内容缺失，关键应对措施存在明显短板，应急保障体系不完善，与项目应急保障基本要求适配度严重不足，得 1 分；</w:t>
            </w:r>
          </w:p>
          <w:p w14:paraId="19BAC83F">
            <w:pPr>
              <w:spacing w:line="360" w:lineRule="auto"/>
              <w:rPr>
                <w:rFonts w:asciiTheme="minorEastAsia" w:hAnsiTheme="minorEastAsia"/>
                <w:color w:val="000000"/>
                <w:szCs w:val="21"/>
              </w:rPr>
            </w:pPr>
            <w:r>
              <w:rPr>
                <w:rFonts w:hint="eastAsia" w:asciiTheme="minorEastAsia" w:hAnsiTheme="minorEastAsia"/>
                <w:color w:val="000000"/>
                <w:szCs w:val="21"/>
              </w:rPr>
              <w:t>未提供针对本项目的特殊情况响应方案的，不得分。</w:t>
            </w:r>
          </w:p>
        </w:tc>
      </w:tr>
    </w:tbl>
    <w:p w14:paraId="2EC1077B">
      <w:pPr>
        <w:rPr>
          <w:rFonts w:ascii="宋体" w:hAnsi="宋体" w:cs="黑体"/>
          <w:b/>
          <w:sz w:val="36"/>
        </w:rPr>
      </w:pPr>
      <w:r>
        <w:rPr>
          <w:rFonts w:hint="eastAsia" w:ascii="宋体" w:hAnsi="宋体" w:cs="黑体"/>
          <w:b/>
          <w:sz w:val="36"/>
        </w:rPr>
        <w:br w:type="page"/>
      </w:r>
    </w:p>
    <w:p w14:paraId="2847C352">
      <w:pPr>
        <w:pStyle w:val="261"/>
        <w:rPr>
          <w:rFonts w:asciiTheme="majorEastAsia" w:hAnsiTheme="majorEastAsia" w:eastAsiaTheme="majorEastAsia" w:cstheme="majorEastAsia"/>
          <w:b/>
          <w:bCs/>
        </w:rPr>
      </w:pPr>
      <w:r>
        <w:rPr>
          <w:rFonts w:hint="eastAsia" w:asciiTheme="majorEastAsia" w:hAnsiTheme="majorEastAsia" w:eastAsiaTheme="majorEastAsia" w:cstheme="majorEastAsia"/>
          <w:b/>
          <w:bCs/>
        </w:rPr>
        <w:t>第四章  采购需求</w:t>
      </w:r>
    </w:p>
    <w:p w14:paraId="1065F5A4">
      <w:pPr>
        <w:spacing w:line="360" w:lineRule="auto"/>
        <w:ind w:firstLine="422" w:firstLineChars="200"/>
        <w:rPr>
          <w:rFonts w:asciiTheme="minorEastAsia" w:hAnsiTheme="minorEastAsia"/>
          <w:b/>
        </w:rPr>
      </w:pPr>
      <w:r>
        <w:rPr>
          <w:rFonts w:hint="eastAsia" w:asciiTheme="minorEastAsia" w:hAnsiTheme="minorEastAsia"/>
          <w:b/>
        </w:rPr>
        <w:t>一、项目概况</w:t>
      </w:r>
    </w:p>
    <w:p w14:paraId="4771C7A4">
      <w:pPr>
        <w:spacing w:line="360" w:lineRule="auto"/>
        <w:ind w:firstLine="420" w:firstLineChars="200"/>
        <w:rPr>
          <w:rFonts w:asciiTheme="majorEastAsia" w:hAnsiTheme="majorEastAsia" w:eastAsiaTheme="majorEastAsia" w:cstheme="majorEastAsia"/>
          <w:bCs/>
          <w:szCs w:val="21"/>
        </w:rPr>
      </w:pPr>
      <w:r>
        <w:rPr>
          <w:rFonts w:hint="eastAsia" w:asciiTheme="minorEastAsia" w:hAnsiTheme="minorEastAsia"/>
          <w:bCs/>
        </w:rPr>
        <w:t>项目名称：</w:t>
      </w:r>
      <w:r>
        <w:rPr>
          <w:rFonts w:hint="eastAsia" w:asciiTheme="majorEastAsia" w:hAnsiTheme="majorEastAsia" w:eastAsiaTheme="majorEastAsia" w:cstheme="majorEastAsia"/>
          <w:bCs/>
          <w:szCs w:val="21"/>
        </w:rPr>
        <w:t>南京邮电大学信息办校园网4G出口带宽服务</w:t>
      </w:r>
    </w:p>
    <w:p w14:paraId="246C8745">
      <w:pPr>
        <w:spacing w:line="360" w:lineRule="auto"/>
        <w:ind w:firstLine="420" w:firstLineChars="200"/>
        <w:rPr>
          <w:rFonts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目前校园网IPv4出口带宽4.5G，已使用6年以上，平均利用率在80%，主要服务于南京邮电大学三校区，师生人均带宽仅为50M；</w:t>
      </w:r>
    </w:p>
    <w:p w14:paraId="7830EAF3">
      <w:pPr>
        <w:spacing w:line="360" w:lineRule="auto"/>
        <w:ind w:firstLine="420" w:firstLineChars="200"/>
      </w:pPr>
      <w:r>
        <w:rPr>
          <w:rFonts w:hint="eastAsia" w:asciiTheme="majorEastAsia" w:hAnsiTheme="majorEastAsia" w:eastAsiaTheme="majorEastAsia" w:cstheme="majorEastAsia"/>
          <w:bCs/>
          <w:szCs w:val="21"/>
        </w:rPr>
        <w:t>为此学校通过对现存运营商线路优化变更，在不增加经费的情况下，采购4G出口带宽，保障各种高负载场景的流畅运行，支持大规模高清视频会议（如腾讯会议、企业微信）和直播录播课程等‌在线教学方式‌；加速数据传输，满足虚拟仿真、数字孪生等大流量需求的‌科研协作场景‌：提高优化资源访问效率，快速访问国际期刊、数据库等各种‌学术资源‌，提升文献检索效率。实现教学科研效能的全面提升。</w:t>
      </w:r>
    </w:p>
    <w:p w14:paraId="3BE02887">
      <w:pPr>
        <w:pStyle w:val="40"/>
        <w:spacing w:before="0" w:beforeAutospacing="0" w:after="0" w:afterAutospacing="0" w:line="440" w:lineRule="exact"/>
        <w:jc w:val="center"/>
        <w:textAlignment w:val="baseline"/>
        <w:rPr>
          <w:b/>
          <w:sz w:val="21"/>
          <w:szCs w:val="21"/>
        </w:rPr>
      </w:pPr>
      <w:r>
        <w:rPr>
          <w:rFonts w:hint="eastAsia"/>
          <w:b/>
          <w:sz w:val="21"/>
          <w:szCs w:val="21"/>
        </w:rPr>
        <w:t>项目清单</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377"/>
        <w:gridCol w:w="1134"/>
        <w:gridCol w:w="2409"/>
        <w:gridCol w:w="1771"/>
        <w:gridCol w:w="2011"/>
      </w:tblGrid>
      <w:tr w14:paraId="547D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jc w:val="center"/>
        </w:trPr>
        <w:tc>
          <w:tcPr>
            <w:tcW w:w="892" w:type="dxa"/>
            <w:vAlign w:val="center"/>
          </w:tcPr>
          <w:p w14:paraId="4D89432C">
            <w:pPr>
              <w:tabs>
                <w:tab w:val="left" w:pos="4788"/>
              </w:tabs>
              <w:spacing w:line="460" w:lineRule="exact"/>
              <w:ind w:right="-107" w:rightChars="-51"/>
              <w:jc w:val="center"/>
              <w:rPr>
                <w:rFonts w:ascii="宋体" w:hAnsi="宋体" w:cs="宋体"/>
                <w:b/>
                <w:bCs/>
                <w:color w:val="000000"/>
                <w:szCs w:val="21"/>
              </w:rPr>
            </w:pPr>
            <w:r>
              <w:rPr>
                <w:rFonts w:hint="eastAsia" w:ascii="宋体" w:hAnsi="宋体" w:cs="宋体"/>
                <w:b/>
                <w:bCs/>
                <w:color w:val="000000"/>
                <w:szCs w:val="21"/>
              </w:rPr>
              <w:t>分包号</w:t>
            </w:r>
          </w:p>
        </w:tc>
        <w:tc>
          <w:tcPr>
            <w:tcW w:w="1377" w:type="dxa"/>
            <w:vAlign w:val="center"/>
          </w:tcPr>
          <w:p w14:paraId="5C6CBFAC">
            <w:pPr>
              <w:tabs>
                <w:tab w:val="left" w:pos="4788"/>
              </w:tabs>
              <w:spacing w:line="460" w:lineRule="exact"/>
              <w:ind w:right="-107" w:rightChars="-51"/>
              <w:jc w:val="center"/>
              <w:rPr>
                <w:rFonts w:ascii="宋体" w:hAnsi="宋体" w:cs="宋体"/>
                <w:b/>
                <w:bCs/>
                <w:color w:val="000000"/>
                <w:szCs w:val="21"/>
              </w:rPr>
            </w:pPr>
            <w:r>
              <w:rPr>
                <w:rFonts w:hint="eastAsia" w:ascii="宋体" w:hAnsi="宋体" w:cs="宋体"/>
                <w:b/>
                <w:bCs/>
                <w:color w:val="000000"/>
                <w:szCs w:val="21"/>
              </w:rPr>
              <w:t>项 目 名 称</w:t>
            </w:r>
          </w:p>
        </w:tc>
        <w:tc>
          <w:tcPr>
            <w:tcW w:w="1134" w:type="dxa"/>
            <w:vAlign w:val="center"/>
          </w:tcPr>
          <w:p w14:paraId="2D9C3C9F">
            <w:pPr>
              <w:tabs>
                <w:tab w:val="left" w:pos="4788"/>
              </w:tabs>
              <w:spacing w:line="460" w:lineRule="exact"/>
              <w:jc w:val="center"/>
              <w:rPr>
                <w:rFonts w:ascii="宋体" w:hAnsi="宋体" w:cs="宋体"/>
                <w:b/>
                <w:bCs/>
                <w:color w:val="000000"/>
                <w:szCs w:val="21"/>
              </w:rPr>
            </w:pPr>
            <w:r>
              <w:rPr>
                <w:rFonts w:hint="eastAsia" w:ascii="宋体" w:hAnsi="宋体" w:cs="宋体"/>
                <w:b/>
                <w:bCs/>
                <w:color w:val="000000"/>
                <w:szCs w:val="21"/>
              </w:rPr>
              <w:t>中标有效期限</w:t>
            </w:r>
          </w:p>
        </w:tc>
        <w:tc>
          <w:tcPr>
            <w:tcW w:w="2409" w:type="dxa"/>
            <w:vAlign w:val="center"/>
          </w:tcPr>
          <w:p w14:paraId="2E884474">
            <w:pPr>
              <w:tabs>
                <w:tab w:val="left" w:pos="4788"/>
              </w:tabs>
              <w:spacing w:line="460" w:lineRule="exact"/>
              <w:jc w:val="center"/>
              <w:rPr>
                <w:rFonts w:ascii="宋体" w:hAnsi="宋体" w:cs="宋体"/>
                <w:b/>
                <w:bCs/>
                <w:color w:val="000000"/>
                <w:szCs w:val="21"/>
              </w:rPr>
            </w:pPr>
            <w:r>
              <w:rPr>
                <w:rFonts w:hint="eastAsia" w:ascii="宋体" w:hAnsi="宋体" w:cs="宋体"/>
                <w:b/>
                <w:bCs/>
                <w:color w:val="000000"/>
                <w:szCs w:val="21"/>
              </w:rPr>
              <w:t>简要技术要求</w:t>
            </w:r>
          </w:p>
        </w:tc>
        <w:tc>
          <w:tcPr>
            <w:tcW w:w="1771" w:type="dxa"/>
            <w:vAlign w:val="center"/>
          </w:tcPr>
          <w:p w14:paraId="71A22A95">
            <w:pPr>
              <w:tabs>
                <w:tab w:val="left" w:pos="4788"/>
              </w:tabs>
              <w:spacing w:line="460" w:lineRule="exact"/>
              <w:jc w:val="center"/>
              <w:rPr>
                <w:rFonts w:ascii="宋体" w:hAnsi="宋体" w:cs="宋体"/>
                <w:b/>
                <w:bCs/>
                <w:color w:val="000000"/>
                <w:szCs w:val="21"/>
              </w:rPr>
            </w:pPr>
            <w:r>
              <w:rPr>
                <w:rFonts w:hint="eastAsia" w:ascii="宋体" w:hAnsi="宋体" w:cs="宋体"/>
                <w:b/>
                <w:bCs/>
                <w:color w:val="000000"/>
                <w:szCs w:val="21"/>
              </w:rPr>
              <w:t>用途</w:t>
            </w:r>
          </w:p>
        </w:tc>
        <w:tc>
          <w:tcPr>
            <w:tcW w:w="2011" w:type="dxa"/>
            <w:vAlign w:val="center"/>
          </w:tcPr>
          <w:p w14:paraId="5C1A7270">
            <w:pPr>
              <w:tabs>
                <w:tab w:val="left" w:pos="4788"/>
              </w:tabs>
              <w:spacing w:line="460" w:lineRule="exact"/>
              <w:jc w:val="center"/>
              <w:rPr>
                <w:rFonts w:ascii="宋体" w:hAnsi="宋体" w:cs="宋体"/>
                <w:b/>
                <w:bCs/>
                <w:color w:val="000000"/>
                <w:szCs w:val="21"/>
              </w:rPr>
            </w:pPr>
            <w:r>
              <w:rPr>
                <w:rFonts w:hint="eastAsia" w:ascii="宋体" w:hAnsi="宋体" w:cs="宋体"/>
                <w:b/>
                <w:bCs/>
                <w:color w:val="000000"/>
                <w:szCs w:val="21"/>
              </w:rPr>
              <w:t>项目预算金额</w:t>
            </w:r>
          </w:p>
          <w:p w14:paraId="0A48CBD9">
            <w:pPr>
              <w:tabs>
                <w:tab w:val="left" w:pos="4788"/>
              </w:tabs>
              <w:spacing w:line="460" w:lineRule="exact"/>
              <w:jc w:val="center"/>
              <w:rPr>
                <w:rFonts w:ascii="宋体" w:hAnsi="宋体" w:cs="宋体"/>
                <w:b/>
                <w:bCs/>
                <w:color w:val="000000"/>
                <w:szCs w:val="21"/>
              </w:rPr>
            </w:pPr>
            <w:r>
              <w:rPr>
                <w:rFonts w:hint="eastAsia" w:ascii="宋体" w:hAnsi="宋体" w:cs="宋体"/>
                <w:b/>
                <w:bCs/>
                <w:color w:val="000000"/>
                <w:szCs w:val="21"/>
              </w:rPr>
              <w:t>（万元/人民币/年）</w:t>
            </w:r>
          </w:p>
        </w:tc>
      </w:tr>
      <w:tr w14:paraId="20F54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892" w:type="dxa"/>
            <w:vAlign w:val="center"/>
          </w:tcPr>
          <w:p w14:paraId="17ED4866">
            <w:pPr>
              <w:jc w:val="center"/>
              <w:rPr>
                <w:rFonts w:ascii="宋体" w:hAnsi="宋体" w:cs="宋体"/>
                <w:color w:val="000000"/>
              </w:rPr>
            </w:pPr>
            <w:r>
              <w:rPr>
                <w:rFonts w:hint="eastAsia" w:ascii="宋体" w:hAnsi="宋体" w:cs="宋体"/>
                <w:color w:val="000000"/>
              </w:rPr>
              <w:t>1</w:t>
            </w:r>
          </w:p>
        </w:tc>
        <w:tc>
          <w:tcPr>
            <w:tcW w:w="1377" w:type="dxa"/>
            <w:vAlign w:val="center"/>
          </w:tcPr>
          <w:p w14:paraId="3991F21A">
            <w:pPr>
              <w:tabs>
                <w:tab w:val="left" w:pos="4788"/>
              </w:tabs>
              <w:spacing w:line="460" w:lineRule="exact"/>
              <w:ind w:right="-107" w:rightChars="-51"/>
              <w:jc w:val="center"/>
              <w:rPr>
                <w:rFonts w:ascii="宋体" w:hAnsi="宋体" w:cs="宋体"/>
                <w:bCs/>
                <w:color w:val="000000"/>
                <w:szCs w:val="21"/>
              </w:rPr>
            </w:pPr>
            <w:r>
              <w:rPr>
                <w:rFonts w:hint="eastAsia" w:ascii="宋体" w:hAnsi="宋体" w:cs="宋体"/>
                <w:bCs/>
                <w:color w:val="000000"/>
                <w:szCs w:val="21"/>
              </w:rPr>
              <w:t>4G带宽服务</w:t>
            </w:r>
          </w:p>
        </w:tc>
        <w:tc>
          <w:tcPr>
            <w:tcW w:w="1134" w:type="dxa"/>
            <w:vAlign w:val="center"/>
          </w:tcPr>
          <w:p w14:paraId="0D8B3657">
            <w:pPr>
              <w:tabs>
                <w:tab w:val="left" w:pos="4788"/>
              </w:tabs>
              <w:spacing w:line="460" w:lineRule="exact"/>
              <w:ind w:right="-107" w:rightChars="-51"/>
              <w:jc w:val="center"/>
              <w:rPr>
                <w:rFonts w:ascii="宋体" w:hAnsi="宋体" w:cs="宋体"/>
                <w:bCs/>
                <w:color w:val="000000"/>
                <w:szCs w:val="21"/>
              </w:rPr>
            </w:pPr>
            <w:r>
              <w:rPr>
                <w:rFonts w:hint="eastAsia" w:ascii="宋体" w:hAnsi="宋体" w:cs="宋体"/>
                <w:bCs/>
                <w:color w:val="000000"/>
                <w:szCs w:val="21"/>
              </w:rPr>
              <w:t>叁年</w:t>
            </w:r>
          </w:p>
        </w:tc>
        <w:tc>
          <w:tcPr>
            <w:tcW w:w="2409" w:type="dxa"/>
            <w:vAlign w:val="center"/>
          </w:tcPr>
          <w:p w14:paraId="6E5681A3">
            <w:pPr>
              <w:tabs>
                <w:tab w:val="left" w:pos="4788"/>
              </w:tabs>
              <w:spacing w:line="460" w:lineRule="exact"/>
              <w:ind w:right="-107" w:rightChars="-51"/>
              <w:jc w:val="center"/>
              <w:rPr>
                <w:rFonts w:ascii="宋体" w:hAnsi="宋体" w:cs="宋体"/>
                <w:bCs/>
                <w:color w:val="000000"/>
                <w:szCs w:val="21"/>
              </w:rPr>
            </w:pPr>
            <w:r>
              <w:rPr>
                <w:rFonts w:hint="eastAsia" w:ascii="宋体" w:hAnsi="宋体" w:cs="宋体"/>
                <w:bCs/>
                <w:color w:val="000000"/>
                <w:szCs w:val="21"/>
              </w:rPr>
              <w:t>详见技术要求</w:t>
            </w:r>
          </w:p>
        </w:tc>
        <w:tc>
          <w:tcPr>
            <w:tcW w:w="1771" w:type="dxa"/>
            <w:vAlign w:val="center"/>
          </w:tcPr>
          <w:p w14:paraId="346CB9B1">
            <w:pPr>
              <w:tabs>
                <w:tab w:val="left" w:pos="4788"/>
              </w:tabs>
              <w:spacing w:line="460" w:lineRule="exact"/>
              <w:jc w:val="center"/>
              <w:rPr>
                <w:rFonts w:ascii="宋体" w:hAnsi="宋体" w:cs="宋体"/>
                <w:bCs/>
                <w:color w:val="000000"/>
                <w:szCs w:val="21"/>
              </w:rPr>
            </w:pPr>
            <w:r>
              <w:rPr>
                <w:rFonts w:hint="eastAsia" w:ascii="宋体" w:hAnsi="宋体" w:cs="宋体"/>
                <w:szCs w:val="21"/>
              </w:rPr>
              <w:t>互联网出口</w:t>
            </w:r>
            <w:r>
              <w:rPr>
                <w:rFonts w:hint="eastAsia" w:ascii="宋体" w:hAnsi="宋体" w:cs="宋体"/>
                <w:bCs/>
                <w:color w:val="000000"/>
                <w:szCs w:val="21"/>
              </w:rPr>
              <w:t>带宽</w:t>
            </w:r>
          </w:p>
          <w:p w14:paraId="0751F28B">
            <w:pPr>
              <w:tabs>
                <w:tab w:val="left" w:pos="4788"/>
              </w:tabs>
              <w:spacing w:line="460" w:lineRule="exact"/>
              <w:jc w:val="center"/>
              <w:rPr>
                <w:rFonts w:ascii="宋体" w:hAnsi="宋体" w:cs="宋体"/>
                <w:color w:val="000000"/>
                <w:szCs w:val="21"/>
              </w:rPr>
            </w:pPr>
            <w:r>
              <w:rPr>
                <w:rFonts w:hint="eastAsia" w:ascii="宋体" w:hAnsi="宋体" w:cs="宋体"/>
                <w:bCs/>
                <w:color w:val="000000"/>
                <w:szCs w:val="21"/>
              </w:rPr>
              <w:t>服务</w:t>
            </w:r>
          </w:p>
        </w:tc>
        <w:tc>
          <w:tcPr>
            <w:tcW w:w="2011" w:type="dxa"/>
            <w:vAlign w:val="center"/>
          </w:tcPr>
          <w:p w14:paraId="15FF6BFB">
            <w:pPr>
              <w:jc w:val="center"/>
              <w:rPr>
                <w:rFonts w:ascii="宋体" w:hAnsi="宋体" w:cs="宋体"/>
                <w:color w:val="000000"/>
                <w:sz w:val="22"/>
              </w:rPr>
            </w:pPr>
            <w:r>
              <w:rPr>
                <w:rFonts w:hint="eastAsia" w:ascii="宋体" w:hAnsi="宋体" w:cs="宋体"/>
                <w:color w:val="000000"/>
                <w:sz w:val="22"/>
              </w:rPr>
              <w:t>46.00</w:t>
            </w:r>
          </w:p>
        </w:tc>
      </w:tr>
    </w:tbl>
    <w:p w14:paraId="7B6F1864">
      <w:pPr>
        <w:spacing w:line="360" w:lineRule="auto"/>
        <w:ind w:firstLine="420" w:firstLineChars="200"/>
        <w:rPr>
          <w:rFonts w:asciiTheme="minorEastAsia" w:hAnsiTheme="minorEastAsia"/>
          <w:bCs/>
        </w:rPr>
      </w:pPr>
      <w:r>
        <w:rPr>
          <w:rFonts w:hint="eastAsia" w:asciiTheme="minorEastAsia" w:hAnsiTheme="minorEastAsia"/>
          <w:bCs/>
        </w:rPr>
        <w:t>中标有效期为三年，合同一年一签，考核合格后，续签下一年合同。在三年内不改变服务范围和内容的基础上，不变更合同的金额。</w:t>
      </w:r>
    </w:p>
    <w:p w14:paraId="11F80D52">
      <w:pPr>
        <w:spacing w:line="360" w:lineRule="auto"/>
        <w:ind w:firstLine="420" w:firstLineChars="200"/>
        <w:rPr>
          <w:rFonts w:asciiTheme="minorEastAsia" w:hAnsiTheme="minorEastAsia"/>
          <w:bCs/>
        </w:rPr>
      </w:pPr>
      <w:r>
        <w:rPr>
          <w:rFonts w:hint="eastAsia" w:asciiTheme="minorEastAsia" w:hAnsiTheme="minorEastAsia"/>
          <w:bCs/>
        </w:rPr>
        <w:t>工期：自合同签订起15个工作日内</w:t>
      </w:r>
    </w:p>
    <w:p w14:paraId="1D44A6C7">
      <w:pPr>
        <w:spacing w:line="360" w:lineRule="auto"/>
        <w:ind w:firstLine="422" w:firstLineChars="200"/>
        <w:rPr>
          <w:rFonts w:asciiTheme="minorEastAsia" w:hAnsiTheme="minorEastAsia"/>
          <w:b/>
        </w:rPr>
      </w:pPr>
      <w:r>
        <w:rPr>
          <w:rFonts w:hint="eastAsia" w:asciiTheme="minorEastAsia" w:hAnsiTheme="minorEastAsia"/>
          <w:b/>
        </w:rPr>
        <w:t>二、技术要求</w:t>
      </w:r>
    </w:p>
    <w:tbl>
      <w:tblPr>
        <w:tblStyle w:val="44"/>
        <w:tblW w:w="4997" w:type="pct"/>
        <w:jc w:val="center"/>
        <w:tblLayout w:type="fixed"/>
        <w:tblCellMar>
          <w:top w:w="0" w:type="dxa"/>
          <w:left w:w="108" w:type="dxa"/>
          <w:bottom w:w="0" w:type="dxa"/>
          <w:right w:w="108" w:type="dxa"/>
        </w:tblCellMar>
      </w:tblPr>
      <w:tblGrid>
        <w:gridCol w:w="1696"/>
        <w:gridCol w:w="7982"/>
      </w:tblGrid>
      <w:tr w14:paraId="558863D0">
        <w:tblPrEx>
          <w:tblCellMar>
            <w:top w:w="0" w:type="dxa"/>
            <w:left w:w="108" w:type="dxa"/>
            <w:bottom w:w="0" w:type="dxa"/>
            <w:right w:w="108" w:type="dxa"/>
          </w:tblCellMar>
        </w:tblPrEx>
        <w:trPr>
          <w:trHeight w:val="443" w:hRule="atLeast"/>
          <w:jc w:val="center"/>
        </w:trPr>
        <w:tc>
          <w:tcPr>
            <w:tcW w:w="8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D1BB9">
            <w:pPr>
              <w:widowControl/>
              <w:spacing w:line="360" w:lineRule="auto"/>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名称</w:t>
            </w:r>
          </w:p>
        </w:tc>
        <w:tc>
          <w:tcPr>
            <w:tcW w:w="41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0B086">
            <w:pPr>
              <w:widowControl/>
              <w:spacing w:line="360" w:lineRule="auto"/>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具体要求</w:t>
            </w:r>
          </w:p>
        </w:tc>
      </w:tr>
      <w:tr w14:paraId="19AFFBFC">
        <w:tblPrEx>
          <w:tblCellMar>
            <w:top w:w="0" w:type="dxa"/>
            <w:left w:w="108" w:type="dxa"/>
            <w:bottom w:w="0" w:type="dxa"/>
            <w:right w:w="108" w:type="dxa"/>
          </w:tblCellMar>
        </w:tblPrEx>
        <w:trPr>
          <w:trHeight w:val="957" w:hRule="atLeast"/>
          <w:jc w:val="center"/>
        </w:trPr>
        <w:tc>
          <w:tcPr>
            <w:tcW w:w="8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8B9D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sz w:val="20"/>
                <w:szCs w:val="20"/>
                <w:lang w:bidi="ar"/>
              </w:rPr>
              <w:t>路由方案</w:t>
            </w:r>
          </w:p>
        </w:tc>
        <w:tc>
          <w:tcPr>
            <w:tcW w:w="41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AB84">
            <w:pPr>
              <w:widowControl/>
              <w:spacing w:line="360" w:lineRule="auto"/>
              <w:textAlignment w:val="center"/>
              <w:rPr>
                <w:rFonts w:ascii="宋体" w:hAnsi="宋体" w:cs="宋体"/>
                <w:color w:val="000000"/>
                <w:sz w:val="20"/>
                <w:szCs w:val="20"/>
              </w:rPr>
            </w:pPr>
            <w:r>
              <w:rPr>
                <w:rFonts w:hint="eastAsia" w:ascii="宋体" w:hAnsi="宋体" w:cs="宋体"/>
                <w:color w:val="000000"/>
                <w:sz w:val="20"/>
                <w:szCs w:val="20"/>
                <w:lang w:bidi="ar"/>
              </w:rPr>
              <w:t>校园网出口上联至运营商网络链路，采用独享光纤专线，保证线路质量稳定可靠</w:t>
            </w:r>
            <w:r>
              <w:rPr>
                <w:rFonts w:hint="eastAsia" w:ascii="宋体" w:hAnsi="宋体" w:cs="宋体"/>
                <w:b/>
                <w:bCs/>
                <w:color w:val="000000"/>
                <w:sz w:val="20"/>
                <w:szCs w:val="20"/>
                <w:lang w:bidi="ar"/>
              </w:rPr>
              <w:t>（提供链路图并附加路由方案说明并加盖公章；提供的证明材料需反映或体现相关数据内容，否则视为未提供）</w:t>
            </w:r>
          </w:p>
        </w:tc>
      </w:tr>
      <w:tr w14:paraId="48622EAE">
        <w:tblPrEx>
          <w:tblCellMar>
            <w:top w:w="0" w:type="dxa"/>
            <w:left w:w="108" w:type="dxa"/>
            <w:bottom w:w="0" w:type="dxa"/>
            <w:right w:w="108" w:type="dxa"/>
          </w:tblCellMar>
        </w:tblPrEx>
        <w:trPr>
          <w:trHeight w:val="856" w:hRule="atLeast"/>
          <w:jc w:val="center"/>
        </w:trPr>
        <w:tc>
          <w:tcPr>
            <w:tcW w:w="8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1AD8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sz w:val="20"/>
                <w:szCs w:val="20"/>
                <w:lang w:bidi="ar"/>
              </w:rPr>
              <w:t>主干链路方案</w:t>
            </w:r>
          </w:p>
        </w:tc>
        <w:tc>
          <w:tcPr>
            <w:tcW w:w="41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861ED">
            <w:pPr>
              <w:widowControl/>
              <w:spacing w:line="360" w:lineRule="auto"/>
              <w:textAlignment w:val="center"/>
              <w:rPr>
                <w:rFonts w:ascii="宋体" w:hAnsi="宋体" w:cs="宋体"/>
                <w:color w:val="000000"/>
                <w:sz w:val="20"/>
                <w:szCs w:val="20"/>
              </w:rPr>
            </w:pPr>
            <w:r>
              <w:rPr>
                <w:rFonts w:hint="eastAsia" w:ascii="宋体" w:hAnsi="宋体" w:cs="宋体"/>
                <w:color w:val="000000"/>
                <w:sz w:val="20"/>
                <w:szCs w:val="20"/>
                <w:lang w:bidi="ar"/>
              </w:rPr>
              <w:t>提供南京市主干最高级别可接入链路入口</w:t>
            </w:r>
            <w:r>
              <w:rPr>
                <w:rFonts w:hint="eastAsia" w:ascii="宋体" w:hAnsi="宋体" w:cs="宋体"/>
                <w:b/>
                <w:bCs/>
                <w:color w:val="000000"/>
                <w:sz w:val="20"/>
                <w:szCs w:val="20"/>
                <w:lang w:bidi="ar"/>
              </w:rPr>
              <w:t>（提供相应的拓扑示意图并加盖公章；提供的证明材料需反映或体现相关数据内容，否则视为未提供）</w:t>
            </w:r>
            <w:r>
              <w:rPr>
                <w:rFonts w:hint="eastAsia" w:ascii="宋体" w:hAnsi="宋体" w:cs="宋体"/>
                <w:color w:val="000000"/>
                <w:sz w:val="20"/>
                <w:szCs w:val="20"/>
                <w:lang w:bidi="ar"/>
              </w:rPr>
              <w:t>。</w:t>
            </w:r>
          </w:p>
        </w:tc>
      </w:tr>
      <w:tr w14:paraId="1FD35B66">
        <w:tblPrEx>
          <w:tblCellMar>
            <w:top w:w="0" w:type="dxa"/>
            <w:left w:w="108" w:type="dxa"/>
            <w:bottom w:w="0" w:type="dxa"/>
            <w:right w:w="108" w:type="dxa"/>
          </w:tblCellMar>
        </w:tblPrEx>
        <w:trPr>
          <w:trHeight w:val="500" w:hRule="atLeast"/>
          <w:jc w:val="center"/>
        </w:trPr>
        <w:tc>
          <w:tcPr>
            <w:tcW w:w="8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79CF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sz w:val="20"/>
                <w:szCs w:val="20"/>
                <w:lang w:bidi="ar"/>
              </w:rPr>
              <w:t>IP地址</w:t>
            </w:r>
          </w:p>
        </w:tc>
        <w:tc>
          <w:tcPr>
            <w:tcW w:w="41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DD3CF">
            <w:pPr>
              <w:widowControl/>
              <w:spacing w:line="360" w:lineRule="auto"/>
              <w:textAlignment w:val="center"/>
              <w:rPr>
                <w:rFonts w:ascii="宋体" w:hAnsi="宋体" w:cs="宋体"/>
                <w:color w:val="000000"/>
                <w:sz w:val="20"/>
                <w:szCs w:val="20"/>
              </w:rPr>
            </w:pPr>
            <w:r>
              <w:rPr>
                <w:rFonts w:hint="eastAsia" w:ascii="宋体" w:hAnsi="宋体" w:cs="宋体"/>
                <w:color w:val="000000"/>
                <w:sz w:val="20"/>
                <w:szCs w:val="20"/>
                <w:lang w:bidi="ar"/>
              </w:rPr>
              <w:t>IP地址段要求：提供不少于64个公网IPV4地址，提供一段/64位IPV6地址。</w:t>
            </w:r>
          </w:p>
        </w:tc>
      </w:tr>
      <w:tr w14:paraId="247328C8">
        <w:tblPrEx>
          <w:tblCellMar>
            <w:top w:w="0" w:type="dxa"/>
            <w:left w:w="108" w:type="dxa"/>
            <w:bottom w:w="0" w:type="dxa"/>
            <w:right w:w="108" w:type="dxa"/>
          </w:tblCellMar>
        </w:tblPrEx>
        <w:trPr>
          <w:trHeight w:val="567" w:hRule="atLeast"/>
          <w:jc w:val="center"/>
        </w:trPr>
        <w:tc>
          <w:tcPr>
            <w:tcW w:w="8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0DD5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sz w:val="20"/>
                <w:szCs w:val="20"/>
                <w:lang w:bidi="ar"/>
              </w:rPr>
              <w:t>网络时延</w:t>
            </w:r>
          </w:p>
        </w:tc>
        <w:tc>
          <w:tcPr>
            <w:tcW w:w="41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E3CEC">
            <w:pPr>
              <w:widowControl/>
              <w:spacing w:line="360" w:lineRule="auto"/>
              <w:textAlignment w:val="center"/>
              <w:rPr>
                <w:rFonts w:ascii="宋体" w:hAnsi="宋体" w:cs="宋体"/>
                <w:color w:val="000000"/>
                <w:sz w:val="20"/>
                <w:szCs w:val="20"/>
              </w:rPr>
            </w:pPr>
            <w:r>
              <w:rPr>
                <w:rFonts w:hint="eastAsia" w:ascii="宋体" w:hAnsi="宋体" w:cs="宋体"/>
                <w:color w:val="000000"/>
                <w:sz w:val="20"/>
                <w:szCs w:val="20"/>
                <w:lang w:bidi="ar"/>
              </w:rPr>
              <w:t>供应商所提供传输网络应确保至网内热点网站的Ping网络时延低于50ms。</w:t>
            </w:r>
          </w:p>
        </w:tc>
      </w:tr>
      <w:tr w14:paraId="5705B13F">
        <w:tblPrEx>
          <w:tblCellMar>
            <w:top w:w="0" w:type="dxa"/>
            <w:left w:w="108" w:type="dxa"/>
            <w:bottom w:w="0" w:type="dxa"/>
            <w:right w:w="108" w:type="dxa"/>
          </w:tblCellMar>
        </w:tblPrEx>
        <w:trPr>
          <w:trHeight w:val="790" w:hRule="atLeast"/>
          <w:jc w:val="center"/>
        </w:trPr>
        <w:tc>
          <w:tcPr>
            <w:tcW w:w="8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4A6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sz w:val="20"/>
                <w:szCs w:val="20"/>
                <w:lang w:bidi="ar"/>
              </w:rPr>
              <w:t>网络稳定性</w:t>
            </w:r>
          </w:p>
        </w:tc>
        <w:tc>
          <w:tcPr>
            <w:tcW w:w="41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53E2E">
            <w:pPr>
              <w:widowControl/>
              <w:spacing w:line="360" w:lineRule="auto"/>
              <w:textAlignment w:val="center"/>
              <w:rPr>
                <w:rFonts w:ascii="宋体" w:hAnsi="宋体" w:cs="宋体"/>
                <w:color w:val="000000"/>
                <w:sz w:val="20"/>
                <w:szCs w:val="20"/>
              </w:rPr>
            </w:pPr>
            <w:r>
              <w:rPr>
                <w:rFonts w:hint="eastAsia" w:ascii="宋体" w:hAnsi="宋体" w:cs="宋体"/>
                <w:color w:val="000000"/>
                <w:sz w:val="20"/>
                <w:szCs w:val="20"/>
                <w:lang w:bidi="ar"/>
              </w:rPr>
              <w:t>供应商应保证网络的稳定性，如所提供传输网络在一定时间段内传输出现多次闪断或一次中断时长超过一定数值，校方将按考核要求扣除相应费用。</w:t>
            </w:r>
          </w:p>
        </w:tc>
      </w:tr>
      <w:tr w14:paraId="40129FA5">
        <w:tblPrEx>
          <w:tblCellMar>
            <w:top w:w="0" w:type="dxa"/>
            <w:left w:w="108" w:type="dxa"/>
            <w:bottom w:w="0" w:type="dxa"/>
            <w:right w:w="108" w:type="dxa"/>
          </w:tblCellMar>
        </w:tblPrEx>
        <w:trPr>
          <w:trHeight w:val="1404" w:hRule="atLeast"/>
          <w:jc w:val="center"/>
        </w:trPr>
        <w:tc>
          <w:tcPr>
            <w:tcW w:w="8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B99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sz w:val="20"/>
                <w:szCs w:val="20"/>
                <w:lang w:bidi="ar"/>
              </w:rPr>
              <w:t>网络可用性</w:t>
            </w:r>
          </w:p>
        </w:tc>
        <w:tc>
          <w:tcPr>
            <w:tcW w:w="41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EF564">
            <w:pPr>
              <w:widowControl/>
              <w:spacing w:line="360" w:lineRule="auto"/>
              <w:textAlignment w:val="center"/>
              <w:rPr>
                <w:rFonts w:ascii="宋体" w:hAnsi="宋体" w:cs="宋体"/>
                <w:color w:val="000000"/>
                <w:sz w:val="20"/>
                <w:szCs w:val="20"/>
              </w:rPr>
            </w:pPr>
            <w:r>
              <w:rPr>
                <w:rFonts w:hint="eastAsia" w:ascii="宋体" w:hAnsi="宋体" w:cs="宋体"/>
                <w:color w:val="000000"/>
                <w:sz w:val="20"/>
                <w:szCs w:val="20"/>
                <w:lang w:bidi="ar"/>
              </w:rPr>
              <w:t>（1）网络可用性为99.9%，即每月不可用时间少于43分钟。</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（2）网络可用性是指供应商网内端到端全网能提供无故障时间占运行时间的百分比。不可用时间以通道提供方收到校方申告为始，以校方收到通道提供方恢复通知为止。</w:t>
            </w:r>
          </w:p>
        </w:tc>
      </w:tr>
    </w:tbl>
    <w:p w14:paraId="75F53042">
      <w:pPr>
        <w:spacing w:line="360" w:lineRule="auto"/>
        <w:ind w:firstLine="422" w:firstLineChars="200"/>
        <w:rPr>
          <w:rFonts w:asciiTheme="minorEastAsia" w:hAnsiTheme="minorEastAsia"/>
          <w:color w:val="000000"/>
        </w:rPr>
      </w:pPr>
      <w:r>
        <w:rPr>
          <w:rFonts w:hint="eastAsia" w:asciiTheme="minorEastAsia" w:hAnsiTheme="minorEastAsia"/>
          <w:b/>
        </w:rPr>
        <w:t>三、商务要求</w:t>
      </w:r>
    </w:p>
    <w:p w14:paraId="3E29D25A">
      <w:pPr>
        <w:spacing w:line="360" w:lineRule="auto"/>
        <w:ind w:firstLine="420" w:firstLineChars="200"/>
        <w:rPr>
          <w:rFonts w:asciiTheme="minorEastAsia" w:hAnsiTheme="minorEastAsia"/>
          <w:color w:val="000000"/>
        </w:rPr>
      </w:pPr>
      <w:r>
        <w:rPr>
          <w:rFonts w:hint="eastAsia" w:asciiTheme="minorEastAsia" w:hAnsiTheme="minorEastAsia"/>
          <w:color w:val="000000"/>
        </w:rPr>
        <w:t>1、培训要求：</w:t>
      </w:r>
    </w:p>
    <w:p w14:paraId="053656ED">
      <w:pPr>
        <w:spacing w:line="360" w:lineRule="auto"/>
        <w:ind w:firstLine="420" w:firstLineChars="200"/>
        <w:rPr>
          <w:rFonts w:asciiTheme="minorEastAsia" w:hAnsiTheme="minorEastAsia"/>
          <w:color w:val="000000"/>
        </w:rPr>
      </w:pPr>
      <w:r>
        <w:rPr>
          <w:rFonts w:hint="eastAsia" w:asciiTheme="minorEastAsia" w:hAnsiTheme="minorEastAsia"/>
          <w:color w:val="000000"/>
        </w:rPr>
        <w:t>要求供应商为采购人提供其互联设备型号及技术资料。</w:t>
      </w:r>
    </w:p>
    <w:p w14:paraId="02AEABB6">
      <w:pPr>
        <w:spacing w:line="360" w:lineRule="auto"/>
        <w:ind w:firstLine="420" w:firstLineChars="200"/>
        <w:rPr>
          <w:rFonts w:asciiTheme="minorEastAsia" w:hAnsiTheme="minorEastAsia"/>
          <w:color w:val="000000"/>
        </w:rPr>
      </w:pPr>
      <w:r>
        <w:rPr>
          <w:rFonts w:hint="eastAsia" w:asciiTheme="minorEastAsia" w:hAnsiTheme="minorEastAsia"/>
          <w:color w:val="000000"/>
        </w:rPr>
        <w:t>2、售后服务响应（故障处理）要求：</w:t>
      </w:r>
    </w:p>
    <w:p w14:paraId="6BD974B1">
      <w:pPr>
        <w:spacing w:line="360" w:lineRule="auto"/>
        <w:ind w:firstLine="420" w:firstLineChars="200"/>
        <w:rPr>
          <w:rFonts w:asciiTheme="minorEastAsia" w:hAnsiTheme="minorEastAsia"/>
          <w:color w:val="000000"/>
        </w:rPr>
      </w:pPr>
      <w:r>
        <w:rPr>
          <w:rFonts w:asciiTheme="minorEastAsia" w:hAnsiTheme="minorEastAsia"/>
          <w:color w:val="000000"/>
        </w:rPr>
        <w:t>1</w:t>
      </w:r>
      <w:r>
        <w:rPr>
          <w:rFonts w:hint="eastAsia" w:asciiTheme="minorEastAsia" w:hAnsiTheme="minorEastAsia"/>
          <w:color w:val="000000"/>
        </w:rPr>
        <w:t>）定期检测系统，发现故障，排除隐患，提出改进意见。</w:t>
      </w:r>
    </w:p>
    <w:p w14:paraId="4CA31825">
      <w:pPr>
        <w:spacing w:line="360" w:lineRule="auto"/>
        <w:ind w:firstLine="420" w:firstLineChars="200"/>
        <w:rPr>
          <w:rFonts w:asciiTheme="minorEastAsia" w:hAnsiTheme="minorEastAsia" w:eastAsiaTheme="minorEastAsia"/>
          <w:color w:val="000000"/>
        </w:rPr>
      </w:pPr>
      <w:r>
        <w:rPr>
          <w:rFonts w:asciiTheme="minorEastAsia" w:hAnsiTheme="minorEastAsia"/>
          <w:color w:val="000000"/>
        </w:rPr>
        <w:t>2</w:t>
      </w:r>
      <w:r>
        <w:rPr>
          <w:rFonts w:hint="eastAsia" w:asciiTheme="minorEastAsia" w:hAnsiTheme="minorEastAsia"/>
          <w:color w:val="000000"/>
        </w:rPr>
        <w:t>）系统所有硬件设备的日常巡检，发现故障，配合排除故障。</w:t>
      </w:r>
    </w:p>
    <w:p w14:paraId="0D9B2DAA">
      <w:pPr>
        <w:spacing w:line="360" w:lineRule="auto"/>
        <w:ind w:firstLine="420" w:firstLineChars="200"/>
        <w:rPr>
          <w:rFonts w:asciiTheme="minorEastAsia" w:hAnsiTheme="minorEastAsia"/>
          <w:color w:val="000000"/>
        </w:rPr>
      </w:pPr>
      <w:r>
        <w:rPr>
          <w:rFonts w:asciiTheme="minorEastAsia" w:hAnsiTheme="minorEastAsia"/>
          <w:color w:val="000000"/>
        </w:rPr>
        <w:t>3</w:t>
      </w:r>
      <w:r>
        <w:rPr>
          <w:rFonts w:hint="eastAsia" w:asciiTheme="minorEastAsia" w:hAnsiTheme="minorEastAsia"/>
          <w:color w:val="000000"/>
        </w:rPr>
        <w:t>）供应商应不断完善重要监测点的实时监控机制。</w:t>
      </w:r>
    </w:p>
    <w:p w14:paraId="7BAA4410">
      <w:pPr>
        <w:spacing w:line="360" w:lineRule="auto"/>
        <w:ind w:firstLine="420" w:firstLineChars="200"/>
        <w:rPr>
          <w:rFonts w:asciiTheme="minorEastAsia" w:hAnsiTheme="minorEastAsia"/>
          <w:color w:val="000000"/>
        </w:rPr>
      </w:pPr>
      <w:r>
        <w:rPr>
          <w:rFonts w:asciiTheme="minorEastAsia" w:hAnsiTheme="minorEastAsia"/>
          <w:color w:val="000000"/>
        </w:rPr>
        <w:t>4</w:t>
      </w:r>
      <w:r>
        <w:rPr>
          <w:rFonts w:hint="eastAsia" w:asciiTheme="minorEastAsia" w:hAnsiTheme="minorEastAsia"/>
          <w:color w:val="000000"/>
        </w:rPr>
        <w:t>）供应商应高度重视巡检过程中发现的异常情况，及时通知校方维护人员，查找原因，排除故障隐患。</w:t>
      </w:r>
    </w:p>
    <w:p w14:paraId="555A1798">
      <w:pPr>
        <w:spacing w:line="360" w:lineRule="auto"/>
        <w:ind w:firstLine="420" w:firstLineChars="200"/>
        <w:rPr>
          <w:rFonts w:asciiTheme="minorEastAsia" w:hAnsiTheme="minorEastAsia"/>
          <w:iCs/>
          <w:color w:val="000000"/>
        </w:rPr>
      </w:pPr>
      <w:r>
        <w:rPr>
          <w:rFonts w:asciiTheme="minorEastAsia" w:hAnsiTheme="minorEastAsia"/>
          <w:color w:val="000000"/>
        </w:rPr>
        <w:t>5</w:t>
      </w:r>
      <w:r>
        <w:rPr>
          <w:rFonts w:hint="eastAsia" w:asciiTheme="minorEastAsia" w:hAnsiTheme="minorEastAsia"/>
          <w:color w:val="000000"/>
        </w:rPr>
        <w:t>）</w:t>
      </w:r>
      <w:r>
        <w:rPr>
          <w:rFonts w:hint="eastAsia" w:asciiTheme="minorEastAsia" w:hAnsiTheme="minorEastAsia"/>
          <w:iCs/>
          <w:color w:val="000000"/>
        </w:rPr>
        <w:t>供应商应向</w:t>
      </w:r>
      <w:r>
        <w:rPr>
          <w:rFonts w:hint="eastAsia" w:asciiTheme="minorEastAsia" w:hAnsiTheme="minorEastAsia"/>
          <w:color w:val="000000"/>
        </w:rPr>
        <w:t>采购人</w:t>
      </w:r>
      <w:r>
        <w:rPr>
          <w:rFonts w:hint="eastAsia" w:asciiTheme="minorEastAsia" w:hAnsiTheme="minorEastAsia"/>
          <w:iCs/>
          <w:color w:val="000000"/>
        </w:rPr>
        <w:t>提供</w:t>
      </w:r>
      <w:r>
        <w:rPr>
          <w:rFonts w:asciiTheme="minorEastAsia" w:hAnsiTheme="minorEastAsia"/>
          <w:iCs/>
          <w:color w:val="000000"/>
        </w:rPr>
        <w:t>7×24</w:t>
      </w:r>
      <w:r>
        <w:rPr>
          <w:rFonts w:hint="eastAsia" w:asciiTheme="minorEastAsia" w:hAnsiTheme="minorEastAsia"/>
          <w:iCs/>
          <w:color w:val="000000"/>
        </w:rPr>
        <w:t>的故障处理服务，以书面函件形式通知校方</w:t>
      </w:r>
      <w:r>
        <w:rPr>
          <w:rFonts w:asciiTheme="minorEastAsia" w:hAnsiTheme="minorEastAsia"/>
          <w:iCs/>
          <w:color w:val="000000"/>
        </w:rPr>
        <w:t>24</w:t>
      </w:r>
      <w:r>
        <w:rPr>
          <w:rFonts w:hint="eastAsia" w:asciiTheme="minorEastAsia" w:hAnsiTheme="minorEastAsia"/>
          <w:iCs/>
          <w:color w:val="000000"/>
        </w:rPr>
        <w:t>小时投诉电话号码、邮箱地址等信息。</w:t>
      </w:r>
    </w:p>
    <w:p w14:paraId="325DECDB">
      <w:pPr>
        <w:spacing w:line="360" w:lineRule="auto"/>
        <w:ind w:firstLine="420" w:firstLineChars="200"/>
        <w:rPr>
          <w:rFonts w:asciiTheme="minorEastAsia" w:hAnsiTheme="minorEastAsia"/>
          <w:iCs/>
          <w:color w:val="000000"/>
        </w:rPr>
      </w:pPr>
      <w:r>
        <w:rPr>
          <w:rFonts w:asciiTheme="minorEastAsia" w:hAnsiTheme="minorEastAsia"/>
          <w:iCs/>
          <w:color w:val="000000"/>
        </w:rPr>
        <w:t>6</w:t>
      </w:r>
      <w:r>
        <w:rPr>
          <w:rFonts w:hint="eastAsia" w:asciiTheme="minorEastAsia" w:hAnsiTheme="minorEastAsia"/>
          <w:iCs/>
          <w:color w:val="000000"/>
        </w:rPr>
        <w:t>）故障原则上应由供应商现场维护人员进行处理，对于影响重大，棘手的故障，为提高故障处理速度可以由资深工程师远程处理。</w:t>
      </w:r>
    </w:p>
    <w:p w14:paraId="1E16506E">
      <w:pPr>
        <w:spacing w:line="360" w:lineRule="auto"/>
        <w:ind w:firstLine="420" w:firstLineChars="200"/>
        <w:rPr>
          <w:rFonts w:asciiTheme="minorEastAsia" w:hAnsiTheme="minorEastAsia"/>
          <w:iCs/>
          <w:color w:val="000000"/>
        </w:rPr>
      </w:pPr>
      <w:bookmarkStart w:id="6" w:name="OLE_LINK15"/>
      <w:bookmarkStart w:id="7" w:name="OLE_LINK14"/>
      <w:r>
        <w:rPr>
          <w:rFonts w:asciiTheme="minorEastAsia" w:hAnsiTheme="minorEastAsia"/>
          <w:iCs/>
          <w:color w:val="000000"/>
        </w:rPr>
        <w:t>7</w:t>
      </w:r>
      <w:bookmarkEnd w:id="6"/>
      <w:bookmarkEnd w:id="7"/>
      <w:r>
        <w:rPr>
          <w:rFonts w:hint="eastAsia" w:asciiTheme="minorEastAsia" w:hAnsiTheme="minorEastAsia"/>
          <w:iCs/>
          <w:color w:val="000000"/>
        </w:rPr>
        <w:t>）供应商应根据</w:t>
      </w:r>
      <w:r>
        <w:rPr>
          <w:rFonts w:hint="eastAsia" w:asciiTheme="minorEastAsia" w:hAnsiTheme="minorEastAsia"/>
          <w:color w:val="000000"/>
        </w:rPr>
        <w:t>采购人</w:t>
      </w:r>
      <w:r>
        <w:rPr>
          <w:rFonts w:hint="eastAsia" w:asciiTheme="minorEastAsia" w:hAnsiTheme="minorEastAsia"/>
          <w:iCs/>
          <w:color w:val="000000"/>
        </w:rPr>
        <w:t>对于一般故障、严重故障和重大故障的处理流程和要求进行故障处理，一般故障在120分钟内解决；严重故障和重大故障应在30分钟内解决，故障持续</w:t>
      </w:r>
      <w:r>
        <w:rPr>
          <w:rFonts w:asciiTheme="minorEastAsia" w:hAnsiTheme="minorEastAsia"/>
          <w:iCs/>
          <w:color w:val="000000"/>
        </w:rPr>
        <w:t>30</w:t>
      </w:r>
      <w:r>
        <w:rPr>
          <w:rFonts w:hint="eastAsia" w:asciiTheme="minorEastAsia" w:hAnsiTheme="minorEastAsia"/>
          <w:iCs/>
          <w:color w:val="000000"/>
        </w:rPr>
        <w:t>分钟内必须到现场处理。</w:t>
      </w:r>
    </w:p>
    <w:p w14:paraId="60B0AC2C">
      <w:pPr>
        <w:spacing w:line="360" w:lineRule="auto"/>
        <w:ind w:firstLine="420" w:firstLineChars="200"/>
        <w:rPr>
          <w:rFonts w:asciiTheme="minorEastAsia" w:hAnsiTheme="minorEastAsia"/>
          <w:color w:val="000000"/>
        </w:rPr>
      </w:pPr>
      <w:r>
        <w:rPr>
          <w:rFonts w:asciiTheme="minorEastAsia" w:hAnsiTheme="minorEastAsia"/>
          <w:color w:val="000000"/>
        </w:rPr>
        <w:t>8</w:t>
      </w:r>
      <w:r>
        <w:rPr>
          <w:rFonts w:hint="eastAsia" w:asciiTheme="minorEastAsia" w:hAnsiTheme="minorEastAsia"/>
          <w:color w:val="000000"/>
        </w:rPr>
        <w:t>）供应商需安排专门人员对采购人业务流量进行实时监控，一旦发现流量异常，需在第一时间内发现问题并进行解决。供应商需保存采购人网络流量监控图形，以提供技术人员对网络流量进行分析。</w:t>
      </w:r>
    </w:p>
    <w:p w14:paraId="25434651">
      <w:pPr>
        <w:spacing w:line="360" w:lineRule="auto"/>
        <w:ind w:firstLine="420" w:firstLineChars="200"/>
        <w:rPr>
          <w:rFonts w:asciiTheme="minorEastAsia" w:hAnsiTheme="minorEastAsia"/>
          <w:color w:val="000000"/>
        </w:rPr>
      </w:pPr>
      <w:r>
        <w:rPr>
          <w:rFonts w:hint="eastAsia" w:asciiTheme="minorEastAsia" w:hAnsiTheme="minorEastAsia"/>
          <w:color w:val="000000"/>
        </w:rPr>
        <w:t>3、方案要求：</w:t>
      </w:r>
    </w:p>
    <w:p w14:paraId="7A1449B5">
      <w:pPr>
        <w:spacing w:line="360" w:lineRule="auto"/>
        <w:ind w:firstLine="420" w:firstLineChars="200"/>
        <w:rPr>
          <w:rFonts w:asciiTheme="minorEastAsia" w:hAnsiTheme="minorEastAsia"/>
          <w:color w:val="000000"/>
        </w:rPr>
      </w:pPr>
      <w:r>
        <w:rPr>
          <w:rFonts w:hint="eastAsia" w:asciiTheme="minorEastAsia" w:hAnsiTheme="minorEastAsia"/>
          <w:color w:val="000000"/>
        </w:rPr>
        <w:t>1）组织实施方案：内容描述需具体详细，完全满足项目的需要；可行且具有先进性、科学合理，具有良好的项目投资控制、进度控制；方案构想及建议针对性强，有特点，可实施性强；</w:t>
      </w:r>
    </w:p>
    <w:p w14:paraId="16521F2F">
      <w:pPr>
        <w:spacing w:line="360" w:lineRule="auto"/>
        <w:ind w:firstLine="420" w:firstLineChars="200"/>
        <w:rPr>
          <w:rFonts w:asciiTheme="minorEastAsia" w:hAnsiTheme="minorEastAsia"/>
          <w:color w:val="000000"/>
        </w:rPr>
      </w:pPr>
      <w:r>
        <w:rPr>
          <w:rFonts w:hint="eastAsia" w:asciiTheme="minorEastAsia" w:hAnsiTheme="minorEastAsia"/>
          <w:color w:val="000000"/>
        </w:rPr>
        <w:t>2）质量控制措施方案：内容完整详细、科学规范，关键节点控制措施有力、可行且专业针对性强，内容及核心要点精准契合项目特点；</w:t>
      </w:r>
    </w:p>
    <w:p w14:paraId="3A289FEF">
      <w:pPr>
        <w:spacing w:line="360" w:lineRule="auto"/>
        <w:ind w:firstLine="420" w:firstLineChars="200"/>
        <w:rPr>
          <w:rFonts w:asciiTheme="minorEastAsia" w:hAnsiTheme="minorEastAsia"/>
          <w:color w:val="000000"/>
        </w:rPr>
      </w:pPr>
      <w:r>
        <w:rPr>
          <w:rFonts w:hint="eastAsia" w:asciiTheme="minorEastAsia" w:hAnsiTheme="minorEastAsia"/>
          <w:color w:val="000000"/>
        </w:rPr>
        <w:t>3）故障处理方案：保障措施体系完善，过程管控力度强劲，现场信息采集及时全面，动态优化调整响应迅速，与项目核心要求高度契合，落地执行性强；</w:t>
      </w:r>
    </w:p>
    <w:p w14:paraId="268CCE72">
      <w:pPr>
        <w:spacing w:line="360" w:lineRule="auto"/>
        <w:ind w:firstLine="420" w:firstLineChars="200"/>
        <w:rPr>
          <w:rFonts w:asciiTheme="minorEastAsia" w:hAnsiTheme="minorEastAsia"/>
          <w:color w:val="000000"/>
        </w:rPr>
      </w:pPr>
      <w:r>
        <w:rPr>
          <w:rFonts w:hint="eastAsia" w:asciiTheme="minorEastAsia" w:hAnsiTheme="minorEastAsia"/>
          <w:color w:val="000000"/>
        </w:rPr>
        <w:t>4）监测方案：监测点位布置全面科学、布局周全，配备专职人员值守监控，监测流程可操作性强，方案设计充分契合监测工作核心要求，合理性与实用性兼具；</w:t>
      </w:r>
    </w:p>
    <w:p w14:paraId="65F9C8A8">
      <w:pPr>
        <w:spacing w:line="360" w:lineRule="auto"/>
        <w:ind w:firstLine="420" w:firstLineChars="200"/>
        <w:rPr>
          <w:rFonts w:asciiTheme="minorEastAsia" w:hAnsiTheme="minorEastAsia"/>
          <w:color w:val="000000"/>
        </w:rPr>
      </w:pPr>
      <w:r>
        <w:rPr>
          <w:rFonts w:hint="eastAsia" w:asciiTheme="minorEastAsia" w:hAnsiTheme="minorEastAsia"/>
          <w:color w:val="000000"/>
        </w:rPr>
        <w:t>5）特殊情况响应方案：针对重大活动用网保障、特殊情况预防预警及应急演练等全流程措施完备，应急响应机制高效敏捷，已构建系统化应急响应标准体系，与项目应急保障核心要求高度契合。</w:t>
      </w:r>
    </w:p>
    <w:p w14:paraId="19ACEEC5">
      <w:pPr>
        <w:spacing w:line="360" w:lineRule="auto"/>
        <w:ind w:firstLine="422" w:firstLineChars="200"/>
        <w:rPr>
          <w:rFonts w:asciiTheme="minorEastAsia" w:hAnsiTheme="minorEastAsia"/>
          <w:b/>
        </w:rPr>
      </w:pPr>
      <w:r>
        <w:rPr>
          <w:rFonts w:hint="eastAsia" w:asciiTheme="minorEastAsia" w:hAnsiTheme="minorEastAsia"/>
          <w:b/>
        </w:rPr>
        <w:t>四、商务条款</w:t>
      </w:r>
    </w:p>
    <w:p w14:paraId="5A7DF3A1">
      <w:pPr>
        <w:autoSpaceDE w:val="0"/>
        <w:autoSpaceDN w:val="0"/>
        <w:adjustRightInd w:val="0"/>
        <w:snapToGrid w:val="0"/>
        <w:spacing w:line="360" w:lineRule="auto"/>
        <w:ind w:firstLine="420" w:firstLineChars="200"/>
        <w:rPr>
          <w:rFonts w:asciiTheme="minorEastAsia" w:hAnsiTheme="minorEastAsia"/>
          <w:color w:val="000000"/>
        </w:rPr>
      </w:pPr>
      <w:r>
        <w:rPr>
          <w:rFonts w:hint="eastAsia" w:asciiTheme="minorEastAsia" w:hAnsiTheme="minorEastAsia"/>
        </w:rPr>
        <w:t>1、</w:t>
      </w:r>
      <w:bookmarkStart w:id="8" w:name="OLE_LINK19"/>
      <w:bookmarkStart w:id="9" w:name="OLE_LINK22"/>
      <w:r>
        <w:rPr>
          <w:rFonts w:hint="eastAsia" w:asciiTheme="minorEastAsia" w:hAnsiTheme="minorEastAsia"/>
          <w:color w:val="000000"/>
        </w:rPr>
        <w:t>付款方式：</w:t>
      </w:r>
      <w:bookmarkEnd w:id="8"/>
      <w:bookmarkEnd w:id="9"/>
      <w:r>
        <w:rPr>
          <w:rFonts w:hint="eastAsia" w:asciiTheme="minorEastAsia" w:hAnsiTheme="minorEastAsia"/>
          <w:color w:val="000000"/>
        </w:rPr>
        <w:t>合同签订后开通之日起，次月支付当年合同金额的50%；余款在合同期满后根据线路整体服务考核情况支付，具体考核要求详见附件《南京邮电大学校园网出口带宽服务考核要求》：总分100分，</w:t>
      </w:r>
      <w:r>
        <w:rPr>
          <w:rFonts w:asciiTheme="minorEastAsia" w:hAnsiTheme="minorEastAsia"/>
          <w:color w:val="000000"/>
        </w:rPr>
        <w:t>甲方将对乙方的服务质量进行考评，评分90分及以上</w:t>
      </w:r>
      <w:r>
        <w:rPr>
          <w:rFonts w:hint="eastAsia" w:asciiTheme="minorEastAsia" w:hAnsiTheme="minorEastAsia"/>
          <w:color w:val="000000"/>
        </w:rPr>
        <w:t>支付</w:t>
      </w:r>
      <w:r>
        <w:rPr>
          <w:rFonts w:asciiTheme="minorEastAsia" w:hAnsiTheme="minorEastAsia"/>
          <w:color w:val="000000"/>
        </w:rPr>
        <w:t>合同尾款全款，89-80分支付余款的95%，80分以下支付余款的90%。</w:t>
      </w:r>
    </w:p>
    <w:p w14:paraId="614CE907">
      <w:pPr>
        <w:autoSpaceDE w:val="0"/>
        <w:autoSpaceDN w:val="0"/>
        <w:adjustRightInd w:val="0"/>
        <w:snapToGrid w:val="0"/>
        <w:spacing w:line="360" w:lineRule="auto"/>
        <w:ind w:firstLine="420" w:firstLineChars="200"/>
        <w:rPr>
          <w:rFonts w:asciiTheme="minorEastAsia" w:hAnsiTheme="minorEastAsia"/>
          <w:color w:val="000000"/>
        </w:rPr>
      </w:pPr>
      <w:r>
        <w:rPr>
          <w:rFonts w:hint="eastAsia" w:asciiTheme="minorEastAsia" w:hAnsiTheme="minorEastAsia"/>
          <w:color w:val="000000"/>
        </w:rPr>
        <w:t>2、南京邮电大学校园网出口带宽服务考核要求</w:t>
      </w:r>
    </w:p>
    <w:tbl>
      <w:tblPr>
        <w:tblStyle w:val="44"/>
        <w:tblW w:w="10103" w:type="dxa"/>
        <w:tblInd w:w="-559" w:type="dxa"/>
        <w:tblLayout w:type="fixed"/>
        <w:tblCellMar>
          <w:top w:w="0" w:type="dxa"/>
          <w:left w:w="108" w:type="dxa"/>
          <w:bottom w:w="0" w:type="dxa"/>
          <w:right w:w="108" w:type="dxa"/>
        </w:tblCellMar>
      </w:tblPr>
      <w:tblGrid>
        <w:gridCol w:w="656"/>
        <w:gridCol w:w="777"/>
        <w:gridCol w:w="2462"/>
        <w:gridCol w:w="1931"/>
        <w:gridCol w:w="763"/>
        <w:gridCol w:w="817"/>
        <w:gridCol w:w="858"/>
        <w:gridCol w:w="763"/>
        <w:gridCol w:w="1076"/>
      </w:tblGrid>
      <w:tr w14:paraId="55C06B06">
        <w:tblPrEx>
          <w:tblCellMar>
            <w:top w:w="0" w:type="dxa"/>
            <w:left w:w="108" w:type="dxa"/>
            <w:bottom w:w="0" w:type="dxa"/>
            <w:right w:w="108" w:type="dxa"/>
          </w:tblCellMar>
        </w:tblPrEx>
        <w:trPr>
          <w:trHeight w:val="1474"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18B5">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大类</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51CF">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项目</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134C7">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服务内容描述</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2247F">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考核要求</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C76D4">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分值</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B7B83">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综合服务科评分</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06F0">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运行维护科评分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CAA11">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规划建设科评分</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760C3">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信息安全科评分</w:t>
            </w:r>
          </w:p>
        </w:tc>
      </w:tr>
      <w:tr w14:paraId="688F07A2">
        <w:tblPrEx>
          <w:tblCellMar>
            <w:top w:w="0" w:type="dxa"/>
            <w:left w:w="108" w:type="dxa"/>
            <w:bottom w:w="0" w:type="dxa"/>
            <w:right w:w="108" w:type="dxa"/>
          </w:tblCellMar>
        </w:tblPrEx>
        <w:trPr>
          <w:trHeight w:val="796" w:hRule="atLeast"/>
        </w:trPr>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72BAC">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服务承诺</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C4C98">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投诉响应</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8B6C">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（1）设立7×24小时集团客户投诉受理热线，向集团客户提供电话支持，受理集团客户的故障投诉。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F3BC">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响应及时性：技术咨询及支持服务响应不及时，一次扣2分；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7900">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FB196">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34319">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CBBF">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8C142">
            <w:pPr>
              <w:spacing w:line="360" w:lineRule="auto"/>
              <w:jc w:val="left"/>
              <w:rPr>
                <w:rFonts w:asciiTheme="minorEastAsia" w:hAnsiTheme="minorEastAsia" w:eastAsiaTheme="minorEastAsia" w:cstheme="minorEastAsia"/>
                <w:color w:val="000000"/>
                <w:sz w:val="20"/>
                <w:szCs w:val="20"/>
              </w:rPr>
            </w:pPr>
          </w:p>
        </w:tc>
      </w:tr>
      <w:tr w14:paraId="20FE8697">
        <w:tblPrEx>
          <w:tblCellMar>
            <w:top w:w="0" w:type="dxa"/>
            <w:left w:w="108" w:type="dxa"/>
            <w:bottom w:w="0" w:type="dxa"/>
            <w:right w:w="108" w:type="dxa"/>
          </w:tblCellMar>
        </w:tblPrEx>
        <w:trPr>
          <w:trHeight w:val="1059"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6F9FB">
            <w:pPr>
              <w:spacing w:line="360" w:lineRule="auto"/>
              <w:jc w:val="left"/>
              <w:rPr>
                <w:rFonts w:asciiTheme="minorEastAsia" w:hAnsiTheme="minorEastAsia" w:eastAsiaTheme="minorEastAsia" w:cstheme="minorEastAsia"/>
                <w:color w:val="000000"/>
                <w:sz w:val="20"/>
                <w:szCs w:val="20"/>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E775">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支撑响应</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550F6">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（2）设立7×24小时技术支撑热线，主要面向客户经理和集团客户投诉受理热线提供专业的技术支撑。</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87C1">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响应及时性：技术咨询及支持服务响应不及时，一次扣1分；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E7E82">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983D9">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DC0C">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A41BA">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051C">
            <w:pPr>
              <w:spacing w:line="360" w:lineRule="auto"/>
              <w:jc w:val="left"/>
              <w:rPr>
                <w:rFonts w:asciiTheme="minorEastAsia" w:hAnsiTheme="minorEastAsia" w:eastAsiaTheme="minorEastAsia" w:cstheme="minorEastAsia"/>
                <w:color w:val="000000"/>
                <w:sz w:val="20"/>
                <w:szCs w:val="20"/>
              </w:rPr>
            </w:pPr>
          </w:p>
        </w:tc>
      </w:tr>
      <w:tr w14:paraId="5C2F8487">
        <w:tblPrEx>
          <w:tblCellMar>
            <w:top w:w="0" w:type="dxa"/>
            <w:left w:w="108" w:type="dxa"/>
            <w:bottom w:w="0" w:type="dxa"/>
            <w:right w:w="108" w:type="dxa"/>
          </w:tblCellMar>
        </w:tblPrEx>
        <w:trPr>
          <w:trHeight w:val="2109"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8F942">
            <w:pPr>
              <w:spacing w:line="360" w:lineRule="auto"/>
              <w:jc w:val="left"/>
              <w:rPr>
                <w:rFonts w:asciiTheme="minorEastAsia" w:hAnsiTheme="minorEastAsia" w:eastAsiaTheme="minorEastAsia" w:cstheme="minorEastAsia"/>
                <w:color w:val="000000"/>
                <w:sz w:val="20"/>
                <w:szCs w:val="20"/>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857AA">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割接响应</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62515">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提供信息通告服务：若进行网络调整、割接、线路整改、版本升级等会影响客户业务正常使用的，提前3个工作日通知客户；如有不可控因素如市政建设、桥路迁改、自然灾害等重大安全隐患原因造成的紧急网络调整，则应至少提前1天通知客户。</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91914">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未提前按照要求通知校方，每次扣2分。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44CDF">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F36CE">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A2B9">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F273A">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7B25">
            <w:pPr>
              <w:spacing w:line="360" w:lineRule="auto"/>
              <w:jc w:val="left"/>
              <w:rPr>
                <w:rFonts w:asciiTheme="minorEastAsia" w:hAnsiTheme="minorEastAsia" w:eastAsiaTheme="minorEastAsia" w:cstheme="minorEastAsia"/>
                <w:color w:val="000000"/>
                <w:sz w:val="20"/>
                <w:szCs w:val="20"/>
              </w:rPr>
            </w:pPr>
          </w:p>
        </w:tc>
      </w:tr>
      <w:tr w14:paraId="0B4EAA54">
        <w:tblPrEx>
          <w:tblCellMar>
            <w:top w:w="0" w:type="dxa"/>
            <w:left w:w="108" w:type="dxa"/>
            <w:bottom w:w="0" w:type="dxa"/>
            <w:right w:w="108" w:type="dxa"/>
          </w:tblCellMar>
        </w:tblPrEx>
        <w:trPr>
          <w:trHeight w:val="248"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9D845">
            <w:pPr>
              <w:spacing w:line="360" w:lineRule="auto"/>
              <w:jc w:val="left"/>
              <w:rPr>
                <w:rFonts w:asciiTheme="minorEastAsia" w:hAnsiTheme="minorEastAsia" w:eastAsiaTheme="minorEastAsia" w:cstheme="minorEastAsia"/>
                <w:color w:val="000000"/>
                <w:sz w:val="20"/>
                <w:szCs w:val="20"/>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BDBA4">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日常巡检</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70CC6">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日常巡检：对业务运行情况开展主动性、预防性的检查，对涉及的设备告警、性能、运行状态进行检查分析，核对移动资产的客户端设备，对客户端网络资源进行预警，每年不少于1次。</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B3CB">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未按要求进行巡检，每次扣1分。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D2197">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B942A">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76DD">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2029">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CA9A2">
            <w:pPr>
              <w:spacing w:line="360" w:lineRule="auto"/>
              <w:jc w:val="left"/>
              <w:rPr>
                <w:rFonts w:asciiTheme="minorEastAsia" w:hAnsiTheme="minorEastAsia" w:eastAsiaTheme="minorEastAsia" w:cstheme="minorEastAsia"/>
                <w:color w:val="000000"/>
                <w:sz w:val="20"/>
                <w:szCs w:val="20"/>
              </w:rPr>
            </w:pPr>
          </w:p>
        </w:tc>
      </w:tr>
      <w:tr w14:paraId="69A3F398">
        <w:tblPrEx>
          <w:tblCellMar>
            <w:top w:w="0" w:type="dxa"/>
            <w:left w:w="108" w:type="dxa"/>
            <w:bottom w:w="0" w:type="dxa"/>
            <w:right w:w="108" w:type="dxa"/>
          </w:tblCellMar>
        </w:tblPrEx>
        <w:trPr>
          <w:trHeight w:val="796" w:hRule="atLeast"/>
        </w:trPr>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B8E47B">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网络故障</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B9CC0">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网络可用性</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1023">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网络可用性为99.9%，即每月不可用时间少于43分钟，具体以合同为准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F966">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当月的网络可用性低于要求，当月扣2分。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9A40">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9DEBF">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33A9">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CDF7">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13B8">
            <w:pPr>
              <w:spacing w:line="360" w:lineRule="auto"/>
              <w:jc w:val="left"/>
              <w:rPr>
                <w:rFonts w:asciiTheme="minorEastAsia" w:hAnsiTheme="minorEastAsia" w:eastAsiaTheme="minorEastAsia" w:cstheme="minorEastAsia"/>
                <w:color w:val="000000"/>
                <w:sz w:val="20"/>
                <w:szCs w:val="20"/>
              </w:rPr>
            </w:pPr>
          </w:p>
        </w:tc>
      </w:tr>
      <w:tr w14:paraId="5490DF8B">
        <w:tblPrEx>
          <w:tblCellMar>
            <w:top w:w="0" w:type="dxa"/>
            <w:left w:w="108" w:type="dxa"/>
            <w:bottom w:w="0" w:type="dxa"/>
            <w:right w:w="108" w:type="dxa"/>
          </w:tblCellMar>
        </w:tblPrEx>
        <w:trPr>
          <w:trHeight w:val="796"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3F588">
            <w:pPr>
              <w:spacing w:line="360" w:lineRule="auto"/>
              <w:jc w:val="left"/>
              <w:rPr>
                <w:rFonts w:asciiTheme="minorEastAsia" w:hAnsiTheme="minorEastAsia" w:eastAsiaTheme="minorEastAsia" w:cstheme="minorEastAsia"/>
                <w:color w:val="000000"/>
                <w:sz w:val="20"/>
                <w:szCs w:val="20"/>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7C030">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故障率</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E4924">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保障网络质量，确保网络的稳定性和可靠性，故障重复发生次数不大于4次</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3352D">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当月的网络质量低于要求，当月扣2分。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0BC69">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9EBF1">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CBC15">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C5DD3">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417D">
            <w:pPr>
              <w:spacing w:line="360" w:lineRule="auto"/>
              <w:jc w:val="left"/>
              <w:rPr>
                <w:rFonts w:asciiTheme="minorEastAsia" w:hAnsiTheme="minorEastAsia" w:eastAsiaTheme="minorEastAsia" w:cstheme="minorEastAsia"/>
                <w:color w:val="000000"/>
                <w:sz w:val="20"/>
                <w:szCs w:val="20"/>
              </w:rPr>
            </w:pPr>
          </w:p>
        </w:tc>
      </w:tr>
      <w:tr w14:paraId="1E4F4DD9">
        <w:tblPrEx>
          <w:tblCellMar>
            <w:top w:w="0" w:type="dxa"/>
            <w:left w:w="108" w:type="dxa"/>
            <w:bottom w:w="0" w:type="dxa"/>
            <w:right w:w="108" w:type="dxa"/>
          </w:tblCellMar>
        </w:tblPrEx>
        <w:trPr>
          <w:trHeight w:val="1584"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A7E09">
            <w:pPr>
              <w:spacing w:line="360" w:lineRule="auto"/>
              <w:jc w:val="left"/>
              <w:rPr>
                <w:rFonts w:asciiTheme="minorEastAsia" w:hAnsiTheme="minorEastAsia" w:eastAsiaTheme="minorEastAsia" w:cstheme="minorEastAsia"/>
                <w:color w:val="000000"/>
                <w:sz w:val="20"/>
                <w:szCs w:val="20"/>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C328C">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故障响应</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DB853">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对于一般故障、严重故障和重大故障的处理流程和要求进行故障处理：一般故障在120分钟内解决；严重故障和重大故障应在30分钟内解决，故障持续30分钟内必须到现场处理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E249E">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故障响应及时性，出现未按要求的情况，每次扣1分；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7D46B">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50318">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F9B29">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7B59">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BB6D">
            <w:pPr>
              <w:spacing w:line="360" w:lineRule="auto"/>
              <w:jc w:val="left"/>
              <w:rPr>
                <w:rFonts w:asciiTheme="minorEastAsia" w:hAnsiTheme="minorEastAsia" w:eastAsiaTheme="minorEastAsia" w:cstheme="minorEastAsia"/>
                <w:color w:val="000000"/>
                <w:sz w:val="20"/>
                <w:szCs w:val="20"/>
              </w:rPr>
            </w:pPr>
          </w:p>
        </w:tc>
      </w:tr>
      <w:tr w14:paraId="3F349A5F">
        <w:tblPrEx>
          <w:tblCellMar>
            <w:top w:w="0" w:type="dxa"/>
            <w:left w:w="108" w:type="dxa"/>
            <w:bottom w:w="0" w:type="dxa"/>
            <w:right w:w="108" w:type="dxa"/>
          </w:tblCellMar>
        </w:tblPrEx>
        <w:trPr>
          <w:trHeight w:val="796"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6C50A">
            <w:pPr>
              <w:spacing w:line="360" w:lineRule="auto"/>
              <w:jc w:val="left"/>
              <w:rPr>
                <w:rFonts w:asciiTheme="minorEastAsia" w:hAnsiTheme="minorEastAsia" w:eastAsiaTheme="minorEastAsia" w:cstheme="minorEastAsia"/>
                <w:color w:val="000000"/>
                <w:sz w:val="20"/>
                <w:szCs w:val="20"/>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2E11">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故障类问题处理</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5BEC9">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出现故障投诉，在30分钟联系客户，响应故障解决进度</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2AC3B">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故障响应及时性，出现未按要求的情况，每次扣1分；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480A">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C7049">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03507">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39D7">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3EBFC">
            <w:pPr>
              <w:spacing w:line="360" w:lineRule="auto"/>
              <w:jc w:val="left"/>
              <w:rPr>
                <w:rFonts w:asciiTheme="minorEastAsia" w:hAnsiTheme="minorEastAsia" w:eastAsiaTheme="minorEastAsia" w:cstheme="minorEastAsia"/>
                <w:color w:val="000000"/>
                <w:sz w:val="20"/>
                <w:szCs w:val="20"/>
              </w:rPr>
            </w:pPr>
          </w:p>
        </w:tc>
      </w:tr>
      <w:tr w14:paraId="7CC4F2FD">
        <w:tblPrEx>
          <w:tblCellMar>
            <w:top w:w="0" w:type="dxa"/>
            <w:left w:w="108" w:type="dxa"/>
            <w:bottom w:w="0" w:type="dxa"/>
            <w:right w:w="108" w:type="dxa"/>
          </w:tblCellMar>
        </w:tblPrEx>
        <w:trPr>
          <w:trHeight w:val="73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07C9F">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生产安全</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A69D">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生产安全</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2A0F">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严格履行法律赋予的安全生产职责，严格按照国家安全生产法律法规、行业标准和上级部署要求，全面做好安全生产管理工作，确保不发生安全生产事故</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2E6C">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出现一次不符合安全生产的施工情况，扣2分。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FF7BB">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20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A137">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27F90">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BE9EA">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3B11">
            <w:pPr>
              <w:spacing w:line="360" w:lineRule="auto"/>
              <w:jc w:val="left"/>
              <w:rPr>
                <w:rFonts w:asciiTheme="minorEastAsia" w:hAnsiTheme="minorEastAsia" w:eastAsiaTheme="minorEastAsia" w:cstheme="minorEastAsia"/>
                <w:color w:val="000000"/>
                <w:sz w:val="20"/>
                <w:szCs w:val="20"/>
              </w:rPr>
            </w:pPr>
          </w:p>
        </w:tc>
      </w:tr>
      <w:tr w14:paraId="2EA47CF6">
        <w:tblPrEx>
          <w:tblCellMar>
            <w:top w:w="0" w:type="dxa"/>
            <w:left w:w="108" w:type="dxa"/>
            <w:bottom w:w="0" w:type="dxa"/>
            <w:right w:w="108" w:type="dxa"/>
          </w:tblCellMar>
        </w:tblPrEx>
        <w:trPr>
          <w:trHeight w:val="1059" w:hRule="atLeast"/>
        </w:trPr>
        <w:tc>
          <w:tcPr>
            <w:tcW w:w="6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F14838">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奖惩考核</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BFDB">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奖励</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14C9">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服务期内，存在超出合同范围或高出合同要求的突出表现。</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2FFD">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在应急、抢险、突发性故障处理或协助中有突出表现，可酌情加分，最高10分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13E7B">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10</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2BEE5">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B46E2">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998BB">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4A7C">
            <w:pPr>
              <w:spacing w:line="360" w:lineRule="auto"/>
              <w:jc w:val="left"/>
              <w:rPr>
                <w:rFonts w:asciiTheme="minorEastAsia" w:hAnsiTheme="minorEastAsia" w:eastAsiaTheme="minorEastAsia" w:cstheme="minorEastAsia"/>
                <w:color w:val="000000"/>
                <w:sz w:val="20"/>
                <w:szCs w:val="20"/>
              </w:rPr>
            </w:pPr>
          </w:p>
        </w:tc>
      </w:tr>
      <w:tr w14:paraId="5B77F5ED">
        <w:tblPrEx>
          <w:tblCellMar>
            <w:top w:w="0" w:type="dxa"/>
            <w:left w:w="108" w:type="dxa"/>
            <w:bottom w:w="0" w:type="dxa"/>
            <w:right w:w="108" w:type="dxa"/>
          </w:tblCellMar>
        </w:tblPrEx>
        <w:trPr>
          <w:trHeight w:val="1067" w:hRule="atLeast"/>
        </w:trPr>
        <w:tc>
          <w:tcPr>
            <w:tcW w:w="6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755E4">
            <w:pPr>
              <w:spacing w:line="360" w:lineRule="auto"/>
              <w:jc w:val="left"/>
              <w:rPr>
                <w:rFonts w:asciiTheme="minorEastAsia" w:hAnsiTheme="minorEastAsia" w:eastAsiaTheme="minorEastAsia" w:cstheme="minorEastAsia"/>
                <w:color w:val="000000"/>
                <w:sz w:val="20"/>
                <w:szCs w:val="20"/>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7F4F6">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投诉</w:t>
            </w:r>
          </w:p>
        </w:tc>
        <w:tc>
          <w:tcPr>
            <w:tcW w:w="2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11600">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因产品或者服务存在质量问题引起投诉。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6CC4A">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造成用户重大投诉事件（领导级次扣5分，部门级一次扣3分，网络中心级一次扣2分，最高5分）</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A74AA">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5</w:t>
            </w: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36E3">
            <w:pPr>
              <w:spacing w:line="360" w:lineRule="auto"/>
              <w:jc w:val="left"/>
              <w:rPr>
                <w:rFonts w:asciiTheme="minorEastAsia" w:hAnsiTheme="minorEastAsia" w:eastAsiaTheme="minorEastAsia" w:cstheme="minorEastAsia"/>
                <w:color w:val="000000"/>
                <w:sz w:val="20"/>
                <w:szCs w:val="20"/>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9D8D">
            <w:pPr>
              <w:spacing w:line="360" w:lineRule="auto"/>
              <w:jc w:val="left"/>
              <w:rPr>
                <w:rFonts w:asciiTheme="minorEastAsia" w:hAnsiTheme="minorEastAsia" w:eastAsiaTheme="minorEastAsia" w:cstheme="minorEastAsia"/>
                <w:color w:val="000000"/>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4B72E">
            <w:pPr>
              <w:spacing w:line="360" w:lineRule="auto"/>
              <w:jc w:val="left"/>
              <w:rPr>
                <w:rFonts w:asciiTheme="minorEastAsia" w:hAnsiTheme="minorEastAsia" w:eastAsiaTheme="minorEastAsia" w:cstheme="minorEastAsia"/>
                <w:color w:val="000000"/>
                <w:sz w:val="20"/>
                <w:szCs w:val="20"/>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1DD7A">
            <w:pPr>
              <w:spacing w:line="360" w:lineRule="auto"/>
              <w:jc w:val="left"/>
              <w:rPr>
                <w:rFonts w:asciiTheme="minorEastAsia" w:hAnsiTheme="minorEastAsia" w:eastAsiaTheme="minorEastAsia" w:cstheme="minorEastAsia"/>
                <w:color w:val="000000"/>
                <w:sz w:val="20"/>
                <w:szCs w:val="20"/>
              </w:rPr>
            </w:pPr>
          </w:p>
        </w:tc>
      </w:tr>
    </w:tbl>
    <w:p w14:paraId="23BF3080">
      <w:pPr>
        <w:pStyle w:val="13"/>
      </w:pPr>
    </w:p>
    <w:p w14:paraId="2023FCAE">
      <w:r>
        <w:br w:type="page"/>
      </w:r>
    </w:p>
    <w:p w14:paraId="63324B00">
      <w:pPr>
        <w:pStyle w:val="261"/>
        <w:rPr>
          <w:rFonts w:asciiTheme="minorEastAsia" w:hAnsiTheme="minorEastAsia" w:eastAsiaTheme="minorEastAsia" w:cstheme="minorEastAsia"/>
          <w:b/>
          <w:bCs/>
        </w:rPr>
      </w:pPr>
      <w:r>
        <w:rPr>
          <w:rFonts w:hint="eastAsia" w:asciiTheme="minorEastAsia" w:hAnsiTheme="minorEastAsia" w:eastAsiaTheme="minorEastAsia" w:cstheme="minorEastAsia"/>
          <w:b/>
          <w:bCs/>
        </w:rPr>
        <w:t>第五章  合同主要条款及格式</w:t>
      </w:r>
    </w:p>
    <w:p w14:paraId="4B9D15F1">
      <w:pPr>
        <w:spacing w:line="360" w:lineRule="auto"/>
        <w:ind w:firstLine="420" w:firstLineChars="200"/>
        <w:contextualSpacing/>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以下为中标后签订本项目合同的通用条款，中标供应商不得提出实质性的修改，关于专用条款将由项目使用单位与中标供应商结合本项目具体情况协商后签订。</w:t>
      </w:r>
    </w:p>
    <w:p w14:paraId="53EA1C7A">
      <w:pPr>
        <w:spacing w:line="360" w:lineRule="auto"/>
        <w:ind w:firstLine="420" w:firstLineChars="20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宽带用户接入协议</w:t>
      </w:r>
    </w:p>
    <w:p w14:paraId="2F9E53B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本协议于     年  月  日在                 签订。</w:t>
      </w:r>
    </w:p>
    <w:p w14:paraId="1CC184D7">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签约双方为：</w:t>
      </w:r>
    </w:p>
    <w:p w14:paraId="081D828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甲方：[南京邮电大学 ]</w:t>
      </w:r>
    </w:p>
    <w:p w14:paraId="547C3B3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地址：[南京市栖霞区文苑路9号 ]</w:t>
      </w:r>
    </w:p>
    <w:p w14:paraId="132427AB">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法定代表人/负责人：</w:t>
      </w:r>
    </w:p>
    <w:p w14:paraId="2167772D">
      <w:pPr>
        <w:spacing w:line="360" w:lineRule="auto"/>
        <w:ind w:firstLine="420" w:firstLineChars="200"/>
        <w:rPr>
          <w:rFonts w:asciiTheme="minorEastAsia" w:hAnsiTheme="minorEastAsia" w:eastAsiaTheme="minorEastAsia" w:cstheme="minorEastAsia"/>
          <w:szCs w:val="21"/>
        </w:rPr>
      </w:pPr>
    </w:p>
    <w:p w14:paraId="59A3034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w:t>
      </w:r>
    </w:p>
    <w:p w14:paraId="7A11E053">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w:t>
      </w:r>
      <w:bookmarkStart w:id="10" w:name="OLE_LINK33"/>
      <w:bookmarkStart w:id="11" w:name="OLE_LINK32"/>
      <w:r>
        <w:rPr>
          <w:rFonts w:hint="eastAsia" w:asciiTheme="minorEastAsia" w:hAnsiTheme="minorEastAsia" w:eastAsiaTheme="minorEastAsia" w:cstheme="minorEastAsia"/>
          <w:szCs w:val="21"/>
        </w:rPr>
        <w:t>[]</w:t>
      </w:r>
      <w:bookmarkEnd w:id="10"/>
      <w:bookmarkEnd w:id="11"/>
    </w:p>
    <w:p w14:paraId="76DB60C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法定代表人/负责人：[]</w:t>
      </w:r>
    </w:p>
    <w:p w14:paraId="5A7FF4F2">
      <w:pPr>
        <w:spacing w:line="360" w:lineRule="auto"/>
        <w:ind w:firstLine="420" w:firstLineChars="200"/>
        <w:rPr>
          <w:rFonts w:asciiTheme="minorEastAsia" w:hAnsiTheme="minorEastAsia" w:eastAsiaTheme="minorEastAsia" w:cstheme="minorEastAsia"/>
          <w:szCs w:val="21"/>
        </w:rPr>
      </w:pPr>
    </w:p>
    <w:p w14:paraId="127D1A7F">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为维护甲乙双方利益，根据相关法律、法规的规定，双方在平等、自愿、公平、诚实互信的基础上，就乙方为甲方提供宽带接入服务的相关事宜达成如下协议：</w:t>
      </w:r>
    </w:p>
    <w:p w14:paraId="44876F7C">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第一条 服务内容</w:t>
      </w:r>
    </w:p>
    <w:p w14:paraId="148BB486">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乙方向甲方开放互联网端口和通道，提供4G专线方式宽带</w:t>
      </w:r>
      <w:bookmarkStart w:id="12" w:name="OLE_LINK53"/>
      <w:bookmarkStart w:id="13" w:name="OLE_LINK54"/>
      <w:r>
        <w:rPr>
          <w:rFonts w:hint="eastAsia" w:asciiTheme="minorEastAsia" w:hAnsiTheme="minorEastAsia" w:eastAsiaTheme="minorEastAsia" w:cstheme="minorEastAsia"/>
          <w:szCs w:val="21"/>
        </w:rPr>
        <w:t>、（□共享/□独享）光纤直接接入</w:t>
      </w:r>
      <w:bookmarkEnd w:id="12"/>
      <w:bookmarkEnd w:id="13"/>
      <w:r>
        <w:rPr>
          <w:rFonts w:hint="eastAsia" w:asciiTheme="minorEastAsia" w:hAnsiTheme="minorEastAsia" w:eastAsiaTheme="minorEastAsia" w:cstheme="minorEastAsia"/>
          <w:szCs w:val="21"/>
        </w:rPr>
        <w:t>，月使用费为[]元/月（上下行速率均为4G、</w:t>
      </w:r>
      <w:bookmarkStart w:id="14" w:name="OLE_LINK39"/>
      <w:bookmarkStart w:id="15" w:name="OLE_LINK38"/>
      <w:r>
        <w:rPr>
          <w:rFonts w:hint="eastAsia" w:asciiTheme="minorEastAsia" w:hAnsiTheme="minorEastAsia" w:eastAsiaTheme="minorEastAsia" w:cstheme="minorEastAsia"/>
          <w:szCs w:val="21"/>
        </w:rPr>
        <w:t>[]</w:t>
      </w:r>
      <w:bookmarkEnd w:id="14"/>
      <w:bookmarkEnd w:id="15"/>
      <w:r>
        <w:rPr>
          <w:rFonts w:hint="eastAsia" w:asciiTheme="minorEastAsia" w:hAnsiTheme="minorEastAsia" w:eastAsiaTheme="minorEastAsia" w:cstheme="minorEastAsia"/>
          <w:szCs w:val="21"/>
        </w:rPr>
        <w:t>个静态公网IP地址）给甲方使用。甲方可以通过该端口和传输线路，实现互联网接入，具体业务范围是宽带上网，接入地点为[]</w:t>
      </w:r>
    </w:p>
    <w:p w14:paraId="2027EB86">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第二条 付费方式及标准</w:t>
      </w:r>
    </w:p>
    <w:p w14:paraId="518B2747">
      <w:pPr>
        <w:autoSpaceDE w:val="0"/>
        <w:autoSpaceDN w:val="0"/>
        <w:adjustRightInd w:val="0"/>
        <w:snapToGrid w:val="0"/>
        <w:spacing w:line="360" w:lineRule="auto"/>
        <w:ind w:firstLine="420" w:firstLineChars="200"/>
        <w:rPr>
          <w:rFonts w:asciiTheme="minorEastAsia" w:hAnsiTheme="minorEastAsia"/>
          <w:color w:val="000000"/>
        </w:rPr>
      </w:pPr>
      <w:r>
        <w:rPr>
          <w:rFonts w:hint="eastAsia" w:asciiTheme="minorEastAsia" w:hAnsiTheme="minorEastAsia" w:eastAsiaTheme="minorEastAsia" w:cstheme="minorEastAsia"/>
          <w:szCs w:val="21"/>
        </w:rPr>
        <w:t>2.1</w:t>
      </w:r>
      <w:bookmarkStart w:id="16" w:name="OLE_LINK24"/>
      <w:bookmarkStart w:id="17" w:name="OLE_LINK23"/>
      <w:r>
        <w:rPr>
          <w:rFonts w:hint="eastAsia" w:asciiTheme="minorEastAsia" w:hAnsiTheme="minorEastAsia"/>
          <w:color w:val="000000"/>
        </w:rPr>
        <w:t>合同签订后开通之日起，次月支付当年合同金额的50%；余款在合同期满后根据线路整体服务考核情况支付，具体考核要求详见附件《南京邮电大学校园网出口带宽服务考核要求》：总分100分，</w:t>
      </w:r>
      <w:r>
        <w:rPr>
          <w:rFonts w:asciiTheme="minorEastAsia" w:hAnsiTheme="minorEastAsia"/>
          <w:color w:val="000000"/>
        </w:rPr>
        <w:t>甲方将对乙方的服务质量进行考评，评分90分及以上</w:t>
      </w:r>
      <w:r>
        <w:rPr>
          <w:rFonts w:hint="eastAsia" w:asciiTheme="minorEastAsia" w:hAnsiTheme="minorEastAsia"/>
          <w:color w:val="000000"/>
        </w:rPr>
        <w:t>支付</w:t>
      </w:r>
      <w:r>
        <w:rPr>
          <w:rFonts w:asciiTheme="minorEastAsia" w:hAnsiTheme="minorEastAsia"/>
          <w:color w:val="000000"/>
        </w:rPr>
        <w:t>合同尾款全款，89-80分支付余款的95%，80分以下支付余款的90%。</w:t>
      </w:r>
    </w:p>
    <w:p w14:paraId="26A505B6">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付款前乙方须提供增值税普通发票。</w:t>
      </w:r>
      <w:bookmarkEnd w:id="16"/>
      <w:bookmarkEnd w:id="17"/>
    </w:p>
    <w:p w14:paraId="710D396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2.2结算方式可采用以下形式：□银行托收 </w:t>
      </w:r>
    </w:p>
    <w:p w14:paraId="4EFABD5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甲方账户信息如下：</w:t>
      </w:r>
    </w:p>
    <w:p w14:paraId="40D2B652">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开户行：[  ]</w:t>
      </w:r>
    </w:p>
    <w:p w14:paraId="12990C9E">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银行地址：[  ]</w:t>
      </w:r>
    </w:p>
    <w:p w14:paraId="772E72F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户名：[  ]</w:t>
      </w:r>
    </w:p>
    <w:p w14:paraId="12EA3FDD">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账号：[  ]</w:t>
      </w:r>
    </w:p>
    <w:p w14:paraId="09C61D87">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纳税人识别号：[  ]</w:t>
      </w:r>
    </w:p>
    <w:p w14:paraId="5674077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  ]</w:t>
      </w:r>
    </w:p>
    <w:p w14:paraId="38848A66">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电话：[     ] </w:t>
      </w:r>
    </w:p>
    <w:p w14:paraId="23785AB2">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乙方信息如下：</w:t>
      </w:r>
    </w:p>
    <w:p w14:paraId="6E366EDE">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开户行：[  ]</w:t>
      </w:r>
    </w:p>
    <w:p w14:paraId="5609EE5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银行地址：[  ]</w:t>
      </w:r>
    </w:p>
    <w:p w14:paraId="6734535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户名：[  ]</w:t>
      </w:r>
    </w:p>
    <w:p w14:paraId="20EF9C2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账号：[  ]</w:t>
      </w:r>
    </w:p>
    <w:p w14:paraId="68AEE27E">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纳税人识别号：[  ]</w:t>
      </w:r>
    </w:p>
    <w:p w14:paraId="44246E4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  ]</w:t>
      </w:r>
    </w:p>
    <w:p w14:paraId="03F42136">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电话：[  ] </w:t>
      </w:r>
    </w:p>
    <w:p w14:paraId="77BBF4E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2.3本次不收取网络接入费用。</w:t>
      </w:r>
    </w:p>
    <w:p w14:paraId="43D6E1F7">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2.4终端及内部局域网设备由甲方自备。</w:t>
      </w:r>
    </w:p>
    <w:p w14:paraId="4FA86096">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2.5如遇乙方资费调整，则乙方和甲方书面协商一致后，按新资费执行。如双方协商未能达成一致意见，在本协议期内按本协议约定资费继续履行，协议期满后，如双方未达成一致，本协议不再顺延。</w:t>
      </w:r>
    </w:p>
    <w:p w14:paraId="6EC00E41">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第三条 双方的权利和义务</w:t>
      </w:r>
    </w:p>
    <w:p w14:paraId="49F80FB8">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（一）甲方的权利和义务</w:t>
      </w:r>
    </w:p>
    <w:p w14:paraId="32FF5483">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1、甲方应在使用乙方提供业务的同时，协同乙方共同维护网络的正常运行。</w:t>
      </w:r>
    </w:p>
    <w:p w14:paraId="60AC62B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2、甲方应指定相关人员配合乙方的业务施工，联系人姓名：       联系电话：。</w:t>
      </w:r>
    </w:p>
    <w:p w14:paraId="3419D60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3、甲方自行负责其内部网络的建设和维护，包括涉及本项目甲方侧的所有网络设备、系统调试、开通、系统维护的工作和费用。</w:t>
      </w:r>
    </w:p>
    <w:p w14:paraId="4F26A5B3">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由甲方提供通信方式与乙方互联网接入网络设备互连，并负责承担该通信线路引起的申请、租用等所有相关费用。甲方在协议约定的范围内，利用乙方的互联网通道实现互联网接入。甲方不得利用所租端口进行非法电信经营业务。如甲方违反本条款规定义务，乙方有权单方面解除协议。</w:t>
      </w:r>
    </w:p>
    <w:p w14:paraId="330D87A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甲方保证接入后不影响乙方现有互联网网络的正常运行，对由此引起的乙方系统故障承担相应的责任。甲方有责任在访问乙方通信平台时，不产生任何危害网络安全的超负荷流量。甲方在合作期内服从乙方在紧急情况下，为保证互联网服务正常稳定，而对互联网访问量做出的调整安排。</w:t>
      </w:r>
    </w:p>
    <w:p w14:paraId="57665BF2">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6、乙方放置在甲方处的通信设备是乙方通信网的一部分，甲方同意乙方利用该设备服务周边用户，并且不得阻止和妨碍乙方为周边用户的工程进行施工。</w:t>
      </w:r>
    </w:p>
    <w:p w14:paraId="4D871522">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7、甲方在使用互联网专线过程中因自身行为引发的任何责任，由甲方自行承担。</w:t>
      </w:r>
    </w:p>
    <w:p w14:paraId="33389E77">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8、甲方保证遵守国家有关法律、法规，不传播非法内容或泄露国家机密，不允许操作国家及工业和信息化部不允许的业务等，否则，甲方将承担其行为所引发的一切责任。</w:t>
      </w:r>
    </w:p>
    <w:p w14:paraId="3CA5F48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甲方如果改变业务的用途，需要提前通知乙方并重新签署业务合作协议。如发现甲方擅自改变业务的用途或者业务设置，违反国家及工业和信息化部的相关规定，乙方有权立即暂停甲方的互联网专线业务，甲方有义务立即整改并配合乙方及相关部门追查出现问题的原因和责任人。甲方如不整改，乙方有权提前终止合同，并要求甲方承担违约责任。</w:t>
      </w:r>
    </w:p>
    <w:p w14:paraId="31A36731">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（二）乙方的权利和义务</w:t>
      </w:r>
    </w:p>
    <w:p w14:paraId="3D6F773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1、乙方负责其内部网络及和甲方之间传输线路的设备购买、建设、调试和维护工作。</w:t>
      </w:r>
    </w:p>
    <w:p w14:paraId="0276982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2、乙方将为甲方指定专门的联系人（姓名：        ，联系电话：      ），提供相应的服务。</w:t>
      </w:r>
    </w:p>
    <w:p w14:paraId="6C069946">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3、乙方负责和甲方网络设备的联调、业务开通工作，提供24小时业务咨询及保障热线。</w:t>
      </w:r>
    </w:p>
    <w:p w14:paraId="40F0E44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乙方负责其通讯传输系统的维护，维护分界点为乙方投入传输设备端口，分界点至核心网络部分由乙方负责维护，分界点至甲方终端线路和设备属甲方内网由甲方自行维护；乙方实施的综合布线可免费维保1年，免费维保期满后由甲方自行维护；乙方投入的路由器和交换机设备产权归乙方所有，由甲方自行负责相应的数据配置和维护。</w:t>
      </w:r>
    </w:p>
    <w:p w14:paraId="2D0BEC0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5、乙方由于系统平台升级等技术原因，可能导致对甲方使用有重大影响的变动时，须及时公告或通知甲方。</w:t>
      </w:r>
    </w:p>
    <w:p w14:paraId="3970553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6、对于任何影响乙方网络运行安全的不正常的超负荷、大批量互联网访问，乙方保留限制其传送和根据互联网网络容量及时调整互联网访问流量的权利。</w:t>
      </w:r>
    </w:p>
    <w:p w14:paraId="4AA5EC6C">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7、乙方有权向甲方按时收取相关费用，如果甲方不按时交纳相关费用，乙方有权暂停甲方业务，如甲方迟延交费超过1个月期限，乙方有权提前解除合同。</w:t>
      </w:r>
    </w:p>
    <w:p w14:paraId="679E121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第四条 工期</w:t>
      </w:r>
    </w:p>
    <w:p w14:paraId="47E69FE6">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4.1自本协议签字生效后15日，乙方负责完成甲方宽带接入工程。如因甲方原因或遇不可抗力因素，期限顺延。</w:t>
      </w:r>
    </w:p>
    <w:p w14:paraId="0B86CFEE">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4.2如因甲方条件不具备而延误宽带接入业务开通的，乙方不承担责任。</w:t>
      </w:r>
    </w:p>
    <w:p w14:paraId="32B540A3">
      <w:pPr>
        <w:spacing w:line="360" w:lineRule="auto"/>
        <w:ind w:firstLine="422" w:firstLineChars="200"/>
        <w:rPr>
          <w:rFonts w:asciiTheme="minorEastAsia" w:hAnsiTheme="minorEastAsia" w:eastAsiaTheme="minorEastAsia" w:cstheme="minorEastAsia"/>
          <w:b/>
          <w:bCs/>
          <w:szCs w:val="21"/>
        </w:rPr>
      </w:pPr>
      <w:bookmarkStart w:id="18" w:name="OLE_LINK66"/>
      <w:bookmarkStart w:id="19" w:name="OLE_LINK65"/>
      <w:r>
        <w:rPr>
          <w:rFonts w:hint="eastAsia" w:asciiTheme="minorEastAsia" w:hAnsiTheme="minorEastAsia" w:eastAsiaTheme="minorEastAsia" w:cstheme="minorEastAsia"/>
          <w:b/>
          <w:bCs/>
          <w:szCs w:val="21"/>
        </w:rPr>
        <w:t>第五条</w:t>
      </w:r>
      <w:bookmarkEnd w:id="18"/>
      <w:bookmarkEnd w:id="19"/>
      <w:r>
        <w:rPr>
          <w:rFonts w:hint="eastAsia" w:asciiTheme="minorEastAsia" w:hAnsiTheme="minorEastAsia" w:eastAsiaTheme="minorEastAsia" w:cstheme="minorEastAsia"/>
          <w:b/>
          <w:bCs/>
          <w:szCs w:val="21"/>
        </w:rPr>
        <w:t xml:space="preserve"> 保密条款</w:t>
      </w:r>
    </w:p>
    <w:p w14:paraId="0C802F3E">
      <w:pPr>
        <w:spacing w:line="360" w:lineRule="auto"/>
        <w:ind w:firstLine="420" w:firstLineChars="200"/>
        <w:rPr>
          <w:rFonts w:asciiTheme="minorEastAsia" w:hAnsiTheme="minorEastAsia" w:eastAsiaTheme="minorEastAsia" w:cstheme="minorEastAsia"/>
          <w:szCs w:val="21"/>
        </w:rPr>
      </w:pPr>
      <w:bookmarkStart w:id="20" w:name="OLE_LINK59"/>
      <w:bookmarkStart w:id="21" w:name="OLE_LINK60"/>
      <w:r>
        <w:rPr>
          <w:rFonts w:hint="eastAsia" w:asciiTheme="minorEastAsia" w:hAnsiTheme="minorEastAsia" w:eastAsiaTheme="minorEastAsia" w:cstheme="minorEastAsia"/>
          <w:szCs w:val="21"/>
        </w:rPr>
        <w:t>未经他方书面许可，任何一方不得将其持有的有关另一方的事务或其事务运行操作方法等保密信息向协议以外的第三方或公众透露，且不得对保密信息进行拷贝和抄写。法律规定的情况除外。</w:t>
      </w:r>
      <w:bookmarkEnd w:id="20"/>
      <w:bookmarkEnd w:id="21"/>
    </w:p>
    <w:p w14:paraId="4B002C68">
      <w:pPr>
        <w:spacing w:line="360" w:lineRule="auto"/>
        <w:ind w:firstLine="422"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第六条 免责条款</w:t>
      </w:r>
    </w:p>
    <w:p w14:paraId="200BDFC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于不可抗力原因，致使任何一方不能履行其在本协议项下的义务，该方不承担由此而给他方造成的损失。但该方应在不可抗力发生后15日内将相关情况告诉对方，并提供有关部门的证明。在不可抗力消除后的合理时间内，一方或双方应当继续履行协议。</w:t>
      </w:r>
    </w:p>
    <w:p w14:paraId="0CCA60D7">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第七条 违约责任</w:t>
      </w:r>
    </w:p>
    <w:p w14:paraId="4A0A8DB2">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一方未履行或不适当履行本协议项下的任何一项条款均被视为违约。任何一方在收到对方的具体说明违约情况的书面通知后，如确认行为实际存在，则应在20日内对违约行为予以纠正并书面通知对方；如认为违约行为不存在，则应在20日内向对方提出书面异议或说明，在此情况下，甲乙双方可就此问题进行协商，协商不成的，按本协议争议条款解决。违约方应承担违约责任。如一方在收到对方的具体说明违约情况的书面通知后20日内没有向对方作任何书面回复，视为认可该违约情况。</w:t>
      </w:r>
    </w:p>
    <w:p w14:paraId="5A848A89">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第八条 合同期限</w:t>
      </w:r>
    </w:p>
    <w:p w14:paraId="28794E9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服务期为三年，自xxxx年x月x日起至xxxx年x月x日终止。合同一年一签，本合同期限自xxxx年x月x日起至xxxx年x月x日。</w:t>
      </w:r>
    </w:p>
    <w:p w14:paraId="17617F4E">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第九条 法律适用和争议解决</w:t>
      </w:r>
    </w:p>
    <w:p w14:paraId="65FAA95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9.1本合同适用中华人民共和国法律。</w:t>
      </w:r>
    </w:p>
    <w:p w14:paraId="3F96812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9.2在协议执行期间，如果各方发生争议，应友好协商解决。如果协商不成，各方同意通过提交乙方所在地人民法院裁决。</w:t>
      </w:r>
    </w:p>
    <w:p w14:paraId="1A4342D5">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第十条 其他</w:t>
      </w:r>
    </w:p>
    <w:p w14:paraId="25247E3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10.1本协议未尽事宜，双方另行协商解决。双方协商一致时，可对本协议进行修改和签定补充协议或备忘录。</w:t>
      </w:r>
    </w:p>
    <w:p w14:paraId="25BD15D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10.2本协议一式[]份，甲方执[]份，乙方执</w:t>
      </w:r>
      <w:bookmarkStart w:id="22" w:name="OLE_LINK13"/>
      <w:bookmarkStart w:id="23" w:name="OLE_LINK18"/>
      <w:r>
        <w:rPr>
          <w:rFonts w:hint="eastAsia" w:asciiTheme="minorEastAsia" w:hAnsiTheme="minorEastAsia" w:eastAsiaTheme="minorEastAsia" w:cstheme="minorEastAsia"/>
          <w:szCs w:val="21"/>
        </w:rPr>
        <w:t>[]份</w:t>
      </w:r>
      <w:bookmarkEnd w:id="22"/>
      <w:bookmarkEnd w:id="23"/>
      <w:r>
        <w:rPr>
          <w:rFonts w:hint="eastAsia" w:asciiTheme="minorEastAsia" w:hAnsiTheme="minorEastAsia" w:eastAsiaTheme="minorEastAsia" w:cstheme="minorEastAsia"/>
          <w:szCs w:val="21"/>
        </w:rPr>
        <w:t>，具有同等法律效力。</w:t>
      </w:r>
    </w:p>
    <w:p w14:paraId="6B436BE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    甲方：[南京邮电大学 ]     </w:t>
      </w:r>
    </w:p>
    <w:p w14:paraId="4B288D1D">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法定代表人/负责人：[    ]                    </w:t>
      </w:r>
    </w:p>
    <w:p w14:paraId="1F9FC6E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或授权代表（签字）：[  ]                     </w:t>
      </w:r>
    </w:p>
    <w:p w14:paraId="5FDD083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  </w:t>
      </w:r>
    </w:p>
    <w:p w14:paraId="51EFA236">
      <w:pPr>
        <w:spacing w:line="360" w:lineRule="auto"/>
        <w:ind w:firstLine="420" w:firstLineChars="200"/>
        <w:rPr>
          <w:rFonts w:asciiTheme="minorEastAsia" w:hAnsiTheme="minorEastAsia" w:eastAsiaTheme="minorEastAsia" w:cstheme="minorEastAsia"/>
          <w:szCs w:val="21"/>
        </w:rPr>
      </w:pPr>
    </w:p>
    <w:p w14:paraId="55271EA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乙方：  </w:t>
      </w:r>
    </w:p>
    <w:p w14:paraId="505B3C14">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法定代表人/负责人：[  ]                   </w:t>
      </w:r>
    </w:p>
    <w:p w14:paraId="35EA04A7">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或授权代表（签字）：[  ]</w:t>
      </w:r>
    </w:p>
    <w:p w14:paraId="547CEE45">
      <w:pPr>
        <w:spacing w:line="360" w:lineRule="auto"/>
        <w:ind w:firstLine="420" w:firstLineChars="200"/>
        <w:rPr>
          <w:rFonts w:ascii="宋体" w:hAnsi="宋体" w:cs="宋体"/>
        </w:rPr>
      </w:pPr>
      <w:r>
        <w:rPr>
          <w:rFonts w:hint="eastAsia" w:asciiTheme="minorEastAsia" w:hAnsiTheme="minorEastAsia" w:eastAsiaTheme="minorEastAsia" w:cstheme="minorEastAsia"/>
          <w:szCs w:val="21"/>
        </w:rPr>
        <w:t>[  ]年[  ]月[  ]日</w:t>
      </w:r>
    </w:p>
    <w:p w14:paraId="5D489D2E">
      <w:pPr>
        <w:ind w:firstLine="630" w:firstLineChars="300"/>
      </w:pPr>
      <w:r>
        <w:rPr>
          <w:rFonts w:hint="eastAsia"/>
        </w:rPr>
        <w:br w:type="page"/>
      </w:r>
    </w:p>
    <w:p w14:paraId="4FEC0CC1">
      <w:pPr>
        <w:pStyle w:val="13"/>
      </w:pPr>
    </w:p>
    <w:p w14:paraId="0E9D8BBF">
      <w:pPr>
        <w:pStyle w:val="261"/>
        <w:rPr>
          <w:rFonts w:asciiTheme="minorEastAsia" w:hAnsiTheme="minorEastAsia" w:eastAsiaTheme="minorEastAsia" w:cstheme="minorEastAsia"/>
          <w:b/>
          <w:bCs/>
        </w:rPr>
      </w:pPr>
      <w:r>
        <w:rPr>
          <w:rFonts w:hint="eastAsia" w:asciiTheme="minorEastAsia" w:hAnsiTheme="minorEastAsia" w:eastAsiaTheme="minorEastAsia" w:cstheme="minorEastAsia"/>
          <w:b/>
          <w:bCs/>
        </w:rPr>
        <w:t>第六章  响应文件格式及附件</w:t>
      </w:r>
    </w:p>
    <w:p w14:paraId="2A68D010">
      <w:pPr>
        <w:jc w:val="center"/>
        <w:rPr>
          <w:rFonts w:ascii="宋体" w:hAnsi="宋体"/>
          <w:b/>
          <w:sz w:val="72"/>
        </w:rPr>
      </w:pPr>
    </w:p>
    <w:p w14:paraId="4DABEF54">
      <w:pPr>
        <w:jc w:val="center"/>
        <w:rPr>
          <w:rFonts w:ascii="宋体" w:hAnsi="宋体"/>
          <w:b/>
          <w:sz w:val="72"/>
          <w:szCs w:val="72"/>
        </w:rPr>
      </w:pPr>
      <w:r>
        <w:rPr>
          <w:rFonts w:hint="eastAsia" w:ascii="宋体" w:hAnsi="宋体"/>
          <w:b/>
          <w:sz w:val="72"/>
          <w:szCs w:val="72"/>
        </w:rPr>
        <w:t>响应文件</w:t>
      </w:r>
    </w:p>
    <w:p w14:paraId="39FAF575">
      <w:pPr>
        <w:ind w:firstLine="2472" w:firstLineChars="1026"/>
        <w:rPr>
          <w:rFonts w:ascii="宋体" w:hAnsi="宋体"/>
          <w:b/>
          <w:sz w:val="24"/>
        </w:rPr>
      </w:pPr>
    </w:p>
    <w:p w14:paraId="37ECC5D0">
      <w:pPr>
        <w:jc w:val="center"/>
        <w:rPr>
          <w:rFonts w:ascii="宋体" w:hAnsi="宋体"/>
          <w:b/>
          <w:sz w:val="24"/>
        </w:rPr>
      </w:pPr>
    </w:p>
    <w:p w14:paraId="5EB9B944">
      <w:pPr>
        <w:jc w:val="center"/>
        <w:rPr>
          <w:rFonts w:ascii="宋体" w:hAnsi="宋体"/>
          <w:b/>
          <w:sz w:val="24"/>
        </w:rPr>
      </w:pPr>
    </w:p>
    <w:p w14:paraId="161D5432">
      <w:pPr>
        <w:jc w:val="center"/>
        <w:rPr>
          <w:rFonts w:ascii="宋体" w:hAnsi="宋体"/>
          <w:b/>
          <w:sz w:val="24"/>
        </w:rPr>
      </w:pPr>
    </w:p>
    <w:p w14:paraId="18445920">
      <w:pPr>
        <w:spacing w:before="480" w:beforeLines="200"/>
        <w:jc w:val="center"/>
        <w:rPr>
          <w:rFonts w:ascii="宋体" w:hAnsi="宋体" w:cs="宋体"/>
          <w:b/>
          <w:sz w:val="36"/>
        </w:rPr>
      </w:pPr>
      <w:r>
        <w:rPr>
          <w:rFonts w:hint="eastAsia" w:ascii="宋体" w:hAnsi="宋体" w:cs="宋体"/>
          <w:b/>
          <w:sz w:val="36"/>
        </w:rPr>
        <w:t>（正或副本）</w:t>
      </w:r>
    </w:p>
    <w:p w14:paraId="7835EE57">
      <w:pPr>
        <w:jc w:val="center"/>
        <w:rPr>
          <w:rFonts w:ascii="宋体" w:hAnsi="宋体"/>
          <w:b/>
          <w:sz w:val="24"/>
        </w:rPr>
      </w:pPr>
    </w:p>
    <w:p w14:paraId="2641E239">
      <w:pPr>
        <w:jc w:val="center"/>
        <w:rPr>
          <w:rFonts w:ascii="宋体" w:hAnsi="宋体"/>
          <w:b/>
          <w:sz w:val="24"/>
        </w:rPr>
      </w:pPr>
    </w:p>
    <w:p w14:paraId="39E02212">
      <w:pPr>
        <w:jc w:val="center"/>
        <w:rPr>
          <w:rFonts w:ascii="宋体" w:hAnsi="宋体"/>
          <w:b/>
          <w:sz w:val="24"/>
        </w:rPr>
      </w:pPr>
    </w:p>
    <w:p w14:paraId="79E5B9E4">
      <w:pPr>
        <w:jc w:val="center"/>
        <w:rPr>
          <w:rFonts w:ascii="宋体" w:hAnsi="宋体"/>
          <w:b/>
          <w:sz w:val="24"/>
        </w:rPr>
      </w:pPr>
    </w:p>
    <w:p w14:paraId="54C4D5D0">
      <w:pPr>
        <w:jc w:val="center"/>
        <w:rPr>
          <w:rFonts w:ascii="宋体" w:hAnsi="宋体"/>
          <w:b/>
          <w:sz w:val="24"/>
        </w:rPr>
      </w:pPr>
    </w:p>
    <w:p w14:paraId="0CBB980C">
      <w:pPr>
        <w:jc w:val="center"/>
        <w:rPr>
          <w:rFonts w:ascii="宋体" w:hAnsi="宋体"/>
          <w:b/>
          <w:sz w:val="24"/>
        </w:rPr>
      </w:pPr>
    </w:p>
    <w:p w14:paraId="0580F26A">
      <w:pPr>
        <w:jc w:val="center"/>
        <w:rPr>
          <w:rFonts w:ascii="宋体" w:hAnsi="宋体"/>
          <w:b/>
          <w:sz w:val="24"/>
        </w:rPr>
      </w:pPr>
    </w:p>
    <w:p w14:paraId="313DB866">
      <w:pPr>
        <w:ind w:firstLine="843" w:firstLineChars="300"/>
        <w:rPr>
          <w:rFonts w:ascii="宋体" w:hAnsi="宋体"/>
          <w:b/>
          <w:sz w:val="28"/>
          <w:szCs w:val="28"/>
        </w:rPr>
      </w:pPr>
      <w:r>
        <w:rPr>
          <w:rFonts w:hint="eastAsia" w:ascii="宋体" w:hAnsi="宋体"/>
          <w:b/>
          <w:sz w:val="28"/>
          <w:szCs w:val="28"/>
        </w:rPr>
        <w:t>项目编号：</w:t>
      </w:r>
    </w:p>
    <w:p w14:paraId="4116490F">
      <w:pPr>
        <w:ind w:firstLine="843" w:firstLineChars="300"/>
        <w:rPr>
          <w:rFonts w:ascii="宋体" w:hAnsi="宋体"/>
          <w:b/>
          <w:sz w:val="28"/>
          <w:szCs w:val="28"/>
          <w:u w:val="single"/>
        </w:rPr>
      </w:pPr>
      <w:r>
        <w:rPr>
          <w:rFonts w:hint="eastAsia" w:ascii="宋体" w:hAnsi="宋体"/>
          <w:b/>
          <w:sz w:val="28"/>
          <w:szCs w:val="28"/>
        </w:rPr>
        <w:t>项目名称：</w:t>
      </w:r>
    </w:p>
    <w:p w14:paraId="0636549D">
      <w:pPr>
        <w:rPr>
          <w:rFonts w:ascii="宋体" w:hAnsi="宋体"/>
          <w:b/>
          <w:sz w:val="28"/>
          <w:szCs w:val="28"/>
        </w:rPr>
      </w:pPr>
    </w:p>
    <w:p w14:paraId="685FD303">
      <w:pPr>
        <w:rPr>
          <w:rFonts w:ascii="宋体" w:hAnsi="宋体"/>
          <w:b/>
          <w:sz w:val="28"/>
          <w:szCs w:val="28"/>
        </w:rPr>
      </w:pPr>
    </w:p>
    <w:p w14:paraId="0064F4EA">
      <w:pPr>
        <w:rPr>
          <w:rFonts w:ascii="宋体" w:hAnsi="宋体"/>
          <w:b/>
          <w:sz w:val="28"/>
          <w:szCs w:val="28"/>
        </w:rPr>
      </w:pPr>
    </w:p>
    <w:p w14:paraId="0010C53B">
      <w:pPr>
        <w:rPr>
          <w:rFonts w:ascii="宋体" w:hAnsi="宋体"/>
          <w:b/>
          <w:sz w:val="28"/>
          <w:szCs w:val="28"/>
        </w:rPr>
      </w:pPr>
    </w:p>
    <w:p w14:paraId="35A72E42">
      <w:pPr>
        <w:rPr>
          <w:rFonts w:ascii="宋体" w:hAnsi="宋体"/>
          <w:b/>
          <w:sz w:val="28"/>
          <w:szCs w:val="28"/>
        </w:rPr>
      </w:pPr>
    </w:p>
    <w:p w14:paraId="1776E01A">
      <w:pPr>
        <w:rPr>
          <w:rFonts w:ascii="宋体" w:hAnsi="宋体"/>
          <w:b/>
          <w:sz w:val="28"/>
          <w:szCs w:val="28"/>
        </w:rPr>
      </w:pPr>
    </w:p>
    <w:p w14:paraId="7133924B">
      <w:pPr>
        <w:ind w:firstLine="843" w:firstLineChars="300"/>
        <w:rPr>
          <w:rFonts w:ascii="宋体" w:hAnsi="宋体"/>
          <w:b/>
          <w:sz w:val="28"/>
          <w:szCs w:val="28"/>
          <w:u w:val="single"/>
        </w:rPr>
      </w:pPr>
      <w:r>
        <w:rPr>
          <w:rFonts w:hint="eastAsia" w:ascii="宋体" w:hAnsi="宋体"/>
          <w:b/>
          <w:sz w:val="28"/>
          <w:szCs w:val="28"/>
        </w:rPr>
        <w:t>供应商名称：</w:t>
      </w:r>
    </w:p>
    <w:p w14:paraId="6495779A">
      <w:pPr>
        <w:ind w:firstLine="843" w:firstLineChars="300"/>
        <w:rPr>
          <w:rFonts w:ascii="宋体" w:hAnsi="宋体"/>
          <w:b/>
          <w:sz w:val="28"/>
          <w:szCs w:val="28"/>
        </w:rPr>
      </w:pPr>
      <w:r>
        <w:rPr>
          <w:rFonts w:hint="eastAsia" w:ascii="宋体" w:hAnsi="宋体"/>
          <w:b/>
          <w:sz w:val="28"/>
          <w:szCs w:val="28"/>
        </w:rPr>
        <w:t>日期：</w:t>
      </w:r>
    </w:p>
    <w:p w14:paraId="2210FEBF">
      <w:pPr>
        <w:jc w:val="center"/>
        <w:rPr>
          <w:rFonts w:ascii="宋体" w:hAnsi="宋体"/>
          <w:b/>
          <w:bCs/>
          <w:sz w:val="24"/>
        </w:rPr>
      </w:pPr>
    </w:p>
    <w:p w14:paraId="15063D98">
      <w:pPr>
        <w:spacing w:line="360" w:lineRule="auto"/>
        <w:jc w:val="center"/>
        <w:rPr>
          <w:rFonts w:asciiTheme="minorEastAsia" w:hAnsiTheme="minorEastAsia" w:eastAsiaTheme="minorEastAsia" w:cstheme="minorEastAsia"/>
          <w:b/>
          <w:szCs w:val="21"/>
        </w:rPr>
      </w:pPr>
      <w:r>
        <w:rPr>
          <w:rFonts w:ascii="宋体" w:hAnsi="宋体"/>
          <w:b/>
          <w:bCs/>
          <w:sz w:val="36"/>
        </w:rPr>
        <w:br w:type="page"/>
      </w:r>
      <w:bookmarkStart w:id="24" w:name="_Toc405408732"/>
      <w:r>
        <w:rPr>
          <w:rFonts w:hint="eastAsia" w:asciiTheme="minorEastAsia" w:hAnsiTheme="minorEastAsia" w:eastAsiaTheme="minorEastAsia" w:cstheme="minorEastAsia"/>
          <w:b/>
          <w:szCs w:val="21"/>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5"/>
        <w:gridCol w:w="3457"/>
      </w:tblGrid>
      <w:tr w14:paraId="2A82A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22DCCE5C">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评分项目</w:t>
            </w:r>
          </w:p>
        </w:tc>
        <w:tc>
          <w:tcPr>
            <w:tcW w:w="3455" w:type="dxa"/>
          </w:tcPr>
          <w:p w14:paraId="1DE4845B">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在响应文件中的页码位置</w:t>
            </w:r>
          </w:p>
        </w:tc>
      </w:tr>
      <w:tr w14:paraId="4F780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27" w:type="dxa"/>
          </w:tcPr>
          <w:p w14:paraId="376C5691">
            <w:pPr>
              <w:spacing w:line="360" w:lineRule="auto"/>
              <w:rPr>
                <w:rFonts w:asciiTheme="minorEastAsia" w:hAnsiTheme="minorEastAsia" w:eastAsiaTheme="minorEastAsia" w:cstheme="minorEastAsia"/>
                <w:b/>
                <w:szCs w:val="21"/>
              </w:rPr>
            </w:pPr>
          </w:p>
        </w:tc>
        <w:tc>
          <w:tcPr>
            <w:tcW w:w="3455" w:type="dxa"/>
          </w:tcPr>
          <w:p w14:paraId="4AD13208">
            <w:pPr>
              <w:spacing w:line="360" w:lineRule="auto"/>
              <w:rPr>
                <w:rFonts w:asciiTheme="minorEastAsia" w:hAnsiTheme="minorEastAsia" w:eastAsiaTheme="minorEastAsia" w:cstheme="minorEastAsia"/>
                <w:b/>
                <w:szCs w:val="21"/>
              </w:rPr>
            </w:pPr>
          </w:p>
        </w:tc>
      </w:tr>
      <w:tr w14:paraId="3404D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682" w:type="dxa"/>
            <w:gridSpan w:val="2"/>
          </w:tcPr>
          <w:p w14:paraId="0C8C0028">
            <w:pPr>
              <w:spacing w:line="360" w:lineRule="auto"/>
              <w:rPr>
                <w:rFonts w:asciiTheme="minorEastAsia" w:hAnsiTheme="minorEastAsia" w:eastAsiaTheme="minorEastAsia" w:cstheme="minorEastAsia"/>
                <w:b/>
                <w:szCs w:val="21"/>
              </w:rPr>
            </w:pPr>
          </w:p>
        </w:tc>
      </w:tr>
      <w:tr w14:paraId="26D0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27" w:type="dxa"/>
          </w:tcPr>
          <w:p w14:paraId="4D3F8827">
            <w:pPr>
              <w:spacing w:line="360" w:lineRule="auto"/>
              <w:rPr>
                <w:rFonts w:asciiTheme="minorEastAsia" w:hAnsiTheme="minorEastAsia" w:eastAsiaTheme="minorEastAsia" w:cstheme="minorEastAsia"/>
                <w:b/>
                <w:szCs w:val="21"/>
              </w:rPr>
            </w:pPr>
          </w:p>
        </w:tc>
        <w:tc>
          <w:tcPr>
            <w:tcW w:w="3455" w:type="dxa"/>
          </w:tcPr>
          <w:p w14:paraId="1D84D608">
            <w:pPr>
              <w:spacing w:line="360" w:lineRule="auto"/>
              <w:rPr>
                <w:rFonts w:asciiTheme="minorEastAsia" w:hAnsiTheme="minorEastAsia" w:eastAsiaTheme="minorEastAsia" w:cstheme="minorEastAsia"/>
                <w:b/>
                <w:szCs w:val="21"/>
              </w:rPr>
            </w:pPr>
          </w:p>
        </w:tc>
      </w:tr>
      <w:tr w14:paraId="5212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27" w:type="dxa"/>
          </w:tcPr>
          <w:p w14:paraId="3F2F2B6C">
            <w:pPr>
              <w:spacing w:line="360" w:lineRule="auto"/>
              <w:rPr>
                <w:rFonts w:asciiTheme="minorEastAsia" w:hAnsiTheme="minorEastAsia" w:eastAsiaTheme="minorEastAsia" w:cstheme="minorEastAsia"/>
                <w:b/>
                <w:szCs w:val="21"/>
              </w:rPr>
            </w:pPr>
          </w:p>
        </w:tc>
        <w:tc>
          <w:tcPr>
            <w:tcW w:w="3455" w:type="dxa"/>
          </w:tcPr>
          <w:p w14:paraId="04EC8088">
            <w:pPr>
              <w:spacing w:line="360" w:lineRule="auto"/>
              <w:rPr>
                <w:rFonts w:asciiTheme="minorEastAsia" w:hAnsiTheme="minorEastAsia" w:eastAsiaTheme="minorEastAsia" w:cstheme="minorEastAsia"/>
                <w:b/>
                <w:szCs w:val="21"/>
              </w:rPr>
            </w:pPr>
          </w:p>
        </w:tc>
      </w:tr>
      <w:tr w14:paraId="0F14B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1EE6E540">
            <w:pPr>
              <w:spacing w:line="360" w:lineRule="auto"/>
              <w:rPr>
                <w:rFonts w:asciiTheme="minorEastAsia" w:hAnsiTheme="minorEastAsia" w:eastAsiaTheme="minorEastAsia" w:cstheme="minorEastAsia"/>
                <w:b/>
                <w:szCs w:val="21"/>
              </w:rPr>
            </w:pPr>
          </w:p>
        </w:tc>
        <w:tc>
          <w:tcPr>
            <w:tcW w:w="3455" w:type="dxa"/>
          </w:tcPr>
          <w:p w14:paraId="241E3A6F">
            <w:pPr>
              <w:spacing w:line="360" w:lineRule="auto"/>
              <w:rPr>
                <w:rFonts w:asciiTheme="minorEastAsia" w:hAnsiTheme="minorEastAsia" w:eastAsiaTheme="minorEastAsia" w:cstheme="minorEastAsia"/>
                <w:b/>
                <w:szCs w:val="21"/>
              </w:rPr>
            </w:pPr>
          </w:p>
        </w:tc>
      </w:tr>
      <w:tr w14:paraId="066C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7F1B5AD5">
            <w:pPr>
              <w:spacing w:line="360" w:lineRule="auto"/>
              <w:rPr>
                <w:rFonts w:asciiTheme="minorEastAsia" w:hAnsiTheme="minorEastAsia" w:eastAsiaTheme="minorEastAsia" w:cstheme="minorEastAsia"/>
                <w:b/>
                <w:szCs w:val="21"/>
              </w:rPr>
            </w:pPr>
          </w:p>
        </w:tc>
        <w:tc>
          <w:tcPr>
            <w:tcW w:w="3455" w:type="dxa"/>
          </w:tcPr>
          <w:p w14:paraId="30F50A3E">
            <w:pPr>
              <w:spacing w:line="360" w:lineRule="auto"/>
              <w:rPr>
                <w:rFonts w:asciiTheme="minorEastAsia" w:hAnsiTheme="minorEastAsia" w:eastAsiaTheme="minorEastAsia" w:cstheme="minorEastAsia"/>
                <w:b/>
                <w:szCs w:val="21"/>
              </w:rPr>
            </w:pPr>
          </w:p>
        </w:tc>
      </w:tr>
      <w:tr w14:paraId="5D6F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227" w:type="dxa"/>
          </w:tcPr>
          <w:p w14:paraId="01580B12">
            <w:pPr>
              <w:spacing w:line="360" w:lineRule="auto"/>
              <w:rPr>
                <w:rFonts w:asciiTheme="minorEastAsia" w:hAnsiTheme="minorEastAsia" w:eastAsiaTheme="minorEastAsia" w:cstheme="minorEastAsia"/>
                <w:b/>
                <w:szCs w:val="21"/>
              </w:rPr>
            </w:pPr>
          </w:p>
        </w:tc>
        <w:tc>
          <w:tcPr>
            <w:tcW w:w="3455" w:type="dxa"/>
          </w:tcPr>
          <w:p w14:paraId="560BC13A">
            <w:pPr>
              <w:spacing w:line="360" w:lineRule="auto"/>
              <w:rPr>
                <w:rFonts w:asciiTheme="minorEastAsia" w:hAnsiTheme="minorEastAsia" w:eastAsiaTheme="minorEastAsia" w:cstheme="minorEastAsia"/>
                <w:b/>
                <w:szCs w:val="21"/>
              </w:rPr>
            </w:pPr>
          </w:p>
        </w:tc>
      </w:tr>
      <w:tr w14:paraId="01E2D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82" w:type="dxa"/>
            <w:gridSpan w:val="2"/>
          </w:tcPr>
          <w:p w14:paraId="741ACD2F">
            <w:pPr>
              <w:spacing w:line="360" w:lineRule="auto"/>
              <w:rPr>
                <w:rFonts w:asciiTheme="minorEastAsia" w:hAnsiTheme="minorEastAsia" w:eastAsiaTheme="minorEastAsia" w:cstheme="minorEastAsia"/>
                <w:b/>
                <w:szCs w:val="21"/>
              </w:rPr>
            </w:pPr>
          </w:p>
        </w:tc>
      </w:tr>
      <w:tr w14:paraId="664B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227" w:type="dxa"/>
          </w:tcPr>
          <w:p w14:paraId="1318E73E">
            <w:pPr>
              <w:spacing w:line="360" w:lineRule="auto"/>
              <w:rPr>
                <w:rFonts w:asciiTheme="minorEastAsia" w:hAnsiTheme="minorEastAsia" w:eastAsiaTheme="minorEastAsia" w:cstheme="minorEastAsia"/>
                <w:b/>
                <w:szCs w:val="21"/>
              </w:rPr>
            </w:pPr>
          </w:p>
        </w:tc>
        <w:tc>
          <w:tcPr>
            <w:tcW w:w="3455" w:type="dxa"/>
          </w:tcPr>
          <w:p w14:paraId="5C02B208">
            <w:pPr>
              <w:spacing w:line="360" w:lineRule="auto"/>
              <w:rPr>
                <w:rFonts w:asciiTheme="minorEastAsia" w:hAnsiTheme="minorEastAsia" w:eastAsiaTheme="minorEastAsia" w:cstheme="minorEastAsia"/>
                <w:b/>
                <w:szCs w:val="21"/>
              </w:rPr>
            </w:pPr>
          </w:p>
        </w:tc>
      </w:tr>
      <w:tr w14:paraId="1001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227" w:type="dxa"/>
          </w:tcPr>
          <w:p w14:paraId="7EBCA73B">
            <w:pPr>
              <w:spacing w:line="360" w:lineRule="auto"/>
              <w:rPr>
                <w:rFonts w:asciiTheme="minorEastAsia" w:hAnsiTheme="minorEastAsia" w:eastAsiaTheme="minorEastAsia" w:cstheme="minorEastAsia"/>
                <w:b/>
                <w:szCs w:val="21"/>
              </w:rPr>
            </w:pPr>
          </w:p>
        </w:tc>
        <w:tc>
          <w:tcPr>
            <w:tcW w:w="3455" w:type="dxa"/>
          </w:tcPr>
          <w:p w14:paraId="57E23608">
            <w:pPr>
              <w:spacing w:line="360" w:lineRule="auto"/>
              <w:rPr>
                <w:rFonts w:asciiTheme="minorEastAsia" w:hAnsiTheme="minorEastAsia" w:eastAsiaTheme="minorEastAsia" w:cstheme="minorEastAsia"/>
                <w:b/>
                <w:szCs w:val="21"/>
              </w:rPr>
            </w:pPr>
          </w:p>
        </w:tc>
      </w:tr>
      <w:tr w14:paraId="09DC5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27" w:type="dxa"/>
          </w:tcPr>
          <w:p w14:paraId="321817FD">
            <w:pPr>
              <w:spacing w:line="360" w:lineRule="auto"/>
              <w:rPr>
                <w:rFonts w:asciiTheme="minorEastAsia" w:hAnsiTheme="minorEastAsia" w:eastAsiaTheme="minorEastAsia" w:cstheme="minorEastAsia"/>
                <w:b/>
                <w:szCs w:val="21"/>
              </w:rPr>
            </w:pPr>
          </w:p>
        </w:tc>
        <w:tc>
          <w:tcPr>
            <w:tcW w:w="3455" w:type="dxa"/>
          </w:tcPr>
          <w:p w14:paraId="5F1B8232">
            <w:pPr>
              <w:spacing w:line="360" w:lineRule="auto"/>
              <w:rPr>
                <w:rFonts w:asciiTheme="minorEastAsia" w:hAnsiTheme="minorEastAsia" w:eastAsiaTheme="minorEastAsia" w:cstheme="minorEastAsia"/>
                <w:b/>
                <w:szCs w:val="21"/>
              </w:rPr>
            </w:pPr>
          </w:p>
        </w:tc>
      </w:tr>
      <w:tr w14:paraId="71C7A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0D10E533">
            <w:pPr>
              <w:spacing w:line="360" w:lineRule="auto"/>
              <w:rPr>
                <w:rFonts w:asciiTheme="minorEastAsia" w:hAnsiTheme="minorEastAsia" w:eastAsiaTheme="minorEastAsia" w:cstheme="minorEastAsia"/>
                <w:b/>
                <w:szCs w:val="21"/>
              </w:rPr>
            </w:pPr>
          </w:p>
        </w:tc>
        <w:tc>
          <w:tcPr>
            <w:tcW w:w="3455" w:type="dxa"/>
          </w:tcPr>
          <w:p w14:paraId="21CB6594">
            <w:pPr>
              <w:spacing w:line="360" w:lineRule="auto"/>
              <w:rPr>
                <w:rFonts w:asciiTheme="minorEastAsia" w:hAnsiTheme="minorEastAsia" w:eastAsiaTheme="minorEastAsia" w:cstheme="minorEastAsia"/>
                <w:b/>
                <w:szCs w:val="21"/>
              </w:rPr>
            </w:pPr>
          </w:p>
        </w:tc>
      </w:tr>
      <w:tr w14:paraId="0446C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227" w:type="dxa"/>
          </w:tcPr>
          <w:p w14:paraId="4CC35FC0">
            <w:pPr>
              <w:spacing w:line="360" w:lineRule="auto"/>
              <w:rPr>
                <w:rFonts w:asciiTheme="minorEastAsia" w:hAnsiTheme="minorEastAsia" w:eastAsiaTheme="minorEastAsia" w:cstheme="minorEastAsia"/>
                <w:b/>
                <w:szCs w:val="21"/>
              </w:rPr>
            </w:pPr>
          </w:p>
        </w:tc>
        <w:tc>
          <w:tcPr>
            <w:tcW w:w="3455" w:type="dxa"/>
          </w:tcPr>
          <w:p w14:paraId="3BC9D01F">
            <w:pPr>
              <w:spacing w:line="360" w:lineRule="auto"/>
              <w:rPr>
                <w:rFonts w:asciiTheme="minorEastAsia" w:hAnsiTheme="minorEastAsia" w:eastAsiaTheme="minorEastAsia" w:cstheme="minorEastAsia"/>
                <w:b/>
                <w:szCs w:val="21"/>
              </w:rPr>
            </w:pPr>
          </w:p>
        </w:tc>
      </w:tr>
      <w:tr w14:paraId="2679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682" w:type="dxa"/>
            <w:gridSpan w:val="2"/>
          </w:tcPr>
          <w:p w14:paraId="28F5F427">
            <w:pPr>
              <w:spacing w:line="360" w:lineRule="auto"/>
              <w:rPr>
                <w:rFonts w:asciiTheme="minorEastAsia" w:hAnsiTheme="minorEastAsia" w:eastAsiaTheme="minorEastAsia" w:cstheme="minorEastAsia"/>
                <w:b/>
                <w:szCs w:val="21"/>
              </w:rPr>
            </w:pPr>
          </w:p>
        </w:tc>
      </w:tr>
      <w:tr w14:paraId="747F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227" w:type="dxa"/>
          </w:tcPr>
          <w:p w14:paraId="3F0D2448">
            <w:pPr>
              <w:spacing w:line="360" w:lineRule="auto"/>
              <w:rPr>
                <w:rFonts w:asciiTheme="minorEastAsia" w:hAnsiTheme="minorEastAsia" w:eastAsiaTheme="minorEastAsia" w:cstheme="minorEastAsia"/>
                <w:b/>
                <w:szCs w:val="21"/>
              </w:rPr>
            </w:pPr>
          </w:p>
        </w:tc>
        <w:tc>
          <w:tcPr>
            <w:tcW w:w="3455" w:type="dxa"/>
          </w:tcPr>
          <w:p w14:paraId="1D2EB86D">
            <w:pPr>
              <w:spacing w:line="360" w:lineRule="auto"/>
              <w:rPr>
                <w:rFonts w:asciiTheme="minorEastAsia" w:hAnsiTheme="minorEastAsia" w:eastAsiaTheme="minorEastAsia" w:cstheme="minorEastAsia"/>
                <w:b/>
                <w:szCs w:val="21"/>
              </w:rPr>
            </w:pPr>
          </w:p>
        </w:tc>
      </w:tr>
      <w:tr w14:paraId="26D6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227" w:type="dxa"/>
          </w:tcPr>
          <w:p w14:paraId="1B6C7378">
            <w:pPr>
              <w:spacing w:line="360" w:lineRule="auto"/>
              <w:rPr>
                <w:rFonts w:asciiTheme="minorEastAsia" w:hAnsiTheme="minorEastAsia" w:eastAsiaTheme="minorEastAsia" w:cstheme="minorEastAsia"/>
                <w:b/>
                <w:szCs w:val="21"/>
              </w:rPr>
            </w:pPr>
          </w:p>
        </w:tc>
        <w:tc>
          <w:tcPr>
            <w:tcW w:w="3455" w:type="dxa"/>
          </w:tcPr>
          <w:p w14:paraId="0B0515C9">
            <w:pPr>
              <w:spacing w:line="360" w:lineRule="auto"/>
              <w:rPr>
                <w:rFonts w:asciiTheme="minorEastAsia" w:hAnsiTheme="minorEastAsia" w:eastAsiaTheme="minorEastAsia" w:cstheme="minorEastAsia"/>
                <w:b/>
                <w:szCs w:val="21"/>
              </w:rPr>
            </w:pPr>
          </w:p>
        </w:tc>
      </w:tr>
      <w:tr w14:paraId="5F05F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27" w:type="dxa"/>
          </w:tcPr>
          <w:p w14:paraId="787011B4">
            <w:pPr>
              <w:spacing w:line="360" w:lineRule="auto"/>
              <w:rPr>
                <w:rFonts w:asciiTheme="minorEastAsia" w:hAnsiTheme="minorEastAsia" w:eastAsiaTheme="minorEastAsia" w:cstheme="minorEastAsia"/>
                <w:b/>
                <w:szCs w:val="21"/>
              </w:rPr>
            </w:pPr>
          </w:p>
        </w:tc>
        <w:tc>
          <w:tcPr>
            <w:tcW w:w="3455" w:type="dxa"/>
          </w:tcPr>
          <w:p w14:paraId="46000FA8">
            <w:pPr>
              <w:spacing w:line="360" w:lineRule="auto"/>
              <w:rPr>
                <w:rFonts w:asciiTheme="minorEastAsia" w:hAnsiTheme="minorEastAsia" w:eastAsiaTheme="minorEastAsia" w:cstheme="minorEastAsia"/>
                <w:b/>
                <w:szCs w:val="21"/>
              </w:rPr>
            </w:pPr>
          </w:p>
        </w:tc>
      </w:tr>
      <w:tr w14:paraId="22131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682" w:type="dxa"/>
            <w:gridSpan w:val="2"/>
          </w:tcPr>
          <w:p w14:paraId="14BD0E80">
            <w:pPr>
              <w:spacing w:line="360" w:lineRule="auto"/>
              <w:rPr>
                <w:rFonts w:asciiTheme="minorEastAsia" w:hAnsiTheme="minorEastAsia" w:eastAsiaTheme="minorEastAsia" w:cstheme="minorEastAsia"/>
                <w:b/>
                <w:szCs w:val="21"/>
              </w:rPr>
            </w:pPr>
          </w:p>
        </w:tc>
      </w:tr>
      <w:tr w14:paraId="53AE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227" w:type="dxa"/>
          </w:tcPr>
          <w:p w14:paraId="61E1E17F">
            <w:pPr>
              <w:spacing w:line="360" w:lineRule="auto"/>
              <w:rPr>
                <w:rFonts w:asciiTheme="minorEastAsia" w:hAnsiTheme="minorEastAsia" w:eastAsiaTheme="minorEastAsia" w:cstheme="minorEastAsia"/>
                <w:b/>
                <w:szCs w:val="21"/>
              </w:rPr>
            </w:pPr>
          </w:p>
        </w:tc>
        <w:tc>
          <w:tcPr>
            <w:tcW w:w="3455" w:type="dxa"/>
          </w:tcPr>
          <w:p w14:paraId="6EF9BC26">
            <w:pPr>
              <w:spacing w:line="360" w:lineRule="auto"/>
              <w:rPr>
                <w:rFonts w:asciiTheme="minorEastAsia" w:hAnsiTheme="minorEastAsia" w:eastAsiaTheme="minorEastAsia" w:cstheme="minorEastAsia"/>
                <w:b/>
                <w:szCs w:val="21"/>
              </w:rPr>
            </w:pPr>
          </w:p>
        </w:tc>
      </w:tr>
      <w:tr w14:paraId="1171E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33A47A10">
            <w:pPr>
              <w:spacing w:line="360" w:lineRule="auto"/>
              <w:rPr>
                <w:rFonts w:asciiTheme="minorEastAsia" w:hAnsiTheme="minorEastAsia" w:eastAsiaTheme="minorEastAsia" w:cstheme="minorEastAsia"/>
                <w:b/>
                <w:szCs w:val="21"/>
              </w:rPr>
            </w:pPr>
          </w:p>
        </w:tc>
        <w:tc>
          <w:tcPr>
            <w:tcW w:w="3455" w:type="dxa"/>
          </w:tcPr>
          <w:p w14:paraId="54F278E7">
            <w:pPr>
              <w:spacing w:line="360" w:lineRule="auto"/>
              <w:rPr>
                <w:rFonts w:asciiTheme="minorEastAsia" w:hAnsiTheme="minorEastAsia" w:eastAsiaTheme="minorEastAsia" w:cstheme="minorEastAsia"/>
                <w:b/>
                <w:szCs w:val="21"/>
              </w:rPr>
            </w:pPr>
          </w:p>
        </w:tc>
      </w:tr>
    </w:tbl>
    <w:p w14:paraId="3A31CFCB">
      <w:pPr>
        <w:rPr>
          <w:rFonts w:ascii="宋体" w:hAnsi="宋体"/>
        </w:rPr>
      </w:pPr>
    </w:p>
    <w:p w14:paraId="76CE6A28">
      <w:pPr>
        <w:jc w:val="center"/>
        <w:rPr>
          <w:rFonts w:ascii="宋体" w:hAnsi="宋体"/>
          <w:b/>
          <w:bCs/>
          <w:sz w:val="36"/>
        </w:rPr>
      </w:pPr>
      <w:r>
        <w:rPr>
          <w:rFonts w:ascii="宋体" w:hAnsi="宋体"/>
          <w:b/>
          <w:bCs/>
          <w:sz w:val="36"/>
        </w:rPr>
        <w:br w:type="page"/>
      </w:r>
      <w:bookmarkStart w:id="25" w:name="_Toc489655320"/>
    </w:p>
    <w:p w14:paraId="3A20E26F">
      <w:pPr>
        <w:pStyle w:val="260"/>
        <w:rPr>
          <w:rFonts w:asciiTheme="majorEastAsia" w:hAnsiTheme="majorEastAsia" w:eastAsiaTheme="majorEastAsia" w:cstheme="majorEastAsia"/>
        </w:rPr>
      </w:pPr>
      <w:r>
        <w:rPr>
          <w:rFonts w:hint="eastAsia" w:asciiTheme="majorEastAsia" w:hAnsiTheme="majorEastAsia" w:eastAsiaTheme="majorEastAsia" w:cstheme="majorEastAsia"/>
        </w:rPr>
        <w:t>响应文件主要目录</w:t>
      </w:r>
      <w:bookmarkEnd w:id="24"/>
      <w:bookmarkEnd w:id="25"/>
      <w:r>
        <w:rPr>
          <w:rFonts w:hint="eastAsia" w:asciiTheme="majorEastAsia" w:hAnsiTheme="majorEastAsia" w:eastAsiaTheme="majorEastAsia" w:cstheme="majorEastAsia"/>
        </w:rPr>
        <w:t>及相关证明材料格式、附件</w:t>
      </w:r>
    </w:p>
    <w:p w14:paraId="64DC7084">
      <w:pPr>
        <w:rPr>
          <w:rFonts w:asciiTheme="majorEastAsia" w:hAnsiTheme="majorEastAsia" w:eastAsiaTheme="majorEastAsia" w:cstheme="majorEastAsia"/>
          <w:sz w:val="28"/>
          <w:szCs w:val="28"/>
        </w:rPr>
      </w:pPr>
    </w:p>
    <w:p w14:paraId="0065CB2B">
      <w:pPr>
        <w:spacing w:line="360" w:lineRule="auto"/>
        <w:rPr>
          <w:rFonts w:ascii="宋体" w:hAnsi="宋体"/>
          <w:bCs/>
          <w:sz w:val="28"/>
          <w:szCs w:val="28"/>
          <w:lang w:val="zh-CN"/>
        </w:rPr>
      </w:pPr>
      <w:r>
        <w:rPr>
          <w:rFonts w:hint="eastAsia" w:ascii="宋体" w:hAnsi="宋体"/>
          <w:bCs/>
          <w:sz w:val="28"/>
          <w:szCs w:val="28"/>
          <w:lang w:val="zh-CN"/>
        </w:rPr>
        <w:t>目录一、响应申请及声明格式</w:t>
      </w:r>
    </w:p>
    <w:p w14:paraId="488D855E">
      <w:pPr>
        <w:spacing w:line="360" w:lineRule="auto"/>
        <w:rPr>
          <w:rFonts w:ascii="宋体" w:hAnsi="宋体"/>
          <w:bCs/>
          <w:sz w:val="28"/>
          <w:szCs w:val="28"/>
          <w:lang w:val="zh-CN"/>
        </w:rPr>
      </w:pPr>
      <w:r>
        <w:rPr>
          <w:rFonts w:hint="eastAsia" w:ascii="宋体" w:hAnsi="宋体"/>
          <w:bCs/>
          <w:sz w:val="28"/>
          <w:szCs w:val="28"/>
          <w:lang w:val="zh-CN"/>
        </w:rPr>
        <w:t>目录二、法定代表人授权书格式</w:t>
      </w:r>
    </w:p>
    <w:p w14:paraId="43AD1082">
      <w:pPr>
        <w:spacing w:line="360" w:lineRule="auto"/>
        <w:rPr>
          <w:rFonts w:ascii="宋体" w:hAnsi="宋体"/>
          <w:bCs/>
          <w:sz w:val="28"/>
          <w:szCs w:val="28"/>
          <w:lang w:val="zh-CN"/>
        </w:rPr>
      </w:pPr>
      <w:r>
        <w:rPr>
          <w:rFonts w:hint="eastAsia" w:ascii="宋体" w:hAnsi="宋体"/>
          <w:bCs/>
          <w:sz w:val="28"/>
          <w:szCs w:val="28"/>
          <w:lang w:val="zh-CN"/>
        </w:rPr>
        <w:t>目录三、响应一览表格式</w:t>
      </w:r>
    </w:p>
    <w:p w14:paraId="26940547">
      <w:pPr>
        <w:spacing w:line="360" w:lineRule="auto"/>
        <w:rPr>
          <w:rFonts w:ascii="宋体" w:hAnsi="宋体"/>
          <w:bCs/>
          <w:sz w:val="28"/>
          <w:szCs w:val="28"/>
          <w:lang w:val="zh-CN"/>
        </w:rPr>
      </w:pPr>
      <w:r>
        <w:rPr>
          <w:rFonts w:hint="eastAsia" w:ascii="宋体" w:hAnsi="宋体"/>
          <w:bCs/>
          <w:sz w:val="28"/>
          <w:szCs w:val="28"/>
          <w:lang w:val="zh-CN"/>
        </w:rPr>
        <w:t>目录四、资格证明文件</w:t>
      </w:r>
    </w:p>
    <w:p w14:paraId="7F8B26BB">
      <w:pPr>
        <w:spacing w:line="360" w:lineRule="auto"/>
        <w:rPr>
          <w:rFonts w:ascii="宋体" w:hAnsi="宋体"/>
          <w:bCs/>
          <w:sz w:val="28"/>
          <w:szCs w:val="28"/>
          <w:lang w:val="zh-CN"/>
        </w:rPr>
      </w:pPr>
      <w:r>
        <w:rPr>
          <w:rFonts w:hint="eastAsia" w:ascii="宋体" w:hAnsi="宋体"/>
          <w:bCs/>
          <w:sz w:val="28"/>
          <w:szCs w:val="28"/>
          <w:lang w:val="zh-CN"/>
        </w:rPr>
        <w:t>目录五、分项报价表格式（如需）</w:t>
      </w:r>
    </w:p>
    <w:p w14:paraId="40DB77CF">
      <w:pPr>
        <w:spacing w:line="360" w:lineRule="auto"/>
        <w:rPr>
          <w:rFonts w:ascii="宋体" w:hAnsi="宋体"/>
          <w:bCs/>
          <w:sz w:val="28"/>
          <w:szCs w:val="28"/>
          <w:lang w:val="zh-CN"/>
        </w:rPr>
      </w:pPr>
      <w:r>
        <w:rPr>
          <w:rFonts w:hint="eastAsia" w:ascii="宋体" w:hAnsi="宋体"/>
          <w:bCs/>
          <w:sz w:val="28"/>
          <w:szCs w:val="28"/>
          <w:lang w:val="zh-CN"/>
        </w:rPr>
        <w:t>目录六、技术条款偏离表格式</w:t>
      </w:r>
    </w:p>
    <w:p w14:paraId="0CABC14F">
      <w:pPr>
        <w:spacing w:line="360" w:lineRule="auto"/>
        <w:rPr>
          <w:rFonts w:ascii="宋体" w:hAnsi="宋体"/>
          <w:bCs/>
          <w:sz w:val="28"/>
          <w:szCs w:val="28"/>
          <w:lang w:val="zh-CN"/>
        </w:rPr>
      </w:pPr>
      <w:r>
        <w:rPr>
          <w:rFonts w:hint="eastAsia" w:ascii="宋体" w:hAnsi="宋体"/>
          <w:bCs/>
          <w:sz w:val="28"/>
          <w:szCs w:val="28"/>
          <w:lang w:val="zh-CN"/>
        </w:rPr>
        <w:t>目录七、商务条款偏离表格式</w:t>
      </w:r>
    </w:p>
    <w:p w14:paraId="14880499">
      <w:pPr>
        <w:spacing w:line="360" w:lineRule="auto"/>
        <w:rPr>
          <w:rFonts w:ascii="宋体" w:hAnsi="宋体"/>
          <w:bCs/>
          <w:sz w:val="28"/>
          <w:szCs w:val="28"/>
          <w:lang w:val="zh-CN"/>
        </w:rPr>
      </w:pPr>
      <w:r>
        <w:rPr>
          <w:rFonts w:hint="eastAsia" w:ascii="宋体" w:hAnsi="宋体"/>
          <w:bCs/>
          <w:sz w:val="28"/>
          <w:szCs w:val="28"/>
          <w:lang w:val="zh-CN"/>
        </w:rPr>
        <w:t>目录八、服务方案或承诺</w:t>
      </w:r>
    </w:p>
    <w:p w14:paraId="3E2D2197">
      <w:pPr>
        <w:spacing w:line="360" w:lineRule="auto"/>
        <w:rPr>
          <w:rFonts w:ascii="宋体" w:hAnsi="宋体"/>
          <w:bCs/>
          <w:sz w:val="28"/>
          <w:szCs w:val="28"/>
          <w:lang w:val="zh-CN"/>
        </w:rPr>
      </w:pPr>
      <w:r>
        <w:rPr>
          <w:rFonts w:hint="eastAsia" w:ascii="宋体" w:hAnsi="宋体"/>
          <w:bCs/>
          <w:sz w:val="28"/>
          <w:szCs w:val="28"/>
          <w:lang w:val="zh-CN"/>
        </w:rPr>
        <w:t>目录九、拟投入本项目人员一览表</w:t>
      </w:r>
    </w:p>
    <w:p w14:paraId="21BA46D9">
      <w:pPr>
        <w:spacing w:line="360" w:lineRule="auto"/>
        <w:rPr>
          <w:rFonts w:ascii="宋体" w:hAnsi="宋体"/>
          <w:bCs/>
          <w:sz w:val="28"/>
          <w:szCs w:val="28"/>
          <w:lang w:val="zh-CN"/>
        </w:rPr>
      </w:pPr>
      <w:r>
        <w:rPr>
          <w:rFonts w:hint="eastAsia" w:ascii="宋体" w:hAnsi="宋体"/>
          <w:bCs/>
          <w:sz w:val="28"/>
          <w:szCs w:val="28"/>
          <w:lang w:val="zh-CN"/>
        </w:rPr>
        <w:t>目录十、响应需要的其他证明文件及材料</w:t>
      </w:r>
    </w:p>
    <w:p w14:paraId="2E37CBF4">
      <w:pPr>
        <w:spacing w:line="360" w:lineRule="auto"/>
        <w:rPr>
          <w:rFonts w:ascii="宋体" w:hAnsi="宋体"/>
          <w:bCs/>
          <w:sz w:val="28"/>
          <w:szCs w:val="28"/>
          <w:lang w:val="zh-CN"/>
        </w:rPr>
      </w:pPr>
      <w:r>
        <w:rPr>
          <w:rFonts w:hint="eastAsia" w:ascii="宋体" w:hAnsi="宋体"/>
          <w:bCs/>
          <w:sz w:val="28"/>
          <w:szCs w:val="28"/>
          <w:lang w:val="zh-CN"/>
        </w:rPr>
        <w:t>附件一、无重大违法记录声明格式</w:t>
      </w:r>
    </w:p>
    <w:p w14:paraId="511E7C0A">
      <w:pPr>
        <w:spacing w:line="360" w:lineRule="auto"/>
        <w:rPr>
          <w:rFonts w:ascii="宋体" w:hAnsi="宋体"/>
          <w:bCs/>
          <w:sz w:val="28"/>
          <w:szCs w:val="28"/>
          <w:lang w:val="zh-CN"/>
        </w:rPr>
      </w:pPr>
      <w:r>
        <w:rPr>
          <w:rFonts w:hint="eastAsia" w:ascii="宋体" w:hAnsi="宋体"/>
          <w:bCs/>
          <w:sz w:val="28"/>
          <w:szCs w:val="28"/>
          <w:lang w:val="zh-CN"/>
        </w:rPr>
        <w:t>附件二、具备履行合同所必需的设备和专业技术能力的声明格式或证明材料</w:t>
      </w:r>
    </w:p>
    <w:p w14:paraId="04B962CD">
      <w:pPr>
        <w:spacing w:line="360" w:lineRule="auto"/>
        <w:rPr>
          <w:rFonts w:ascii="宋体" w:hAnsi="宋体"/>
          <w:b/>
          <w:szCs w:val="21"/>
          <w:lang w:val="zh-CN"/>
        </w:rPr>
      </w:pPr>
      <w:r>
        <w:rPr>
          <w:rFonts w:hint="eastAsia" w:ascii="宋体" w:hAnsi="宋体"/>
          <w:bCs/>
          <w:sz w:val="28"/>
          <w:szCs w:val="28"/>
          <w:lang w:val="zh-CN"/>
        </w:rPr>
        <w:t>附件三、承诺书</w:t>
      </w:r>
      <w:r>
        <w:rPr>
          <w:rFonts w:hint="eastAsia" w:ascii="宋体" w:hAnsi="宋体"/>
          <w:b/>
          <w:szCs w:val="21"/>
          <w:lang w:val="zh-CN"/>
        </w:rPr>
        <w:br w:type="page"/>
      </w:r>
    </w:p>
    <w:p w14:paraId="0F4202D3">
      <w:pPr>
        <w:pStyle w:val="17"/>
        <w:ind w:firstLine="0" w:firstLineChars="0"/>
        <w:rPr>
          <w:b/>
          <w:sz w:val="21"/>
          <w:szCs w:val="21"/>
        </w:rPr>
      </w:pPr>
      <w:r>
        <w:rPr>
          <w:rFonts w:hint="eastAsia"/>
          <w:b/>
          <w:sz w:val="21"/>
          <w:szCs w:val="21"/>
        </w:rPr>
        <w:t>★</w:t>
      </w:r>
      <w:r>
        <w:rPr>
          <w:b/>
          <w:sz w:val="21"/>
          <w:szCs w:val="21"/>
        </w:rPr>
        <w:t>目录一、响应申请及声明格式</w:t>
      </w:r>
    </w:p>
    <w:p w14:paraId="09F1CBE7">
      <w:pPr>
        <w:pStyle w:val="262"/>
        <w:outlineLvl w:val="9"/>
      </w:pPr>
      <w:r>
        <w:t>响应申请及声明</w:t>
      </w:r>
    </w:p>
    <w:p w14:paraId="355EF731">
      <w:pPr>
        <w:pStyle w:val="17"/>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致：（采购人）</w:t>
      </w:r>
    </w:p>
    <w:p w14:paraId="1F76596C">
      <w:pPr>
        <w:pStyle w:val="1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根据贵方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）响应邀请，正式授权下述签字人（姓名和职务）</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代表供应商（供应商名称）</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，提交响应文件。</w:t>
      </w:r>
    </w:p>
    <w:p w14:paraId="443A190A">
      <w:pPr>
        <w:pStyle w:val="1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据此函，签字人兹宣布声明和承诺如下：</w:t>
      </w:r>
    </w:p>
    <w:p w14:paraId="6B1D7888">
      <w:pPr>
        <w:pStyle w:val="17"/>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sz w:val="21"/>
          <w:szCs w:val="21"/>
        </w:rPr>
        <w:t>我们的资格条件完全符合本次采购要求</w:t>
      </w:r>
      <w:r>
        <w:rPr>
          <w:rFonts w:hint="eastAsia" w:asciiTheme="minorEastAsia" w:hAnsiTheme="minorEastAsia" w:eastAsiaTheme="minorEastAsia" w:cstheme="minorEastAsia"/>
          <w:sz w:val="21"/>
          <w:szCs w:val="21"/>
        </w:rPr>
        <w:t>，我们同意并向贵方提供了与响应有关的所有证据和资料。</w:t>
      </w:r>
    </w:p>
    <w:p w14:paraId="167F408E">
      <w:pPr>
        <w:pStyle w:val="17"/>
        <w:ind w:firstLine="480" w:firstLineChars="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2、按采购要求，我们的响应报价为：</w:t>
      </w:r>
      <w:r>
        <w:rPr>
          <w:rFonts w:hint="eastAsia" w:asciiTheme="minorEastAsia" w:hAnsiTheme="minorEastAsia" w:eastAsiaTheme="minorEastAsia" w:cstheme="minorEastAsia"/>
          <w:b/>
          <w:sz w:val="21"/>
          <w:szCs w:val="21"/>
          <w:u w:val="single"/>
        </w:rPr>
        <w:t>（大写）人民币          （小写：       元人民币）</w:t>
      </w:r>
      <w:r>
        <w:rPr>
          <w:rFonts w:hint="eastAsia" w:asciiTheme="minorEastAsia" w:hAnsiTheme="minorEastAsia" w:eastAsiaTheme="minorEastAsia" w:cstheme="minorEastAsia"/>
          <w:b/>
          <w:sz w:val="21"/>
          <w:szCs w:val="21"/>
        </w:rPr>
        <w:t>。</w:t>
      </w:r>
    </w:p>
    <w:p w14:paraId="215E76F8">
      <w:pPr>
        <w:pStyle w:val="17"/>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3、我们已详细审核全部采购文件及其有效补充文件，我们放弃对采购文件任何误解的权利，提交响应文件后，</w:t>
      </w:r>
      <w:r>
        <w:rPr>
          <w:rFonts w:hint="eastAsia" w:asciiTheme="minorEastAsia" w:hAnsiTheme="minorEastAsia" w:eastAsiaTheme="minorEastAsia" w:cstheme="minorEastAsia"/>
          <w:b/>
          <w:sz w:val="21"/>
          <w:szCs w:val="21"/>
        </w:rPr>
        <w:t>不对采购文件本身提出质疑</w:t>
      </w:r>
      <w:r>
        <w:rPr>
          <w:rFonts w:hint="eastAsia" w:asciiTheme="minorEastAsia" w:hAnsiTheme="minorEastAsia" w:eastAsiaTheme="minorEastAsia" w:cstheme="minorEastAsia"/>
          <w:sz w:val="21"/>
          <w:szCs w:val="21"/>
        </w:rPr>
        <w:t>。</w:t>
      </w:r>
    </w:p>
    <w:p w14:paraId="2964CC6C">
      <w:pPr>
        <w:pStyle w:val="17"/>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4、我们同意从规定的响应文件开启日期起遵循本响应文件，并在规定的响应有效期期满之前均具有约束力。</w:t>
      </w:r>
    </w:p>
    <w:p w14:paraId="12A5D0C9">
      <w:pPr>
        <w:pStyle w:val="17"/>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5、一旦我方成交，我方将根据采购文件的规定严格履行合同，并保证于承诺的时间完成项目的启动等服务，交付采购人验收。</w:t>
      </w:r>
    </w:p>
    <w:p w14:paraId="5F5631E4">
      <w:pPr>
        <w:pStyle w:val="17"/>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43B0C4CE">
      <w:pPr>
        <w:pStyle w:val="17"/>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7、与本次响应有关的正式联系方式为：</w:t>
      </w:r>
    </w:p>
    <w:p w14:paraId="6B5F6CB0">
      <w:pPr>
        <w:pStyle w:val="17"/>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地址：</w:t>
      </w:r>
    </w:p>
    <w:p w14:paraId="3DA57843">
      <w:pPr>
        <w:pStyle w:val="17"/>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电话：</w:t>
      </w:r>
    </w:p>
    <w:p w14:paraId="191F6175">
      <w:pPr>
        <w:pStyle w:val="17"/>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传真：</w:t>
      </w:r>
    </w:p>
    <w:p w14:paraId="43B2BE72">
      <w:pPr>
        <w:pStyle w:val="1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p>
    <w:p w14:paraId="666D9906">
      <w:pPr>
        <w:pStyle w:val="1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p w14:paraId="447F080B">
      <w:pPr>
        <w:autoSpaceDE w:val="0"/>
        <w:autoSpaceDN w:val="0"/>
        <w:adjustRightInd w:val="0"/>
        <w:spacing w:line="360" w:lineRule="auto"/>
        <w:ind w:firstLine="420"/>
        <w:rPr>
          <w:rFonts w:asciiTheme="minorEastAsia" w:hAnsiTheme="minorEastAsia" w:eastAsiaTheme="minorEastAsia" w:cstheme="minorEastAsia"/>
          <w:szCs w:val="21"/>
          <w:u w:val="single"/>
          <w:lang w:val="zh-CN"/>
        </w:rPr>
      </w:pPr>
      <w:r>
        <w:rPr>
          <w:rFonts w:hint="eastAsia" w:asciiTheme="minorEastAsia" w:hAnsiTheme="minorEastAsia" w:eastAsiaTheme="minorEastAsia" w:cstheme="minorEastAsia"/>
          <w:szCs w:val="21"/>
          <w:lang w:val="zh-CN"/>
        </w:rPr>
        <w:t>供应商授权代表姓名（签字）：</w:t>
      </w:r>
    </w:p>
    <w:p w14:paraId="6F5DB55F">
      <w:pPr>
        <w:autoSpaceDE w:val="0"/>
        <w:autoSpaceDN w:val="0"/>
        <w:adjustRightInd w:val="0"/>
        <w:spacing w:line="360" w:lineRule="auto"/>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供应商名称（盖章）：</w:t>
      </w:r>
    </w:p>
    <w:p w14:paraId="30E64041">
      <w:pPr>
        <w:autoSpaceDE w:val="0"/>
        <w:autoSpaceDN w:val="0"/>
        <w:adjustRightInd w:val="0"/>
        <w:spacing w:line="360" w:lineRule="auto"/>
        <w:ind w:firstLine="42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szCs w:val="21"/>
          <w:lang w:val="zh-CN"/>
        </w:rPr>
        <w:t>日期：</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年</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月</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日</w:t>
      </w:r>
    </w:p>
    <w:p w14:paraId="07E56A18">
      <w:pPr>
        <w:jc w:val="left"/>
        <w:rPr>
          <w:rFonts w:ascii="宋体" w:hAnsi="宋体" w:cs="宋体"/>
          <w:b/>
          <w:szCs w:val="21"/>
          <w:lang w:val="zh-CN"/>
        </w:rPr>
      </w:pPr>
      <w:r>
        <w:rPr>
          <w:rFonts w:hint="eastAsia" w:ascii="宋体" w:hAnsi="宋体" w:cs="宋体"/>
          <w:b/>
          <w:szCs w:val="21"/>
          <w:lang w:val="zh-CN"/>
        </w:rPr>
        <w:br w:type="page"/>
      </w:r>
    </w:p>
    <w:p w14:paraId="28A4844A">
      <w:pPr>
        <w:pStyle w:val="17"/>
        <w:ind w:firstLine="0" w:firstLineChars="0"/>
        <w:rPr>
          <w:b/>
        </w:rPr>
      </w:pPr>
      <w:r>
        <w:rPr>
          <w:rFonts w:hint="eastAsia"/>
          <w:b/>
          <w:sz w:val="21"/>
          <w:szCs w:val="21"/>
        </w:rPr>
        <w:t>★</w:t>
      </w:r>
      <w:r>
        <w:rPr>
          <w:b/>
        </w:rPr>
        <w:t>目录二、法定代表人授权书格式</w:t>
      </w:r>
    </w:p>
    <w:p w14:paraId="262DC05E">
      <w:pPr>
        <w:pStyle w:val="262"/>
        <w:outlineLvl w:val="9"/>
      </w:pPr>
      <w:r>
        <w:t>法定代表人授权委托书</w:t>
      </w:r>
    </w:p>
    <w:p w14:paraId="28667D6E">
      <w:pPr>
        <w:pStyle w:val="17"/>
        <w:spacing w:after="0" w:line="360" w:lineRule="auto"/>
        <w:rPr>
          <w:sz w:val="21"/>
          <w:szCs w:val="21"/>
        </w:rPr>
      </w:pPr>
      <w:r>
        <w:rPr>
          <w:sz w:val="21"/>
          <w:szCs w:val="21"/>
        </w:rPr>
        <w:t>致：（采购人）</w:t>
      </w:r>
    </w:p>
    <w:p w14:paraId="35B05582">
      <w:pPr>
        <w:pStyle w:val="17"/>
        <w:spacing w:after="0" w:line="360" w:lineRule="auto"/>
        <w:rPr>
          <w:sz w:val="21"/>
          <w:szCs w:val="21"/>
        </w:rPr>
      </w:pPr>
      <w:r>
        <w:rPr>
          <w:sz w:val="21"/>
          <w:szCs w:val="21"/>
        </w:rPr>
        <w:t>本授权书声明：注册于（供应商住址）</w:t>
      </w:r>
      <w:r>
        <w:rPr>
          <w:b/>
          <w:sz w:val="21"/>
          <w:szCs w:val="21"/>
          <w:u w:val="single"/>
        </w:rPr>
        <w:t xml:space="preserve">        </w:t>
      </w:r>
      <w:r>
        <w:rPr>
          <w:b/>
          <w:sz w:val="21"/>
          <w:szCs w:val="21"/>
        </w:rPr>
        <w:t xml:space="preserve"> </w:t>
      </w:r>
      <w:r>
        <w:rPr>
          <w:sz w:val="21"/>
          <w:szCs w:val="21"/>
        </w:rPr>
        <w:t>的（供应商名称）</w:t>
      </w:r>
      <w:r>
        <w:rPr>
          <w:b/>
          <w:sz w:val="21"/>
          <w:szCs w:val="21"/>
          <w:u w:val="single"/>
        </w:rPr>
        <w:t xml:space="preserve">        </w:t>
      </w:r>
      <w:r>
        <w:rPr>
          <w:b/>
          <w:sz w:val="21"/>
          <w:szCs w:val="21"/>
        </w:rPr>
        <w:t xml:space="preserve"> </w:t>
      </w:r>
      <w:r>
        <w:rPr>
          <w:sz w:val="21"/>
          <w:szCs w:val="21"/>
        </w:rPr>
        <w:t>法定代表人（法定代表人姓名、职务）</w:t>
      </w:r>
      <w:r>
        <w:rPr>
          <w:b/>
          <w:sz w:val="21"/>
          <w:szCs w:val="21"/>
          <w:u w:val="single"/>
        </w:rPr>
        <w:t xml:space="preserve">        </w:t>
      </w:r>
      <w:r>
        <w:rPr>
          <w:b/>
          <w:sz w:val="21"/>
          <w:szCs w:val="21"/>
        </w:rPr>
        <w:t xml:space="preserve"> </w:t>
      </w:r>
      <w:r>
        <w:rPr>
          <w:sz w:val="21"/>
          <w:szCs w:val="21"/>
        </w:rPr>
        <w:t>代表本公司授权在下面签字的（供应商代表姓名、职务）为本公司的合法代理人，就贵方组织的</w:t>
      </w:r>
      <w:r>
        <w:rPr>
          <w:rFonts w:hint="eastAsia"/>
          <w:sz w:val="21"/>
          <w:szCs w:val="21"/>
        </w:rPr>
        <w:t xml:space="preserve">  </w:t>
      </w:r>
      <w:r>
        <w:rPr>
          <w:rFonts w:hint="eastAsia"/>
          <w:sz w:val="21"/>
          <w:szCs w:val="21"/>
          <w:u w:val="single"/>
        </w:rPr>
        <w:t xml:space="preserve">                   </w:t>
      </w:r>
      <w:r>
        <w:rPr>
          <w:sz w:val="21"/>
          <w:szCs w:val="21"/>
        </w:rPr>
        <w:t>，</w:t>
      </w:r>
      <w:r>
        <w:rPr>
          <w:b/>
          <w:sz w:val="21"/>
          <w:szCs w:val="21"/>
          <w:u w:val="single"/>
        </w:rPr>
        <w:t xml:space="preserve">        </w:t>
      </w:r>
      <w:r>
        <w:rPr>
          <w:b/>
          <w:sz w:val="21"/>
          <w:szCs w:val="21"/>
        </w:rPr>
        <w:t xml:space="preserve"> </w:t>
      </w:r>
      <w:r>
        <w:rPr>
          <w:sz w:val="21"/>
          <w:szCs w:val="21"/>
        </w:rPr>
        <w:t>（项目编号）进行响应，以本公司名义处理一切与之有关的事务。</w:t>
      </w:r>
    </w:p>
    <w:p w14:paraId="3E0CF660">
      <w:pPr>
        <w:pStyle w:val="17"/>
        <w:spacing w:after="0" w:line="360" w:lineRule="auto"/>
        <w:rPr>
          <w:sz w:val="21"/>
          <w:szCs w:val="21"/>
        </w:rPr>
      </w:pPr>
      <w:r>
        <w:rPr>
          <w:sz w:val="21"/>
          <w:szCs w:val="21"/>
        </w:rPr>
        <w:t>本授权书于</w:t>
      </w:r>
      <w:r>
        <w:rPr>
          <w:sz w:val="21"/>
          <w:szCs w:val="21"/>
          <w:u w:val="single"/>
        </w:rPr>
        <w:t xml:space="preserve">      年    月    日</w:t>
      </w:r>
      <w:r>
        <w:rPr>
          <w:sz w:val="21"/>
          <w:szCs w:val="21"/>
        </w:rPr>
        <w:t>签字生效，特此声明。</w:t>
      </w:r>
    </w:p>
    <w:p w14:paraId="7CEAE80D">
      <w:pPr>
        <w:adjustRightInd w:val="0"/>
        <w:spacing w:line="360" w:lineRule="auto"/>
        <w:ind w:firstLine="420" w:firstLineChars="200"/>
        <w:jc w:val="left"/>
        <w:rPr>
          <w:rFonts w:ascii="宋体" w:hAnsi="宋体" w:cs="宋体"/>
          <w:szCs w:val="21"/>
          <w:lang w:val="zh-CN"/>
        </w:rPr>
      </w:pPr>
    </w:p>
    <w:p w14:paraId="065C1FFC">
      <w:pPr>
        <w:adjustRightInd w:val="0"/>
        <w:spacing w:line="360" w:lineRule="auto"/>
        <w:ind w:firstLine="420" w:firstLineChars="200"/>
        <w:jc w:val="left"/>
        <w:rPr>
          <w:rFonts w:ascii="Times New Roman" w:hAnsi="Times New Roman"/>
          <w:szCs w:val="21"/>
          <w:lang w:val="zh-CN"/>
        </w:rPr>
      </w:pPr>
      <w:r>
        <w:rPr>
          <w:rFonts w:hint="eastAsia" w:ascii="Times New Roman" w:hAnsi="Times New Roman"/>
          <w:szCs w:val="21"/>
          <w:lang w:val="zh-CN"/>
        </w:rPr>
        <w:t>法定代表人（签字）：</w:t>
      </w:r>
    </w:p>
    <w:p w14:paraId="503CC83D">
      <w:pPr>
        <w:adjustRightInd w:val="0"/>
        <w:spacing w:line="360" w:lineRule="auto"/>
        <w:ind w:firstLine="420" w:firstLineChars="200"/>
        <w:jc w:val="left"/>
        <w:rPr>
          <w:rFonts w:ascii="Times New Roman" w:hAnsi="Times New Roman"/>
          <w:szCs w:val="21"/>
          <w:lang w:val="zh-CN"/>
        </w:rPr>
      </w:pPr>
      <w:r>
        <w:rPr>
          <w:rFonts w:hint="eastAsia" w:ascii="Times New Roman" w:hAnsi="Times New Roman"/>
          <w:szCs w:val="21"/>
          <w:lang w:val="zh-CN"/>
        </w:rPr>
        <w:t>授权委托人（签字）：</w:t>
      </w:r>
    </w:p>
    <w:p w14:paraId="287C2E2B">
      <w:pPr>
        <w:tabs>
          <w:tab w:val="left" w:pos="1440"/>
        </w:tabs>
        <w:adjustRightInd w:val="0"/>
        <w:spacing w:line="360" w:lineRule="auto"/>
        <w:ind w:firstLine="420" w:firstLineChars="200"/>
        <w:jc w:val="left"/>
        <w:rPr>
          <w:rFonts w:ascii="Times New Roman" w:hAnsi="Times New Roman"/>
          <w:szCs w:val="21"/>
          <w:lang w:val="zh-CN"/>
        </w:rPr>
      </w:pPr>
      <w:r>
        <w:rPr>
          <w:rFonts w:hint="eastAsia" w:ascii="Times New Roman" w:hAnsi="Times New Roman"/>
          <w:szCs w:val="21"/>
          <w:lang w:val="zh-CN"/>
        </w:rPr>
        <w:t>日期：年 月 日</w:t>
      </w:r>
    </w:p>
    <w:p w14:paraId="781A7476">
      <w:pPr>
        <w:tabs>
          <w:tab w:val="left" w:pos="1440"/>
        </w:tabs>
        <w:adjustRightInd w:val="0"/>
        <w:spacing w:line="360" w:lineRule="auto"/>
        <w:ind w:firstLine="420" w:firstLineChars="200"/>
        <w:jc w:val="left"/>
        <w:rPr>
          <w:rFonts w:ascii="宋体" w:hAnsi="宋体" w:cs="宋体"/>
          <w:szCs w:val="21"/>
          <w:lang w:val="zh-CN"/>
        </w:rPr>
      </w:pPr>
    </w:p>
    <w:p w14:paraId="53CB7DAD">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附：法定代表人</w:t>
      </w:r>
      <w:r>
        <w:rPr>
          <w:rFonts w:hint="eastAsia" w:ascii="宋体" w:hAnsi="宋体" w:cs="宋体"/>
          <w:b/>
          <w:bCs/>
          <w:color w:val="000000" w:themeColor="text1"/>
          <w:szCs w:val="21"/>
          <w14:textFill>
            <w14:solidFill>
              <w14:schemeClr w14:val="tx1"/>
            </w14:solidFill>
          </w14:textFill>
        </w:rPr>
        <w:t>有效期内</w:t>
      </w:r>
      <w:r>
        <w:rPr>
          <w:rFonts w:hint="eastAsia" w:ascii="宋体" w:hAnsi="宋体" w:cs="宋体"/>
          <w:color w:val="000000" w:themeColor="text1"/>
          <w:szCs w:val="21"/>
          <w14:textFill>
            <w14:solidFill>
              <w14:schemeClr w14:val="tx1"/>
            </w14:solidFill>
          </w14:textFill>
        </w:rPr>
        <w:t>的身份证复印件（正反面）</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2"/>
        <w:gridCol w:w="284"/>
        <w:gridCol w:w="4696"/>
      </w:tblGrid>
      <w:tr w14:paraId="2B8E7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2425" w:type="pct"/>
            <w:vAlign w:val="center"/>
          </w:tcPr>
          <w:p w14:paraId="2CA0E050">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身份证正面</w:t>
            </w:r>
          </w:p>
        </w:tc>
        <w:tc>
          <w:tcPr>
            <w:tcW w:w="147" w:type="pct"/>
            <w:tcBorders>
              <w:top w:val="nil"/>
              <w:bottom w:val="nil"/>
            </w:tcBorders>
          </w:tcPr>
          <w:p w14:paraId="0351637A">
            <w:pPr>
              <w:widowControl/>
              <w:shd w:val="clear" w:color="auto" w:fill="FFFFFF"/>
              <w:spacing w:line="360" w:lineRule="auto"/>
              <w:rPr>
                <w:rFonts w:ascii="宋体" w:hAnsi="宋体" w:cs="宋体"/>
                <w:color w:val="000000" w:themeColor="text1"/>
                <w:szCs w:val="21"/>
                <w14:textFill>
                  <w14:solidFill>
                    <w14:schemeClr w14:val="tx1"/>
                  </w14:solidFill>
                </w14:textFill>
              </w:rPr>
            </w:pPr>
          </w:p>
        </w:tc>
        <w:tc>
          <w:tcPr>
            <w:tcW w:w="2427" w:type="pct"/>
            <w:vAlign w:val="center"/>
          </w:tcPr>
          <w:p w14:paraId="596F088F">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身份证反面</w:t>
            </w:r>
          </w:p>
        </w:tc>
      </w:tr>
    </w:tbl>
    <w:p w14:paraId="3B8484EA">
      <w:pPr>
        <w:widowControl/>
        <w:shd w:val="clear" w:color="auto" w:fill="FFFFFF"/>
        <w:spacing w:line="360" w:lineRule="auto"/>
        <w:rPr>
          <w:rFonts w:ascii="宋体" w:hAnsi="宋体" w:cs="宋体"/>
          <w:color w:val="000000" w:themeColor="text1"/>
          <w:szCs w:val="21"/>
          <w14:textFill>
            <w14:solidFill>
              <w14:schemeClr w14:val="tx1"/>
            </w14:solidFill>
          </w14:textFill>
        </w:rPr>
      </w:pPr>
    </w:p>
    <w:p w14:paraId="66B5E830">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授权代表</w:t>
      </w:r>
      <w:r>
        <w:rPr>
          <w:rFonts w:hint="eastAsia" w:ascii="宋体" w:hAnsi="宋体" w:cs="宋体"/>
          <w:b/>
          <w:bCs/>
          <w:color w:val="000000" w:themeColor="text1"/>
          <w:szCs w:val="21"/>
          <w14:textFill>
            <w14:solidFill>
              <w14:schemeClr w14:val="tx1"/>
            </w14:solidFill>
          </w14:textFill>
        </w:rPr>
        <w:t>有效期内</w:t>
      </w:r>
      <w:r>
        <w:rPr>
          <w:rFonts w:hint="eastAsia" w:ascii="宋体" w:hAnsi="宋体" w:cs="宋体"/>
          <w:color w:val="000000" w:themeColor="text1"/>
          <w:szCs w:val="21"/>
          <w14:textFill>
            <w14:solidFill>
              <w14:schemeClr w14:val="tx1"/>
            </w14:solidFill>
          </w14:textFill>
        </w:rPr>
        <w:t>的身份证复印件（正反面）</w:t>
      </w:r>
    </w:p>
    <w:tbl>
      <w:tblPr>
        <w:tblStyle w:val="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1"/>
        <w:gridCol w:w="277"/>
        <w:gridCol w:w="4710"/>
      </w:tblGrid>
      <w:tr w14:paraId="1AC2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2423" w:type="pct"/>
            <w:vAlign w:val="center"/>
          </w:tcPr>
          <w:p w14:paraId="6048BCBA">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身份证正面</w:t>
            </w:r>
          </w:p>
        </w:tc>
        <w:tc>
          <w:tcPr>
            <w:tcW w:w="143" w:type="pct"/>
            <w:tcBorders>
              <w:top w:val="nil"/>
              <w:bottom w:val="nil"/>
            </w:tcBorders>
          </w:tcPr>
          <w:p w14:paraId="40386C61">
            <w:pPr>
              <w:widowControl/>
              <w:shd w:val="clear" w:color="auto" w:fill="FFFFFF"/>
              <w:spacing w:line="360" w:lineRule="auto"/>
              <w:rPr>
                <w:rFonts w:ascii="宋体" w:hAnsi="宋体" w:cs="宋体"/>
                <w:color w:val="000000" w:themeColor="text1"/>
                <w:szCs w:val="21"/>
                <w14:textFill>
                  <w14:solidFill>
                    <w14:schemeClr w14:val="tx1"/>
                  </w14:solidFill>
                </w14:textFill>
              </w:rPr>
            </w:pPr>
          </w:p>
        </w:tc>
        <w:tc>
          <w:tcPr>
            <w:tcW w:w="2433" w:type="pct"/>
            <w:vAlign w:val="center"/>
          </w:tcPr>
          <w:p w14:paraId="3FAE225B">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身份证反面</w:t>
            </w:r>
          </w:p>
        </w:tc>
      </w:tr>
    </w:tbl>
    <w:p w14:paraId="110A4527">
      <w:pPr>
        <w:widowControl/>
        <w:shd w:val="clear" w:color="auto" w:fill="FFFFFF"/>
        <w:spacing w:line="360" w:lineRule="auto"/>
        <w:rPr>
          <w:rFonts w:ascii="宋体" w:hAnsi="宋体" w:cs="宋体"/>
          <w:color w:val="000000" w:themeColor="text1"/>
          <w:szCs w:val="21"/>
          <w14:textFill>
            <w14:solidFill>
              <w14:schemeClr w14:val="tx1"/>
            </w14:solidFill>
          </w14:textFill>
        </w:rPr>
      </w:pPr>
    </w:p>
    <w:p w14:paraId="6B2464BC">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供应商或分支机构近六个月内</w:t>
      </w:r>
      <w:r>
        <w:rPr>
          <w:rFonts w:hint="eastAsia" w:cs="宋体"/>
          <w:color w:val="000000" w:themeColor="text1"/>
          <w:szCs w:val="21"/>
          <w14:textFill>
            <w14:solidFill>
              <w14:schemeClr w14:val="tx1"/>
            </w14:solidFill>
          </w14:textFill>
        </w:rPr>
        <w:t>（2025年6月以来）</w:t>
      </w:r>
      <w:r>
        <w:rPr>
          <w:rFonts w:hint="eastAsia" w:ascii="宋体" w:hAnsi="宋体" w:cs="宋体"/>
          <w:color w:val="000000" w:themeColor="text1"/>
          <w:szCs w:val="21"/>
          <w14:textFill>
            <w14:solidFill>
              <w14:schemeClr w14:val="tx1"/>
            </w14:solidFill>
          </w14:textFill>
        </w:rPr>
        <w:t>任意一个月为授权代表缴纳社保的证明材料：</w:t>
      </w:r>
    </w:p>
    <w:p w14:paraId="7C3F083E">
      <w:pPr>
        <w:tabs>
          <w:tab w:val="left" w:pos="1440"/>
        </w:tabs>
        <w:adjustRightInd w:val="0"/>
        <w:spacing w:line="360" w:lineRule="auto"/>
        <w:ind w:firstLine="420" w:firstLineChars="200"/>
        <w:jc w:val="left"/>
        <w:rPr>
          <w:rFonts w:ascii="Times New Roman" w:hAnsi="Times New Roman"/>
          <w:szCs w:val="21"/>
        </w:rPr>
      </w:pPr>
    </w:p>
    <w:p w14:paraId="5475AAE5">
      <w:pPr>
        <w:tabs>
          <w:tab w:val="left" w:pos="1440"/>
        </w:tabs>
        <w:adjustRightInd w:val="0"/>
        <w:spacing w:line="360" w:lineRule="auto"/>
        <w:ind w:firstLine="420"/>
        <w:jc w:val="left"/>
        <w:rPr>
          <w:rFonts w:ascii="宋体" w:hAnsi="宋体" w:cs="宋体"/>
          <w:szCs w:val="21"/>
          <w:lang w:val="zh-CN"/>
        </w:rPr>
      </w:pPr>
    </w:p>
    <w:p w14:paraId="10D8BC56">
      <w:pPr>
        <w:tabs>
          <w:tab w:val="left" w:pos="1440"/>
        </w:tabs>
        <w:adjustRightInd w:val="0"/>
        <w:spacing w:line="360" w:lineRule="auto"/>
        <w:ind w:firstLine="420"/>
        <w:jc w:val="left"/>
        <w:rPr>
          <w:rFonts w:ascii="宋体" w:hAnsi="宋体" w:cs="宋体"/>
          <w:szCs w:val="21"/>
          <w:lang w:val="zh-CN"/>
        </w:rPr>
      </w:pPr>
    </w:p>
    <w:p w14:paraId="10C84D47">
      <w:pPr>
        <w:rPr>
          <w:rFonts w:ascii="宋体" w:hAnsi="宋体" w:cs="宋体"/>
          <w:b/>
          <w:szCs w:val="21"/>
          <w:lang w:val="zh-CN"/>
        </w:rPr>
      </w:pPr>
      <w:r>
        <w:rPr>
          <w:rFonts w:hint="eastAsia" w:ascii="宋体" w:hAnsi="宋体" w:cs="宋体"/>
          <w:b/>
          <w:szCs w:val="21"/>
          <w:lang w:val="zh-CN"/>
        </w:rPr>
        <w:br w:type="page"/>
      </w:r>
    </w:p>
    <w:p w14:paraId="7937FE0C">
      <w:pPr>
        <w:pStyle w:val="17"/>
        <w:ind w:firstLine="0" w:firstLineChars="0"/>
        <w:rPr>
          <w:b/>
        </w:rPr>
      </w:pPr>
      <w:r>
        <w:rPr>
          <w:rFonts w:hint="eastAsia"/>
          <w:b/>
          <w:sz w:val="21"/>
          <w:szCs w:val="21"/>
        </w:rPr>
        <w:t>★</w:t>
      </w:r>
      <w:r>
        <w:rPr>
          <w:rFonts w:hint="eastAsia"/>
          <w:b/>
        </w:rPr>
        <w:t>目录三、响应一览表格式</w:t>
      </w:r>
    </w:p>
    <w:p w14:paraId="29BB7675">
      <w:pPr>
        <w:pStyle w:val="262"/>
        <w:outlineLvl w:val="9"/>
      </w:pPr>
      <w:r>
        <w:rPr>
          <w:rFonts w:hint="eastAsia"/>
        </w:rPr>
        <w:t>响应</w:t>
      </w:r>
      <w:r>
        <w:t>一览表</w:t>
      </w:r>
    </w:p>
    <w:p w14:paraId="7076C401">
      <w:pPr>
        <w:pStyle w:val="33"/>
      </w:pPr>
      <w:r>
        <w:t>（请将</w:t>
      </w:r>
      <w:r>
        <w:rPr>
          <w:rFonts w:hint="eastAsia"/>
        </w:rPr>
        <w:t>响应</w:t>
      </w:r>
      <w:r>
        <w:t>一览表放置于响应文件首页）</w:t>
      </w:r>
    </w:p>
    <w:tbl>
      <w:tblPr>
        <w:tblStyle w:val="44"/>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053A6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6779FCE4">
            <w:pPr>
              <w:pStyle w:val="13"/>
              <w:spacing w:line="360" w:lineRule="auto"/>
              <w:ind w:firstLine="0"/>
              <w:jc w:val="center"/>
              <w:rPr>
                <w:rFonts w:ascii="宋体" w:hAnsi="宋体" w:cs="宋体"/>
                <w:szCs w:val="21"/>
              </w:rPr>
            </w:pPr>
            <w:r>
              <w:rPr>
                <w:rFonts w:hint="eastAsia" w:ascii="宋体" w:hAnsi="宋体" w:cs="宋体"/>
                <w:szCs w:val="21"/>
              </w:rPr>
              <w:t>响应总价</w:t>
            </w:r>
          </w:p>
        </w:tc>
        <w:tc>
          <w:tcPr>
            <w:tcW w:w="5670" w:type="dxa"/>
            <w:vAlign w:val="center"/>
          </w:tcPr>
          <w:p w14:paraId="4902FE14">
            <w:pPr>
              <w:spacing w:line="360" w:lineRule="auto"/>
              <w:rPr>
                <w:szCs w:val="21"/>
              </w:rPr>
            </w:pP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szCs w:val="21"/>
              </w:rPr>
              <w:t xml:space="preserve">   </w:t>
            </w:r>
          </w:p>
          <w:p w14:paraId="1943030D">
            <w:pPr>
              <w:spacing w:line="360" w:lineRule="auto"/>
              <w:rPr>
                <w:szCs w:val="21"/>
              </w:rPr>
            </w:pPr>
            <w:r>
              <w:rPr>
                <w:rFonts w:hint="eastAsia" w:ascii="宋体" w:hAnsi="宋体" w:cs="宋体"/>
                <w:szCs w:val="21"/>
              </w:rPr>
              <w:t>大写：</w:t>
            </w:r>
            <w:r>
              <w:rPr>
                <w:rFonts w:hint="eastAsia" w:ascii="宋体" w:hAnsi="宋体" w:cs="宋体"/>
                <w:szCs w:val="21"/>
                <w:u w:val="single"/>
              </w:rPr>
              <w:t xml:space="preserve">           </w:t>
            </w:r>
            <w:r>
              <w:rPr>
                <w:rFonts w:hint="eastAsia" w:ascii="宋体" w:hAnsi="宋体" w:cs="宋体"/>
                <w:szCs w:val="21"/>
              </w:rPr>
              <w:t xml:space="preserve">人民币 </w:t>
            </w:r>
          </w:p>
        </w:tc>
      </w:tr>
      <w:tr w14:paraId="21A42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6301289A">
            <w:pPr>
              <w:spacing w:line="360" w:lineRule="auto"/>
              <w:jc w:val="center"/>
              <w:rPr>
                <w:rFonts w:ascii="宋体" w:hAnsi="宋体" w:cs="宋体" w:eastAsiaTheme="majorEastAsia"/>
                <w:szCs w:val="21"/>
              </w:rPr>
            </w:pPr>
            <w:r>
              <w:rPr>
                <w:rFonts w:hint="eastAsia" w:asciiTheme="majorEastAsia" w:hAnsiTheme="majorEastAsia" w:eastAsiaTheme="majorEastAsia" w:cstheme="majorEastAsia"/>
                <w:szCs w:val="21"/>
              </w:rPr>
              <w:t>合同履行期限</w:t>
            </w:r>
          </w:p>
        </w:tc>
        <w:tc>
          <w:tcPr>
            <w:tcW w:w="5670" w:type="dxa"/>
            <w:vAlign w:val="center"/>
          </w:tcPr>
          <w:p w14:paraId="45106A25">
            <w:pPr>
              <w:spacing w:line="360" w:lineRule="auto"/>
              <w:rPr>
                <w:rFonts w:ascii="宋体" w:hAnsi="宋体" w:cs="宋体" w:eastAsiaTheme="majorEastAsia"/>
                <w:szCs w:val="21"/>
              </w:rPr>
            </w:pPr>
          </w:p>
        </w:tc>
      </w:tr>
      <w:tr w14:paraId="2CC45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6A57EBF9">
            <w:pPr>
              <w:spacing w:line="360" w:lineRule="auto"/>
              <w:ind w:firstLine="420" w:firstLineChars="200"/>
              <w:jc w:val="center"/>
              <w:rPr>
                <w:rFonts w:asciiTheme="majorEastAsia" w:hAnsiTheme="majorEastAsia" w:eastAsiaTheme="majorEastAsia" w:cstheme="majorEastAsia"/>
                <w:szCs w:val="21"/>
              </w:rPr>
            </w:pPr>
            <w:r>
              <w:rPr>
                <w:rFonts w:hint="eastAsia" w:asciiTheme="minorEastAsia" w:hAnsiTheme="minorEastAsia"/>
                <w:bCs/>
              </w:rPr>
              <w:t>工期</w:t>
            </w:r>
          </w:p>
        </w:tc>
        <w:tc>
          <w:tcPr>
            <w:tcW w:w="5670" w:type="dxa"/>
            <w:vAlign w:val="center"/>
          </w:tcPr>
          <w:p w14:paraId="73765DEE">
            <w:pPr>
              <w:spacing w:line="360" w:lineRule="auto"/>
              <w:ind w:firstLine="420" w:firstLineChars="200"/>
              <w:rPr>
                <w:rFonts w:ascii="宋体" w:hAnsi="宋体" w:cs="宋体" w:eastAsiaTheme="majorEastAsia"/>
                <w:szCs w:val="21"/>
              </w:rPr>
            </w:pPr>
            <w:r>
              <w:rPr>
                <w:rFonts w:hint="eastAsia" w:asciiTheme="minorEastAsia" w:hAnsiTheme="minorEastAsia"/>
                <w:bCs/>
              </w:rPr>
              <w:t>自合同签订起   个工作日内</w:t>
            </w:r>
          </w:p>
        </w:tc>
      </w:tr>
    </w:tbl>
    <w:p w14:paraId="63923FED">
      <w:pPr>
        <w:pStyle w:val="16"/>
        <w:rPr>
          <w:b/>
          <w:bCs/>
        </w:rPr>
      </w:pPr>
    </w:p>
    <w:p w14:paraId="000BC686">
      <w:pPr>
        <w:pStyle w:val="16"/>
        <w:rPr>
          <w:b/>
          <w:bCs/>
        </w:rPr>
      </w:pPr>
    </w:p>
    <w:p w14:paraId="596A4F51">
      <w:pPr>
        <w:pStyle w:val="16"/>
        <w:rPr>
          <w:b/>
          <w:bCs/>
        </w:rPr>
      </w:pPr>
    </w:p>
    <w:p w14:paraId="6479CFEF">
      <w:pPr>
        <w:widowControl/>
        <w:spacing w:line="360" w:lineRule="auto"/>
        <w:rPr>
          <w:szCs w:val="21"/>
        </w:rPr>
      </w:pPr>
      <w:r>
        <w:rPr>
          <w:rFonts w:hint="eastAsia" w:ascii="宋体" w:hAnsi="宋体" w:cs="宋体"/>
          <w:szCs w:val="21"/>
        </w:rPr>
        <w:t>供应商（盖章）：</w:t>
      </w:r>
      <w:r>
        <w:rPr>
          <w:rFonts w:ascii="宋体"/>
          <w:szCs w:val="21"/>
          <w:u w:val="single"/>
        </w:rPr>
        <w:t>                      </w:t>
      </w:r>
    </w:p>
    <w:p w14:paraId="79240A33">
      <w:pPr>
        <w:widowControl/>
        <w:spacing w:line="360" w:lineRule="auto"/>
        <w:rPr>
          <w:szCs w:val="21"/>
          <w:u w:val="single"/>
        </w:rPr>
      </w:pPr>
      <w:r>
        <w:rPr>
          <w:rFonts w:hint="eastAsia" w:ascii="宋体" w:hAnsi="宋体" w:cs="宋体"/>
          <w:szCs w:val="21"/>
        </w:rPr>
        <w:t>授权代表（签字）：</w:t>
      </w:r>
      <w:r>
        <w:rPr>
          <w:rFonts w:ascii="宋体"/>
          <w:szCs w:val="21"/>
          <w:u w:val="single"/>
        </w:rPr>
        <w:t>                      </w:t>
      </w:r>
    </w:p>
    <w:p w14:paraId="6299A219">
      <w:pPr>
        <w:widowControl/>
        <w:spacing w:line="360" w:lineRule="auto"/>
        <w:rPr>
          <w:szCs w:val="21"/>
        </w:rPr>
      </w:pPr>
      <w:r>
        <w:rPr>
          <w:rFonts w:hint="eastAsia" w:ascii="宋体" w:hAnsi="宋体" w:cs="宋体"/>
          <w:szCs w:val="21"/>
        </w:rPr>
        <w:t>日期：年月日</w:t>
      </w:r>
    </w:p>
    <w:p w14:paraId="43171C9C">
      <w:pPr>
        <w:widowControl/>
        <w:spacing w:line="360" w:lineRule="auto"/>
        <w:rPr>
          <w:rFonts w:ascii="宋体" w:hAnsi="宋体" w:cs="宋体"/>
          <w:szCs w:val="21"/>
        </w:rPr>
      </w:pPr>
    </w:p>
    <w:p w14:paraId="6B923064">
      <w:pPr>
        <w:widowControl/>
        <w:spacing w:line="360" w:lineRule="auto"/>
        <w:rPr>
          <w:szCs w:val="21"/>
        </w:rPr>
      </w:pPr>
      <w:r>
        <w:rPr>
          <w:rFonts w:hint="eastAsia" w:ascii="宋体" w:hAnsi="宋体" w:cs="宋体"/>
          <w:szCs w:val="21"/>
        </w:rPr>
        <w:t>说明：</w:t>
      </w:r>
    </w:p>
    <w:p w14:paraId="02C0B0E4">
      <w:pPr>
        <w:widowControl/>
        <w:adjustRightInd w:val="0"/>
        <w:snapToGrid w:val="0"/>
        <w:spacing w:line="360" w:lineRule="auto"/>
        <w:ind w:firstLine="420" w:firstLineChars="200"/>
        <w:rPr>
          <w:szCs w:val="21"/>
        </w:rPr>
      </w:pPr>
      <w:r>
        <w:rPr>
          <w:rFonts w:hint="eastAsia" w:ascii="宋体" w:hAnsi="宋体" w:cs="宋体"/>
          <w:szCs w:val="21"/>
        </w:rPr>
        <w:t>（1）响应报价应包含为完成本项目所发生的全部费用。</w:t>
      </w:r>
    </w:p>
    <w:p w14:paraId="517B89C4">
      <w:pPr>
        <w:widowControl/>
        <w:adjustRightInd w:val="0"/>
        <w:snapToGrid w:val="0"/>
        <w:spacing w:line="360" w:lineRule="auto"/>
        <w:ind w:firstLine="420" w:firstLineChars="200"/>
        <w:rPr>
          <w:szCs w:val="21"/>
        </w:rPr>
      </w:pPr>
      <w:r>
        <w:rPr>
          <w:rFonts w:hint="eastAsia" w:ascii="宋体" w:hAnsi="宋体" w:cs="宋体"/>
          <w:szCs w:val="21"/>
        </w:rPr>
        <w:t>（2）供应商不得实质性改动报价一览表格式及内容。</w:t>
      </w:r>
    </w:p>
    <w:p w14:paraId="1F6D9089">
      <w:pPr>
        <w:pStyle w:val="271"/>
        <w:ind w:firstLineChars="200"/>
        <w:rPr>
          <w:rFonts w:cs="宋体"/>
          <w:sz w:val="21"/>
          <w:szCs w:val="21"/>
        </w:rPr>
      </w:pPr>
    </w:p>
    <w:p w14:paraId="2792AA3A">
      <w:pPr>
        <w:widowControl/>
        <w:spacing w:line="360" w:lineRule="auto"/>
        <w:jc w:val="left"/>
        <w:rPr>
          <w:rFonts w:ascii="Times New Roman" w:hAnsi="Times New Roman"/>
          <w:sz w:val="24"/>
          <w:lang w:val="zh-CN"/>
        </w:rPr>
      </w:pPr>
    </w:p>
    <w:p w14:paraId="397B147A">
      <w:pPr>
        <w:jc w:val="left"/>
        <w:rPr>
          <w:rFonts w:ascii="宋体" w:hAnsi="宋体" w:cs="宋体"/>
          <w:b/>
          <w:szCs w:val="21"/>
          <w:lang w:val="zh-CN"/>
        </w:rPr>
      </w:pPr>
      <w:r>
        <w:rPr>
          <w:rFonts w:hint="eastAsia" w:ascii="宋体" w:hAnsi="宋体" w:cs="宋体"/>
          <w:b/>
          <w:szCs w:val="21"/>
          <w:lang w:val="zh-CN"/>
        </w:rPr>
        <w:br w:type="page"/>
      </w:r>
    </w:p>
    <w:p w14:paraId="36B95263">
      <w:pPr>
        <w:pStyle w:val="17"/>
        <w:ind w:firstLine="0" w:firstLineChars="0"/>
        <w:rPr>
          <w:b/>
        </w:rPr>
      </w:pPr>
      <w:r>
        <w:rPr>
          <w:rFonts w:hint="eastAsia"/>
          <w:b/>
          <w:sz w:val="21"/>
          <w:szCs w:val="21"/>
        </w:rPr>
        <w:t>★</w:t>
      </w:r>
      <w:r>
        <w:rPr>
          <w:b/>
        </w:rPr>
        <w:t>目录四、资格证明文件</w:t>
      </w:r>
    </w:p>
    <w:p w14:paraId="3DC1B3BE">
      <w:pPr>
        <w:pStyle w:val="264"/>
      </w:pPr>
      <w:bookmarkStart w:id="26" w:name="_Toc489655335"/>
      <w:r>
        <w:t>资格证明文件</w:t>
      </w:r>
      <w:bookmarkEnd w:id="26"/>
    </w:p>
    <w:p w14:paraId="2E70CE15">
      <w:pPr>
        <w:pStyle w:val="17"/>
        <w:spacing w:after="0" w:line="360" w:lineRule="auto"/>
        <w:ind w:firstLine="422"/>
        <w:rPr>
          <w:rFonts w:asciiTheme="majorEastAsia" w:hAnsiTheme="majorEastAsia" w:eastAsiaTheme="majorEastAsia" w:cstheme="majorEastAsia"/>
          <w:b/>
          <w:sz w:val="21"/>
          <w:szCs w:val="21"/>
        </w:rPr>
      </w:pPr>
    </w:p>
    <w:p w14:paraId="719E2ECC">
      <w:pPr>
        <w:pStyle w:val="17"/>
        <w:spacing w:after="0" w:line="360" w:lineRule="auto"/>
        <w:rPr>
          <w:rFonts w:asciiTheme="majorEastAsia" w:hAnsiTheme="majorEastAsia" w:eastAsiaTheme="majorEastAsia" w:cstheme="majorEastAsia"/>
          <w:sz w:val="21"/>
          <w:szCs w:val="21"/>
        </w:rPr>
      </w:pPr>
    </w:p>
    <w:p w14:paraId="45A91833">
      <w:pPr>
        <w:pStyle w:val="17"/>
        <w:ind w:firstLine="0" w:firstLineChars="0"/>
        <w:rPr>
          <w:b/>
        </w:rPr>
      </w:pPr>
    </w:p>
    <w:p w14:paraId="7EBCFA2F">
      <w:pPr>
        <w:pStyle w:val="17"/>
        <w:ind w:firstLine="0" w:firstLineChars="0"/>
        <w:rPr>
          <w:b/>
        </w:rPr>
      </w:pPr>
      <w:r>
        <w:rPr>
          <w:b/>
        </w:rPr>
        <w:br w:type="page"/>
      </w:r>
      <w:r>
        <w:rPr>
          <w:b/>
        </w:rPr>
        <w:t>目录五、分项报价表格式</w:t>
      </w:r>
      <w:r>
        <w:rPr>
          <w:rFonts w:hint="eastAsia"/>
          <w:b/>
        </w:rPr>
        <w:t>（如需）</w:t>
      </w:r>
    </w:p>
    <w:p w14:paraId="702FD206">
      <w:pPr>
        <w:pStyle w:val="262"/>
        <w:outlineLvl w:val="9"/>
      </w:pPr>
      <w: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96"/>
        <w:gridCol w:w="3912"/>
        <w:gridCol w:w="1142"/>
        <w:gridCol w:w="971"/>
        <w:gridCol w:w="1246"/>
        <w:gridCol w:w="1195"/>
        <w:gridCol w:w="635"/>
      </w:tblGrid>
      <w:tr w14:paraId="7C0F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396" w:type="dxa"/>
            <w:tcMar>
              <w:top w:w="20" w:type="dxa"/>
              <w:left w:w="20" w:type="dxa"/>
              <w:bottom w:w="20" w:type="dxa"/>
              <w:right w:w="20" w:type="dxa"/>
            </w:tcMar>
            <w:vAlign w:val="center"/>
          </w:tcPr>
          <w:p w14:paraId="15A01143">
            <w:pPr>
              <w:wordWrap w:val="0"/>
              <w:spacing w:line="273"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序号</w:t>
            </w:r>
          </w:p>
        </w:tc>
        <w:tc>
          <w:tcPr>
            <w:tcW w:w="3912" w:type="dxa"/>
            <w:tcMar>
              <w:top w:w="20" w:type="dxa"/>
              <w:left w:w="20" w:type="dxa"/>
              <w:bottom w:w="20" w:type="dxa"/>
              <w:right w:w="20" w:type="dxa"/>
            </w:tcMar>
            <w:vAlign w:val="center"/>
          </w:tcPr>
          <w:p w14:paraId="1F4D40AD">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服务内容</w:t>
            </w:r>
          </w:p>
        </w:tc>
        <w:tc>
          <w:tcPr>
            <w:tcW w:w="1142" w:type="dxa"/>
            <w:tcMar>
              <w:top w:w="20" w:type="dxa"/>
              <w:left w:w="20" w:type="dxa"/>
              <w:bottom w:w="20" w:type="dxa"/>
              <w:right w:w="20" w:type="dxa"/>
            </w:tcMar>
            <w:vAlign w:val="center"/>
          </w:tcPr>
          <w:p w14:paraId="07D003A4">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报价单位</w:t>
            </w:r>
          </w:p>
        </w:tc>
        <w:tc>
          <w:tcPr>
            <w:tcW w:w="971" w:type="dxa"/>
            <w:tcMar>
              <w:top w:w="20" w:type="dxa"/>
              <w:left w:w="20" w:type="dxa"/>
              <w:bottom w:w="20" w:type="dxa"/>
              <w:right w:w="20" w:type="dxa"/>
            </w:tcMar>
            <w:vAlign w:val="center"/>
          </w:tcPr>
          <w:p w14:paraId="6FDEC423">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1246" w:type="dxa"/>
            <w:tcMar>
              <w:top w:w="20" w:type="dxa"/>
              <w:left w:w="20" w:type="dxa"/>
              <w:bottom w:w="20" w:type="dxa"/>
              <w:right w:w="20" w:type="dxa"/>
            </w:tcMar>
            <w:vAlign w:val="center"/>
          </w:tcPr>
          <w:p w14:paraId="0A53801A">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单价</w:t>
            </w:r>
          </w:p>
        </w:tc>
        <w:tc>
          <w:tcPr>
            <w:tcW w:w="1195" w:type="dxa"/>
            <w:tcMar>
              <w:top w:w="20" w:type="dxa"/>
              <w:left w:w="20" w:type="dxa"/>
              <w:bottom w:w="20" w:type="dxa"/>
              <w:right w:w="20" w:type="dxa"/>
            </w:tcMar>
            <w:vAlign w:val="center"/>
          </w:tcPr>
          <w:p w14:paraId="7DE1CE55">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合计</w:t>
            </w:r>
          </w:p>
          <w:p w14:paraId="16601B51">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（元）</w:t>
            </w:r>
          </w:p>
        </w:tc>
        <w:tc>
          <w:tcPr>
            <w:tcW w:w="635" w:type="dxa"/>
            <w:tcMar>
              <w:top w:w="20" w:type="dxa"/>
              <w:left w:w="20" w:type="dxa"/>
              <w:bottom w:w="20" w:type="dxa"/>
              <w:right w:w="20" w:type="dxa"/>
            </w:tcMar>
            <w:vAlign w:val="center"/>
          </w:tcPr>
          <w:p w14:paraId="5F27C405">
            <w:pPr>
              <w:wordWrap w:val="0"/>
              <w:spacing w:line="273"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2C88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Mar>
              <w:top w:w="20" w:type="dxa"/>
              <w:left w:w="20" w:type="dxa"/>
              <w:bottom w:w="20" w:type="dxa"/>
              <w:right w:w="20" w:type="dxa"/>
            </w:tcMar>
            <w:vAlign w:val="center"/>
          </w:tcPr>
          <w:p w14:paraId="1339600F">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3912" w:type="dxa"/>
            <w:tcMar>
              <w:top w:w="20" w:type="dxa"/>
              <w:left w:w="20" w:type="dxa"/>
              <w:bottom w:w="20" w:type="dxa"/>
              <w:right w:w="20" w:type="dxa"/>
            </w:tcMar>
            <w:vAlign w:val="center"/>
          </w:tcPr>
          <w:p w14:paraId="39FD59D7">
            <w:pPr>
              <w:widowControl/>
              <w:jc w:val="center"/>
              <w:rPr>
                <w:rFonts w:asciiTheme="minorEastAsia" w:hAnsiTheme="minorEastAsia" w:eastAsiaTheme="minorEastAsia" w:cstheme="minorEastAsia"/>
                <w:szCs w:val="21"/>
              </w:rPr>
            </w:pPr>
          </w:p>
        </w:tc>
        <w:tc>
          <w:tcPr>
            <w:tcW w:w="1142" w:type="dxa"/>
            <w:tcMar>
              <w:top w:w="20" w:type="dxa"/>
              <w:left w:w="20" w:type="dxa"/>
              <w:bottom w:w="20" w:type="dxa"/>
              <w:right w:w="20" w:type="dxa"/>
            </w:tcMar>
            <w:vAlign w:val="center"/>
          </w:tcPr>
          <w:p w14:paraId="3FD2A237">
            <w:pPr>
              <w:widowControl/>
              <w:jc w:val="center"/>
            </w:pPr>
          </w:p>
        </w:tc>
        <w:tc>
          <w:tcPr>
            <w:tcW w:w="971" w:type="dxa"/>
            <w:tcMar>
              <w:top w:w="20" w:type="dxa"/>
              <w:left w:w="20" w:type="dxa"/>
              <w:bottom w:w="20" w:type="dxa"/>
              <w:right w:w="20" w:type="dxa"/>
            </w:tcMar>
            <w:vAlign w:val="center"/>
          </w:tcPr>
          <w:p w14:paraId="757BDEE9">
            <w:pPr>
              <w:widowControl/>
              <w:jc w:val="center"/>
            </w:pPr>
          </w:p>
        </w:tc>
        <w:tc>
          <w:tcPr>
            <w:tcW w:w="1246" w:type="dxa"/>
            <w:tcMar>
              <w:top w:w="20" w:type="dxa"/>
              <w:left w:w="20" w:type="dxa"/>
              <w:bottom w:w="20" w:type="dxa"/>
              <w:right w:w="20" w:type="dxa"/>
            </w:tcMar>
            <w:vAlign w:val="center"/>
          </w:tcPr>
          <w:p w14:paraId="29AD69BB">
            <w:pPr>
              <w:spacing w:line="234" w:lineRule="exact"/>
              <w:jc w:val="center"/>
              <w:rPr>
                <w:rFonts w:asciiTheme="minorEastAsia" w:hAnsiTheme="minorEastAsia" w:eastAsiaTheme="minorEastAsia" w:cstheme="minorEastAsia"/>
                <w:szCs w:val="21"/>
              </w:rPr>
            </w:pPr>
          </w:p>
        </w:tc>
        <w:tc>
          <w:tcPr>
            <w:tcW w:w="1195" w:type="dxa"/>
            <w:tcMar>
              <w:top w:w="20" w:type="dxa"/>
              <w:left w:w="20" w:type="dxa"/>
              <w:bottom w:w="20" w:type="dxa"/>
              <w:right w:w="20" w:type="dxa"/>
            </w:tcMar>
            <w:vAlign w:val="center"/>
          </w:tcPr>
          <w:p w14:paraId="64701FA2">
            <w:pPr>
              <w:spacing w:line="234" w:lineRule="exact"/>
              <w:jc w:val="center"/>
              <w:rPr>
                <w:rFonts w:asciiTheme="minorEastAsia" w:hAnsiTheme="minorEastAsia" w:eastAsiaTheme="minorEastAsia" w:cstheme="minorEastAsia"/>
                <w:szCs w:val="21"/>
              </w:rPr>
            </w:pPr>
          </w:p>
        </w:tc>
        <w:tc>
          <w:tcPr>
            <w:tcW w:w="635" w:type="dxa"/>
            <w:tcMar>
              <w:top w:w="20" w:type="dxa"/>
              <w:left w:w="20" w:type="dxa"/>
              <w:bottom w:w="20" w:type="dxa"/>
              <w:right w:w="20" w:type="dxa"/>
            </w:tcMar>
            <w:vAlign w:val="center"/>
          </w:tcPr>
          <w:p w14:paraId="4004E841">
            <w:pPr>
              <w:spacing w:line="234" w:lineRule="exact"/>
              <w:jc w:val="left"/>
              <w:rPr>
                <w:rFonts w:asciiTheme="minorEastAsia" w:hAnsiTheme="minorEastAsia" w:eastAsiaTheme="minorEastAsia" w:cstheme="minorEastAsia"/>
                <w:szCs w:val="21"/>
              </w:rPr>
            </w:pPr>
          </w:p>
        </w:tc>
      </w:tr>
      <w:tr w14:paraId="0695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Mar>
              <w:top w:w="20" w:type="dxa"/>
              <w:left w:w="20" w:type="dxa"/>
              <w:bottom w:w="20" w:type="dxa"/>
              <w:right w:w="20" w:type="dxa"/>
            </w:tcMar>
            <w:vAlign w:val="center"/>
          </w:tcPr>
          <w:p w14:paraId="17C4ACC7">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3912" w:type="dxa"/>
            <w:tcMar>
              <w:top w:w="20" w:type="dxa"/>
              <w:left w:w="20" w:type="dxa"/>
              <w:bottom w:w="20" w:type="dxa"/>
              <w:right w:w="20" w:type="dxa"/>
            </w:tcMar>
            <w:vAlign w:val="center"/>
          </w:tcPr>
          <w:p w14:paraId="6FA42CDC">
            <w:pPr>
              <w:widowControl/>
              <w:jc w:val="center"/>
              <w:rPr>
                <w:rFonts w:asciiTheme="minorEastAsia" w:hAnsiTheme="minorEastAsia" w:eastAsiaTheme="minorEastAsia" w:cstheme="minorEastAsia"/>
                <w:szCs w:val="21"/>
              </w:rPr>
            </w:pPr>
          </w:p>
        </w:tc>
        <w:tc>
          <w:tcPr>
            <w:tcW w:w="1142" w:type="dxa"/>
            <w:tcMar>
              <w:top w:w="20" w:type="dxa"/>
              <w:left w:w="20" w:type="dxa"/>
              <w:bottom w:w="20" w:type="dxa"/>
              <w:right w:w="20" w:type="dxa"/>
            </w:tcMar>
            <w:vAlign w:val="center"/>
          </w:tcPr>
          <w:p w14:paraId="01357143">
            <w:pPr>
              <w:widowControl/>
              <w:jc w:val="center"/>
            </w:pPr>
          </w:p>
        </w:tc>
        <w:tc>
          <w:tcPr>
            <w:tcW w:w="971" w:type="dxa"/>
            <w:tcMar>
              <w:top w:w="20" w:type="dxa"/>
              <w:left w:w="20" w:type="dxa"/>
              <w:bottom w:w="20" w:type="dxa"/>
              <w:right w:w="20" w:type="dxa"/>
            </w:tcMar>
            <w:vAlign w:val="center"/>
          </w:tcPr>
          <w:p w14:paraId="495F6914">
            <w:pPr>
              <w:widowControl/>
              <w:jc w:val="center"/>
            </w:pPr>
          </w:p>
        </w:tc>
        <w:tc>
          <w:tcPr>
            <w:tcW w:w="1246" w:type="dxa"/>
            <w:tcMar>
              <w:top w:w="20" w:type="dxa"/>
              <w:left w:w="20" w:type="dxa"/>
              <w:bottom w:w="20" w:type="dxa"/>
              <w:right w:w="20" w:type="dxa"/>
            </w:tcMar>
            <w:vAlign w:val="center"/>
          </w:tcPr>
          <w:p w14:paraId="190B46AB">
            <w:pPr>
              <w:spacing w:line="234" w:lineRule="exact"/>
              <w:jc w:val="center"/>
              <w:rPr>
                <w:rFonts w:asciiTheme="minorEastAsia" w:hAnsiTheme="minorEastAsia" w:eastAsiaTheme="minorEastAsia" w:cstheme="minorEastAsia"/>
                <w:szCs w:val="21"/>
              </w:rPr>
            </w:pPr>
          </w:p>
        </w:tc>
        <w:tc>
          <w:tcPr>
            <w:tcW w:w="1195" w:type="dxa"/>
            <w:tcMar>
              <w:top w:w="20" w:type="dxa"/>
              <w:left w:w="20" w:type="dxa"/>
              <w:bottom w:w="20" w:type="dxa"/>
              <w:right w:w="20" w:type="dxa"/>
            </w:tcMar>
            <w:vAlign w:val="center"/>
          </w:tcPr>
          <w:p w14:paraId="3E1E9F50">
            <w:pPr>
              <w:spacing w:line="234" w:lineRule="exact"/>
              <w:jc w:val="center"/>
              <w:rPr>
                <w:rFonts w:asciiTheme="minorEastAsia" w:hAnsiTheme="minorEastAsia" w:eastAsiaTheme="minorEastAsia" w:cstheme="minorEastAsia"/>
                <w:szCs w:val="21"/>
              </w:rPr>
            </w:pPr>
          </w:p>
        </w:tc>
        <w:tc>
          <w:tcPr>
            <w:tcW w:w="635" w:type="dxa"/>
            <w:tcMar>
              <w:top w:w="20" w:type="dxa"/>
              <w:left w:w="20" w:type="dxa"/>
              <w:bottom w:w="20" w:type="dxa"/>
              <w:right w:w="20" w:type="dxa"/>
            </w:tcMar>
            <w:vAlign w:val="center"/>
          </w:tcPr>
          <w:p w14:paraId="34A3454D">
            <w:pPr>
              <w:spacing w:line="234" w:lineRule="exact"/>
              <w:jc w:val="left"/>
              <w:rPr>
                <w:rFonts w:asciiTheme="minorEastAsia" w:hAnsiTheme="minorEastAsia" w:eastAsiaTheme="minorEastAsia" w:cstheme="minorEastAsia"/>
                <w:szCs w:val="21"/>
              </w:rPr>
            </w:pPr>
          </w:p>
        </w:tc>
      </w:tr>
      <w:tr w14:paraId="091C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Mar>
              <w:top w:w="20" w:type="dxa"/>
              <w:left w:w="20" w:type="dxa"/>
              <w:bottom w:w="20" w:type="dxa"/>
              <w:right w:w="20" w:type="dxa"/>
            </w:tcMar>
            <w:vAlign w:val="center"/>
          </w:tcPr>
          <w:p w14:paraId="09CA77E2">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3912" w:type="dxa"/>
            <w:tcMar>
              <w:top w:w="20" w:type="dxa"/>
              <w:left w:w="20" w:type="dxa"/>
              <w:bottom w:w="20" w:type="dxa"/>
              <w:right w:w="20" w:type="dxa"/>
            </w:tcMar>
            <w:vAlign w:val="center"/>
          </w:tcPr>
          <w:p w14:paraId="3861F23A">
            <w:pPr>
              <w:widowControl/>
              <w:jc w:val="center"/>
              <w:rPr>
                <w:rFonts w:asciiTheme="minorEastAsia" w:hAnsiTheme="minorEastAsia" w:eastAsiaTheme="minorEastAsia" w:cstheme="minorEastAsia"/>
                <w:szCs w:val="21"/>
              </w:rPr>
            </w:pPr>
          </w:p>
        </w:tc>
        <w:tc>
          <w:tcPr>
            <w:tcW w:w="1142" w:type="dxa"/>
            <w:tcMar>
              <w:top w:w="20" w:type="dxa"/>
              <w:left w:w="20" w:type="dxa"/>
              <w:bottom w:w="20" w:type="dxa"/>
              <w:right w:w="20" w:type="dxa"/>
            </w:tcMar>
            <w:vAlign w:val="center"/>
          </w:tcPr>
          <w:p w14:paraId="35C9D0C0">
            <w:pPr>
              <w:widowControl/>
              <w:jc w:val="center"/>
            </w:pPr>
          </w:p>
        </w:tc>
        <w:tc>
          <w:tcPr>
            <w:tcW w:w="971" w:type="dxa"/>
            <w:tcMar>
              <w:top w:w="20" w:type="dxa"/>
              <w:left w:w="20" w:type="dxa"/>
              <w:bottom w:w="20" w:type="dxa"/>
              <w:right w:w="20" w:type="dxa"/>
            </w:tcMar>
            <w:vAlign w:val="center"/>
          </w:tcPr>
          <w:p w14:paraId="0BB258A8">
            <w:pPr>
              <w:widowControl/>
              <w:jc w:val="center"/>
            </w:pPr>
          </w:p>
        </w:tc>
        <w:tc>
          <w:tcPr>
            <w:tcW w:w="1246" w:type="dxa"/>
            <w:tcMar>
              <w:top w:w="20" w:type="dxa"/>
              <w:left w:w="20" w:type="dxa"/>
              <w:bottom w:w="20" w:type="dxa"/>
              <w:right w:w="20" w:type="dxa"/>
            </w:tcMar>
            <w:vAlign w:val="center"/>
          </w:tcPr>
          <w:p w14:paraId="216FEB88">
            <w:pPr>
              <w:spacing w:line="234" w:lineRule="exact"/>
              <w:jc w:val="center"/>
              <w:rPr>
                <w:rFonts w:asciiTheme="minorEastAsia" w:hAnsiTheme="minorEastAsia" w:eastAsiaTheme="minorEastAsia" w:cstheme="minorEastAsia"/>
                <w:szCs w:val="21"/>
              </w:rPr>
            </w:pPr>
          </w:p>
        </w:tc>
        <w:tc>
          <w:tcPr>
            <w:tcW w:w="1195" w:type="dxa"/>
            <w:tcMar>
              <w:top w:w="20" w:type="dxa"/>
              <w:left w:w="20" w:type="dxa"/>
              <w:bottom w:w="20" w:type="dxa"/>
              <w:right w:w="20" w:type="dxa"/>
            </w:tcMar>
            <w:vAlign w:val="center"/>
          </w:tcPr>
          <w:p w14:paraId="70AE1D44">
            <w:pPr>
              <w:spacing w:line="234" w:lineRule="exact"/>
              <w:jc w:val="center"/>
              <w:rPr>
                <w:rFonts w:asciiTheme="minorEastAsia" w:hAnsiTheme="minorEastAsia" w:eastAsiaTheme="minorEastAsia" w:cstheme="minorEastAsia"/>
                <w:szCs w:val="21"/>
              </w:rPr>
            </w:pPr>
          </w:p>
        </w:tc>
        <w:tc>
          <w:tcPr>
            <w:tcW w:w="635" w:type="dxa"/>
            <w:tcMar>
              <w:top w:w="20" w:type="dxa"/>
              <w:left w:w="20" w:type="dxa"/>
              <w:bottom w:w="20" w:type="dxa"/>
              <w:right w:w="20" w:type="dxa"/>
            </w:tcMar>
            <w:vAlign w:val="center"/>
          </w:tcPr>
          <w:p w14:paraId="49363351">
            <w:pPr>
              <w:spacing w:line="234" w:lineRule="exact"/>
              <w:jc w:val="left"/>
              <w:rPr>
                <w:rFonts w:asciiTheme="minorEastAsia" w:hAnsiTheme="minorEastAsia" w:eastAsiaTheme="minorEastAsia" w:cstheme="minorEastAsia"/>
                <w:szCs w:val="21"/>
              </w:rPr>
            </w:pPr>
          </w:p>
        </w:tc>
      </w:tr>
      <w:tr w14:paraId="0308B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Mar>
              <w:top w:w="20" w:type="dxa"/>
              <w:left w:w="20" w:type="dxa"/>
              <w:bottom w:w="20" w:type="dxa"/>
              <w:right w:w="20" w:type="dxa"/>
            </w:tcMar>
            <w:vAlign w:val="center"/>
          </w:tcPr>
          <w:p w14:paraId="616A0E24">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3912" w:type="dxa"/>
            <w:tcMar>
              <w:top w:w="20" w:type="dxa"/>
              <w:left w:w="20" w:type="dxa"/>
              <w:bottom w:w="20" w:type="dxa"/>
              <w:right w:w="20" w:type="dxa"/>
            </w:tcMar>
            <w:vAlign w:val="center"/>
          </w:tcPr>
          <w:p w14:paraId="7D5F501D">
            <w:pPr>
              <w:widowControl/>
              <w:jc w:val="center"/>
              <w:rPr>
                <w:rFonts w:asciiTheme="minorEastAsia" w:hAnsiTheme="minorEastAsia" w:eastAsiaTheme="minorEastAsia" w:cstheme="minorEastAsia"/>
                <w:szCs w:val="21"/>
              </w:rPr>
            </w:pPr>
          </w:p>
        </w:tc>
        <w:tc>
          <w:tcPr>
            <w:tcW w:w="1142" w:type="dxa"/>
            <w:tcMar>
              <w:top w:w="20" w:type="dxa"/>
              <w:left w:w="20" w:type="dxa"/>
              <w:bottom w:w="20" w:type="dxa"/>
              <w:right w:w="20" w:type="dxa"/>
            </w:tcMar>
            <w:vAlign w:val="center"/>
          </w:tcPr>
          <w:p w14:paraId="3ED37B64">
            <w:pPr>
              <w:widowControl/>
              <w:jc w:val="center"/>
            </w:pPr>
          </w:p>
        </w:tc>
        <w:tc>
          <w:tcPr>
            <w:tcW w:w="971" w:type="dxa"/>
            <w:tcMar>
              <w:top w:w="20" w:type="dxa"/>
              <w:left w:w="20" w:type="dxa"/>
              <w:bottom w:w="20" w:type="dxa"/>
              <w:right w:w="20" w:type="dxa"/>
            </w:tcMar>
            <w:vAlign w:val="center"/>
          </w:tcPr>
          <w:p w14:paraId="2B9721E9">
            <w:pPr>
              <w:widowControl/>
              <w:jc w:val="center"/>
            </w:pPr>
          </w:p>
        </w:tc>
        <w:tc>
          <w:tcPr>
            <w:tcW w:w="1246" w:type="dxa"/>
            <w:tcMar>
              <w:top w:w="20" w:type="dxa"/>
              <w:left w:w="20" w:type="dxa"/>
              <w:bottom w:w="20" w:type="dxa"/>
              <w:right w:w="20" w:type="dxa"/>
            </w:tcMar>
            <w:vAlign w:val="center"/>
          </w:tcPr>
          <w:p w14:paraId="0B417E2E">
            <w:pPr>
              <w:spacing w:line="234" w:lineRule="exact"/>
              <w:jc w:val="center"/>
              <w:rPr>
                <w:rFonts w:asciiTheme="minorEastAsia" w:hAnsiTheme="minorEastAsia" w:eastAsiaTheme="minorEastAsia" w:cstheme="minorEastAsia"/>
                <w:szCs w:val="21"/>
              </w:rPr>
            </w:pPr>
          </w:p>
        </w:tc>
        <w:tc>
          <w:tcPr>
            <w:tcW w:w="1195" w:type="dxa"/>
            <w:tcMar>
              <w:top w:w="20" w:type="dxa"/>
              <w:left w:w="20" w:type="dxa"/>
              <w:bottom w:w="20" w:type="dxa"/>
              <w:right w:w="20" w:type="dxa"/>
            </w:tcMar>
            <w:vAlign w:val="center"/>
          </w:tcPr>
          <w:p w14:paraId="6F3E3EBE">
            <w:pPr>
              <w:spacing w:line="234" w:lineRule="exact"/>
              <w:jc w:val="center"/>
              <w:rPr>
                <w:rFonts w:asciiTheme="minorEastAsia" w:hAnsiTheme="minorEastAsia" w:eastAsiaTheme="minorEastAsia" w:cstheme="minorEastAsia"/>
                <w:szCs w:val="21"/>
              </w:rPr>
            </w:pPr>
          </w:p>
        </w:tc>
        <w:tc>
          <w:tcPr>
            <w:tcW w:w="635" w:type="dxa"/>
            <w:tcMar>
              <w:top w:w="20" w:type="dxa"/>
              <w:left w:w="20" w:type="dxa"/>
              <w:bottom w:w="20" w:type="dxa"/>
              <w:right w:w="20" w:type="dxa"/>
            </w:tcMar>
            <w:vAlign w:val="center"/>
          </w:tcPr>
          <w:p w14:paraId="07218C78">
            <w:pPr>
              <w:spacing w:line="234" w:lineRule="exact"/>
              <w:jc w:val="left"/>
              <w:rPr>
                <w:rFonts w:asciiTheme="minorEastAsia" w:hAnsiTheme="minorEastAsia" w:eastAsiaTheme="minorEastAsia" w:cstheme="minorEastAsia"/>
                <w:szCs w:val="21"/>
              </w:rPr>
            </w:pPr>
          </w:p>
        </w:tc>
      </w:tr>
      <w:tr w14:paraId="29E4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Mar>
              <w:top w:w="20" w:type="dxa"/>
              <w:left w:w="20" w:type="dxa"/>
              <w:bottom w:w="20" w:type="dxa"/>
              <w:right w:w="20" w:type="dxa"/>
            </w:tcMar>
            <w:vAlign w:val="center"/>
          </w:tcPr>
          <w:p w14:paraId="6DDA9F5B">
            <w:pPr>
              <w:wordWrap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3912" w:type="dxa"/>
            <w:tcMar>
              <w:top w:w="20" w:type="dxa"/>
              <w:left w:w="20" w:type="dxa"/>
              <w:bottom w:w="20" w:type="dxa"/>
              <w:right w:w="20" w:type="dxa"/>
            </w:tcMar>
            <w:vAlign w:val="center"/>
          </w:tcPr>
          <w:p w14:paraId="085B198D">
            <w:pPr>
              <w:widowControl/>
              <w:jc w:val="center"/>
              <w:rPr>
                <w:rFonts w:asciiTheme="minorEastAsia" w:hAnsiTheme="minorEastAsia" w:eastAsiaTheme="minorEastAsia" w:cstheme="minorEastAsia"/>
                <w:szCs w:val="21"/>
              </w:rPr>
            </w:pPr>
          </w:p>
        </w:tc>
        <w:tc>
          <w:tcPr>
            <w:tcW w:w="1142" w:type="dxa"/>
            <w:tcMar>
              <w:top w:w="20" w:type="dxa"/>
              <w:left w:w="20" w:type="dxa"/>
              <w:bottom w:w="20" w:type="dxa"/>
              <w:right w:w="20" w:type="dxa"/>
            </w:tcMar>
            <w:vAlign w:val="center"/>
          </w:tcPr>
          <w:p w14:paraId="7FA862F9">
            <w:pPr>
              <w:widowControl/>
              <w:jc w:val="center"/>
            </w:pPr>
          </w:p>
        </w:tc>
        <w:tc>
          <w:tcPr>
            <w:tcW w:w="971" w:type="dxa"/>
            <w:tcMar>
              <w:top w:w="20" w:type="dxa"/>
              <w:left w:w="20" w:type="dxa"/>
              <w:bottom w:w="20" w:type="dxa"/>
              <w:right w:w="20" w:type="dxa"/>
            </w:tcMar>
            <w:vAlign w:val="center"/>
          </w:tcPr>
          <w:p w14:paraId="43ABC485">
            <w:pPr>
              <w:widowControl/>
              <w:jc w:val="center"/>
            </w:pPr>
          </w:p>
        </w:tc>
        <w:tc>
          <w:tcPr>
            <w:tcW w:w="1246" w:type="dxa"/>
            <w:tcMar>
              <w:top w:w="20" w:type="dxa"/>
              <w:left w:w="20" w:type="dxa"/>
              <w:bottom w:w="20" w:type="dxa"/>
              <w:right w:w="20" w:type="dxa"/>
            </w:tcMar>
            <w:vAlign w:val="center"/>
          </w:tcPr>
          <w:p w14:paraId="5CAD0AEB">
            <w:pPr>
              <w:spacing w:line="234" w:lineRule="exact"/>
              <w:jc w:val="center"/>
              <w:rPr>
                <w:rFonts w:asciiTheme="minorEastAsia" w:hAnsiTheme="minorEastAsia" w:eastAsiaTheme="minorEastAsia" w:cstheme="minorEastAsia"/>
                <w:szCs w:val="21"/>
              </w:rPr>
            </w:pPr>
          </w:p>
        </w:tc>
        <w:tc>
          <w:tcPr>
            <w:tcW w:w="1195" w:type="dxa"/>
            <w:tcMar>
              <w:top w:w="20" w:type="dxa"/>
              <w:left w:w="20" w:type="dxa"/>
              <w:bottom w:w="20" w:type="dxa"/>
              <w:right w:w="20" w:type="dxa"/>
            </w:tcMar>
            <w:vAlign w:val="center"/>
          </w:tcPr>
          <w:p w14:paraId="60FD762E">
            <w:pPr>
              <w:spacing w:line="234" w:lineRule="exact"/>
              <w:jc w:val="center"/>
              <w:rPr>
                <w:rFonts w:asciiTheme="minorEastAsia" w:hAnsiTheme="minorEastAsia" w:eastAsiaTheme="minorEastAsia" w:cstheme="minorEastAsia"/>
                <w:szCs w:val="21"/>
              </w:rPr>
            </w:pPr>
          </w:p>
        </w:tc>
        <w:tc>
          <w:tcPr>
            <w:tcW w:w="635" w:type="dxa"/>
            <w:tcMar>
              <w:top w:w="20" w:type="dxa"/>
              <w:left w:w="20" w:type="dxa"/>
              <w:bottom w:w="20" w:type="dxa"/>
              <w:right w:w="20" w:type="dxa"/>
            </w:tcMar>
            <w:vAlign w:val="center"/>
          </w:tcPr>
          <w:p w14:paraId="0E47AD8C">
            <w:pPr>
              <w:spacing w:line="234" w:lineRule="exact"/>
              <w:jc w:val="left"/>
              <w:rPr>
                <w:rFonts w:asciiTheme="minorEastAsia" w:hAnsiTheme="minorEastAsia" w:eastAsiaTheme="minorEastAsia" w:cstheme="minorEastAsia"/>
                <w:szCs w:val="21"/>
              </w:rPr>
            </w:pPr>
          </w:p>
        </w:tc>
      </w:tr>
      <w:tr w14:paraId="40943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7667" w:type="dxa"/>
            <w:gridSpan w:val="5"/>
            <w:tcMar>
              <w:top w:w="20" w:type="dxa"/>
              <w:left w:w="20" w:type="dxa"/>
              <w:bottom w:w="20" w:type="dxa"/>
              <w:right w:w="20" w:type="dxa"/>
            </w:tcMar>
            <w:vAlign w:val="center"/>
          </w:tcPr>
          <w:p w14:paraId="6E88C32C">
            <w:pPr>
              <w:spacing w:line="234"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总计（元）</w:t>
            </w:r>
          </w:p>
        </w:tc>
        <w:tc>
          <w:tcPr>
            <w:tcW w:w="1830" w:type="dxa"/>
            <w:gridSpan w:val="2"/>
            <w:tcMar>
              <w:top w:w="20" w:type="dxa"/>
              <w:left w:w="20" w:type="dxa"/>
              <w:bottom w:w="20" w:type="dxa"/>
              <w:right w:w="20" w:type="dxa"/>
            </w:tcMar>
            <w:vAlign w:val="center"/>
          </w:tcPr>
          <w:p w14:paraId="6996D48D">
            <w:pPr>
              <w:wordWrap w:val="0"/>
              <w:spacing w:line="234" w:lineRule="exact"/>
              <w:jc w:val="right"/>
              <w:rPr>
                <w:rFonts w:asciiTheme="minorEastAsia" w:hAnsiTheme="minorEastAsia" w:eastAsiaTheme="minorEastAsia" w:cstheme="minorEastAsia"/>
                <w:szCs w:val="21"/>
              </w:rPr>
            </w:pPr>
          </w:p>
        </w:tc>
      </w:tr>
    </w:tbl>
    <w:p w14:paraId="4BCC4BB5">
      <w:pPr>
        <w:adjustRightInd w:val="0"/>
        <w:spacing w:line="360" w:lineRule="auto"/>
        <w:jc w:val="left"/>
        <w:rPr>
          <w:rFonts w:ascii="Times New Roman" w:hAnsi="Times New Roman"/>
          <w:sz w:val="24"/>
          <w:szCs w:val="21"/>
          <w:lang w:val="zh-CN"/>
        </w:rPr>
      </w:pPr>
    </w:p>
    <w:p w14:paraId="5B71BA10">
      <w:pPr>
        <w:adjustRightInd w:val="0"/>
        <w:spacing w:line="360" w:lineRule="auto"/>
        <w:jc w:val="left"/>
        <w:rPr>
          <w:rFonts w:ascii="Times New Roman" w:hAnsi="Times New Roman"/>
          <w:szCs w:val="21"/>
        </w:rPr>
      </w:pPr>
      <w:r>
        <w:rPr>
          <w:rFonts w:hint="eastAsia" w:ascii="Times New Roman" w:hAnsi="Times New Roman"/>
          <w:szCs w:val="21"/>
        </w:rPr>
        <w:t>注：行数不够可自行增加。</w:t>
      </w:r>
    </w:p>
    <w:p w14:paraId="00ED9367">
      <w:pPr>
        <w:adjustRightInd w:val="0"/>
        <w:spacing w:line="360" w:lineRule="auto"/>
        <w:jc w:val="left"/>
        <w:rPr>
          <w:rFonts w:ascii="Times New Roman" w:hAnsi="Times New Roman"/>
          <w:szCs w:val="21"/>
        </w:rPr>
      </w:pPr>
    </w:p>
    <w:p w14:paraId="7ED4C54C">
      <w:pPr>
        <w:adjustRightInd w:val="0"/>
        <w:spacing w:line="360" w:lineRule="auto"/>
        <w:jc w:val="left"/>
        <w:rPr>
          <w:rFonts w:ascii="Times New Roman" w:hAnsi="Times New Roman"/>
          <w:szCs w:val="21"/>
          <w:lang w:val="zh-CN"/>
        </w:rPr>
      </w:pPr>
      <w:r>
        <w:rPr>
          <w:rFonts w:hint="eastAsia" w:ascii="Times New Roman" w:hAnsi="Times New Roman"/>
          <w:szCs w:val="21"/>
          <w:lang w:val="zh-CN"/>
        </w:rPr>
        <w:t>供应商名称（盖章）：</w:t>
      </w:r>
    </w:p>
    <w:p w14:paraId="3C7EE9AB">
      <w:pPr>
        <w:rPr>
          <w:rFonts w:ascii="宋体" w:hAnsi="宋体" w:cs="宋体"/>
          <w:b/>
          <w:szCs w:val="21"/>
          <w:lang w:val="zh-CN"/>
        </w:rPr>
      </w:pPr>
      <w:r>
        <w:rPr>
          <w:rFonts w:hint="eastAsia" w:ascii="宋体" w:hAnsi="宋体" w:cs="宋体"/>
          <w:b/>
          <w:szCs w:val="21"/>
          <w:lang w:val="zh-CN"/>
        </w:rPr>
        <w:br w:type="page"/>
      </w:r>
    </w:p>
    <w:p w14:paraId="123F05BA">
      <w:pPr>
        <w:pStyle w:val="17"/>
        <w:ind w:firstLine="0" w:firstLineChars="0"/>
        <w:rPr>
          <w:b/>
        </w:rPr>
      </w:pPr>
      <w:r>
        <w:rPr>
          <w:b/>
        </w:rPr>
        <w:t>目录六、技术条款偏离表格式</w:t>
      </w:r>
    </w:p>
    <w:p w14:paraId="7899F711">
      <w:pPr>
        <w:pStyle w:val="262"/>
        <w:outlineLvl w:val="9"/>
      </w:pPr>
      <w:r>
        <w:t>技术条款偏离表</w:t>
      </w:r>
    </w:p>
    <w:tbl>
      <w:tblPr>
        <w:tblStyle w:val="44"/>
        <w:tblW w:w="4998" w:type="pct"/>
        <w:jc w:val="center"/>
        <w:tblLayout w:type="fixed"/>
        <w:tblCellMar>
          <w:top w:w="0" w:type="dxa"/>
          <w:left w:w="0" w:type="dxa"/>
          <w:bottom w:w="0" w:type="dxa"/>
          <w:right w:w="0" w:type="dxa"/>
        </w:tblCellMar>
      </w:tblPr>
      <w:tblGrid>
        <w:gridCol w:w="684"/>
        <w:gridCol w:w="1878"/>
        <w:gridCol w:w="4025"/>
        <w:gridCol w:w="443"/>
        <w:gridCol w:w="1343"/>
        <w:gridCol w:w="1091"/>
      </w:tblGrid>
      <w:tr w14:paraId="074A8BF8">
        <w:tblPrEx>
          <w:tblCellMar>
            <w:top w:w="0" w:type="dxa"/>
            <w:left w:w="0" w:type="dxa"/>
            <w:bottom w:w="0" w:type="dxa"/>
            <w:right w:w="0" w:type="dxa"/>
          </w:tblCellMar>
        </w:tblPrEx>
        <w:trPr>
          <w:trHeight w:val="510" w:hRule="atLeast"/>
          <w:jc w:val="center"/>
        </w:trPr>
        <w:tc>
          <w:tcPr>
            <w:tcW w:w="6588" w:type="dxa"/>
            <w:gridSpan w:val="3"/>
            <w:tcBorders>
              <w:top w:val="nil"/>
              <w:left w:val="nil"/>
              <w:bottom w:val="single" w:color="auto" w:sz="6" w:space="0"/>
              <w:right w:val="nil"/>
            </w:tcBorders>
            <w:vAlign w:val="center"/>
          </w:tcPr>
          <w:p w14:paraId="00F16EE0">
            <w:pPr>
              <w:adjustRightInd w:val="0"/>
              <w:jc w:val="left"/>
              <w:rPr>
                <w:rFonts w:ascii="宋体" w:hAnsi="宋体" w:cs="宋体"/>
                <w:szCs w:val="21"/>
                <w:lang w:val="zh-CN"/>
              </w:rPr>
            </w:pPr>
            <w:r>
              <w:rPr>
                <w:rFonts w:hint="eastAsia" w:ascii="宋体" w:hAnsi="宋体" w:cs="宋体"/>
                <w:szCs w:val="21"/>
                <w:lang w:val="zh-CN"/>
              </w:rPr>
              <w:t>项目名称：</w:t>
            </w:r>
          </w:p>
        </w:tc>
        <w:tc>
          <w:tcPr>
            <w:tcW w:w="2877" w:type="dxa"/>
            <w:gridSpan w:val="3"/>
            <w:tcBorders>
              <w:top w:val="nil"/>
              <w:left w:val="nil"/>
              <w:bottom w:val="single" w:color="auto" w:sz="6" w:space="0"/>
              <w:right w:val="nil"/>
            </w:tcBorders>
            <w:vAlign w:val="center"/>
          </w:tcPr>
          <w:p w14:paraId="2E446F9B">
            <w:pPr>
              <w:adjustRightInd w:val="0"/>
              <w:jc w:val="left"/>
              <w:rPr>
                <w:rFonts w:ascii="宋体" w:hAnsi="宋体" w:cs="宋体"/>
                <w:szCs w:val="21"/>
                <w:lang w:val="zh-CN"/>
              </w:rPr>
            </w:pPr>
            <w:r>
              <w:rPr>
                <w:rFonts w:hint="eastAsia" w:ascii="宋体" w:hAnsi="宋体" w:cs="宋体"/>
                <w:szCs w:val="21"/>
                <w:lang w:val="zh-CN"/>
              </w:rPr>
              <w:t>项目编号：</w:t>
            </w:r>
          </w:p>
        </w:tc>
      </w:tr>
      <w:tr w14:paraId="6AE36F87">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22CEF91F">
            <w:pPr>
              <w:adjustRightInd w:val="0"/>
              <w:jc w:val="center"/>
              <w:rPr>
                <w:rFonts w:ascii="宋体" w:hAnsi="宋体" w:cs="宋体"/>
                <w:b/>
                <w:szCs w:val="21"/>
                <w:lang w:val="zh-CN"/>
              </w:rPr>
            </w:pPr>
            <w:r>
              <w:rPr>
                <w:rFonts w:hint="eastAsia" w:ascii="宋体" w:hAnsi="宋体" w:cs="宋体"/>
                <w:b/>
                <w:szCs w:val="21"/>
                <w:lang w:val="zh-CN"/>
              </w:rPr>
              <w:t>序号</w:t>
            </w:r>
          </w:p>
        </w:tc>
        <w:tc>
          <w:tcPr>
            <w:tcW w:w="1878" w:type="dxa"/>
            <w:tcBorders>
              <w:top w:val="single" w:color="auto" w:sz="6" w:space="0"/>
              <w:left w:val="single" w:color="auto" w:sz="6" w:space="0"/>
              <w:bottom w:val="single" w:color="auto" w:sz="6" w:space="0"/>
              <w:right w:val="single" w:color="auto" w:sz="6" w:space="0"/>
            </w:tcBorders>
            <w:vAlign w:val="center"/>
          </w:tcPr>
          <w:p w14:paraId="659AFB8F">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2D4E2365">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文件要求的技术</w:t>
            </w:r>
            <w:r>
              <w:rPr>
                <w:rFonts w:hint="eastAsia" w:ascii="宋体" w:hAnsi="宋体" w:cs="宋体"/>
                <w:b/>
                <w:szCs w:val="21"/>
              </w:rPr>
              <w:t>条款</w:t>
            </w:r>
          </w:p>
        </w:tc>
        <w:tc>
          <w:tcPr>
            <w:tcW w:w="1343" w:type="dxa"/>
            <w:tcBorders>
              <w:top w:val="single" w:color="auto" w:sz="6" w:space="0"/>
              <w:left w:val="single" w:color="auto" w:sz="6" w:space="0"/>
              <w:bottom w:val="single" w:color="auto" w:sz="6" w:space="0"/>
              <w:right w:val="single" w:color="auto" w:sz="6" w:space="0"/>
            </w:tcBorders>
            <w:vAlign w:val="center"/>
          </w:tcPr>
          <w:p w14:paraId="1F762621">
            <w:pPr>
              <w:adjustRightInd w:val="0"/>
              <w:jc w:val="center"/>
              <w:rPr>
                <w:rFonts w:ascii="宋体" w:hAnsi="宋体" w:cs="宋体"/>
                <w:b/>
                <w:szCs w:val="21"/>
                <w:lang w:val="zh-CN"/>
              </w:rPr>
            </w:pPr>
            <w:r>
              <w:rPr>
                <w:rFonts w:hint="eastAsia" w:ascii="宋体" w:hAnsi="宋体" w:cs="宋体"/>
                <w:b/>
                <w:szCs w:val="21"/>
                <w:lang w:val="zh-CN"/>
              </w:rPr>
              <w:t>响应</w:t>
            </w:r>
            <w:r>
              <w:rPr>
                <w:rFonts w:hint="eastAsia" w:ascii="宋体" w:hAnsi="宋体" w:cs="宋体"/>
                <w:b/>
                <w:szCs w:val="21"/>
              </w:rPr>
              <w:t>内容</w:t>
            </w:r>
          </w:p>
        </w:tc>
        <w:tc>
          <w:tcPr>
            <w:tcW w:w="1091" w:type="dxa"/>
            <w:tcBorders>
              <w:top w:val="single" w:color="auto" w:sz="6" w:space="0"/>
              <w:left w:val="single" w:color="auto" w:sz="6" w:space="0"/>
              <w:bottom w:val="single" w:color="auto" w:sz="6" w:space="0"/>
              <w:right w:val="single" w:color="auto" w:sz="6" w:space="0"/>
            </w:tcBorders>
            <w:vAlign w:val="center"/>
          </w:tcPr>
          <w:p w14:paraId="1768CFE6">
            <w:pPr>
              <w:adjustRightInd w:val="0"/>
              <w:jc w:val="center"/>
              <w:rPr>
                <w:rFonts w:ascii="宋体" w:hAnsi="宋体" w:cs="宋体"/>
                <w:b/>
                <w:szCs w:val="21"/>
                <w:lang w:val="zh-CN"/>
              </w:rPr>
            </w:pPr>
            <w:r>
              <w:rPr>
                <w:rFonts w:hint="eastAsia" w:ascii="宋体" w:hAnsi="宋体" w:cs="宋体"/>
                <w:b/>
                <w:szCs w:val="21"/>
                <w:lang w:val="zh-CN"/>
              </w:rPr>
              <w:t>偏离</w:t>
            </w:r>
          </w:p>
        </w:tc>
      </w:tr>
      <w:tr w14:paraId="6A75CA58">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4C20DB89">
            <w:pPr>
              <w:adjustRightInd w:val="0"/>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400FB889">
            <w:pPr>
              <w:adjustRightInd w:val="0"/>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3347AF99">
            <w:pPr>
              <w:widowControl/>
              <w:spacing w:line="360" w:lineRule="auto"/>
              <w:textAlignment w:val="center"/>
              <w:rPr>
                <w:rFonts w:ascii="宋体" w:hAnsi="宋体" w:cs="宋体"/>
                <w:color w:val="000000"/>
                <w:sz w:val="20"/>
                <w:szCs w:val="20"/>
                <w:lang w:val="zh-CN"/>
              </w:rPr>
            </w:pPr>
            <w:r>
              <w:rPr>
                <w:rFonts w:hint="eastAsia" w:ascii="宋体" w:hAnsi="宋体" w:cs="宋体"/>
                <w:color w:val="000000"/>
                <w:sz w:val="20"/>
                <w:szCs w:val="20"/>
                <w:lang w:bidi="ar"/>
              </w:rPr>
              <w:t>校园网出口上联至运营商网络链路，采用独享光纤专线，保证线路质量稳定可靠</w:t>
            </w:r>
            <w:r>
              <w:rPr>
                <w:rFonts w:hint="eastAsia" w:ascii="宋体" w:hAnsi="宋体" w:cs="宋体"/>
                <w:b/>
                <w:bCs/>
                <w:color w:val="000000"/>
                <w:sz w:val="20"/>
                <w:szCs w:val="20"/>
                <w:lang w:bidi="ar"/>
              </w:rPr>
              <w:t>（提供链路图并附加路由方案说明并加盖公章；提供的证明材料需反映或体现相关数据内容，否则视为未提供）</w:t>
            </w:r>
          </w:p>
        </w:tc>
        <w:tc>
          <w:tcPr>
            <w:tcW w:w="1343" w:type="dxa"/>
            <w:tcBorders>
              <w:top w:val="single" w:color="auto" w:sz="6" w:space="0"/>
              <w:left w:val="single" w:color="auto" w:sz="6" w:space="0"/>
              <w:bottom w:val="single" w:color="auto" w:sz="6" w:space="0"/>
              <w:right w:val="single" w:color="auto" w:sz="6" w:space="0"/>
            </w:tcBorders>
            <w:vAlign w:val="center"/>
          </w:tcPr>
          <w:p w14:paraId="63588AFB">
            <w:pPr>
              <w:adjustRightInd w:val="0"/>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3033A5D3">
            <w:pPr>
              <w:adjustRightInd w:val="0"/>
              <w:jc w:val="center"/>
              <w:rPr>
                <w:rFonts w:ascii="宋体" w:hAnsi="宋体" w:cs="宋体"/>
                <w:szCs w:val="21"/>
                <w:lang w:val="zh-CN"/>
              </w:rPr>
            </w:pPr>
          </w:p>
        </w:tc>
      </w:tr>
      <w:tr w14:paraId="0B537E27">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06BA3699">
            <w:pPr>
              <w:adjustRightInd w:val="0"/>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30E7565A">
            <w:pPr>
              <w:adjustRightInd w:val="0"/>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6D78241C">
            <w:pPr>
              <w:widowControl/>
              <w:spacing w:line="360" w:lineRule="auto"/>
              <w:textAlignment w:val="center"/>
              <w:rPr>
                <w:rFonts w:ascii="宋体" w:hAnsi="宋体" w:cs="宋体"/>
                <w:color w:val="000000"/>
                <w:sz w:val="20"/>
                <w:szCs w:val="20"/>
                <w:lang w:val="zh-CN"/>
              </w:rPr>
            </w:pPr>
            <w:r>
              <w:rPr>
                <w:rFonts w:hint="eastAsia" w:ascii="宋体" w:hAnsi="宋体" w:cs="宋体"/>
                <w:color w:val="000000"/>
                <w:sz w:val="20"/>
                <w:szCs w:val="20"/>
                <w:lang w:bidi="ar"/>
              </w:rPr>
              <w:t>提供南京市主干最高级别可接入链路入口</w:t>
            </w:r>
            <w:r>
              <w:rPr>
                <w:rFonts w:hint="eastAsia" w:ascii="宋体" w:hAnsi="宋体" w:cs="宋体"/>
                <w:b/>
                <w:bCs/>
                <w:color w:val="000000"/>
                <w:sz w:val="20"/>
                <w:szCs w:val="20"/>
                <w:lang w:bidi="ar"/>
              </w:rPr>
              <w:t>（提供相应的拓扑示意图并加盖公章；提供的证明材料需反映或体现相关数据内容，否则视为未提供）</w:t>
            </w:r>
            <w:r>
              <w:rPr>
                <w:rFonts w:hint="eastAsia" w:ascii="宋体" w:hAnsi="宋体" w:cs="宋体"/>
                <w:color w:val="000000"/>
                <w:sz w:val="20"/>
                <w:szCs w:val="20"/>
                <w:lang w:bidi="ar"/>
              </w:rPr>
              <w:t>。</w:t>
            </w:r>
          </w:p>
        </w:tc>
        <w:tc>
          <w:tcPr>
            <w:tcW w:w="1343" w:type="dxa"/>
            <w:tcBorders>
              <w:top w:val="single" w:color="auto" w:sz="6" w:space="0"/>
              <w:left w:val="single" w:color="auto" w:sz="6" w:space="0"/>
              <w:bottom w:val="single" w:color="auto" w:sz="6" w:space="0"/>
              <w:right w:val="single" w:color="auto" w:sz="6" w:space="0"/>
            </w:tcBorders>
            <w:vAlign w:val="center"/>
          </w:tcPr>
          <w:p w14:paraId="60576EB3">
            <w:pPr>
              <w:adjustRightInd w:val="0"/>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33730F73">
            <w:pPr>
              <w:adjustRightInd w:val="0"/>
              <w:jc w:val="center"/>
              <w:rPr>
                <w:rFonts w:ascii="宋体" w:hAnsi="宋体" w:cs="宋体"/>
                <w:szCs w:val="21"/>
                <w:lang w:val="zh-CN"/>
              </w:rPr>
            </w:pPr>
          </w:p>
        </w:tc>
      </w:tr>
      <w:tr w14:paraId="04390C22">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6D87D6FD">
            <w:pPr>
              <w:adjustRightInd w:val="0"/>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4089D259">
            <w:pPr>
              <w:adjustRightInd w:val="0"/>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1A2B7B44">
            <w:pPr>
              <w:widowControl/>
              <w:spacing w:line="360" w:lineRule="auto"/>
              <w:textAlignment w:val="center"/>
              <w:rPr>
                <w:rFonts w:ascii="宋体" w:hAnsi="宋体" w:cs="宋体"/>
                <w:color w:val="000000"/>
                <w:sz w:val="20"/>
                <w:szCs w:val="20"/>
                <w:lang w:val="zh-CN"/>
              </w:rPr>
            </w:pPr>
            <w:r>
              <w:rPr>
                <w:rFonts w:hint="eastAsia" w:ascii="宋体" w:hAnsi="宋体" w:cs="宋体"/>
                <w:color w:val="000000"/>
                <w:sz w:val="20"/>
                <w:szCs w:val="20"/>
                <w:lang w:bidi="ar"/>
              </w:rPr>
              <w:t>IP地址段要求：提供不少于64个公网IPV4地址，提供一段/64位IPV6地址。</w:t>
            </w:r>
          </w:p>
        </w:tc>
        <w:tc>
          <w:tcPr>
            <w:tcW w:w="1343" w:type="dxa"/>
            <w:tcBorders>
              <w:top w:val="single" w:color="auto" w:sz="6" w:space="0"/>
              <w:left w:val="single" w:color="auto" w:sz="6" w:space="0"/>
              <w:bottom w:val="single" w:color="auto" w:sz="6" w:space="0"/>
              <w:right w:val="single" w:color="auto" w:sz="6" w:space="0"/>
            </w:tcBorders>
            <w:vAlign w:val="center"/>
          </w:tcPr>
          <w:p w14:paraId="21520A1B">
            <w:pPr>
              <w:adjustRightInd w:val="0"/>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6B5D0B3B">
            <w:pPr>
              <w:adjustRightInd w:val="0"/>
              <w:jc w:val="center"/>
              <w:rPr>
                <w:rFonts w:ascii="宋体" w:hAnsi="宋体" w:cs="宋体"/>
                <w:szCs w:val="21"/>
                <w:lang w:val="zh-CN"/>
              </w:rPr>
            </w:pPr>
          </w:p>
        </w:tc>
      </w:tr>
      <w:tr w14:paraId="64C45A76">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04E55BE7">
            <w:pPr>
              <w:adjustRightInd w:val="0"/>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1A18A2DD">
            <w:pPr>
              <w:adjustRightInd w:val="0"/>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309277A8">
            <w:pPr>
              <w:widowControl/>
              <w:spacing w:line="360" w:lineRule="auto"/>
              <w:textAlignment w:val="center"/>
              <w:rPr>
                <w:rFonts w:ascii="宋体" w:hAnsi="宋体" w:cs="宋体"/>
                <w:color w:val="000000"/>
                <w:sz w:val="20"/>
                <w:szCs w:val="20"/>
                <w:lang w:val="zh-CN"/>
              </w:rPr>
            </w:pPr>
            <w:r>
              <w:rPr>
                <w:rFonts w:hint="eastAsia" w:ascii="宋体" w:hAnsi="宋体" w:cs="宋体"/>
                <w:color w:val="000000"/>
                <w:sz w:val="20"/>
                <w:szCs w:val="20"/>
                <w:lang w:bidi="ar"/>
              </w:rPr>
              <w:t>供应商所提供传输网络应确保至网内热点网站的Ping网络时延低于50ms。</w:t>
            </w:r>
          </w:p>
        </w:tc>
        <w:tc>
          <w:tcPr>
            <w:tcW w:w="1343" w:type="dxa"/>
            <w:tcBorders>
              <w:top w:val="single" w:color="auto" w:sz="6" w:space="0"/>
              <w:left w:val="single" w:color="auto" w:sz="6" w:space="0"/>
              <w:bottom w:val="single" w:color="auto" w:sz="6" w:space="0"/>
              <w:right w:val="single" w:color="auto" w:sz="6" w:space="0"/>
            </w:tcBorders>
            <w:vAlign w:val="center"/>
          </w:tcPr>
          <w:p w14:paraId="52336FB3">
            <w:pPr>
              <w:adjustRightInd w:val="0"/>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376BE4E2">
            <w:pPr>
              <w:adjustRightInd w:val="0"/>
              <w:jc w:val="center"/>
              <w:rPr>
                <w:rFonts w:ascii="宋体" w:hAnsi="宋体" w:cs="宋体"/>
                <w:szCs w:val="21"/>
                <w:lang w:val="zh-CN"/>
              </w:rPr>
            </w:pPr>
          </w:p>
        </w:tc>
      </w:tr>
      <w:tr w14:paraId="621EDC34">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DE75931">
            <w:pPr>
              <w:adjustRightInd w:val="0"/>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6B21E643">
            <w:pPr>
              <w:adjustRightInd w:val="0"/>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72E5A20F">
            <w:pPr>
              <w:widowControl/>
              <w:spacing w:line="360" w:lineRule="auto"/>
              <w:textAlignment w:val="center"/>
              <w:rPr>
                <w:rFonts w:ascii="宋体" w:hAnsi="宋体" w:cs="宋体"/>
                <w:color w:val="000000"/>
                <w:sz w:val="20"/>
                <w:szCs w:val="20"/>
                <w:lang w:val="zh-CN"/>
              </w:rPr>
            </w:pPr>
            <w:r>
              <w:rPr>
                <w:rFonts w:hint="eastAsia" w:ascii="宋体" w:hAnsi="宋体" w:cs="宋体"/>
                <w:color w:val="000000"/>
                <w:sz w:val="20"/>
                <w:szCs w:val="20"/>
                <w:lang w:bidi="ar"/>
              </w:rPr>
              <w:t>供应商应保证网络的稳定性，如所提供传输网络在一定时间段内传输出现多次闪断或一次中断时长超过一定数值，校方将按考核要求扣除相应费用。</w:t>
            </w:r>
          </w:p>
        </w:tc>
        <w:tc>
          <w:tcPr>
            <w:tcW w:w="1343" w:type="dxa"/>
            <w:tcBorders>
              <w:top w:val="single" w:color="auto" w:sz="6" w:space="0"/>
              <w:left w:val="single" w:color="auto" w:sz="6" w:space="0"/>
              <w:bottom w:val="single" w:color="auto" w:sz="6" w:space="0"/>
              <w:right w:val="single" w:color="auto" w:sz="6" w:space="0"/>
            </w:tcBorders>
            <w:vAlign w:val="center"/>
          </w:tcPr>
          <w:p w14:paraId="2D87ECFA">
            <w:pPr>
              <w:adjustRightInd w:val="0"/>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192C5B4B">
            <w:pPr>
              <w:adjustRightInd w:val="0"/>
              <w:jc w:val="center"/>
              <w:rPr>
                <w:rFonts w:ascii="宋体" w:hAnsi="宋体" w:cs="宋体"/>
                <w:szCs w:val="21"/>
                <w:lang w:val="zh-CN"/>
              </w:rPr>
            </w:pPr>
          </w:p>
        </w:tc>
      </w:tr>
      <w:tr w14:paraId="18040F0D">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5BEAA220">
            <w:pPr>
              <w:adjustRightInd w:val="0"/>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17CCC8A6">
            <w:pPr>
              <w:adjustRightInd w:val="0"/>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0E52929E">
            <w:pPr>
              <w:widowControl/>
              <w:spacing w:line="360" w:lineRule="auto"/>
              <w:textAlignment w:val="center"/>
              <w:rPr>
                <w:rFonts w:ascii="宋体" w:hAnsi="宋体" w:cs="宋体"/>
                <w:color w:val="000000"/>
                <w:sz w:val="20"/>
                <w:szCs w:val="20"/>
                <w:lang w:val="zh-CN"/>
              </w:rPr>
            </w:pPr>
            <w:r>
              <w:rPr>
                <w:rFonts w:hint="eastAsia" w:ascii="宋体" w:hAnsi="宋体" w:cs="宋体"/>
                <w:color w:val="000000"/>
                <w:sz w:val="20"/>
                <w:szCs w:val="20"/>
                <w:lang w:bidi="ar"/>
              </w:rPr>
              <w:t>（1）网络可用性为99.9%，即每月不可用时间少于43分钟。</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（2）网络可用性是指供应商网内端到端全网能提供无故障时间占运行时间的百分比。不可用时间以通道提供方收到校方申告为始，以校方收到通道提供方恢复通知为止。</w:t>
            </w:r>
          </w:p>
        </w:tc>
        <w:tc>
          <w:tcPr>
            <w:tcW w:w="1343" w:type="dxa"/>
            <w:tcBorders>
              <w:top w:val="single" w:color="auto" w:sz="6" w:space="0"/>
              <w:left w:val="single" w:color="auto" w:sz="6" w:space="0"/>
              <w:bottom w:val="single" w:color="auto" w:sz="6" w:space="0"/>
              <w:right w:val="single" w:color="auto" w:sz="6" w:space="0"/>
            </w:tcBorders>
            <w:vAlign w:val="center"/>
          </w:tcPr>
          <w:p w14:paraId="1A14EB5E">
            <w:pPr>
              <w:adjustRightInd w:val="0"/>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200999D2">
            <w:pPr>
              <w:adjustRightInd w:val="0"/>
              <w:jc w:val="center"/>
              <w:rPr>
                <w:rFonts w:ascii="宋体" w:hAnsi="宋体" w:cs="宋体"/>
                <w:szCs w:val="21"/>
                <w:lang w:val="zh-CN"/>
              </w:rPr>
            </w:pPr>
          </w:p>
        </w:tc>
      </w:tr>
    </w:tbl>
    <w:p w14:paraId="32CF199F">
      <w:pPr>
        <w:adjustRightInd w:val="0"/>
        <w:spacing w:line="360" w:lineRule="auto"/>
        <w:jc w:val="left"/>
        <w:rPr>
          <w:rFonts w:ascii="宋体" w:hAnsi="宋体" w:cs="宋体"/>
          <w:szCs w:val="21"/>
          <w:lang w:val="zh-CN"/>
        </w:rPr>
      </w:pPr>
    </w:p>
    <w:p w14:paraId="6EBA3E90">
      <w:pPr>
        <w:adjustRightInd w:val="0"/>
        <w:spacing w:line="360" w:lineRule="auto"/>
        <w:jc w:val="left"/>
        <w:rPr>
          <w:rFonts w:ascii="Times New Roman" w:hAnsi="Times New Roman"/>
          <w:szCs w:val="21"/>
          <w:lang w:val="zh-CN"/>
        </w:rPr>
      </w:pPr>
      <w:r>
        <w:rPr>
          <w:rFonts w:hint="eastAsia" w:ascii="Times New Roman" w:hAnsi="Times New Roman"/>
          <w:szCs w:val="21"/>
          <w:lang w:val="zh-CN"/>
        </w:rPr>
        <w:t>供应商名称：（盖章）</w:t>
      </w:r>
    </w:p>
    <w:p w14:paraId="0E391A54">
      <w:pPr>
        <w:widowControl/>
        <w:spacing w:line="360" w:lineRule="auto"/>
        <w:jc w:val="left"/>
        <w:rPr>
          <w:rFonts w:ascii="宋体" w:hAnsi="宋体" w:cs="宋体"/>
          <w:szCs w:val="21"/>
          <w:lang w:val="zh-CN"/>
        </w:rPr>
      </w:pPr>
    </w:p>
    <w:p w14:paraId="2762B6BA">
      <w:pPr>
        <w:pStyle w:val="17"/>
        <w:widowControl/>
        <w:rPr>
          <w:sz w:val="21"/>
          <w:szCs w:val="21"/>
        </w:rPr>
      </w:pPr>
      <w:r>
        <w:rPr>
          <w:sz w:val="21"/>
          <w:szCs w:val="21"/>
        </w:rPr>
        <w:t>说明：</w:t>
      </w:r>
    </w:p>
    <w:p w14:paraId="4B50A369">
      <w:pPr>
        <w:pStyle w:val="17"/>
        <w:widowControl/>
        <w:ind w:firstLine="480" w:firstLineChars="0"/>
        <w:rPr>
          <w:sz w:val="21"/>
          <w:szCs w:val="21"/>
        </w:rPr>
      </w:pPr>
      <w:r>
        <w:rPr>
          <w:sz w:val="21"/>
          <w:szCs w:val="21"/>
        </w:rPr>
        <w:t>1、如果行数不够，请自行增加；</w:t>
      </w:r>
    </w:p>
    <w:p w14:paraId="31A33210">
      <w:pPr>
        <w:pStyle w:val="17"/>
        <w:widowControl/>
        <w:ind w:firstLine="480" w:firstLineChars="0"/>
        <w:rPr>
          <w:sz w:val="21"/>
          <w:szCs w:val="21"/>
        </w:rPr>
      </w:pPr>
      <w:r>
        <w:rPr>
          <w:sz w:val="21"/>
          <w:szCs w:val="21"/>
        </w:rPr>
        <w:t>2、无偏离指供应商的响应等于</w:t>
      </w:r>
      <w:r>
        <w:rPr>
          <w:rFonts w:hint="eastAsia"/>
          <w:sz w:val="21"/>
          <w:szCs w:val="21"/>
        </w:rPr>
        <w:t>采购</w:t>
      </w:r>
      <w:r>
        <w:rPr>
          <w:sz w:val="21"/>
          <w:szCs w:val="21"/>
        </w:rPr>
        <w:t>文件要求，正偏离指供应商的响应高于</w:t>
      </w:r>
      <w:r>
        <w:rPr>
          <w:rFonts w:hint="eastAsia"/>
          <w:sz w:val="21"/>
          <w:szCs w:val="21"/>
        </w:rPr>
        <w:t>采购</w:t>
      </w:r>
      <w:r>
        <w:rPr>
          <w:sz w:val="21"/>
          <w:szCs w:val="21"/>
        </w:rPr>
        <w:t>文件要求，负偏离指供应商的响应低于</w:t>
      </w:r>
      <w:r>
        <w:rPr>
          <w:rFonts w:hint="eastAsia"/>
          <w:sz w:val="21"/>
          <w:szCs w:val="21"/>
        </w:rPr>
        <w:t>采购</w:t>
      </w:r>
      <w:r>
        <w:rPr>
          <w:sz w:val="21"/>
          <w:szCs w:val="21"/>
        </w:rPr>
        <w:t>文件要求。</w:t>
      </w:r>
    </w:p>
    <w:p w14:paraId="25A093DC">
      <w:pPr>
        <w:pStyle w:val="17"/>
        <w:widowControl/>
        <w:ind w:firstLine="480" w:firstLineChars="0"/>
        <w:rPr>
          <w:sz w:val="21"/>
          <w:szCs w:val="21"/>
        </w:rPr>
      </w:pPr>
      <w:r>
        <w:rPr>
          <w:sz w:val="21"/>
          <w:szCs w:val="21"/>
        </w:rPr>
        <w:t>3、响应</w:t>
      </w:r>
      <w:r>
        <w:rPr>
          <w:rFonts w:hint="eastAsia"/>
          <w:sz w:val="21"/>
          <w:szCs w:val="21"/>
        </w:rPr>
        <w:t>内容</w:t>
      </w:r>
      <w:r>
        <w:rPr>
          <w:sz w:val="21"/>
          <w:szCs w:val="21"/>
        </w:rPr>
        <w:t>作为响应文件重要的组成部分，不应通过简单拷贝或简单标注</w:t>
      </w:r>
      <w:r>
        <w:rPr>
          <w:rFonts w:hint="eastAsia"/>
          <w:sz w:val="21"/>
          <w:szCs w:val="21"/>
        </w:rPr>
        <w:t>“符合”“满足”</w:t>
      </w:r>
      <w:r>
        <w:rPr>
          <w:sz w:val="21"/>
          <w:szCs w:val="21"/>
        </w:rPr>
        <w:t>。</w:t>
      </w:r>
    </w:p>
    <w:p w14:paraId="44BDA95B">
      <w:pPr>
        <w:rPr>
          <w:rFonts w:ascii="宋体" w:hAnsi="宋体" w:cs="宋体"/>
          <w:b/>
          <w:szCs w:val="21"/>
          <w:lang w:val="zh-CN"/>
        </w:rPr>
      </w:pPr>
      <w:r>
        <w:rPr>
          <w:rFonts w:hint="eastAsia" w:ascii="宋体" w:hAnsi="宋体" w:cs="宋体"/>
          <w:b/>
          <w:szCs w:val="21"/>
          <w:lang w:val="zh-CN"/>
        </w:rPr>
        <w:br w:type="page"/>
      </w:r>
    </w:p>
    <w:p w14:paraId="23BEFA8E">
      <w:pPr>
        <w:pStyle w:val="17"/>
        <w:ind w:firstLine="0" w:firstLineChars="0"/>
        <w:rPr>
          <w:b/>
        </w:rPr>
      </w:pPr>
      <w:r>
        <w:rPr>
          <w:b/>
        </w:rPr>
        <w:t>目录七、商务条款偏离表格式</w:t>
      </w:r>
    </w:p>
    <w:p w14:paraId="1D06117F">
      <w:pPr>
        <w:pStyle w:val="262"/>
        <w:outlineLvl w:val="9"/>
      </w:pPr>
      <w: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6"/>
        <w:gridCol w:w="1844"/>
        <w:gridCol w:w="2869"/>
        <w:gridCol w:w="1159"/>
        <w:gridCol w:w="1424"/>
        <w:gridCol w:w="1344"/>
      </w:tblGrid>
      <w:tr w14:paraId="47A2F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6698" w:type="dxa"/>
            <w:gridSpan w:val="4"/>
            <w:tcBorders>
              <w:top w:val="nil"/>
              <w:left w:val="nil"/>
              <w:right w:val="nil"/>
            </w:tcBorders>
            <w:vAlign w:val="center"/>
          </w:tcPr>
          <w:p w14:paraId="102A9D2D">
            <w:pPr>
              <w:adjustRightInd w:val="0"/>
              <w:jc w:val="left"/>
              <w:rPr>
                <w:rFonts w:ascii="宋体" w:hAnsi="宋体" w:cs="宋体"/>
                <w:szCs w:val="21"/>
                <w:lang w:val="zh-CN"/>
              </w:rPr>
            </w:pPr>
            <w:r>
              <w:rPr>
                <w:rFonts w:hint="eastAsia" w:ascii="宋体" w:hAnsi="宋体" w:cs="宋体"/>
                <w:szCs w:val="21"/>
                <w:lang w:val="zh-CN"/>
              </w:rPr>
              <w:t>项目名称：</w:t>
            </w:r>
          </w:p>
        </w:tc>
        <w:tc>
          <w:tcPr>
            <w:tcW w:w="2768" w:type="dxa"/>
            <w:gridSpan w:val="2"/>
            <w:tcBorders>
              <w:top w:val="nil"/>
              <w:left w:val="nil"/>
              <w:right w:val="nil"/>
            </w:tcBorders>
            <w:vAlign w:val="center"/>
          </w:tcPr>
          <w:p w14:paraId="2B549276">
            <w:pPr>
              <w:adjustRightInd w:val="0"/>
              <w:jc w:val="left"/>
              <w:rPr>
                <w:rFonts w:ascii="宋体" w:hAnsi="宋体" w:cs="宋体"/>
                <w:szCs w:val="21"/>
                <w:lang w:val="zh-CN"/>
              </w:rPr>
            </w:pPr>
            <w:r>
              <w:rPr>
                <w:rFonts w:hint="eastAsia" w:ascii="宋体" w:hAnsi="宋体" w:cs="宋体"/>
                <w:szCs w:val="21"/>
                <w:lang w:val="zh-CN"/>
              </w:rPr>
              <w:t>项目编号：</w:t>
            </w:r>
          </w:p>
        </w:tc>
      </w:tr>
      <w:tr w14:paraId="42BBD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1FE930D8">
            <w:pPr>
              <w:adjustRightInd w:val="0"/>
              <w:jc w:val="center"/>
              <w:rPr>
                <w:rFonts w:ascii="宋体" w:hAnsi="宋体" w:cs="宋体"/>
                <w:b/>
                <w:szCs w:val="21"/>
                <w:lang w:val="zh-CN"/>
              </w:rPr>
            </w:pPr>
            <w:r>
              <w:rPr>
                <w:rFonts w:hint="eastAsia" w:ascii="宋体" w:hAnsi="宋体" w:cs="宋体"/>
                <w:b/>
                <w:szCs w:val="21"/>
                <w:lang w:val="zh-CN"/>
              </w:rPr>
              <w:t>序号</w:t>
            </w:r>
          </w:p>
        </w:tc>
        <w:tc>
          <w:tcPr>
            <w:tcW w:w="1844" w:type="dxa"/>
            <w:vAlign w:val="center"/>
          </w:tcPr>
          <w:p w14:paraId="4DB0C6D0">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2869" w:type="dxa"/>
            <w:vAlign w:val="center"/>
          </w:tcPr>
          <w:p w14:paraId="54A42D8D">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文件要求的商务条款</w:t>
            </w:r>
          </w:p>
        </w:tc>
        <w:tc>
          <w:tcPr>
            <w:tcW w:w="2583" w:type="dxa"/>
            <w:gridSpan w:val="2"/>
            <w:vAlign w:val="center"/>
          </w:tcPr>
          <w:p w14:paraId="149B499A">
            <w:pPr>
              <w:adjustRightInd w:val="0"/>
              <w:jc w:val="center"/>
              <w:rPr>
                <w:rFonts w:ascii="宋体" w:hAnsi="宋体" w:cs="宋体"/>
                <w:b/>
                <w:szCs w:val="21"/>
                <w:lang w:val="zh-CN"/>
              </w:rPr>
            </w:pPr>
            <w:r>
              <w:rPr>
                <w:rFonts w:hint="eastAsia" w:ascii="宋体" w:hAnsi="宋体" w:cs="宋体"/>
                <w:b/>
                <w:szCs w:val="21"/>
                <w:lang w:val="zh-CN"/>
              </w:rPr>
              <w:t>响应</w:t>
            </w:r>
          </w:p>
        </w:tc>
        <w:tc>
          <w:tcPr>
            <w:tcW w:w="1344" w:type="dxa"/>
            <w:vAlign w:val="center"/>
          </w:tcPr>
          <w:p w14:paraId="252A925C">
            <w:pPr>
              <w:adjustRightInd w:val="0"/>
              <w:jc w:val="center"/>
              <w:rPr>
                <w:rFonts w:ascii="宋体" w:hAnsi="宋体" w:cs="宋体"/>
                <w:b/>
                <w:szCs w:val="21"/>
                <w:lang w:val="zh-CN"/>
              </w:rPr>
            </w:pPr>
            <w:r>
              <w:rPr>
                <w:rFonts w:hint="eastAsia" w:ascii="宋体" w:hAnsi="宋体" w:cs="宋体"/>
                <w:b/>
                <w:szCs w:val="21"/>
                <w:lang w:val="zh-CN"/>
              </w:rPr>
              <w:t>偏离</w:t>
            </w:r>
          </w:p>
        </w:tc>
      </w:tr>
      <w:tr w14:paraId="5B6E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1457D48C">
            <w:pPr>
              <w:adjustRightInd w:val="0"/>
              <w:jc w:val="center"/>
              <w:rPr>
                <w:rFonts w:ascii="宋体" w:hAnsi="宋体" w:cs="宋体"/>
                <w:szCs w:val="21"/>
                <w:lang w:val="zh-CN"/>
              </w:rPr>
            </w:pPr>
          </w:p>
        </w:tc>
        <w:tc>
          <w:tcPr>
            <w:tcW w:w="1844" w:type="dxa"/>
            <w:vAlign w:val="center"/>
          </w:tcPr>
          <w:p w14:paraId="65D4377F">
            <w:pPr>
              <w:adjustRightInd w:val="0"/>
              <w:jc w:val="center"/>
              <w:rPr>
                <w:rFonts w:ascii="宋体" w:hAnsi="宋体" w:cs="宋体"/>
                <w:szCs w:val="21"/>
                <w:lang w:val="zh-CN"/>
              </w:rPr>
            </w:pPr>
          </w:p>
        </w:tc>
        <w:tc>
          <w:tcPr>
            <w:tcW w:w="2869" w:type="dxa"/>
            <w:vAlign w:val="center"/>
          </w:tcPr>
          <w:p w14:paraId="366BC16E">
            <w:pPr>
              <w:adjustRightInd w:val="0"/>
              <w:jc w:val="center"/>
              <w:rPr>
                <w:rFonts w:ascii="宋体" w:hAnsi="宋体" w:cs="宋体"/>
                <w:szCs w:val="21"/>
                <w:lang w:val="zh-CN"/>
              </w:rPr>
            </w:pPr>
          </w:p>
        </w:tc>
        <w:tc>
          <w:tcPr>
            <w:tcW w:w="2583" w:type="dxa"/>
            <w:gridSpan w:val="2"/>
            <w:vAlign w:val="center"/>
          </w:tcPr>
          <w:p w14:paraId="12F6A514">
            <w:pPr>
              <w:adjustRightInd w:val="0"/>
              <w:jc w:val="center"/>
              <w:rPr>
                <w:rFonts w:ascii="宋体" w:hAnsi="宋体" w:cs="宋体"/>
                <w:szCs w:val="21"/>
                <w:lang w:val="zh-CN"/>
              </w:rPr>
            </w:pPr>
          </w:p>
        </w:tc>
        <w:tc>
          <w:tcPr>
            <w:tcW w:w="1344" w:type="dxa"/>
            <w:vAlign w:val="center"/>
          </w:tcPr>
          <w:p w14:paraId="235BDC9B">
            <w:pPr>
              <w:adjustRightInd w:val="0"/>
              <w:jc w:val="center"/>
              <w:rPr>
                <w:rFonts w:ascii="宋体" w:hAnsi="宋体" w:cs="宋体"/>
                <w:szCs w:val="21"/>
                <w:lang w:val="zh-CN"/>
              </w:rPr>
            </w:pPr>
          </w:p>
        </w:tc>
      </w:tr>
      <w:tr w14:paraId="16E33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38CCC911">
            <w:pPr>
              <w:adjustRightInd w:val="0"/>
              <w:jc w:val="center"/>
              <w:rPr>
                <w:rFonts w:ascii="宋体" w:hAnsi="宋体" w:cs="宋体"/>
                <w:szCs w:val="21"/>
                <w:lang w:val="zh-CN"/>
              </w:rPr>
            </w:pPr>
          </w:p>
        </w:tc>
        <w:tc>
          <w:tcPr>
            <w:tcW w:w="1844" w:type="dxa"/>
            <w:vAlign w:val="center"/>
          </w:tcPr>
          <w:p w14:paraId="3A5C4155">
            <w:pPr>
              <w:adjustRightInd w:val="0"/>
              <w:jc w:val="center"/>
              <w:rPr>
                <w:rFonts w:ascii="宋体" w:hAnsi="宋体" w:cs="宋体"/>
                <w:szCs w:val="21"/>
                <w:lang w:val="zh-CN"/>
              </w:rPr>
            </w:pPr>
          </w:p>
        </w:tc>
        <w:tc>
          <w:tcPr>
            <w:tcW w:w="2869" w:type="dxa"/>
            <w:vAlign w:val="center"/>
          </w:tcPr>
          <w:p w14:paraId="1D9F8DC5">
            <w:pPr>
              <w:adjustRightInd w:val="0"/>
              <w:jc w:val="center"/>
              <w:rPr>
                <w:rFonts w:ascii="宋体" w:hAnsi="宋体" w:cs="宋体"/>
                <w:szCs w:val="21"/>
                <w:lang w:val="zh-CN"/>
              </w:rPr>
            </w:pPr>
          </w:p>
        </w:tc>
        <w:tc>
          <w:tcPr>
            <w:tcW w:w="2583" w:type="dxa"/>
            <w:gridSpan w:val="2"/>
            <w:vAlign w:val="center"/>
          </w:tcPr>
          <w:p w14:paraId="0DACD1B7">
            <w:pPr>
              <w:adjustRightInd w:val="0"/>
              <w:jc w:val="center"/>
              <w:rPr>
                <w:rFonts w:ascii="宋体" w:hAnsi="宋体" w:cs="宋体"/>
                <w:szCs w:val="21"/>
                <w:lang w:val="zh-CN"/>
              </w:rPr>
            </w:pPr>
          </w:p>
        </w:tc>
        <w:tc>
          <w:tcPr>
            <w:tcW w:w="1344" w:type="dxa"/>
            <w:vAlign w:val="center"/>
          </w:tcPr>
          <w:p w14:paraId="2AAE5A8E">
            <w:pPr>
              <w:adjustRightInd w:val="0"/>
              <w:jc w:val="center"/>
              <w:rPr>
                <w:rFonts w:ascii="宋体" w:hAnsi="宋体" w:cs="宋体"/>
                <w:szCs w:val="21"/>
                <w:lang w:val="zh-CN"/>
              </w:rPr>
            </w:pPr>
          </w:p>
        </w:tc>
      </w:tr>
      <w:tr w14:paraId="52E2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7EFD92A8">
            <w:pPr>
              <w:adjustRightInd w:val="0"/>
              <w:jc w:val="center"/>
              <w:rPr>
                <w:rFonts w:ascii="宋体" w:hAnsi="宋体" w:cs="宋体"/>
                <w:szCs w:val="21"/>
                <w:lang w:val="zh-CN"/>
              </w:rPr>
            </w:pPr>
          </w:p>
        </w:tc>
        <w:tc>
          <w:tcPr>
            <w:tcW w:w="1844" w:type="dxa"/>
            <w:vAlign w:val="center"/>
          </w:tcPr>
          <w:p w14:paraId="4867774A">
            <w:pPr>
              <w:adjustRightInd w:val="0"/>
              <w:jc w:val="center"/>
              <w:rPr>
                <w:rFonts w:ascii="宋体" w:hAnsi="宋体" w:cs="宋体"/>
                <w:szCs w:val="21"/>
                <w:lang w:val="zh-CN"/>
              </w:rPr>
            </w:pPr>
          </w:p>
        </w:tc>
        <w:tc>
          <w:tcPr>
            <w:tcW w:w="2869" w:type="dxa"/>
            <w:vAlign w:val="center"/>
          </w:tcPr>
          <w:p w14:paraId="15EA746B">
            <w:pPr>
              <w:adjustRightInd w:val="0"/>
              <w:jc w:val="center"/>
              <w:rPr>
                <w:rFonts w:ascii="宋体" w:hAnsi="宋体" w:cs="宋体"/>
                <w:szCs w:val="21"/>
                <w:lang w:val="zh-CN"/>
              </w:rPr>
            </w:pPr>
          </w:p>
        </w:tc>
        <w:tc>
          <w:tcPr>
            <w:tcW w:w="2583" w:type="dxa"/>
            <w:gridSpan w:val="2"/>
            <w:vAlign w:val="center"/>
          </w:tcPr>
          <w:p w14:paraId="2AC2F3A1">
            <w:pPr>
              <w:adjustRightInd w:val="0"/>
              <w:jc w:val="center"/>
              <w:rPr>
                <w:rFonts w:ascii="宋体" w:hAnsi="宋体" w:cs="宋体"/>
                <w:szCs w:val="21"/>
                <w:lang w:val="zh-CN"/>
              </w:rPr>
            </w:pPr>
          </w:p>
        </w:tc>
        <w:tc>
          <w:tcPr>
            <w:tcW w:w="1344" w:type="dxa"/>
            <w:vAlign w:val="center"/>
          </w:tcPr>
          <w:p w14:paraId="4417365B">
            <w:pPr>
              <w:adjustRightInd w:val="0"/>
              <w:jc w:val="center"/>
              <w:rPr>
                <w:rFonts w:ascii="宋体" w:hAnsi="宋体" w:cs="宋体"/>
                <w:szCs w:val="21"/>
                <w:lang w:val="zh-CN"/>
              </w:rPr>
            </w:pPr>
          </w:p>
        </w:tc>
      </w:tr>
      <w:tr w14:paraId="73FC5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573E67EB">
            <w:pPr>
              <w:adjustRightInd w:val="0"/>
              <w:jc w:val="center"/>
              <w:rPr>
                <w:rFonts w:ascii="宋体" w:hAnsi="宋体" w:cs="宋体"/>
                <w:szCs w:val="21"/>
                <w:lang w:val="zh-CN"/>
              </w:rPr>
            </w:pPr>
          </w:p>
        </w:tc>
        <w:tc>
          <w:tcPr>
            <w:tcW w:w="1844" w:type="dxa"/>
            <w:vAlign w:val="center"/>
          </w:tcPr>
          <w:p w14:paraId="641B35BA">
            <w:pPr>
              <w:adjustRightInd w:val="0"/>
              <w:jc w:val="center"/>
              <w:rPr>
                <w:rFonts w:ascii="宋体" w:hAnsi="宋体" w:cs="宋体"/>
                <w:szCs w:val="21"/>
                <w:lang w:val="zh-CN"/>
              </w:rPr>
            </w:pPr>
          </w:p>
        </w:tc>
        <w:tc>
          <w:tcPr>
            <w:tcW w:w="2869" w:type="dxa"/>
            <w:vAlign w:val="center"/>
          </w:tcPr>
          <w:p w14:paraId="064CEDAF">
            <w:pPr>
              <w:adjustRightInd w:val="0"/>
              <w:jc w:val="center"/>
              <w:rPr>
                <w:rFonts w:ascii="宋体" w:hAnsi="宋体" w:cs="宋体"/>
                <w:szCs w:val="21"/>
                <w:lang w:val="zh-CN"/>
              </w:rPr>
            </w:pPr>
          </w:p>
        </w:tc>
        <w:tc>
          <w:tcPr>
            <w:tcW w:w="2583" w:type="dxa"/>
            <w:gridSpan w:val="2"/>
            <w:vAlign w:val="center"/>
          </w:tcPr>
          <w:p w14:paraId="1828A188">
            <w:pPr>
              <w:adjustRightInd w:val="0"/>
              <w:jc w:val="center"/>
              <w:rPr>
                <w:rFonts w:ascii="宋体" w:hAnsi="宋体" w:cs="宋体"/>
                <w:szCs w:val="21"/>
                <w:lang w:val="zh-CN"/>
              </w:rPr>
            </w:pPr>
          </w:p>
        </w:tc>
        <w:tc>
          <w:tcPr>
            <w:tcW w:w="1344" w:type="dxa"/>
            <w:vAlign w:val="center"/>
          </w:tcPr>
          <w:p w14:paraId="40A2C6DF">
            <w:pPr>
              <w:adjustRightInd w:val="0"/>
              <w:jc w:val="center"/>
              <w:rPr>
                <w:rFonts w:ascii="宋体" w:hAnsi="宋体" w:cs="宋体"/>
                <w:szCs w:val="21"/>
                <w:lang w:val="zh-CN"/>
              </w:rPr>
            </w:pPr>
          </w:p>
        </w:tc>
      </w:tr>
      <w:tr w14:paraId="6EFC4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5C322399">
            <w:pPr>
              <w:adjustRightInd w:val="0"/>
              <w:jc w:val="center"/>
              <w:rPr>
                <w:rFonts w:ascii="宋体" w:hAnsi="宋体" w:cs="宋体"/>
                <w:szCs w:val="21"/>
                <w:lang w:val="zh-CN"/>
              </w:rPr>
            </w:pPr>
          </w:p>
        </w:tc>
        <w:tc>
          <w:tcPr>
            <w:tcW w:w="1844" w:type="dxa"/>
            <w:vAlign w:val="center"/>
          </w:tcPr>
          <w:p w14:paraId="492EDDDF">
            <w:pPr>
              <w:adjustRightInd w:val="0"/>
              <w:jc w:val="center"/>
              <w:rPr>
                <w:rFonts w:ascii="宋体" w:hAnsi="宋体" w:cs="宋体"/>
                <w:szCs w:val="21"/>
                <w:lang w:val="zh-CN"/>
              </w:rPr>
            </w:pPr>
          </w:p>
        </w:tc>
        <w:tc>
          <w:tcPr>
            <w:tcW w:w="2869" w:type="dxa"/>
            <w:vAlign w:val="center"/>
          </w:tcPr>
          <w:p w14:paraId="726D6FD9">
            <w:pPr>
              <w:adjustRightInd w:val="0"/>
              <w:jc w:val="center"/>
              <w:rPr>
                <w:rFonts w:ascii="宋体" w:hAnsi="宋体" w:cs="宋体"/>
                <w:szCs w:val="21"/>
                <w:lang w:val="zh-CN"/>
              </w:rPr>
            </w:pPr>
          </w:p>
        </w:tc>
        <w:tc>
          <w:tcPr>
            <w:tcW w:w="2583" w:type="dxa"/>
            <w:gridSpan w:val="2"/>
            <w:vAlign w:val="center"/>
          </w:tcPr>
          <w:p w14:paraId="02674DB0">
            <w:pPr>
              <w:adjustRightInd w:val="0"/>
              <w:jc w:val="center"/>
              <w:rPr>
                <w:rFonts w:ascii="宋体" w:hAnsi="宋体" w:cs="宋体"/>
                <w:szCs w:val="21"/>
                <w:lang w:val="zh-CN"/>
              </w:rPr>
            </w:pPr>
          </w:p>
        </w:tc>
        <w:tc>
          <w:tcPr>
            <w:tcW w:w="1344" w:type="dxa"/>
            <w:vAlign w:val="center"/>
          </w:tcPr>
          <w:p w14:paraId="0209E9FE">
            <w:pPr>
              <w:adjustRightInd w:val="0"/>
              <w:jc w:val="center"/>
              <w:rPr>
                <w:rFonts w:ascii="宋体" w:hAnsi="宋体" w:cs="宋体"/>
                <w:szCs w:val="21"/>
                <w:lang w:val="zh-CN"/>
              </w:rPr>
            </w:pPr>
          </w:p>
        </w:tc>
      </w:tr>
      <w:tr w14:paraId="03AE2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3F18ECBB">
            <w:pPr>
              <w:adjustRightInd w:val="0"/>
              <w:jc w:val="center"/>
              <w:rPr>
                <w:rFonts w:ascii="宋体" w:hAnsi="宋体" w:cs="宋体"/>
                <w:szCs w:val="21"/>
                <w:lang w:val="zh-CN"/>
              </w:rPr>
            </w:pPr>
          </w:p>
        </w:tc>
        <w:tc>
          <w:tcPr>
            <w:tcW w:w="1844" w:type="dxa"/>
            <w:vAlign w:val="center"/>
          </w:tcPr>
          <w:p w14:paraId="31B795C7">
            <w:pPr>
              <w:adjustRightInd w:val="0"/>
              <w:jc w:val="center"/>
              <w:rPr>
                <w:rFonts w:ascii="宋体" w:hAnsi="宋体" w:cs="宋体"/>
                <w:szCs w:val="21"/>
                <w:lang w:val="zh-CN"/>
              </w:rPr>
            </w:pPr>
          </w:p>
        </w:tc>
        <w:tc>
          <w:tcPr>
            <w:tcW w:w="2869" w:type="dxa"/>
            <w:vAlign w:val="center"/>
          </w:tcPr>
          <w:p w14:paraId="3F1A6C03">
            <w:pPr>
              <w:adjustRightInd w:val="0"/>
              <w:jc w:val="center"/>
              <w:rPr>
                <w:rFonts w:ascii="宋体" w:hAnsi="宋体" w:cs="宋体"/>
                <w:szCs w:val="21"/>
                <w:lang w:val="zh-CN"/>
              </w:rPr>
            </w:pPr>
          </w:p>
        </w:tc>
        <w:tc>
          <w:tcPr>
            <w:tcW w:w="2583" w:type="dxa"/>
            <w:gridSpan w:val="2"/>
            <w:vAlign w:val="center"/>
          </w:tcPr>
          <w:p w14:paraId="3AB72771">
            <w:pPr>
              <w:adjustRightInd w:val="0"/>
              <w:jc w:val="center"/>
              <w:rPr>
                <w:rFonts w:ascii="宋体" w:hAnsi="宋体" w:cs="宋体"/>
                <w:szCs w:val="21"/>
                <w:lang w:val="zh-CN"/>
              </w:rPr>
            </w:pPr>
          </w:p>
        </w:tc>
        <w:tc>
          <w:tcPr>
            <w:tcW w:w="1344" w:type="dxa"/>
            <w:vAlign w:val="center"/>
          </w:tcPr>
          <w:p w14:paraId="43224315">
            <w:pPr>
              <w:adjustRightInd w:val="0"/>
              <w:jc w:val="center"/>
              <w:rPr>
                <w:rFonts w:ascii="宋体" w:hAnsi="宋体" w:cs="宋体"/>
                <w:szCs w:val="21"/>
                <w:lang w:val="zh-CN"/>
              </w:rPr>
            </w:pPr>
          </w:p>
        </w:tc>
      </w:tr>
      <w:tr w14:paraId="0B7E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7361404A">
            <w:pPr>
              <w:jc w:val="center"/>
              <w:rPr>
                <w:rFonts w:ascii="宋体" w:hAnsi="宋体" w:cs="Arial"/>
                <w:szCs w:val="21"/>
              </w:rPr>
            </w:pPr>
          </w:p>
        </w:tc>
        <w:tc>
          <w:tcPr>
            <w:tcW w:w="1844" w:type="dxa"/>
            <w:vAlign w:val="center"/>
          </w:tcPr>
          <w:p w14:paraId="54C312EC">
            <w:pPr>
              <w:jc w:val="center"/>
              <w:rPr>
                <w:rFonts w:ascii="宋体" w:hAnsi="宋体" w:cs="Arial"/>
                <w:szCs w:val="21"/>
              </w:rPr>
            </w:pPr>
          </w:p>
        </w:tc>
        <w:tc>
          <w:tcPr>
            <w:tcW w:w="2869" w:type="dxa"/>
            <w:vAlign w:val="center"/>
          </w:tcPr>
          <w:p w14:paraId="60DF9BE2">
            <w:pPr>
              <w:jc w:val="center"/>
              <w:rPr>
                <w:rFonts w:ascii="宋体" w:hAnsi="宋体" w:cs="Arial"/>
                <w:szCs w:val="21"/>
              </w:rPr>
            </w:pPr>
          </w:p>
        </w:tc>
        <w:tc>
          <w:tcPr>
            <w:tcW w:w="2583" w:type="dxa"/>
            <w:gridSpan w:val="2"/>
            <w:vAlign w:val="center"/>
          </w:tcPr>
          <w:p w14:paraId="05020CC3">
            <w:pPr>
              <w:jc w:val="center"/>
              <w:rPr>
                <w:rFonts w:ascii="宋体" w:hAnsi="宋体" w:cs="Arial"/>
                <w:szCs w:val="21"/>
              </w:rPr>
            </w:pPr>
          </w:p>
        </w:tc>
        <w:tc>
          <w:tcPr>
            <w:tcW w:w="1344" w:type="dxa"/>
            <w:vAlign w:val="center"/>
          </w:tcPr>
          <w:p w14:paraId="16E37F98">
            <w:pPr>
              <w:jc w:val="center"/>
              <w:rPr>
                <w:rFonts w:ascii="宋体" w:hAnsi="宋体" w:cs="Arial"/>
                <w:szCs w:val="21"/>
              </w:rPr>
            </w:pPr>
          </w:p>
        </w:tc>
      </w:tr>
    </w:tbl>
    <w:p w14:paraId="7CF633C4">
      <w:pPr>
        <w:adjustRightInd w:val="0"/>
        <w:spacing w:line="360" w:lineRule="auto"/>
        <w:jc w:val="left"/>
        <w:rPr>
          <w:rFonts w:ascii="宋体" w:hAnsi="宋体" w:cs="宋体"/>
          <w:szCs w:val="21"/>
          <w:lang w:val="zh-CN"/>
        </w:rPr>
      </w:pPr>
    </w:p>
    <w:p w14:paraId="5E24DFCF">
      <w:pPr>
        <w:adjustRightInd w:val="0"/>
        <w:spacing w:line="360" w:lineRule="auto"/>
        <w:jc w:val="left"/>
        <w:rPr>
          <w:rFonts w:ascii="Times New Roman" w:hAnsi="Times New Roman"/>
          <w:szCs w:val="21"/>
          <w:lang w:val="zh-CN"/>
        </w:rPr>
      </w:pPr>
      <w:r>
        <w:rPr>
          <w:rFonts w:hint="eastAsia" w:ascii="Times New Roman" w:hAnsi="Times New Roman"/>
          <w:szCs w:val="21"/>
          <w:lang w:val="zh-CN"/>
        </w:rPr>
        <w:t>供应商名称：（盖章）</w:t>
      </w:r>
    </w:p>
    <w:p w14:paraId="3810E304">
      <w:pPr>
        <w:widowControl/>
        <w:spacing w:line="360" w:lineRule="auto"/>
        <w:jc w:val="left"/>
        <w:rPr>
          <w:rFonts w:ascii="宋体" w:hAnsi="宋体" w:cs="宋体"/>
          <w:szCs w:val="21"/>
          <w:lang w:val="zh-CN"/>
        </w:rPr>
      </w:pPr>
    </w:p>
    <w:p w14:paraId="6DEBE4F1">
      <w:pPr>
        <w:pStyle w:val="17"/>
        <w:widowControl/>
        <w:rPr>
          <w:sz w:val="21"/>
          <w:szCs w:val="21"/>
        </w:rPr>
      </w:pPr>
      <w:r>
        <w:rPr>
          <w:sz w:val="21"/>
          <w:szCs w:val="21"/>
        </w:rPr>
        <w:t>说明：</w:t>
      </w:r>
    </w:p>
    <w:p w14:paraId="07FE3547">
      <w:pPr>
        <w:pStyle w:val="17"/>
        <w:widowControl/>
        <w:ind w:firstLine="480" w:firstLineChars="0"/>
        <w:rPr>
          <w:sz w:val="21"/>
          <w:szCs w:val="21"/>
        </w:rPr>
      </w:pPr>
      <w:r>
        <w:rPr>
          <w:sz w:val="21"/>
          <w:szCs w:val="21"/>
        </w:rPr>
        <w:t>1、如果行数不够，请自行增加；</w:t>
      </w:r>
    </w:p>
    <w:p w14:paraId="31DB9544">
      <w:pPr>
        <w:pStyle w:val="17"/>
        <w:widowControl/>
        <w:ind w:firstLine="480" w:firstLineChars="0"/>
        <w:rPr>
          <w:sz w:val="21"/>
          <w:szCs w:val="21"/>
        </w:rPr>
      </w:pPr>
      <w:r>
        <w:rPr>
          <w:sz w:val="21"/>
          <w:szCs w:val="21"/>
        </w:rPr>
        <w:t>2、无偏离指供应商的响应等于</w:t>
      </w:r>
      <w:r>
        <w:rPr>
          <w:rFonts w:hint="eastAsia"/>
          <w:sz w:val="21"/>
          <w:szCs w:val="21"/>
        </w:rPr>
        <w:t>采购</w:t>
      </w:r>
      <w:r>
        <w:rPr>
          <w:sz w:val="21"/>
          <w:szCs w:val="21"/>
        </w:rPr>
        <w:t>文件要求，正偏离指供应商的响应高于</w:t>
      </w:r>
      <w:r>
        <w:rPr>
          <w:rFonts w:hint="eastAsia"/>
          <w:sz w:val="21"/>
          <w:szCs w:val="21"/>
        </w:rPr>
        <w:t>采购</w:t>
      </w:r>
      <w:r>
        <w:rPr>
          <w:sz w:val="21"/>
          <w:szCs w:val="21"/>
        </w:rPr>
        <w:t>文件要求，负偏离指供应商的响应低于</w:t>
      </w:r>
      <w:r>
        <w:rPr>
          <w:rFonts w:hint="eastAsia"/>
          <w:sz w:val="21"/>
          <w:szCs w:val="21"/>
        </w:rPr>
        <w:t>采购</w:t>
      </w:r>
      <w:r>
        <w:rPr>
          <w:sz w:val="21"/>
          <w:szCs w:val="21"/>
        </w:rPr>
        <w:t>文件要求。</w:t>
      </w:r>
    </w:p>
    <w:p w14:paraId="0A67FA45">
      <w:pPr>
        <w:pStyle w:val="17"/>
        <w:widowControl/>
        <w:ind w:firstLine="480" w:firstLineChars="0"/>
        <w:rPr>
          <w:sz w:val="21"/>
          <w:szCs w:val="21"/>
        </w:rPr>
      </w:pPr>
      <w:r>
        <w:rPr>
          <w:sz w:val="21"/>
          <w:szCs w:val="21"/>
        </w:rPr>
        <w:t>3、响应作为响应文件重要的组成部分，不应通过简单拷贝或简单标注</w:t>
      </w:r>
      <w:r>
        <w:rPr>
          <w:rFonts w:hint="eastAsia"/>
          <w:sz w:val="21"/>
          <w:szCs w:val="21"/>
        </w:rPr>
        <w:t>“</w:t>
      </w:r>
      <w:r>
        <w:rPr>
          <w:sz w:val="21"/>
          <w:szCs w:val="21"/>
        </w:rPr>
        <w:t>符合”“满足”。</w:t>
      </w:r>
    </w:p>
    <w:p w14:paraId="54BBF2B8">
      <w:pPr>
        <w:rPr>
          <w:rFonts w:ascii="宋体" w:hAnsi="宋体"/>
          <w:b/>
        </w:rPr>
      </w:pPr>
      <w:r>
        <w:rPr>
          <w:rFonts w:hint="eastAsia" w:ascii="宋体" w:hAnsi="宋体"/>
          <w:b/>
        </w:rPr>
        <w:br w:type="page"/>
      </w:r>
    </w:p>
    <w:p w14:paraId="445E0311">
      <w:pPr>
        <w:pStyle w:val="17"/>
        <w:ind w:firstLine="0" w:firstLineChars="0"/>
        <w:rPr>
          <w:b/>
        </w:rPr>
      </w:pPr>
      <w:r>
        <w:rPr>
          <w:b/>
        </w:rPr>
        <w:t>目录八、服务方案或承诺</w:t>
      </w:r>
    </w:p>
    <w:p w14:paraId="358FAC9B">
      <w:pPr>
        <w:spacing w:line="240" w:lineRule="atLeast"/>
        <w:rPr>
          <w:rFonts w:ascii="宋体" w:hAnsi="宋体"/>
          <w:b/>
        </w:rPr>
      </w:pPr>
    </w:p>
    <w:p w14:paraId="1910A2E7">
      <w:pPr>
        <w:pStyle w:val="262"/>
        <w:widowControl/>
        <w:outlineLvl w:val="9"/>
      </w:pPr>
      <w:r>
        <w:t>服务方案或承诺</w:t>
      </w:r>
    </w:p>
    <w:p w14:paraId="5FADCAB7">
      <w:pPr>
        <w:spacing w:line="240" w:lineRule="atLeast"/>
        <w:rPr>
          <w:rFonts w:ascii="宋体" w:hAnsi="宋体" w:cs="宋体"/>
          <w:sz w:val="36"/>
          <w:szCs w:val="36"/>
          <w:lang w:val="zh-CN"/>
        </w:rPr>
      </w:pPr>
    </w:p>
    <w:p w14:paraId="116E75E4">
      <w:pPr>
        <w:spacing w:line="240" w:lineRule="atLeast"/>
        <w:rPr>
          <w:rFonts w:ascii="宋体" w:hAnsi="宋体" w:cs="宋体"/>
          <w:sz w:val="36"/>
          <w:szCs w:val="36"/>
        </w:rPr>
      </w:pPr>
    </w:p>
    <w:p w14:paraId="731249FF">
      <w:pPr>
        <w:spacing w:line="240" w:lineRule="atLeast"/>
        <w:rPr>
          <w:rFonts w:ascii="宋体" w:hAnsi="宋体" w:cs="宋体"/>
          <w:sz w:val="36"/>
          <w:szCs w:val="36"/>
        </w:rPr>
      </w:pPr>
    </w:p>
    <w:p w14:paraId="7CB26BF1">
      <w:pPr>
        <w:pStyle w:val="43"/>
        <w:ind w:firstLine="720"/>
        <w:rPr>
          <w:rFonts w:cs="宋体"/>
          <w:sz w:val="36"/>
          <w:szCs w:val="36"/>
        </w:rPr>
      </w:pPr>
    </w:p>
    <w:p w14:paraId="0CF5C62C"/>
    <w:p w14:paraId="1062DBEC">
      <w:pPr>
        <w:spacing w:line="240" w:lineRule="atLeast"/>
        <w:rPr>
          <w:rFonts w:ascii="宋体" w:hAnsi="宋体" w:cs="宋体"/>
          <w:sz w:val="36"/>
          <w:szCs w:val="36"/>
        </w:rPr>
      </w:pPr>
    </w:p>
    <w:p w14:paraId="423EB54C">
      <w:pPr>
        <w:pStyle w:val="17"/>
        <w:widowControl/>
        <w:ind w:firstLine="0" w:firstLineChars="0"/>
        <w:rPr>
          <w:b/>
        </w:rPr>
      </w:pPr>
      <w:r>
        <w:rPr>
          <w:b/>
        </w:rPr>
        <w:t>目录九、拟投入本项目人员一览表</w:t>
      </w:r>
    </w:p>
    <w:p w14:paraId="2507D40E">
      <w:pPr>
        <w:widowControl/>
        <w:adjustRightInd w:val="0"/>
        <w:spacing w:line="440" w:lineRule="exact"/>
        <w:rPr>
          <w:rFonts w:ascii="宋体" w:hAnsi="宋体"/>
          <w:b/>
          <w:bCs/>
          <w:sz w:val="24"/>
        </w:rPr>
      </w:pPr>
    </w:p>
    <w:p w14:paraId="1B7F6C02">
      <w:pPr>
        <w:pStyle w:val="262"/>
        <w:widowControl/>
        <w:outlineLvl w:val="9"/>
      </w:pPr>
      <w:bookmarkStart w:id="27" w:name="_Toc14092"/>
      <w:bookmarkStart w:id="28" w:name="_Toc32681"/>
      <w:r>
        <w:t>拟投入本项目人员一览表</w:t>
      </w:r>
      <w:bookmarkEnd w:id="27"/>
      <w:bookmarkEnd w:id="28"/>
    </w:p>
    <w:p w14:paraId="41FE771F">
      <w:pPr>
        <w:widowControl/>
        <w:adjustRightInd w:val="0"/>
        <w:spacing w:line="440" w:lineRule="exact"/>
        <w:jc w:val="center"/>
        <w:rPr>
          <w:rFonts w:ascii="宋体" w:hAnsi="宋体"/>
          <w:b/>
          <w:bCs/>
          <w:szCs w:val="21"/>
        </w:rPr>
      </w:pPr>
    </w:p>
    <w:p w14:paraId="04825D15">
      <w:pPr>
        <w:widowControl/>
        <w:adjustRightInd w:val="0"/>
        <w:spacing w:line="440" w:lineRule="exact"/>
        <w:rPr>
          <w:rFonts w:ascii="宋体" w:hAnsi="宋体"/>
          <w:szCs w:val="21"/>
        </w:rPr>
      </w:pPr>
      <w:r>
        <w:rPr>
          <w:rFonts w:hint="eastAsia" w:ascii="宋体" w:hAnsi="宋体"/>
          <w:szCs w:val="21"/>
        </w:rPr>
        <w:t>项目名称：                                 项目编号：</w:t>
      </w:r>
    </w:p>
    <w:tbl>
      <w:tblPr>
        <w:tblStyle w:val="44"/>
        <w:tblW w:w="4996" w:type="pct"/>
        <w:jc w:val="center"/>
        <w:tblLayout w:type="fixed"/>
        <w:tblCellMar>
          <w:top w:w="0" w:type="dxa"/>
          <w:left w:w="108" w:type="dxa"/>
          <w:bottom w:w="0" w:type="dxa"/>
          <w:right w:w="108" w:type="dxa"/>
        </w:tblCellMar>
      </w:tblPr>
      <w:tblGrid>
        <w:gridCol w:w="610"/>
        <w:gridCol w:w="1026"/>
        <w:gridCol w:w="757"/>
        <w:gridCol w:w="810"/>
        <w:gridCol w:w="1296"/>
        <w:gridCol w:w="1062"/>
        <w:gridCol w:w="1166"/>
        <w:gridCol w:w="1007"/>
        <w:gridCol w:w="970"/>
        <w:gridCol w:w="973"/>
      </w:tblGrid>
      <w:tr w14:paraId="6AD17545">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5765C64E">
            <w:pPr>
              <w:widowControl/>
              <w:adjustRightInd w:val="0"/>
              <w:jc w:val="center"/>
              <w:rPr>
                <w:rFonts w:ascii="宋体" w:hAnsi="宋体" w:cs="宋体"/>
                <w:szCs w:val="21"/>
              </w:rPr>
            </w:pPr>
            <w:r>
              <w:rPr>
                <w:rFonts w:hint="eastAsia" w:ascii="宋体" w:hAnsi="宋体" w:cs="宋体"/>
                <w:szCs w:val="21"/>
              </w:rPr>
              <w:t>序号</w:t>
            </w:r>
          </w:p>
        </w:tc>
        <w:tc>
          <w:tcPr>
            <w:tcW w:w="1026" w:type="dxa"/>
            <w:tcBorders>
              <w:top w:val="single" w:color="000000" w:sz="4" w:space="0"/>
              <w:left w:val="nil"/>
              <w:bottom w:val="single" w:color="000000" w:sz="4" w:space="0"/>
              <w:right w:val="single" w:color="000000" w:sz="4" w:space="0"/>
            </w:tcBorders>
            <w:vAlign w:val="center"/>
          </w:tcPr>
          <w:p w14:paraId="34B6472E">
            <w:pPr>
              <w:widowControl/>
              <w:adjustRightInd w:val="0"/>
              <w:jc w:val="center"/>
              <w:rPr>
                <w:rFonts w:ascii="宋体" w:hAnsi="宋体" w:cs="宋体"/>
                <w:szCs w:val="21"/>
              </w:rPr>
            </w:pPr>
            <w:r>
              <w:rPr>
                <w:rFonts w:hint="eastAsia" w:ascii="宋体" w:hAnsi="宋体" w:cs="宋体"/>
                <w:szCs w:val="21"/>
              </w:rPr>
              <w:t>姓名</w:t>
            </w:r>
          </w:p>
        </w:tc>
        <w:tc>
          <w:tcPr>
            <w:tcW w:w="755" w:type="dxa"/>
            <w:tcBorders>
              <w:top w:val="single" w:color="000000" w:sz="4" w:space="0"/>
              <w:left w:val="nil"/>
              <w:bottom w:val="single" w:color="000000" w:sz="4" w:space="0"/>
              <w:right w:val="single" w:color="000000" w:sz="4" w:space="0"/>
            </w:tcBorders>
            <w:vAlign w:val="center"/>
          </w:tcPr>
          <w:p w14:paraId="71D37662">
            <w:pPr>
              <w:widowControl/>
              <w:adjustRightInd w:val="0"/>
              <w:jc w:val="center"/>
              <w:rPr>
                <w:rFonts w:ascii="宋体" w:hAnsi="宋体" w:cs="宋体"/>
                <w:szCs w:val="21"/>
              </w:rPr>
            </w:pPr>
            <w:r>
              <w:rPr>
                <w:rFonts w:hint="eastAsia" w:ascii="宋体" w:hAnsi="宋体" w:cs="宋体"/>
                <w:szCs w:val="21"/>
              </w:rPr>
              <w:t>性别</w:t>
            </w:r>
          </w:p>
        </w:tc>
        <w:tc>
          <w:tcPr>
            <w:tcW w:w="809" w:type="dxa"/>
            <w:tcBorders>
              <w:top w:val="single" w:color="000000" w:sz="4" w:space="0"/>
              <w:left w:val="nil"/>
              <w:bottom w:val="single" w:color="000000" w:sz="4" w:space="0"/>
              <w:right w:val="single" w:color="000000" w:sz="4" w:space="0"/>
            </w:tcBorders>
            <w:vAlign w:val="center"/>
          </w:tcPr>
          <w:p w14:paraId="19286A3C">
            <w:pPr>
              <w:widowControl/>
              <w:adjustRightInd w:val="0"/>
              <w:jc w:val="center"/>
              <w:rPr>
                <w:rFonts w:ascii="宋体" w:hAnsi="宋体" w:cs="宋体"/>
                <w:szCs w:val="21"/>
              </w:rPr>
            </w:pPr>
            <w:r>
              <w:rPr>
                <w:rFonts w:hint="eastAsia" w:ascii="宋体" w:hAnsi="宋体" w:cs="宋体"/>
                <w:szCs w:val="21"/>
              </w:rPr>
              <w:t>年龄</w:t>
            </w:r>
          </w:p>
        </w:tc>
        <w:tc>
          <w:tcPr>
            <w:tcW w:w="1299" w:type="dxa"/>
            <w:tcBorders>
              <w:top w:val="single" w:color="000000" w:sz="4" w:space="0"/>
              <w:left w:val="nil"/>
              <w:bottom w:val="single" w:color="000000" w:sz="4" w:space="0"/>
              <w:right w:val="single" w:color="000000" w:sz="4" w:space="0"/>
            </w:tcBorders>
            <w:vAlign w:val="center"/>
          </w:tcPr>
          <w:p w14:paraId="3626E28A">
            <w:pPr>
              <w:widowControl/>
              <w:adjustRightInd w:val="0"/>
              <w:jc w:val="center"/>
              <w:rPr>
                <w:rFonts w:ascii="宋体" w:hAnsi="宋体" w:cs="宋体"/>
                <w:szCs w:val="21"/>
              </w:rPr>
            </w:pPr>
            <w:r>
              <w:rPr>
                <w:rFonts w:hint="eastAsia" w:ascii="宋体" w:hAnsi="宋体" w:cs="宋体"/>
                <w:szCs w:val="21"/>
              </w:rPr>
              <w:t>专业</w:t>
            </w:r>
          </w:p>
        </w:tc>
        <w:tc>
          <w:tcPr>
            <w:tcW w:w="1063" w:type="dxa"/>
            <w:tcBorders>
              <w:top w:val="single" w:color="000000" w:sz="4" w:space="0"/>
              <w:left w:val="nil"/>
              <w:bottom w:val="single" w:color="000000" w:sz="4" w:space="0"/>
              <w:right w:val="single" w:color="000000" w:sz="4" w:space="0"/>
            </w:tcBorders>
            <w:vAlign w:val="center"/>
          </w:tcPr>
          <w:p w14:paraId="155DAD5D">
            <w:pPr>
              <w:widowControl/>
              <w:adjustRightInd w:val="0"/>
              <w:jc w:val="center"/>
              <w:rPr>
                <w:rFonts w:ascii="宋体" w:hAnsi="宋体" w:cs="宋体"/>
                <w:szCs w:val="21"/>
              </w:rPr>
            </w:pPr>
            <w:r>
              <w:rPr>
                <w:rFonts w:hint="eastAsia" w:ascii="宋体" w:hAnsi="宋体" w:cs="宋体"/>
                <w:szCs w:val="21"/>
              </w:rPr>
              <w:t>学历</w:t>
            </w:r>
          </w:p>
        </w:tc>
        <w:tc>
          <w:tcPr>
            <w:tcW w:w="1168" w:type="dxa"/>
            <w:tcBorders>
              <w:top w:val="single" w:color="000000" w:sz="4" w:space="0"/>
              <w:left w:val="nil"/>
              <w:bottom w:val="single" w:color="000000" w:sz="4" w:space="0"/>
              <w:right w:val="single" w:color="000000" w:sz="4" w:space="0"/>
            </w:tcBorders>
            <w:vAlign w:val="center"/>
          </w:tcPr>
          <w:p w14:paraId="67266F8C">
            <w:pPr>
              <w:widowControl/>
              <w:adjustRightInd w:val="0"/>
              <w:jc w:val="center"/>
              <w:rPr>
                <w:rFonts w:ascii="宋体" w:hAnsi="宋体" w:cs="宋体"/>
                <w:szCs w:val="21"/>
              </w:rPr>
            </w:pPr>
            <w:r>
              <w:rPr>
                <w:rFonts w:hint="eastAsia" w:ascii="宋体" w:hAnsi="宋体" w:cs="宋体"/>
                <w:szCs w:val="21"/>
              </w:rPr>
              <w:t>执业资格/相关证书</w:t>
            </w:r>
          </w:p>
        </w:tc>
        <w:tc>
          <w:tcPr>
            <w:tcW w:w="1007" w:type="dxa"/>
            <w:tcBorders>
              <w:top w:val="single" w:color="000000" w:sz="4" w:space="0"/>
              <w:left w:val="nil"/>
              <w:bottom w:val="single" w:color="000000" w:sz="4" w:space="0"/>
              <w:right w:val="single" w:color="000000" w:sz="4" w:space="0"/>
            </w:tcBorders>
            <w:vAlign w:val="center"/>
          </w:tcPr>
          <w:p w14:paraId="3377E13D">
            <w:pPr>
              <w:widowControl/>
              <w:adjustRightInd w:val="0"/>
              <w:jc w:val="center"/>
              <w:rPr>
                <w:rFonts w:ascii="宋体" w:hAnsi="宋体" w:cs="宋体"/>
                <w:szCs w:val="21"/>
              </w:rPr>
            </w:pPr>
            <w:r>
              <w:rPr>
                <w:rFonts w:hint="eastAsia" w:ascii="宋体" w:hAnsi="宋体" w:cs="宋体"/>
                <w:szCs w:val="21"/>
              </w:rPr>
              <w:t>技术职称</w:t>
            </w:r>
          </w:p>
        </w:tc>
        <w:tc>
          <w:tcPr>
            <w:tcW w:w="970" w:type="dxa"/>
            <w:tcBorders>
              <w:top w:val="single" w:color="000000" w:sz="4" w:space="0"/>
              <w:left w:val="nil"/>
              <w:bottom w:val="single" w:color="000000" w:sz="4" w:space="0"/>
              <w:right w:val="single" w:color="000000" w:sz="4" w:space="0"/>
            </w:tcBorders>
            <w:vAlign w:val="center"/>
          </w:tcPr>
          <w:p w14:paraId="4DDD033A">
            <w:pPr>
              <w:widowControl/>
              <w:adjustRightInd w:val="0"/>
              <w:jc w:val="center"/>
              <w:rPr>
                <w:rFonts w:ascii="宋体" w:hAnsi="宋体" w:cs="宋体"/>
                <w:szCs w:val="21"/>
              </w:rPr>
            </w:pPr>
            <w:r>
              <w:rPr>
                <w:rFonts w:hint="eastAsia" w:ascii="宋体" w:hAnsi="宋体" w:cs="宋体"/>
                <w:szCs w:val="21"/>
              </w:rPr>
              <w:t>工作经历</w:t>
            </w:r>
          </w:p>
        </w:tc>
        <w:tc>
          <w:tcPr>
            <w:tcW w:w="973" w:type="dxa"/>
            <w:tcBorders>
              <w:top w:val="single" w:color="000000" w:sz="4" w:space="0"/>
              <w:left w:val="nil"/>
              <w:bottom w:val="single" w:color="000000" w:sz="4" w:space="0"/>
              <w:right w:val="single" w:color="000000" w:sz="4" w:space="0"/>
            </w:tcBorders>
            <w:vAlign w:val="center"/>
          </w:tcPr>
          <w:p w14:paraId="230754B3">
            <w:pPr>
              <w:widowControl/>
              <w:adjustRightInd w:val="0"/>
              <w:jc w:val="center"/>
              <w:rPr>
                <w:rFonts w:ascii="宋体" w:hAnsi="宋体" w:cs="宋体"/>
                <w:szCs w:val="21"/>
              </w:rPr>
            </w:pPr>
            <w:r>
              <w:rPr>
                <w:rFonts w:hint="eastAsia" w:ascii="宋体" w:hAnsi="宋体" w:cs="宋体"/>
                <w:szCs w:val="21"/>
              </w:rPr>
              <w:t>备注</w:t>
            </w:r>
          </w:p>
        </w:tc>
      </w:tr>
      <w:tr w14:paraId="46DBD4FD">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72E73C3">
            <w:pPr>
              <w:widowControl/>
              <w:adjustRightInd w:val="0"/>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3496F2AC">
            <w:pPr>
              <w:widowControl/>
              <w:adjustRightInd w:val="0"/>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27F49D73">
            <w:pPr>
              <w:widowControl/>
              <w:adjustRightInd w:val="0"/>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7E941316">
            <w:pPr>
              <w:widowControl/>
              <w:adjustRightInd w:val="0"/>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0B0DF971">
            <w:pPr>
              <w:widowControl/>
              <w:adjustRightInd w:val="0"/>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60A3D06E">
            <w:pPr>
              <w:widowControl/>
              <w:adjustRightInd w:val="0"/>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6CE64562">
            <w:pPr>
              <w:widowControl/>
              <w:adjustRightInd w:val="0"/>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1C34F5C0">
            <w:pPr>
              <w:widowControl/>
              <w:adjustRightInd w:val="0"/>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66D58013">
            <w:pPr>
              <w:widowControl/>
              <w:adjustRightInd w:val="0"/>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1961A2A3">
            <w:pPr>
              <w:widowControl/>
              <w:adjustRightInd w:val="0"/>
              <w:rPr>
                <w:rFonts w:ascii="宋体" w:hAnsi="宋体" w:cs="宋体"/>
                <w:szCs w:val="21"/>
              </w:rPr>
            </w:pPr>
          </w:p>
        </w:tc>
      </w:tr>
      <w:tr w14:paraId="4CDE71EB">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6D542331">
            <w:pPr>
              <w:widowControl/>
              <w:adjustRightInd w:val="0"/>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0438F05D">
            <w:pPr>
              <w:widowControl/>
              <w:adjustRightInd w:val="0"/>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2B9D8E54">
            <w:pPr>
              <w:widowControl/>
              <w:adjustRightInd w:val="0"/>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6BEF0853">
            <w:pPr>
              <w:widowControl/>
              <w:adjustRightInd w:val="0"/>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5641291A">
            <w:pPr>
              <w:widowControl/>
              <w:adjustRightInd w:val="0"/>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59B4CB9E">
            <w:pPr>
              <w:widowControl/>
              <w:adjustRightInd w:val="0"/>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363F9B92">
            <w:pPr>
              <w:widowControl/>
              <w:adjustRightInd w:val="0"/>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78CD824C">
            <w:pPr>
              <w:widowControl/>
              <w:adjustRightInd w:val="0"/>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412E7C86">
            <w:pPr>
              <w:widowControl/>
              <w:adjustRightInd w:val="0"/>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44023499">
            <w:pPr>
              <w:widowControl/>
              <w:adjustRightInd w:val="0"/>
              <w:rPr>
                <w:rFonts w:ascii="宋体" w:hAnsi="宋体" w:cs="宋体"/>
                <w:szCs w:val="21"/>
              </w:rPr>
            </w:pPr>
          </w:p>
        </w:tc>
      </w:tr>
      <w:tr w14:paraId="730CC212">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40A1E929">
            <w:pPr>
              <w:widowControl/>
              <w:adjustRightInd w:val="0"/>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4EBB6AB6">
            <w:pPr>
              <w:widowControl/>
              <w:adjustRightInd w:val="0"/>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053066D7">
            <w:pPr>
              <w:widowControl/>
              <w:adjustRightInd w:val="0"/>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38D86C7D">
            <w:pPr>
              <w:widowControl/>
              <w:adjustRightInd w:val="0"/>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7FD54B0A">
            <w:pPr>
              <w:widowControl/>
              <w:adjustRightInd w:val="0"/>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26607EE5">
            <w:pPr>
              <w:widowControl/>
              <w:adjustRightInd w:val="0"/>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473DFDA3">
            <w:pPr>
              <w:widowControl/>
              <w:adjustRightInd w:val="0"/>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5DFD4A39">
            <w:pPr>
              <w:widowControl/>
              <w:adjustRightInd w:val="0"/>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42156C75">
            <w:pPr>
              <w:widowControl/>
              <w:adjustRightInd w:val="0"/>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72FE8560">
            <w:pPr>
              <w:widowControl/>
              <w:adjustRightInd w:val="0"/>
              <w:rPr>
                <w:rFonts w:ascii="宋体" w:hAnsi="宋体" w:cs="宋体"/>
                <w:szCs w:val="21"/>
              </w:rPr>
            </w:pPr>
          </w:p>
        </w:tc>
      </w:tr>
      <w:tr w14:paraId="3446D4DC">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69AFFF1F">
            <w:pPr>
              <w:widowControl/>
              <w:adjustRightInd w:val="0"/>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41EA3949">
            <w:pPr>
              <w:widowControl/>
              <w:adjustRightInd w:val="0"/>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4826298A">
            <w:pPr>
              <w:widowControl/>
              <w:adjustRightInd w:val="0"/>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52AD0111">
            <w:pPr>
              <w:widowControl/>
              <w:adjustRightInd w:val="0"/>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20BE3B60">
            <w:pPr>
              <w:widowControl/>
              <w:adjustRightInd w:val="0"/>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330C9A55">
            <w:pPr>
              <w:widowControl/>
              <w:adjustRightInd w:val="0"/>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144603D7">
            <w:pPr>
              <w:widowControl/>
              <w:adjustRightInd w:val="0"/>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5E8E416E">
            <w:pPr>
              <w:widowControl/>
              <w:adjustRightInd w:val="0"/>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50EA2B40">
            <w:pPr>
              <w:widowControl/>
              <w:adjustRightInd w:val="0"/>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0F640AE7">
            <w:pPr>
              <w:widowControl/>
              <w:adjustRightInd w:val="0"/>
              <w:rPr>
                <w:rFonts w:ascii="宋体" w:hAnsi="宋体" w:cs="宋体"/>
                <w:szCs w:val="21"/>
              </w:rPr>
            </w:pPr>
          </w:p>
        </w:tc>
      </w:tr>
      <w:tr w14:paraId="5E320742">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7FEB8280">
            <w:pPr>
              <w:widowControl/>
              <w:adjustRightInd w:val="0"/>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34B65B36">
            <w:pPr>
              <w:widowControl/>
              <w:adjustRightInd w:val="0"/>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4876254E">
            <w:pPr>
              <w:widowControl/>
              <w:adjustRightInd w:val="0"/>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7E1588E2">
            <w:pPr>
              <w:widowControl/>
              <w:adjustRightInd w:val="0"/>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3E69AE27">
            <w:pPr>
              <w:widowControl/>
              <w:adjustRightInd w:val="0"/>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5A6B821C">
            <w:pPr>
              <w:widowControl/>
              <w:adjustRightInd w:val="0"/>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0056B665">
            <w:pPr>
              <w:widowControl/>
              <w:adjustRightInd w:val="0"/>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37890547">
            <w:pPr>
              <w:widowControl/>
              <w:adjustRightInd w:val="0"/>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29E73E97">
            <w:pPr>
              <w:widowControl/>
              <w:adjustRightInd w:val="0"/>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1CA13EE0">
            <w:pPr>
              <w:widowControl/>
              <w:adjustRightInd w:val="0"/>
              <w:rPr>
                <w:rFonts w:ascii="宋体" w:hAnsi="宋体" w:cs="宋体"/>
                <w:szCs w:val="21"/>
              </w:rPr>
            </w:pPr>
          </w:p>
        </w:tc>
      </w:tr>
      <w:tr w14:paraId="537D31B8">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07C549EF">
            <w:pPr>
              <w:widowControl/>
              <w:adjustRightInd w:val="0"/>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359BD474">
            <w:pPr>
              <w:widowControl/>
              <w:adjustRightInd w:val="0"/>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6272D9AE">
            <w:pPr>
              <w:widowControl/>
              <w:adjustRightInd w:val="0"/>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5148CAB3">
            <w:pPr>
              <w:widowControl/>
              <w:adjustRightInd w:val="0"/>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1ED2D9CE">
            <w:pPr>
              <w:widowControl/>
              <w:adjustRightInd w:val="0"/>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38B4A075">
            <w:pPr>
              <w:widowControl/>
              <w:adjustRightInd w:val="0"/>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4B80C256">
            <w:pPr>
              <w:widowControl/>
              <w:adjustRightInd w:val="0"/>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1C577BBA">
            <w:pPr>
              <w:widowControl/>
              <w:adjustRightInd w:val="0"/>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1922ADB0">
            <w:pPr>
              <w:widowControl/>
              <w:adjustRightInd w:val="0"/>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6CFC45A8">
            <w:pPr>
              <w:widowControl/>
              <w:adjustRightInd w:val="0"/>
              <w:rPr>
                <w:rFonts w:ascii="宋体" w:hAnsi="宋体" w:cs="宋体"/>
                <w:szCs w:val="21"/>
              </w:rPr>
            </w:pPr>
          </w:p>
        </w:tc>
      </w:tr>
      <w:tr w14:paraId="1C00BA55">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72176175">
            <w:pPr>
              <w:widowControl/>
              <w:adjustRightInd w:val="0"/>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17ADB868">
            <w:pPr>
              <w:widowControl/>
              <w:adjustRightInd w:val="0"/>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0B9B39BC">
            <w:pPr>
              <w:widowControl/>
              <w:adjustRightInd w:val="0"/>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3B07E709">
            <w:pPr>
              <w:widowControl/>
              <w:adjustRightInd w:val="0"/>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47193E41">
            <w:pPr>
              <w:widowControl/>
              <w:adjustRightInd w:val="0"/>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3F35EB6C">
            <w:pPr>
              <w:widowControl/>
              <w:adjustRightInd w:val="0"/>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281286D5">
            <w:pPr>
              <w:widowControl/>
              <w:adjustRightInd w:val="0"/>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7DF4C3E8">
            <w:pPr>
              <w:widowControl/>
              <w:adjustRightInd w:val="0"/>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126E4C39">
            <w:pPr>
              <w:widowControl/>
              <w:adjustRightInd w:val="0"/>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47DAEB86">
            <w:pPr>
              <w:widowControl/>
              <w:adjustRightInd w:val="0"/>
              <w:rPr>
                <w:rFonts w:ascii="宋体" w:hAnsi="宋体" w:cs="宋体"/>
                <w:szCs w:val="21"/>
              </w:rPr>
            </w:pPr>
          </w:p>
        </w:tc>
      </w:tr>
      <w:tr w14:paraId="4EC086AF">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56CFB54B">
            <w:pPr>
              <w:widowControl/>
              <w:adjustRightInd w:val="0"/>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006FEED8">
            <w:pPr>
              <w:widowControl/>
              <w:adjustRightInd w:val="0"/>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1B4F361C">
            <w:pPr>
              <w:widowControl/>
              <w:adjustRightInd w:val="0"/>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2E0EB6E7">
            <w:pPr>
              <w:widowControl/>
              <w:adjustRightInd w:val="0"/>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3169A3E9">
            <w:pPr>
              <w:widowControl/>
              <w:adjustRightInd w:val="0"/>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7D0293BF">
            <w:pPr>
              <w:widowControl/>
              <w:adjustRightInd w:val="0"/>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1E01202B">
            <w:pPr>
              <w:widowControl/>
              <w:adjustRightInd w:val="0"/>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6D20FA4F">
            <w:pPr>
              <w:widowControl/>
              <w:adjustRightInd w:val="0"/>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0C8453B9">
            <w:pPr>
              <w:widowControl/>
              <w:adjustRightInd w:val="0"/>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213F0E2F">
            <w:pPr>
              <w:widowControl/>
              <w:adjustRightInd w:val="0"/>
              <w:rPr>
                <w:rFonts w:ascii="宋体" w:hAnsi="宋体" w:cs="宋体"/>
                <w:szCs w:val="21"/>
              </w:rPr>
            </w:pPr>
          </w:p>
        </w:tc>
      </w:tr>
    </w:tbl>
    <w:p w14:paraId="47A4DC5C">
      <w:pPr>
        <w:widowControl/>
        <w:adjustRightInd w:val="0"/>
        <w:spacing w:line="440" w:lineRule="exact"/>
        <w:rPr>
          <w:rFonts w:ascii="Times New Roman" w:hAnsi="Times New Roman"/>
          <w:szCs w:val="21"/>
        </w:rPr>
      </w:pPr>
      <w:r>
        <w:rPr>
          <w:rFonts w:hint="eastAsia" w:ascii="Times New Roman" w:hAnsi="Times New Roman"/>
          <w:szCs w:val="21"/>
        </w:rPr>
        <w:t>供应商名称：</w:t>
      </w:r>
      <w:r>
        <w:rPr>
          <w:rFonts w:hint="eastAsia" w:ascii="Times New Roman" w:hAnsi="Times New Roman"/>
          <w:szCs w:val="21"/>
          <w:u w:val="single"/>
        </w:rPr>
        <w:t>                  </w:t>
      </w:r>
      <w:r>
        <w:rPr>
          <w:rFonts w:hint="eastAsia" w:ascii="Times New Roman" w:hAnsi="Times New Roman"/>
          <w:szCs w:val="21"/>
        </w:rPr>
        <w:t>（公章）</w:t>
      </w:r>
    </w:p>
    <w:p w14:paraId="73620873">
      <w:pPr>
        <w:pStyle w:val="22"/>
        <w:rPr>
          <w:szCs w:val="21"/>
        </w:rPr>
      </w:pPr>
    </w:p>
    <w:p w14:paraId="586A0A37">
      <w:pPr>
        <w:pStyle w:val="17"/>
        <w:widowControl/>
        <w:ind w:firstLine="0" w:firstLineChars="0"/>
        <w:rPr>
          <w:b/>
          <w:sz w:val="21"/>
          <w:szCs w:val="21"/>
        </w:rPr>
      </w:pPr>
      <w:r>
        <w:rPr>
          <w:b/>
          <w:sz w:val="21"/>
          <w:szCs w:val="21"/>
        </w:rPr>
        <w:t>说明：如果行数不够，请自行增加。</w:t>
      </w:r>
    </w:p>
    <w:p w14:paraId="075BF075">
      <w:pPr>
        <w:spacing w:line="240" w:lineRule="atLeast"/>
        <w:rPr>
          <w:rFonts w:ascii="宋体" w:hAnsi="宋体"/>
          <w:b/>
        </w:rPr>
      </w:pPr>
    </w:p>
    <w:p w14:paraId="4C4C7784">
      <w:pPr>
        <w:rPr>
          <w:rFonts w:ascii="宋体" w:hAnsi="宋体"/>
          <w:b/>
        </w:rPr>
      </w:pPr>
      <w:r>
        <w:rPr>
          <w:rFonts w:hint="eastAsia" w:ascii="宋体" w:hAnsi="宋体"/>
          <w:b/>
        </w:rPr>
        <w:br w:type="page"/>
      </w:r>
    </w:p>
    <w:p w14:paraId="48BFF6D7">
      <w:pPr>
        <w:pStyle w:val="17"/>
        <w:ind w:firstLine="0" w:firstLineChars="0"/>
        <w:rPr>
          <w:b/>
        </w:rPr>
      </w:pPr>
      <w:r>
        <w:rPr>
          <w:b/>
        </w:rPr>
        <w:t>目录十、响应需要的其他证明文件及材料</w:t>
      </w:r>
    </w:p>
    <w:p w14:paraId="7116F6AE">
      <w:pPr>
        <w:spacing w:line="240" w:lineRule="atLeast"/>
        <w:rPr>
          <w:rFonts w:ascii="宋体" w:hAnsi="宋体"/>
          <w:b/>
        </w:rPr>
      </w:pPr>
    </w:p>
    <w:p w14:paraId="02421DF7">
      <w:pPr>
        <w:spacing w:line="240" w:lineRule="atLeast"/>
        <w:rPr>
          <w:rFonts w:ascii="宋体" w:hAnsi="宋体"/>
          <w:b/>
        </w:rPr>
      </w:pPr>
    </w:p>
    <w:p w14:paraId="1AB5EE35">
      <w:pPr>
        <w:pStyle w:val="264"/>
      </w:pPr>
      <w:r>
        <w:t>响应需要的其他证明文件及材料（若有）</w:t>
      </w:r>
    </w:p>
    <w:p w14:paraId="0AD8364D">
      <w:pPr>
        <w:rPr>
          <w:rFonts w:ascii="宋体" w:hAnsi="宋体"/>
          <w:b/>
        </w:rPr>
      </w:pPr>
      <w:r>
        <w:rPr>
          <w:rFonts w:hint="eastAsia" w:ascii="宋体" w:hAnsi="宋体"/>
          <w:b/>
        </w:rPr>
        <w:br w:type="page"/>
      </w:r>
    </w:p>
    <w:p w14:paraId="777E51D8">
      <w:pPr>
        <w:pStyle w:val="259"/>
      </w:pPr>
      <w:r>
        <w:t>附件一、无重大违法记录声明格式</w:t>
      </w:r>
    </w:p>
    <w:p w14:paraId="4A13301B">
      <w:pPr>
        <w:adjustRightInd w:val="0"/>
        <w:spacing w:line="240" w:lineRule="atLeast"/>
        <w:rPr>
          <w:rFonts w:ascii="宋体" w:hAnsi="宋体"/>
          <w:b/>
        </w:rPr>
      </w:pPr>
    </w:p>
    <w:p w14:paraId="21AC02A0">
      <w:pPr>
        <w:pStyle w:val="264"/>
      </w:pPr>
      <w:r>
        <w:t>无重大违法记录声明</w:t>
      </w:r>
    </w:p>
    <w:p w14:paraId="334B496D">
      <w:pPr>
        <w:spacing w:line="360" w:lineRule="auto"/>
        <w:rPr>
          <w:rFonts w:ascii="宋体" w:hAnsi="宋体"/>
        </w:rPr>
      </w:pPr>
    </w:p>
    <w:p w14:paraId="7436B387">
      <w:pPr>
        <w:pStyle w:val="17"/>
        <w:ind w:firstLine="0" w:firstLineChars="0"/>
        <w:rPr>
          <w:sz w:val="21"/>
          <w:szCs w:val="21"/>
        </w:rPr>
      </w:pPr>
      <w:r>
        <w:rPr>
          <w:sz w:val="21"/>
          <w:szCs w:val="21"/>
        </w:rPr>
        <w:t>致：（采购人）</w:t>
      </w:r>
    </w:p>
    <w:p w14:paraId="76A14801">
      <w:pPr>
        <w:pStyle w:val="17"/>
        <w:rPr>
          <w:sz w:val="21"/>
          <w:szCs w:val="21"/>
        </w:rPr>
      </w:pPr>
      <w:r>
        <w:rPr>
          <w:sz w:val="21"/>
          <w:szCs w:val="21"/>
        </w:rPr>
        <w:t>我单位（供应商名称）郑重声明：</w:t>
      </w:r>
    </w:p>
    <w:p w14:paraId="661D91D4">
      <w:pPr>
        <w:pStyle w:val="17"/>
        <w:rPr>
          <w:sz w:val="21"/>
          <w:szCs w:val="21"/>
        </w:rPr>
      </w:pPr>
      <w:r>
        <w:rPr>
          <w:sz w:val="21"/>
          <w:szCs w:val="21"/>
        </w:rPr>
        <w:t>参加采购活动前3年内在经营活动中</w:t>
      </w:r>
      <w:r>
        <w:rPr>
          <w:sz w:val="21"/>
          <w:szCs w:val="21"/>
          <w:u w:val="single"/>
        </w:rPr>
        <w:t xml:space="preserve">     </w:t>
      </w:r>
      <w:r>
        <w:rPr>
          <w:rFonts w:hint="eastAsia"/>
          <w:sz w:val="21"/>
          <w:szCs w:val="21"/>
          <w:u w:val="single"/>
        </w:rPr>
        <w:t>没有</w:t>
      </w:r>
      <w:r>
        <w:rPr>
          <w:sz w:val="21"/>
          <w:szCs w:val="21"/>
          <w:u w:val="single"/>
        </w:rPr>
        <w:t xml:space="preserve">     </w:t>
      </w:r>
      <w:r>
        <w:rPr>
          <w:sz w:val="21"/>
          <w:szCs w:val="21"/>
        </w:rPr>
        <w:t>（在下划线上如实填写：有或没有）重大违法记录。</w:t>
      </w:r>
    </w:p>
    <w:p w14:paraId="3EB815AB">
      <w:pPr>
        <w:pStyle w:val="17"/>
        <w:rPr>
          <w:sz w:val="21"/>
          <w:szCs w:val="21"/>
        </w:rPr>
      </w:pPr>
      <w:r>
        <w:rPr>
          <w:sz w:val="21"/>
          <w:szCs w:val="21"/>
        </w:rPr>
        <w:t>（说明：所称重大违法记录，是指供应商因违法经营受到刑事处罚或者责令停产停业、吊销许可证或者执照、较大数额罚款等行政处罚。）</w:t>
      </w:r>
    </w:p>
    <w:p w14:paraId="5D6547F0">
      <w:pPr>
        <w:spacing w:line="360" w:lineRule="auto"/>
        <w:rPr>
          <w:rFonts w:ascii="宋体" w:hAnsi="宋体" w:cs="宋体"/>
          <w:szCs w:val="21"/>
        </w:rPr>
      </w:pPr>
    </w:p>
    <w:p w14:paraId="690AD467">
      <w:pPr>
        <w:spacing w:line="360" w:lineRule="auto"/>
        <w:rPr>
          <w:rFonts w:ascii="宋体" w:hAnsi="宋体" w:cs="宋体"/>
          <w:szCs w:val="21"/>
        </w:rPr>
      </w:pPr>
    </w:p>
    <w:p w14:paraId="55B84385">
      <w:pPr>
        <w:spacing w:line="360" w:lineRule="auto"/>
        <w:ind w:firstLine="5250" w:firstLineChars="2500"/>
        <w:jc w:val="right"/>
        <w:rPr>
          <w:rFonts w:ascii="Times New Roman" w:hAnsi="Times New Roman"/>
          <w:szCs w:val="21"/>
        </w:rPr>
      </w:pPr>
      <w:r>
        <w:rPr>
          <w:rFonts w:hint="eastAsia" w:ascii="Times New Roman" w:hAnsi="Times New Roman"/>
          <w:szCs w:val="21"/>
        </w:rPr>
        <w:t>声明人（公章）：</w:t>
      </w:r>
    </w:p>
    <w:p w14:paraId="3CC024F2">
      <w:pPr>
        <w:spacing w:line="360" w:lineRule="auto"/>
        <w:ind w:firstLine="5250" w:firstLineChars="2500"/>
        <w:jc w:val="right"/>
        <w:rPr>
          <w:rFonts w:ascii="Times New Roman" w:hAnsi="Times New Roman"/>
          <w:szCs w:val="21"/>
        </w:rPr>
      </w:pPr>
      <w:r>
        <w:rPr>
          <w:rFonts w:hint="eastAsia" w:ascii="Times New Roman" w:hAnsi="Times New Roman"/>
          <w:szCs w:val="21"/>
        </w:rPr>
        <w:t>日期：年月日</w:t>
      </w:r>
    </w:p>
    <w:p w14:paraId="327DAA10">
      <w:pPr>
        <w:pStyle w:val="43"/>
        <w:ind w:left="0" w:leftChars="0" w:firstLine="0" w:firstLineChars="0"/>
      </w:pPr>
    </w:p>
    <w:p w14:paraId="62081C55"/>
    <w:p w14:paraId="0637CCA6">
      <w:pPr>
        <w:spacing w:line="360" w:lineRule="auto"/>
        <w:rPr>
          <w:rFonts w:ascii="宋体" w:hAnsi="宋体"/>
          <w:b/>
        </w:rPr>
      </w:pPr>
    </w:p>
    <w:p w14:paraId="0DCB2656">
      <w:pPr>
        <w:pStyle w:val="259"/>
      </w:pPr>
      <w:r>
        <w:t>附件二、具备履行合同所必需的设备和专业技术能力的声明格式或证明材料</w:t>
      </w:r>
    </w:p>
    <w:p w14:paraId="795D27F7">
      <w:pPr>
        <w:pStyle w:val="264"/>
      </w:pPr>
      <w:r>
        <w:t>具备履行合同所必需的设备和专业技术能力的声明</w:t>
      </w:r>
    </w:p>
    <w:p w14:paraId="3B364598">
      <w:pPr>
        <w:pStyle w:val="17"/>
        <w:ind w:firstLine="0" w:firstLineChars="0"/>
        <w:rPr>
          <w:sz w:val="21"/>
          <w:szCs w:val="21"/>
        </w:rPr>
      </w:pPr>
      <w:r>
        <w:rPr>
          <w:sz w:val="21"/>
          <w:szCs w:val="21"/>
        </w:rPr>
        <w:t>致：（采购人）</w:t>
      </w:r>
    </w:p>
    <w:p w14:paraId="7C3FDF86">
      <w:pPr>
        <w:pStyle w:val="17"/>
        <w:rPr>
          <w:sz w:val="21"/>
          <w:szCs w:val="21"/>
        </w:rPr>
      </w:pPr>
      <w:r>
        <w:rPr>
          <w:sz w:val="21"/>
          <w:szCs w:val="21"/>
        </w:rPr>
        <w:t>我单位（供应商名称）郑重声明：我公司具备履行本项采购合同所必需的设备和专业技术能力，为履行本项采购合同我单位具备如下主要设备和主要专业技术能力：</w:t>
      </w:r>
    </w:p>
    <w:p w14:paraId="2BF4E473">
      <w:pPr>
        <w:pStyle w:val="17"/>
        <w:rPr>
          <w:sz w:val="21"/>
          <w:szCs w:val="21"/>
        </w:rPr>
      </w:pPr>
      <w:r>
        <w:rPr>
          <w:sz w:val="21"/>
          <w:szCs w:val="21"/>
        </w:rPr>
        <w:t>主要设备有：</w:t>
      </w:r>
      <w:r>
        <w:rPr>
          <w:sz w:val="21"/>
          <w:szCs w:val="21"/>
          <w:u w:val="single"/>
        </w:rPr>
        <w:t xml:space="preserve">         </w:t>
      </w:r>
      <w:r>
        <w:rPr>
          <w:sz w:val="21"/>
          <w:szCs w:val="21"/>
        </w:rPr>
        <w:t>。（若有）</w:t>
      </w:r>
    </w:p>
    <w:p w14:paraId="02E932F2">
      <w:pPr>
        <w:pStyle w:val="17"/>
        <w:rPr>
          <w:sz w:val="21"/>
          <w:szCs w:val="21"/>
        </w:rPr>
      </w:pPr>
      <w:r>
        <w:rPr>
          <w:sz w:val="21"/>
          <w:szCs w:val="21"/>
        </w:rPr>
        <w:t>主要专业技术能力有：</w:t>
      </w:r>
      <w:r>
        <w:rPr>
          <w:sz w:val="21"/>
          <w:szCs w:val="21"/>
          <w:u w:val="single"/>
        </w:rPr>
        <w:t xml:space="preserve">         </w:t>
      </w:r>
      <w:r>
        <w:rPr>
          <w:sz w:val="21"/>
          <w:szCs w:val="21"/>
        </w:rPr>
        <w:t>。（若有）</w:t>
      </w:r>
    </w:p>
    <w:p w14:paraId="428DD6AB">
      <w:pPr>
        <w:spacing w:line="360" w:lineRule="auto"/>
        <w:rPr>
          <w:rFonts w:ascii="宋体" w:hAnsi="宋体" w:cs="宋体"/>
          <w:szCs w:val="21"/>
        </w:rPr>
      </w:pPr>
    </w:p>
    <w:p w14:paraId="6BB49348">
      <w:pPr>
        <w:spacing w:line="360" w:lineRule="auto"/>
        <w:jc w:val="right"/>
        <w:rPr>
          <w:rFonts w:ascii="宋体" w:hAnsi="宋体" w:cs="宋体"/>
          <w:szCs w:val="21"/>
        </w:rPr>
      </w:pPr>
    </w:p>
    <w:p w14:paraId="597C796D">
      <w:pPr>
        <w:spacing w:line="360" w:lineRule="auto"/>
        <w:ind w:firstLine="5250" w:firstLineChars="2500"/>
        <w:jc w:val="right"/>
        <w:rPr>
          <w:rFonts w:ascii="Times New Roman" w:hAnsi="Times New Roman"/>
          <w:szCs w:val="21"/>
        </w:rPr>
      </w:pPr>
      <w:r>
        <w:rPr>
          <w:rFonts w:hint="eastAsia" w:ascii="Times New Roman" w:hAnsi="Times New Roman"/>
          <w:szCs w:val="21"/>
        </w:rPr>
        <w:t>声明人（公章）：</w:t>
      </w:r>
    </w:p>
    <w:p w14:paraId="69FC4E8E">
      <w:pPr>
        <w:spacing w:line="360" w:lineRule="auto"/>
        <w:ind w:firstLine="5250" w:firstLineChars="2500"/>
        <w:jc w:val="right"/>
        <w:rPr>
          <w:rFonts w:ascii="Times New Roman" w:hAnsi="Times New Roman"/>
          <w:szCs w:val="21"/>
        </w:rPr>
      </w:pPr>
      <w:r>
        <w:rPr>
          <w:rFonts w:hint="eastAsia" w:ascii="Times New Roman" w:hAnsi="Times New Roman"/>
          <w:szCs w:val="21"/>
        </w:rPr>
        <w:t>日期：     年    月    日</w:t>
      </w:r>
    </w:p>
    <w:p w14:paraId="083C991C">
      <w:pPr>
        <w:rPr>
          <w:rFonts w:ascii="Times New Roman" w:hAnsi="Times New Roman"/>
          <w:sz w:val="24"/>
        </w:rPr>
      </w:pPr>
      <w:r>
        <w:rPr>
          <w:rFonts w:hint="eastAsia" w:ascii="Times New Roman" w:hAnsi="Times New Roman"/>
          <w:sz w:val="24"/>
        </w:rPr>
        <w:br w:type="page"/>
      </w:r>
    </w:p>
    <w:p w14:paraId="184CC7C2">
      <w:pPr>
        <w:spacing w:line="360" w:lineRule="auto"/>
        <w:ind w:firstLine="6000" w:firstLineChars="2500"/>
        <w:rPr>
          <w:rFonts w:ascii="Times New Roman" w:hAnsi="Times New Roman"/>
          <w:sz w:val="24"/>
        </w:rPr>
      </w:pPr>
    </w:p>
    <w:p w14:paraId="5D5AFB3E">
      <w:pPr>
        <w:pStyle w:val="259"/>
      </w:pPr>
      <w:r>
        <w:rPr>
          <w:rFonts w:hint="eastAsia"/>
        </w:rPr>
        <w:t>附件三、承诺书</w:t>
      </w:r>
    </w:p>
    <w:p w14:paraId="0655DA36">
      <w:pPr>
        <w:spacing w:line="360" w:lineRule="auto"/>
        <w:rPr>
          <w:rFonts w:ascii="Times New Roman" w:hAnsi="Times New Roman"/>
          <w:szCs w:val="21"/>
        </w:rPr>
      </w:pPr>
      <w:r>
        <w:rPr>
          <w:rFonts w:hint="eastAsia" w:ascii="Times New Roman" w:hAnsi="Times New Roman"/>
          <w:szCs w:val="21"/>
        </w:rPr>
        <w:t>致：（采购人）</w:t>
      </w:r>
    </w:p>
    <w:p w14:paraId="15257058">
      <w:pPr>
        <w:adjustRightInd w:val="0"/>
        <w:spacing w:line="360" w:lineRule="auto"/>
        <w:ind w:firstLine="420" w:firstLineChars="200"/>
        <w:rPr>
          <w:rFonts w:ascii="Times New Roman" w:hAnsi="Times New Roman"/>
          <w:szCs w:val="21"/>
        </w:rPr>
      </w:pPr>
      <w:r>
        <w:rPr>
          <w:rFonts w:hint="eastAsia" w:ascii="Times New Roman" w:hAnsi="Times New Roman"/>
          <w:szCs w:val="21"/>
        </w:rPr>
        <w:t>我单位（供应商名称）</w:t>
      </w:r>
      <w:r>
        <w:rPr>
          <w:rFonts w:hint="eastAsia" w:ascii="Times New Roman" w:hAnsi="Times New Roman"/>
          <w:szCs w:val="21"/>
          <w:u w:val="single"/>
        </w:rPr>
        <w:t xml:space="preserve">                </w:t>
      </w:r>
      <w:r>
        <w:rPr>
          <w:rFonts w:hint="eastAsia" w:ascii="Times New Roman" w:hAnsi="Times New Roman"/>
          <w:szCs w:val="21"/>
        </w:rPr>
        <w:t>承诺：</w:t>
      </w:r>
    </w:p>
    <w:p w14:paraId="7BA73654">
      <w:pPr>
        <w:adjustRightInd w:val="0"/>
        <w:spacing w:line="360" w:lineRule="auto"/>
        <w:ind w:firstLine="420" w:firstLineChars="200"/>
        <w:rPr>
          <w:rFonts w:ascii="Times New Roman" w:hAnsi="Times New Roman"/>
          <w:szCs w:val="21"/>
        </w:rPr>
      </w:pPr>
    </w:p>
    <w:p w14:paraId="5C26CB4B">
      <w:pPr>
        <w:adjustRightInd w:val="0"/>
        <w:spacing w:line="360" w:lineRule="auto"/>
        <w:ind w:firstLine="5670" w:firstLineChars="2700"/>
        <w:rPr>
          <w:rFonts w:ascii="Times New Roman" w:hAnsi="Times New Roman"/>
          <w:szCs w:val="21"/>
        </w:rPr>
      </w:pPr>
      <w:r>
        <w:rPr>
          <w:rFonts w:hint="eastAsia" w:ascii="Times New Roman" w:hAnsi="Times New Roman"/>
          <w:szCs w:val="21"/>
        </w:rPr>
        <w:t>承诺人</w:t>
      </w:r>
      <w:r>
        <w:rPr>
          <w:rFonts w:ascii="Times New Roman" w:hAnsi="Times New Roman"/>
          <w:szCs w:val="21"/>
        </w:rPr>
        <w:t>（公章）：</w:t>
      </w:r>
    </w:p>
    <w:p w14:paraId="440823DD">
      <w:pPr>
        <w:adjustRightInd w:val="0"/>
        <w:spacing w:line="360" w:lineRule="auto"/>
        <w:ind w:firstLine="5670" w:firstLineChars="2700"/>
        <w:rPr>
          <w:rFonts w:ascii="Times New Roman" w:hAnsi="Times New Roman"/>
          <w:szCs w:val="21"/>
        </w:rPr>
      </w:pPr>
      <w:r>
        <w:rPr>
          <w:rFonts w:ascii="Times New Roman" w:hAnsi="Times New Roman"/>
          <w:szCs w:val="21"/>
        </w:rPr>
        <w:t>日期：     年    月    日</w:t>
      </w:r>
    </w:p>
    <w:sectPr>
      <w:headerReference r:id="rId5" w:type="default"/>
      <w:footerReference r:id="rId6"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方正公文小标宋"/>
    <w:panose1 w:val="00000000000000000000"/>
    <w:charset w:val="00"/>
    <w:family w:val="auto"/>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Microsoft New Tai Lue">
    <w:panose1 w:val="020B0502040204020203"/>
    <w:charset w:val="00"/>
    <w:family w:val="swiss"/>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826F5">
    <w:pPr>
      <w:pStyle w:val="28"/>
      <w:jc w:val="center"/>
    </w:pPr>
  </w:p>
  <w:p w14:paraId="277D5DDB">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70F4E">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27E9C8A">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40</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27E9C8A">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40</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F76CB">
    <w:pPr>
      <w:pStyle w:val="30"/>
    </w:pPr>
    <w:r>
      <w:drawing>
        <wp:inline distT="0" distB="0" distL="114300" distR="114300">
          <wp:extent cx="1377950" cy="215265"/>
          <wp:effectExtent l="0" t="0" r="12700" b="13335"/>
          <wp:docPr id="3" name="图片 3"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826bae80687e3a7b3b8bc243736336"/>
                  <pic:cNvPicPr>
                    <a:picLocks noChangeAspect="1"/>
                  </pic:cNvPicPr>
                </pic:nvPicPr>
                <pic:blipFill>
                  <a:blip r:embed="rId1"/>
                  <a:stretch>
                    <a:fillRect/>
                  </a:stretch>
                </pic:blipFill>
                <pic:spPr>
                  <a:xfrm>
                    <a:off x="0" y="0"/>
                    <a:ext cx="1377950" cy="215265"/>
                  </a:xfrm>
                  <a:prstGeom prst="rect">
                    <a:avLst/>
                  </a:prstGeom>
                  <a:noFill/>
                  <a:ln>
                    <a:noFill/>
                  </a:ln>
                </pic:spPr>
              </pic:pic>
            </a:graphicData>
          </a:graphic>
        </wp:inline>
      </w:drawing>
    </w:r>
    <w:r>
      <w:rPr>
        <w:rFonts w:hint="eastAsia"/>
      </w:rPr>
      <w:t xml:space="preserve">                                                                                                                                  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771E4">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FD1C56A"/>
    <w:multiLevelType w:val="singleLevel"/>
    <w:tmpl w:val="4FD1C56A"/>
    <w:lvl w:ilvl="0" w:tentative="0">
      <w:start w:val="1"/>
      <w:numFmt w:val="decimal"/>
      <w:suff w:val="nothing"/>
      <w:lvlText w:val="（%1）"/>
      <w:lvlJc w:val="left"/>
      <w:pPr>
        <w:ind w:left="0" w:firstLine="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AFC"/>
    <w:rsid w:val="000A1AFC"/>
    <w:rsid w:val="00365FE7"/>
    <w:rsid w:val="003966FF"/>
    <w:rsid w:val="00511EA1"/>
    <w:rsid w:val="005D51B5"/>
    <w:rsid w:val="00793506"/>
    <w:rsid w:val="0098507B"/>
    <w:rsid w:val="00B422E4"/>
    <w:rsid w:val="00B83FCA"/>
    <w:rsid w:val="00DB4D53"/>
    <w:rsid w:val="00EA58D0"/>
    <w:rsid w:val="00F50768"/>
    <w:rsid w:val="00FA0096"/>
    <w:rsid w:val="01316C40"/>
    <w:rsid w:val="0BF75210"/>
    <w:rsid w:val="0CD45B56"/>
    <w:rsid w:val="0D440C13"/>
    <w:rsid w:val="0E302A4F"/>
    <w:rsid w:val="1E4A3EFC"/>
    <w:rsid w:val="23ED3C39"/>
    <w:rsid w:val="27C9064C"/>
    <w:rsid w:val="2E892382"/>
    <w:rsid w:val="446C2633"/>
    <w:rsid w:val="47F78086"/>
    <w:rsid w:val="49D22F38"/>
    <w:rsid w:val="545E70C0"/>
    <w:rsid w:val="5C536BE5"/>
    <w:rsid w:val="5E1728A7"/>
    <w:rsid w:val="66A162E6"/>
    <w:rsid w:val="67B56E69"/>
    <w:rsid w:val="6EDF5B5D"/>
    <w:rsid w:val="79F135AF"/>
    <w:rsid w:val="7C483F9B"/>
    <w:rsid w:val="7D6E10D2"/>
    <w:rsid w:val="7F6C4CBA"/>
    <w:rsid w:val="7F7B201C"/>
    <w:rsid w:val="98F6D8A2"/>
    <w:rsid w:val="BFC4FD31"/>
    <w:rsid w:val="C36F031A"/>
    <w:rsid w:val="CBE9162F"/>
    <w:rsid w:val="D7B7E9A7"/>
    <w:rsid w:val="D97F14ED"/>
    <w:rsid w:val="FB7FF69D"/>
    <w:rsid w:val="FF9ECBA8"/>
    <w:rsid w:val="FFFAA3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uiPriority="99" w:name="HTML Cite"/>
    <w:lsdException w:qFormat="1" w:uiPriority="99" w:semiHidden="0" w:name="HTML Code"/>
    <w:lsdException w:uiPriority="99" w:name="HTML Definition"/>
    <w:lsdException w:qFormat="1" w:uiPriority="99" w:semiHidden="0" w:name="HTML Keyboard"/>
    <w:lsdException w:qFormat="1" w:uiPriority="99" w:semiHidden="0" w:name="HTML Preformatted"/>
    <w:lsdException w:qFormat="1" w:uiPriority="99" w:semiHidden="0" w:name="HTML Sample"/>
    <w:lsdException w:qFormat="1" w:uiPriority="99" w:semiHidden="0"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link w:val="64"/>
    <w:qFormat/>
    <w:uiPriority w:val="0"/>
    <w:pPr>
      <w:spacing w:before="120" w:after="120" w:line="360" w:lineRule="auto"/>
      <w:outlineLvl w:val="1"/>
    </w:pPr>
    <w:rPr>
      <w:rFonts w:ascii="Times New Roman" w:hAnsi="Times New Roman"/>
      <w:b/>
      <w:sz w:val="24"/>
    </w:rPr>
  </w:style>
  <w:style w:type="paragraph" w:styleId="5">
    <w:name w:val="heading 3"/>
    <w:basedOn w:val="1"/>
    <w:link w:val="65"/>
    <w:qFormat/>
    <w:uiPriority w:val="0"/>
    <w:pPr>
      <w:spacing w:before="120" w:after="120" w:line="360" w:lineRule="auto"/>
      <w:outlineLvl w:val="2"/>
    </w:pPr>
    <w:rPr>
      <w:rFonts w:ascii="Times New Roman" w:hAnsi="Times New Roman"/>
      <w:b/>
      <w:sz w:val="24"/>
    </w:rPr>
  </w:style>
  <w:style w:type="paragraph" w:styleId="6">
    <w:name w:val="heading 4"/>
    <w:basedOn w:val="1"/>
    <w:next w:val="1"/>
    <w:link w:val="66"/>
    <w:qFormat/>
    <w:uiPriority w:val="9"/>
    <w:pPr>
      <w:spacing w:before="120" w:after="120" w:line="360" w:lineRule="auto"/>
      <w:outlineLvl w:val="3"/>
    </w:pPr>
    <w:rPr>
      <w:rFonts w:ascii="Times New Roman" w:hAnsi="Times New Roman"/>
      <w:b/>
      <w:sz w:val="24"/>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uiPriority w:val="1"/>
  </w:style>
  <w:style w:type="table" w:default="1" w:styleId="44">
    <w:name w:val="Normal Table"/>
    <w:semiHidden/>
    <w:unhideWhenUsed/>
    <w:uiPriority w:val="99"/>
    <w:tblPr>
      <w:tblCellMar>
        <w:top w:w="0" w:type="dxa"/>
        <w:left w:w="108" w:type="dxa"/>
        <w:bottom w:w="0" w:type="dxa"/>
        <w:right w:w="108" w:type="dxa"/>
      </w:tblCellMar>
    </w:tblPr>
  </w:style>
  <w:style w:type="paragraph" w:customStyle="1" w:styleId="3">
    <w:name w:val="列出段落1"/>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99"/>
    <w:pPr>
      <w:jc w:val="left"/>
    </w:pPr>
  </w:style>
  <w:style w:type="paragraph" w:styleId="17">
    <w:name w:val="Body Text"/>
    <w:basedOn w:val="1"/>
    <w:next w:val="1"/>
    <w:link w:val="73"/>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basedOn w:val="1"/>
    <w:next w:val="1"/>
    <w:link w:val="83"/>
    <w:qFormat/>
    <w:uiPriority w:val="0"/>
    <w:pPr>
      <w:spacing w:line="360" w:lineRule="auto"/>
      <w:jc w:val="center"/>
    </w:pPr>
    <w:rPr>
      <w:rFonts w:ascii="Times New Roman" w:hAnsi="Times New Roman" w:eastAsia="黑体"/>
      <w:sz w:val="44"/>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unhideWhenUsed/>
    <w:qFormat/>
    <w:uiPriority w:val="99"/>
    <w:rPr>
      <w:rFonts w:hint="default" w:ascii="monospace" w:hAnsi="monospace" w:eastAsia="monospace" w:cs="monospace"/>
      <w:sz w:val="20"/>
    </w:rPr>
  </w:style>
  <w:style w:type="character" w:styleId="52">
    <w:name w:val="HTML Acronym"/>
    <w:basedOn w:val="46"/>
    <w:unhideWhenUsed/>
    <w:qFormat/>
    <w:uiPriority w:val="99"/>
  </w:style>
  <w:style w:type="character" w:styleId="53">
    <w:name w:val="Hyperlink"/>
    <w:unhideWhenUsed/>
    <w:qFormat/>
    <w:uiPriority w:val="99"/>
    <w:rPr>
      <w:color w:val="0563C1"/>
      <w:u w:val="single"/>
    </w:rPr>
  </w:style>
  <w:style w:type="character" w:styleId="54">
    <w:name w:val="HTML Code"/>
    <w:basedOn w:val="46"/>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unhideWhenUsed/>
    <w:qFormat/>
    <w:uiPriority w:val="99"/>
    <w:rPr>
      <w:rFonts w:hint="default" w:ascii="monospace" w:hAnsi="monospace" w:eastAsia="monospace" w:cs="monospace"/>
      <w:sz w:val="20"/>
    </w:rPr>
  </w:style>
  <w:style w:type="character" w:styleId="58">
    <w:name w:val="HTML Sample"/>
    <w:basedOn w:val="46"/>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semiHidden/>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1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customStyle="1" w:styleId="270">
    <w:name w:val="无间隔2"/>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1">
    <w:name w:val="正文首行缩进 21"/>
    <w:basedOn w:val="272"/>
    <w:next w:val="1"/>
    <w:qFormat/>
    <w:uiPriority w:val="0"/>
    <w:pPr>
      <w:spacing w:line="360" w:lineRule="auto"/>
      <w:ind w:firstLine="420"/>
    </w:pPr>
    <w:rPr>
      <w:szCs w:val="20"/>
    </w:rPr>
  </w:style>
  <w:style w:type="paragraph" w:customStyle="1" w:styleId="272">
    <w:name w:val="正文文本缩进1"/>
    <w:basedOn w:val="1"/>
    <w:next w:val="273"/>
    <w:qFormat/>
    <w:uiPriority w:val="0"/>
    <w:pPr>
      <w:spacing w:line="440" w:lineRule="exact"/>
      <w:ind w:firstLine="403"/>
    </w:pPr>
    <w:rPr>
      <w:rFonts w:ascii="宋体" w:hAnsi="宋体"/>
      <w:sz w:val="20"/>
      <w:szCs w:val="21"/>
    </w:rPr>
  </w:style>
  <w:style w:type="paragraph" w:customStyle="1" w:styleId="273">
    <w:name w:val="寄信人地址1"/>
    <w:basedOn w:val="1"/>
    <w:qFormat/>
    <w:uiPriority w:val="0"/>
  </w:style>
  <w:style w:type="paragraph" w:customStyle="1" w:styleId="274">
    <w:name w:val="批注文字1"/>
    <w:basedOn w:val="1"/>
    <w:semiHidden/>
    <w:qFormat/>
    <w:uiPriority w:val="0"/>
    <w:pPr>
      <w:jc w:val="left"/>
    </w:pPr>
    <w:rPr>
      <w:sz w:val="20"/>
      <w:szCs w:val="21"/>
    </w:rPr>
  </w:style>
  <w:style w:type="paragraph" w:customStyle="1" w:styleId="275">
    <w:name w:val="表格1"/>
    <w:qFormat/>
    <w:uiPriority w:val="0"/>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20164</Words>
  <Characters>21180</Characters>
  <Lines>175</Lines>
  <Paragraphs>49</Paragraphs>
  <TotalTime>5</TotalTime>
  <ScaleCrop>false</ScaleCrop>
  <LinksUpToDate>false</LinksUpToDate>
  <CharactersWithSpaces>21512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2025-12-03T00:34:00Z</dcterms:created>
  <dc:creator>Administrator</dc:creator>
  <cp:lastModifiedBy>聂丽丽</cp:lastModifiedBy>
  <dcterms:modified xsi:type="dcterms:W3CDTF">2025-12-03T03:45:40Z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B90B3BE054332E539441296918015B63_43</vt:lpwstr>
  </property>
  <property fmtid="{D5CDD505-2E9C-101B-9397-08002B2CF9AE}" pid="4" name="KSOTemplateDocerSaveRecord">
    <vt:lpwstr>eyJoZGlkIjoiYjFiNjMyMzM4NzIwMmI3ODdiZDIyZTgwNGY5MjNmODgiLCJ1c2VySWQiOiIyNDUzOTE4ODIifQ==</vt:lpwstr>
  </property>
</Properties>
</file>