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B60877">
      <w:pPr>
        <w:spacing w:before="19"/>
        <w:ind w:left="-358" w:right="-334" w:hanging="177"/>
        <w:jc w:val="center"/>
        <w:rPr>
          <w:rFonts w:eastAsia="仿宋_GB2312"/>
          <w:b/>
          <w:sz w:val="36"/>
          <w:highlight w:val="none"/>
        </w:rPr>
      </w:pPr>
      <w:r>
        <w:rPr>
          <w:rFonts w:eastAsia="仿宋_GB2312"/>
          <w:b/>
          <w:sz w:val="36"/>
          <w:highlight w:val="none"/>
        </w:rPr>
        <w:t>南京邮电大学采购合同（国产设备）</w:t>
      </w:r>
    </w:p>
    <w:p w14:paraId="5C5FF247">
      <w:pPr>
        <w:spacing w:line="240" w:lineRule="atLeast"/>
        <w:rPr>
          <w:rFonts w:eastAsia="宋体"/>
          <w:szCs w:val="21"/>
          <w:highlight w:val="none"/>
        </w:rPr>
      </w:pPr>
      <w:r>
        <w:rPr>
          <w:rFonts w:eastAsia="宋体"/>
          <w:szCs w:val="21"/>
          <w:highlight w:val="none"/>
        </w:rPr>
        <w:t>甲方：南京邮电大学                             签订地点：南京邮电大学</w:t>
      </w:r>
    </w:p>
    <w:p w14:paraId="0EC50262">
      <w:pPr>
        <w:spacing w:before="19"/>
        <w:rPr>
          <w:rFonts w:eastAsia="宋体"/>
          <w:szCs w:val="21"/>
          <w:highlight w:val="none"/>
        </w:rPr>
      </w:pPr>
      <w:r>
        <w:rPr>
          <w:rFonts w:eastAsia="宋体"/>
          <w:szCs w:val="21"/>
          <w:highlight w:val="none"/>
        </w:rPr>
        <w:t>乙方：</w:t>
      </w:r>
      <w:r>
        <w:rPr>
          <w:rFonts w:hint="eastAsia" w:eastAsia="宋体"/>
          <w:szCs w:val="21"/>
          <w:highlight w:val="none"/>
        </w:rPr>
        <w:t>上海肇芾精工电子仪器有限公司</w:t>
      </w:r>
      <w:r>
        <w:rPr>
          <w:rFonts w:eastAsia="宋体"/>
          <w:szCs w:val="21"/>
          <w:highlight w:val="none"/>
        </w:rPr>
        <w:t xml:space="preserve">                                          </w:t>
      </w:r>
    </w:p>
    <w:p w14:paraId="65555B8E">
      <w:pPr>
        <w:spacing w:before="19"/>
        <w:rPr>
          <w:rFonts w:eastAsia="宋体"/>
          <w:szCs w:val="21"/>
          <w:highlight w:val="none"/>
        </w:rPr>
      </w:pPr>
      <w:r>
        <w:rPr>
          <w:rFonts w:eastAsia="宋体"/>
          <w:szCs w:val="21"/>
          <w:highlight w:val="none"/>
        </w:rPr>
        <w:t xml:space="preserve">    甲乙双方根据</w:t>
      </w:r>
      <w:r>
        <w:rPr>
          <w:rFonts w:eastAsia="宋体"/>
          <w:szCs w:val="21"/>
          <w:highlight w:val="none"/>
          <w:u w:val="single"/>
        </w:rPr>
        <w:t xml:space="preserve"> </w:t>
      </w:r>
      <w:r>
        <w:rPr>
          <w:rFonts w:hint="eastAsia" w:eastAsia="宋体"/>
          <w:szCs w:val="21"/>
          <w:highlight w:val="none"/>
          <w:u w:val="single"/>
        </w:rPr>
        <w:t>南京邮电大学集成电路科学与工程学院(产教融合学院)高温工作寿命试验装置采购</w:t>
      </w:r>
      <w:r>
        <w:rPr>
          <w:rFonts w:eastAsia="宋体"/>
          <w:szCs w:val="21"/>
          <w:highlight w:val="none"/>
          <w:u w:val="single"/>
        </w:rPr>
        <w:t xml:space="preserve">  </w:t>
      </w:r>
      <w:r>
        <w:rPr>
          <w:rFonts w:eastAsia="宋体"/>
          <w:szCs w:val="21"/>
          <w:highlight w:val="none"/>
        </w:rPr>
        <w:t>项目采购结果,依据《中华人民共和国民法典》合同编及相关法律规定，达成如下货物购销合同:</w:t>
      </w:r>
    </w:p>
    <w:p w14:paraId="0A87DD28">
      <w:pPr>
        <w:numPr>
          <w:ilvl w:val="0"/>
          <w:numId w:val="1"/>
        </w:numPr>
        <w:spacing w:before="19"/>
        <w:rPr>
          <w:rFonts w:eastAsia="宋体"/>
          <w:szCs w:val="21"/>
          <w:highlight w:val="none"/>
        </w:rPr>
      </w:pPr>
      <w:r>
        <w:rPr>
          <w:rFonts w:eastAsia="宋体"/>
          <w:szCs w:val="21"/>
          <w:highlight w:val="none"/>
        </w:rPr>
        <w:t>货物及其数量、金额：</w:t>
      </w:r>
    </w:p>
    <w:tbl>
      <w:tblPr>
        <w:tblStyle w:val="2"/>
        <w:tblW w:w="971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95"/>
        <w:gridCol w:w="1080"/>
        <w:gridCol w:w="1318"/>
        <w:gridCol w:w="453"/>
        <w:gridCol w:w="1617"/>
        <w:gridCol w:w="1619"/>
        <w:gridCol w:w="1667"/>
        <w:gridCol w:w="1464"/>
      </w:tblGrid>
      <w:tr w14:paraId="45302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80"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6D93FCA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编号</w:t>
            </w:r>
          </w:p>
        </w:tc>
        <w:tc>
          <w:tcPr>
            <w:tcW w:w="1080"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1DBD9D5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货物名称</w:t>
            </w:r>
          </w:p>
        </w:tc>
        <w:tc>
          <w:tcPr>
            <w:tcW w:w="1318"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615A44E3">
            <w:pPr>
              <w:keepNext w:val="0"/>
              <w:keepLines w:val="0"/>
              <w:widowControl/>
              <w:suppressLineNumbers w:val="0"/>
              <w:jc w:val="both"/>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规 格 型 号（品牌）</w:t>
            </w:r>
          </w:p>
        </w:tc>
        <w:tc>
          <w:tcPr>
            <w:tcW w:w="453"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28FC46F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c>
          <w:tcPr>
            <w:tcW w:w="1617"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468F2D5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单价（元）</w:t>
            </w:r>
          </w:p>
        </w:tc>
        <w:tc>
          <w:tcPr>
            <w:tcW w:w="1619"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3AAE474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总价（元）</w:t>
            </w:r>
          </w:p>
        </w:tc>
        <w:tc>
          <w:tcPr>
            <w:tcW w:w="1667"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17AF878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不含税金额（元）</w:t>
            </w:r>
          </w:p>
        </w:tc>
        <w:tc>
          <w:tcPr>
            <w:tcW w:w="1464"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73A1D65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增值税税额（元）</w:t>
            </w:r>
          </w:p>
        </w:tc>
      </w:tr>
      <w:tr w14:paraId="76E0A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0" w:hRule="atLeast"/>
          <w:jc w:val="center"/>
        </w:trPr>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485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7E8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动态老化测试系统</w:t>
            </w:r>
          </w:p>
        </w:tc>
        <w:tc>
          <w:tcPr>
            <w:tcW w:w="13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65AD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芯诣电子/                  Alternative 1000U S14</w:t>
            </w:r>
          </w:p>
        </w:tc>
        <w:tc>
          <w:tcPr>
            <w:tcW w:w="4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137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6F2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￥4,210,000.00</w:t>
            </w:r>
          </w:p>
        </w:tc>
        <w:tc>
          <w:tcPr>
            <w:tcW w:w="16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9C7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￥4,210,000.00</w:t>
            </w:r>
          </w:p>
        </w:tc>
        <w:tc>
          <w:tcPr>
            <w:tcW w:w="1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A4D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￥3,725,663.72</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798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￥484,336.28</w:t>
            </w:r>
          </w:p>
        </w:tc>
      </w:tr>
      <w:tr w14:paraId="44A4E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jc w:val="center"/>
        </w:trPr>
        <w:tc>
          <w:tcPr>
            <w:tcW w:w="971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ED38710">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总价（人民币大写）：肆佰贰拾壹万元整                          合计（小写）：￥4,210,000.00 元</w:t>
            </w:r>
          </w:p>
        </w:tc>
      </w:tr>
      <w:tr w14:paraId="26651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jc w:val="center"/>
        </w:trPr>
        <w:tc>
          <w:tcPr>
            <w:tcW w:w="971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BEA272A">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本合同总价款是货物设计、制造、包装、仓储、运输、安装及验收合格之前以及质保期内备品备件发生的所有含税费用。本合同总价款还包含乙方应当提供的伴随服务/售后服务费用。</w:t>
            </w:r>
          </w:p>
        </w:tc>
      </w:tr>
    </w:tbl>
    <w:p w14:paraId="6A605F02">
      <w:pPr>
        <w:spacing w:before="19" w:line="400" w:lineRule="exact"/>
        <w:rPr>
          <w:rFonts w:eastAsia="宋体"/>
          <w:szCs w:val="21"/>
          <w:highlight w:val="none"/>
        </w:rPr>
      </w:pPr>
      <w:r>
        <w:rPr>
          <w:rFonts w:eastAsia="宋体"/>
          <w:szCs w:val="21"/>
          <w:highlight w:val="none"/>
        </w:rPr>
        <w:t>二、交货时间：</w:t>
      </w:r>
      <w:r>
        <w:rPr>
          <w:rFonts w:eastAsia="宋体"/>
          <w:szCs w:val="21"/>
          <w:highlight w:val="none"/>
          <w:u w:val="single"/>
        </w:rPr>
        <w:t xml:space="preserve"> 在甲方指定时间供货。</w:t>
      </w:r>
    </w:p>
    <w:p w14:paraId="45F24910">
      <w:pPr>
        <w:spacing w:before="19" w:line="400" w:lineRule="exact"/>
        <w:rPr>
          <w:rFonts w:eastAsia="宋体"/>
          <w:szCs w:val="21"/>
          <w:highlight w:val="none"/>
        </w:rPr>
      </w:pPr>
      <w:r>
        <w:rPr>
          <w:rFonts w:eastAsia="宋体"/>
          <w:szCs w:val="21"/>
          <w:highlight w:val="none"/>
        </w:rPr>
        <w:t>三、交货地点：由乙方负责运输至</w:t>
      </w:r>
      <w:r>
        <w:rPr>
          <w:rFonts w:eastAsia="宋体"/>
          <w:szCs w:val="21"/>
          <w:highlight w:val="none"/>
          <w:u w:val="single"/>
        </w:rPr>
        <w:t>甲方指定地点。</w:t>
      </w:r>
    </w:p>
    <w:p w14:paraId="0483F46E">
      <w:pPr>
        <w:spacing w:before="19" w:line="400" w:lineRule="exact"/>
        <w:rPr>
          <w:rFonts w:eastAsia="宋体"/>
          <w:szCs w:val="21"/>
          <w:highlight w:val="none"/>
        </w:rPr>
      </w:pPr>
      <w:r>
        <w:rPr>
          <w:rFonts w:eastAsia="宋体"/>
          <w:szCs w:val="21"/>
          <w:highlight w:val="none"/>
        </w:rPr>
        <w:t>四、合同定价方式及付款方式</w:t>
      </w:r>
    </w:p>
    <w:p w14:paraId="34AE9EE1">
      <w:pPr>
        <w:spacing w:line="400" w:lineRule="exact"/>
        <w:rPr>
          <w:rFonts w:eastAsia="宋体"/>
          <w:szCs w:val="21"/>
          <w:highlight w:val="none"/>
        </w:rPr>
      </w:pPr>
      <w:r>
        <w:rPr>
          <w:rFonts w:eastAsia="宋体"/>
          <w:szCs w:val="21"/>
          <w:highlight w:val="none"/>
        </w:rPr>
        <w:t>1.合同定价方式：</w:t>
      </w:r>
    </w:p>
    <w:p w14:paraId="3E904D77">
      <w:pPr>
        <w:spacing w:line="400" w:lineRule="exact"/>
        <w:ind w:firstLine="210"/>
        <w:rPr>
          <w:rFonts w:eastAsia="宋体"/>
          <w:szCs w:val="21"/>
          <w:highlight w:val="none"/>
        </w:rPr>
      </w:pPr>
      <w:r>
        <w:rPr>
          <w:rFonts w:hint="eastAsia" w:ascii="宋体" w:hAnsi="宋体" w:eastAsia="宋体" w:cs="宋体"/>
          <w:iCs/>
          <w:sz w:val="28"/>
          <w:szCs w:val="28"/>
          <w:highlight w:val="none"/>
        </w:rPr>
        <w:sym w:font="Wingdings" w:char="00FE"/>
      </w:r>
      <w:r>
        <w:rPr>
          <w:rFonts w:eastAsia="宋体"/>
          <w:iCs/>
          <w:szCs w:val="21"/>
          <w:highlight w:val="none"/>
        </w:rPr>
        <w:t xml:space="preserve">固定总价    </w:t>
      </w:r>
      <w:r>
        <w:rPr>
          <w:rFonts w:eastAsia="宋体"/>
          <w:iCs/>
          <w:szCs w:val="21"/>
          <w:highlight w:val="none"/>
        </w:rPr>
        <w:drawing>
          <wp:inline distT="0" distB="0" distL="0" distR="0">
            <wp:extent cx="133985" cy="133985"/>
            <wp:effectExtent l="0" t="0" r="18415" b="18415"/>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4"/>
                    <a:stretch>
                      <a:fillRect/>
                    </a:stretch>
                  </pic:blipFill>
                  <pic:spPr>
                    <a:xfrm>
                      <a:off x="0" y="0"/>
                      <a:ext cx="134600" cy="134600"/>
                    </a:xfrm>
                    <a:prstGeom prst="rect">
                      <a:avLst/>
                    </a:prstGeom>
                    <a:noFill/>
                    <a:ln>
                      <a:noFill/>
                    </a:ln>
                  </pic:spPr>
                </pic:pic>
              </a:graphicData>
            </a:graphic>
          </wp:inline>
        </w:drawing>
      </w:r>
      <w:r>
        <w:rPr>
          <w:rFonts w:eastAsia="宋体"/>
          <w:iCs/>
          <w:szCs w:val="21"/>
          <w:highlight w:val="none"/>
        </w:rPr>
        <w:t xml:space="preserve">固定单价    </w:t>
      </w:r>
      <w:r>
        <w:rPr>
          <w:rFonts w:eastAsia="宋体"/>
          <w:iCs/>
          <w:szCs w:val="21"/>
          <w:highlight w:val="none"/>
        </w:rPr>
        <w:drawing>
          <wp:inline distT="0" distB="0" distL="0" distR="0">
            <wp:extent cx="133985" cy="133985"/>
            <wp:effectExtent l="0" t="0" r="18415" b="18415"/>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a:blip r:embed="rId4"/>
                    <a:stretch>
                      <a:fillRect/>
                    </a:stretch>
                  </pic:blipFill>
                  <pic:spPr>
                    <a:xfrm>
                      <a:off x="0" y="0"/>
                      <a:ext cx="134600" cy="134600"/>
                    </a:xfrm>
                    <a:prstGeom prst="rect">
                      <a:avLst/>
                    </a:prstGeom>
                    <a:noFill/>
                    <a:ln>
                      <a:noFill/>
                    </a:ln>
                  </pic:spPr>
                </pic:pic>
              </a:graphicData>
            </a:graphic>
          </wp:inline>
        </w:drawing>
      </w:r>
      <w:r>
        <w:rPr>
          <w:rFonts w:eastAsia="宋体"/>
          <w:iCs/>
          <w:szCs w:val="21"/>
          <w:highlight w:val="none"/>
        </w:rPr>
        <w:t xml:space="preserve">固定费率    </w:t>
      </w:r>
      <w:r>
        <w:rPr>
          <w:rFonts w:eastAsia="宋体"/>
          <w:iCs/>
          <w:szCs w:val="21"/>
          <w:highlight w:val="none"/>
        </w:rPr>
        <w:drawing>
          <wp:inline distT="0" distB="0" distL="0" distR="0">
            <wp:extent cx="133985" cy="133985"/>
            <wp:effectExtent l="0" t="0" r="18415" b="18415"/>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icPr>
                  <pic:blipFill>
                    <a:blip r:embed="rId4"/>
                    <a:stretch>
                      <a:fillRect/>
                    </a:stretch>
                  </pic:blipFill>
                  <pic:spPr>
                    <a:xfrm>
                      <a:off x="0" y="0"/>
                      <a:ext cx="134600" cy="134600"/>
                    </a:xfrm>
                    <a:prstGeom prst="rect">
                      <a:avLst/>
                    </a:prstGeom>
                    <a:noFill/>
                    <a:ln>
                      <a:noFill/>
                    </a:ln>
                  </pic:spPr>
                </pic:pic>
              </a:graphicData>
            </a:graphic>
          </wp:inline>
        </w:drawing>
      </w:r>
      <w:r>
        <w:rPr>
          <w:rFonts w:eastAsia="宋体"/>
          <w:iCs/>
          <w:szCs w:val="21"/>
          <w:highlight w:val="none"/>
        </w:rPr>
        <w:t>其他</w:t>
      </w:r>
      <w:r>
        <w:rPr>
          <w:rFonts w:eastAsia="宋体"/>
          <w:szCs w:val="21"/>
          <w:highlight w:val="none"/>
          <w:u w:val="single"/>
        </w:rPr>
        <w:t xml:space="preserve">       </w:t>
      </w:r>
    </w:p>
    <w:p w14:paraId="242B0610">
      <w:pPr>
        <w:spacing w:before="19" w:line="400" w:lineRule="exact"/>
        <w:rPr>
          <w:rFonts w:eastAsia="宋体"/>
          <w:szCs w:val="21"/>
          <w:highlight w:val="none"/>
        </w:rPr>
      </w:pPr>
      <w:r>
        <w:rPr>
          <w:rFonts w:eastAsia="宋体"/>
          <w:szCs w:val="21"/>
          <w:highlight w:val="none"/>
        </w:rPr>
        <w:t>2.付款方式（可多选）：</w:t>
      </w:r>
    </w:p>
    <w:p w14:paraId="61011F64">
      <w:pPr>
        <w:spacing w:line="400" w:lineRule="exact"/>
        <w:rPr>
          <w:rFonts w:eastAsia="宋体"/>
          <w:szCs w:val="21"/>
          <w:highlight w:val="none"/>
        </w:rPr>
      </w:pPr>
      <w:r>
        <w:rPr>
          <w:rFonts w:eastAsia="宋体"/>
          <w:iCs/>
          <w:szCs w:val="21"/>
          <w:highlight w:val="none"/>
        </w:rPr>
        <w:drawing>
          <wp:inline distT="0" distB="0" distL="0" distR="0">
            <wp:extent cx="133985" cy="133985"/>
            <wp:effectExtent l="0" t="0" r="18415" b="18415"/>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icPr>
                  <pic:blipFill>
                    <a:blip r:embed="rId4"/>
                    <a:stretch>
                      <a:fillRect/>
                    </a:stretch>
                  </pic:blipFill>
                  <pic:spPr>
                    <a:xfrm>
                      <a:off x="0" y="0"/>
                      <a:ext cx="134600" cy="134600"/>
                    </a:xfrm>
                    <a:prstGeom prst="rect">
                      <a:avLst/>
                    </a:prstGeom>
                    <a:noFill/>
                    <a:ln>
                      <a:noFill/>
                    </a:ln>
                  </pic:spPr>
                </pic:pic>
              </a:graphicData>
            </a:graphic>
          </wp:inline>
        </w:drawing>
      </w:r>
      <w:r>
        <w:rPr>
          <w:rFonts w:eastAsia="宋体"/>
          <w:szCs w:val="21"/>
          <w:highlight w:val="none"/>
        </w:rPr>
        <w:t>预付款： 合同签订后_______个工作日内支付合同金额的_______ % （有预付款的勾选并填写本项）；</w:t>
      </w:r>
    </w:p>
    <w:p w14:paraId="66A5F45B">
      <w:pPr>
        <w:spacing w:line="400" w:lineRule="exact"/>
        <w:rPr>
          <w:rFonts w:eastAsia="宋体"/>
          <w:szCs w:val="21"/>
          <w:highlight w:val="none"/>
        </w:rPr>
      </w:pPr>
      <w:r>
        <w:rPr>
          <w:rFonts w:eastAsia="宋体"/>
          <w:iCs/>
          <w:szCs w:val="21"/>
          <w:highlight w:val="none"/>
        </w:rPr>
        <w:drawing>
          <wp:inline distT="0" distB="0" distL="0" distR="0">
            <wp:extent cx="133985" cy="133985"/>
            <wp:effectExtent l="0" t="0" r="18415" b="18415"/>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icPr>
                  <pic:blipFill>
                    <a:blip r:embed="rId4"/>
                    <a:stretch>
                      <a:fillRect/>
                    </a:stretch>
                  </pic:blipFill>
                  <pic:spPr>
                    <a:xfrm>
                      <a:off x="0" y="0"/>
                      <a:ext cx="134600" cy="134600"/>
                    </a:xfrm>
                    <a:prstGeom prst="rect">
                      <a:avLst/>
                    </a:prstGeom>
                    <a:noFill/>
                    <a:ln>
                      <a:noFill/>
                    </a:ln>
                  </pic:spPr>
                </pic:pic>
              </a:graphicData>
            </a:graphic>
          </wp:inline>
        </w:drawing>
      </w:r>
      <w:r>
        <w:rPr>
          <w:rFonts w:eastAsia="宋体"/>
          <w:szCs w:val="21"/>
          <w:highlight w:val="none"/>
        </w:rPr>
        <w:t>进度款： ________________________________________________________支付合同金额的_______ % （分期支付进度款的勾选并填写本项，应明确分期支付合同款项的各期比例和支付条件，各期支付条件应与履约情况挂钩）；</w:t>
      </w:r>
    </w:p>
    <w:p w14:paraId="4E06C7D2">
      <w:pPr>
        <w:spacing w:line="400" w:lineRule="exact"/>
        <w:rPr>
          <w:rFonts w:eastAsia="宋体"/>
          <w:szCs w:val="21"/>
          <w:highlight w:val="none"/>
        </w:rPr>
      </w:pPr>
      <w:r>
        <w:rPr>
          <w:rFonts w:hint="eastAsia" w:ascii="宋体" w:hAnsi="宋体" w:eastAsia="宋体" w:cs="宋体"/>
          <w:iCs/>
          <w:sz w:val="28"/>
          <w:szCs w:val="28"/>
          <w:highlight w:val="none"/>
        </w:rPr>
        <w:sym w:font="Wingdings" w:char="00FE"/>
      </w:r>
      <w:r>
        <w:rPr>
          <w:rFonts w:eastAsia="宋体"/>
          <w:szCs w:val="21"/>
          <w:highlight w:val="none"/>
        </w:rPr>
        <w:t>在合同签订后30日内，采购人向中标人支付80%的货款，中标人开具一年期等额保函，尾款待设备到货验收合格后30日内一次性支付（有验收的项目应当勾选本项，支付条件应与验收合格挂钩）；</w:t>
      </w:r>
    </w:p>
    <w:p w14:paraId="1A963D6A">
      <w:pPr>
        <w:spacing w:before="19" w:line="400" w:lineRule="exact"/>
        <w:rPr>
          <w:rFonts w:eastAsia="宋体"/>
          <w:szCs w:val="21"/>
          <w:highlight w:val="none"/>
        </w:rPr>
      </w:pPr>
      <w:r>
        <w:rPr>
          <w:rFonts w:eastAsia="宋体"/>
          <w:iCs/>
          <w:szCs w:val="21"/>
          <w:highlight w:val="none"/>
        </w:rPr>
        <w:drawing>
          <wp:inline distT="0" distB="0" distL="0" distR="0">
            <wp:extent cx="133985" cy="133985"/>
            <wp:effectExtent l="0" t="0" r="18415" b="18415"/>
            <wp:docPr id="9" name="图片 9"/>
            <wp:cNvGraphicFramePr/>
            <a:graphic xmlns:a="http://schemas.openxmlformats.org/drawingml/2006/main">
              <a:graphicData uri="http://schemas.openxmlformats.org/drawingml/2006/picture">
                <pic:pic xmlns:pic="http://schemas.openxmlformats.org/drawingml/2006/picture">
                  <pic:nvPicPr>
                    <pic:cNvPr id="9" name="图片 9"/>
                    <pic:cNvPicPr/>
                  </pic:nvPicPr>
                  <pic:blipFill>
                    <a:blip r:embed="rId4"/>
                    <a:stretch>
                      <a:fillRect/>
                    </a:stretch>
                  </pic:blipFill>
                  <pic:spPr>
                    <a:xfrm>
                      <a:off x="0" y="0"/>
                      <a:ext cx="134600" cy="134600"/>
                    </a:xfrm>
                    <a:prstGeom prst="rect">
                      <a:avLst/>
                    </a:prstGeom>
                    <a:noFill/>
                    <a:ln>
                      <a:noFill/>
                    </a:ln>
                  </pic:spPr>
                </pic:pic>
              </a:graphicData>
            </a:graphic>
          </wp:inline>
        </w:drawing>
      </w:r>
      <w:r>
        <w:rPr>
          <w:rFonts w:eastAsia="宋体"/>
          <w:szCs w:val="21"/>
          <w:highlight w:val="none"/>
        </w:rPr>
        <w:t>其他： ________________________________________________________。</w:t>
      </w:r>
    </w:p>
    <w:p w14:paraId="26CA7629">
      <w:pPr>
        <w:spacing w:before="19" w:line="400" w:lineRule="exact"/>
        <w:rPr>
          <w:rFonts w:eastAsia="宋体"/>
          <w:szCs w:val="21"/>
          <w:highlight w:val="none"/>
        </w:rPr>
      </w:pPr>
      <w:r>
        <w:rPr>
          <w:rFonts w:eastAsia="宋体"/>
          <w:szCs w:val="21"/>
          <w:highlight w:val="none"/>
        </w:rPr>
        <w:t>付款金额均不计利息。</w:t>
      </w:r>
    </w:p>
    <w:p w14:paraId="1C726540">
      <w:pPr>
        <w:spacing w:before="19" w:line="400" w:lineRule="exact"/>
        <w:rPr>
          <w:rFonts w:eastAsia="宋体"/>
          <w:szCs w:val="21"/>
          <w:highlight w:val="none"/>
        </w:rPr>
      </w:pPr>
      <w:r>
        <w:rPr>
          <w:rFonts w:eastAsia="宋体"/>
          <w:szCs w:val="21"/>
          <w:highlight w:val="none"/>
        </w:rPr>
        <w:t>五、质保期：_</w:t>
      </w:r>
      <w:r>
        <w:rPr>
          <w:rFonts w:hint="eastAsia" w:eastAsia="宋体"/>
          <w:szCs w:val="21"/>
          <w:highlight w:val="none"/>
          <w:u w:val="single"/>
          <w:lang w:val="en-US" w:eastAsia="zh-CN"/>
        </w:rPr>
        <w:t>壹年</w:t>
      </w:r>
      <w:r>
        <w:rPr>
          <w:rFonts w:eastAsia="宋体"/>
          <w:szCs w:val="21"/>
          <w:highlight w:val="none"/>
          <w:u w:val="single"/>
        </w:rPr>
        <w:t>_</w:t>
      </w:r>
      <w:r>
        <w:rPr>
          <w:rFonts w:eastAsia="宋体"/>
          <w:szCs w:val="21"/>
          <w:highlight w:val="none"/>
        </w:rPr>
        <w:t>(自验收合格之日起计。在质量保证期内所发现的缺陷，乙方应在约定的响应时间内以合理的速度免费维修或更换有缺陷的货物或部件。)</w:t>
      </w:r>
    </w:p>
    <w:p w14:paraId="6438CD2D">
      <w:pPr>
        <w:spacing w:before="19" w:line="400" w:lineRule="exact"/>
        <w:rPr>
          <w:rFonts w:eastAsia="宋体"/>
          <w:szCs w:val="21"/>
          <w:highlight w:val="none"/>
        </w:rPr>
      </w:pPr>
      <w:r>
        <w:rPr>
          <w:rFonts w:eastAsia="宋体"/>
          <w:szCs w:val="21"/>
          <w:highlight w:val="none"/>
        </w:rPr>
        <w:t>六、质量要求、技术标准、乙方对质量负责的条件和期限：</w:t>
      </w:r>
    </w:p>
    <w:p w14:paraId="35C4F85A">
      <w:pPr>
        <w:spacing w:before="19" w:line="400" w:lineRule="exact"/>
        <w:rPr>
          <w:rFonts w:eastAsia="宋体"/>
          <w:szCs w:val="21"/>
          <w:highlight w:val="none"/>
        </w:rPr>
      </w:pPr>
      <w:r>
        <w:rPr>
          <w:rFonts w:eastAsia="宋体"/>
          <w:szCs w:val="21"/>
          <w:highlight w:val="none"/>
        </w:rPr>
        <w:t>1.乙方所提供的货物，若技术性能无特殊说明，则按生产企业或国家有关部门最新颁布的标准及规范为准。</w:t>
      </w:r>
    </w:p>
    <w:p w14:paraId="7452E143">
      <w:pPr>
        <w:spacing w:before="19" w:line="400" w:lineRule="exact"/>
        <w:rPr>
          <w:rFonts w:eastAsia="宋体"/>
          <w:szCs w:val="21"/>
          <w:highlight w:val="none"/>
        </w:rPr>
      </w:pPr>
      <w:r>
        <w:rPr>
          <w:rFonts w:eastAsia="宋体"/>
          <w:szCs w:val="21"/>
          <w:highlight w:val="none"/>
        </w:rPr>
        <w:t>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092943F3">
      <w:pPr>
        <w:spacing w:before="19" w:line="400" w:lineRule="exact"/>
        <w:rPr>
          <w:rFonts w:eastAsia="宋体"/>
          <w:szCs w:val="21"/>
          <w:highlight w:val="none"/>
        </w:rPr>
      </w:pPr>
      <w:r>
        <w:rPr>
          <w:rFonts w:eastAsia="宋体"/>
          <w:szCs w:val="21"/>
          <w:highlight w:val="none"/>
        </w:rPr>
        <w:t>七、验收标准：甲方应当在到货且安装调试完成后</w:t>
      </w:r>
      <w:r>
        <w:rPr>
          <w:rFonts w:eastAsia="宋体"/>
          <w:szCs w:val="21"/>
          <w:highlight w:val="none"/>
          <w:u w:val="single"/>
        </w:rPr>
        <w:t>___10__</w:t>
      </w:r>
      <w:r>
        <w:rPr>
          <w:rFonts w:eastAsia="宋体"/>
          <w:szCs w:val="21"/>
          <w:highlight w:val="none"/>
        </w:rPr>
        <w:t>_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p>
    <w:p w14:paraId="7F3C0F77">
      <w:pPr>
        <w:spacing w:before="19" w:line="400" w:lineRule="exact"/>
        <w:rPr>
          <w:rFonts w:eastAsia="宋体"/>
          <w:szCs w:val="21"/>
          <w:highlight w:val="none"/>
        </w:rPr>
      </w:pPr>
      <w:r>
        <w:rPr>
          <w:rFonts w:eastAsia="宋体"/>
          <w:szCs w:val="21"/>
          <w:highlight w:val="none"/>
        </w:rPr>
        <w:t>八、工程部分（两万元及以上）需按南京邮电大学审计相关规定执行。</w:t>
      </w:r>
    </w:p>
    <w:p w14:paraId="1F93D05A">
      <w:pPr>
        <w:spacing w:before="19" w:line="400" w:lineRule="exact"/>
        <w:rPr>
          <w:rFonts w:eastAsia="宋体"/>
          <w:szCs w:val="21"/>
          <w:highlight w:val="none"/>
        </w:rPr>
      </w:pPr>
      <w:r>
        <w:rPr>
          <w:rFonts w:eastAsia="宋体"/>
          <w:szCs w:val="21"/>
          <w:highlight w:val="none"/>
        </w:rPr>
        <w:t>九、本合同与下列文件一起构成合同文件，如下述文件之间有任何抵触、矛盾或歧义，应按以下顺序解释：</w:t>
      </w:r>
    </w:p>
    <w:p w14:paraId="2D2B21DB">
      <w:pPr>
        <w:spacing w:before="19" w:line="400" w:lineRule="exact"/>
        <w:rPr>
          <w:rFonts w:eastAsia="宋体"/>
          <w:szCs w:val="21"/>
          <w:highlight w:val="none"/>
        </w:rPr>
      </w:pPr>
      <w:r>
        <w:rPr>
          <w:rFonts w:eastAsia="宋体"/>
          <w:szCs w:val="21"/>
          <w:highlight w:val="none"/>
        </w:rPr>
        <w:t>1.本合同及其变更、补充协议</w:t>
      </w:r>
    </w:p>
    <w:p w14:paraId="796B469E">
      <w:pPr>
        <w:spacing w:before="19" w:line="400" w:lineRule="exact"/>
        <w:rPr>
          <w:rFonts w:eastAsia="宋体"/>
          <w:szCs w:val="21"/>
          <w:highlight w:val="none"/>
        </w:rPr>
      </w:pPr>
      <w:r>
        <w:rPr>
          <w:rFonts w:eastAsia="宋体"/>
          <w:szCs w:val="21"/>
          <w:highlight w:val="none"/>
        </w:rPr>
        <w:t>2.中标（成交）通知书</w:t>
      </w:r>
    </w:p>
    <w:p w14:paraId="50B08C9C">
      <w:pPr>
        <w:spacing w:before="19" w:line="400" w:lineRule="exact"/>
        <w:rPr>
          <w:rFonts w:eastAsia="宋体"/>
          <w:szCs w:val="21"/>
          <w:highlight w:val="none"/>
        </w:rPr>
      </w:pPr>
      <w:r>
        <w:rPr>
          <w:rFonts w:eastAsia="宋体"/>
          <w:szCs w:val="21"/>
          <w:highlight w:val="none"/>
        </w:rPr>
        <w:t>3.投标（响应）文件</w:t>
      </w:r>
    </w:p>
    <w:p w14:paraId="7D009CE0">
      <w:pPr>
        <w:spacing w:before="19" w:line="400" w:lineRule="exact"/>
        <w:rPr>
          <w:rFonts w:eastAsia="宋体"/>
          <w:szCs w:val="21"/>
          <w:highlight w:val="none"/>
        </w:rPr>
      </w:pPr>
      <w:r>
        <w:rPr>
          <w:rFonts w:eastAsia="宋体"/>
          <w:szCs w:val="21"/>
          <w:highlight w:val="none"/>
        </w:rPr>
        <w:t>4.采购文件</w:t>
      </w:r>
    </w:p>
    <w:p w14:paraId="63569075">
      <w:pPr>
        <w:spacing w:before="19" w:line="400" w:lineRule="exact"/>
        <w:rPr>
          <w:rFonts w:eastAsia="宋体"/>
          <w:szCs w:val="21"/>
          <w:highlight w:val="none"/>
        </w:rPr>
      </w:pPr>
      <w:r>
        <w:rPr>
          <w:rFonts w:eastAsia="宋体"/>
          <w:szCs w:val="21"/>
          <w:highlight w:val="none"/>
        </w:rPr>
        <w:t>5.有关技术文件，图纸</w:t>
      </w:r>
    </w:p>
    <w:p w14:paraId="4E9D3E49">
      <w:pPr>
        <w:spacing w:before="19" w:line="400" w:lineRule="exact"/>
        <w:rPr>
          <w:rFonts w:eastAsia="宋体"/>
          <w:szCs w:val="21"/>
          <w:highlight w:val="none"/>
        </w:rPr>
      </w:pPr>
      <w:r>
        <w:rPr>
          <w:rFonts w:eastAsia="宋体"/>
          <w:szCs w:val="21"/>
          <w:highlight w:val="none"/>
        </w:rPr>
        <w:t>6.国家法律、行政法规和规章制度规定或合同约定的作为合同组成部分的其他文件</w:t>
      </w:r>
    </w:p>
    <w:p w14:paraId="543178CC">
      <w:pPr>
        <w:spacing w:before="19" w:line="400" w:lineRule="exact"/>
        <w:rPr>
          <w:rFonts w:eastAsia="宋体"/>
          <w:szCs w:val="21"/>
          <w:highlight w:val="none"/>
        </w:rPr>
      </w:pPr>
      <w:r>
        <w:rPr>
          <w:rFonts w:eastAsia="宋体"/>
          <w:szCs w:val="21"/>
          <w:highlight w:val="none"/>
        </w:rPr>
        <w:t>十、违约责任</w:t>
      </w:r>
    </w:p>
    <w:p w14:paraId="19BA30F6">
      <w:pPr>
        <w:spacing w:before="19" w:line="400" w:lineRule="exact"/>
        <w:rPr>
          <w:rFonts w:eastAsia="宋体"/>
          <w:szCs w:val="21"/>
          <w:highlight w:val="none"/>
        </w:rPr>
      </w:pPr>
      <w:r>
        <w:rPr>
          <w:rFonts w:eastAsia="宋体"/>
          <w:szCs w:val="21"/>
          <w:highlight w:val="none"/>
        </w:rPr>
        <w:t>1.甲方无正当理由拒收货物、拒付货物款的，由甲方向乙方偿付合同总价的10%违约金。如乙方不能交付货物，乙方应向甲方支付合同总价10％的违约金。若该违约金不足以弥补甲方损失的，乙方还应予以赔偿。</w:t>
      </w:r>
    </w:p>
    <w:p w14:paraId="0C797CEA">
      <w:pPr>
        <w:spacing w:before="19" w:line="400" w:lineRule="exact"/>
        <w:rPr>
          <w:rFonts w:eastAsia="宋体"/>
          <w:szCs w:val="21"/>
          <w:highlight w:val="none"/>
        </w:rPr>
      </w:pPr>
      <w:r>
        <w:rPr>
          <w:rFonts w:eastAsia="宋体"/>
          <w:szCs w:val="21"/>
          <w:highlight w:val="none"/>
        </w:rPr>
        <w:t>2.乙方逾期交付货物的，乙方应按逾期交货总额每日</w:t>
      </w:r>
      <w:r>
        <w:rPr>
          <w:rFonts w:eastAsia="宋体"/>
          <w:szCs w:val="21"/>
          <w:highlight w:val="none"/>
          <w:u w:val="single"/>
        </w:rPr>
        <w:t xml:space="preserve">   5‰   </w:t>
      </w:r>
      <w:r>
        <w:rPr>
          <w:rFonts w:eastAsia="宋体"/>
          <w:szCs w:val="21"/>
          <w:highlight w:val="none"/>
        </w:rPr>
        <w:t xml:space="preserve">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 </w:t>
      </w:r>
    </w:p>
    <w:p w14:paraId="13986168">
      <w:pPr>
        <w:spacing w:before="19" w:line="400" w:lineRule="exact"/>
        <w:rPr>
          <w:rFonts w:eastAsia="宋体"/>
          <w:szCs w:val="21"/>
          <w:highlight w:val="none"/>
        </w:rPr>
      </w:pPr>
      <w:r>
        <w:rPr>
          <w:rFonts w:eastAsia="宋体"/>
          <w:szCs w:val="21"/>
          <w:highlight w:val="none"/>
        </w:rPr>
        <w:t>3.乙方所交的货物品种、型号、规格、技术参数、质量不符合合同规定及采购文件、响应文件标准的，甲方有权拒收该货物，乙方愿意更换货物但逾期交货的，按乙方逾期交货处理。乙方不能更换货物的，甲方可单方面解除合同。乙方承担由此给甲方造成的损失</w:t>
      </w:r>
    </w:p>
    <w:p w14:paraId="1BEF4896">
      <w:pPr>
        <w:spacing w:before="19" w:line="400" w:lineRule="exact"/>
        <w:rPr>
          <w:rFonts w:eastAsia="宋体"/>
          <w:szCs w:val="21"/>
          <w:highlight w:val="none"/>
        </w:rPr>
      </w:pPr>
      <w:r>
        <w:rPr>
          <w:rFonts w:eastAsia="宋体"/>
          <w:szCs w:val="21"/>
          <w:highlight w:val="none"/>
        </w:rPr>
        <w:t>4.在乙方承诺的或国家规定的质量保证期内（取两者中最长的期限），如经乙方两次维修或更换，货物仍不能达到合同约定的质量标准，甲方有权退货，乙方应退回全部货款。同时，乙方还须赔偿甲方因此遭受的损失。</w:t>
      </w:r>
    </w:p>
    <w:p w14:paraId="408EC56A">
      <w:pPr>
        <w:spacing w:before="19" w:line="400" w:lineRule="exact"/>
        <w:rPr>
          <w:rFonts w:eastAsia="宋体"/>
          <w:szCs w:val="21"/>
          <w:highlight w:val="none"/>
        </w:rPr>
      </w:pPr>
      <w:r>
        <w:rPr>
          <w:rFonts w:eastAsia="宋体"/>
          <w:szCs w:val="21"/>
          <w:highlight w:val="none"/>
        </w:rPr>
        <w:t>十一、 合同的变更和终止</w:t>
      </w:r>
    </w:p>
    <w:p w14:paraId="361D48E2">
      <w:pPr>
        <w:spacing w:before="19" w:line="400" w:lineRule="exact"/>
        <w:rPr>
          <w:rFonts w:eastAsia="宋体"/>
          <w:szCs w:val="21"/>
          <w:highlight w:val="none"/>
        </w:rPr>
      </w:pPr>
      <w:r>
        <w:rPr>
          <w:rFonts w:eastAsia="宋体"/>
          <w:szCs w:val="21"/>
          <w:highlight w:val="none"/>
        </w:rPr>
        <w:t>依据《政府采购法》第五十条，本合同一经签订，甲乙双方不得擅自变更、中止或终止合同。特殊情况确需变更且符合规定情形的，应由甲乙双方协商一致，并签订书面补充协议。</w:t>
      </w:r>
    </w:p>
    <w:p w14:paraId="1ACDEFCB">
      <w:pPr>
        <w:spacing w:before="19" w:line="400" w:lineRule="exact"/>
        <w:rPr>
          <w:rFonts w:eastAsia="宋体"/>
          <w:szCs w:val="21"/>
          <w:highlight w:val="none"/>
        </w:rPr>
      </w:pPr>
      <w:r>
        <w:rPr>
          <w:rFonts w:eastAsia="宋体"/>
          <w:szCs w:val="21"/>
          <w:highlight w:val="none"/>
        </w:rPr>
        <w:t>十二、合同的转让</w:t>
      </w:r>
    </w:p>
    <w:p w14:paraId="21D35E2D">
      <w:pPr>
        <w:spacing w:before="19" w:line="400" w:lineRule="exact"/>
        <w:rPr>
          <w:rFonts w:eastAsia="宋体"/>
          <w:szCs w:val="21"/>
          <w:highlight w:val="none"/>
        </w:rPr>
      </w:pPr>
      <w:r>
        <w:rPr>
          <w:rFonts w:eastAsia="宋体"/>
          <w:szCs w:val="21"/>
          <w:highlight w:val="none"/>
        </w:rPr>
        <w:t>乙方不得擅自部分或全部转让其应履行的合同义务。</w:t>
      </w:r>
    </w:p>
    <w:p w14:paraId="786C1E30">
      <w:pPr>
        <w:spacing w:before="19" w:line="400" w:lineRule="exact"/>
        <w:rPr>
          <w:rFonts w:eastAsia="宋体"/>
          <w:szCs w:val="21"/>
          <w:highlight w:val="none"/>
        </w:rPr>
      </w:pPr>
      <w:r>
        <w:rPr>
          <w:rFonts w:eastAsia="宋体"/>
          <w:szCs w:val="21"/>
          <w:highlight w:val="none"/>
        </w:rPr>
        <w:t>十三、 争议的解决</w:t>
      </w:r>
    </w:p>
    <w:p w14:paraId="4B467631">
      <w:pPr>
        <w:spacing w:before="19" w:line="400" w:lineRule="exact"/>
        <w:rPr>
          <w:rFonts w:eastAsia="宋体"/>
          <w:szCs w:val="21"/>
          <w:highlight w:val="none"/>
        </w:rPr>
      </w:pPr>
      <w:r>
        <w:rPr>
          <w:rFonts w:eastAsia="宋体"/>
          <w:szCs w:val="21"/>
          <w:highlight w:val="none"/>
        </w:rPr>
        <w:t>1.因货物的质量问题发生争议的，应当邀请国家认可的质量检测机构对货物质量进行鉴定。货物符合标准的，鉴定费由甲方承担；货物不符合质量标准的，鉴定费由乙方承担、并更换有问题商品或部件。</w:t>
      </w:r>
    </w:p>
    <w:p w14:paraId="6F93B3B1">
      <w:pPr>
        <w:spacing w:before="19" w:line="400" w:lineRule="exact"/>
        <w:rPr>
          <w:rFonts w:eastAsia="宋体"/>
          <w:szCs w:val="21"/>
          <w:highlight w:val="none"/>
        </w:rPr>
      </w:pPr>
      <w:r>
        <w:rPr>
          <w:rFonts w:eastAsia="宋体"/>
          <w:szCs w:val="21"/>
          <w:highlight w:val="none"/>
        </w:rPr>
        <w:t>2.因履行本合同引起的或与本合同有关的争议，甲、乙双方应首先通过友好协商解决，如果协商不能解决争议，任何一方均可向甲方所在地人民法院起诉解决。</w:t>
      </w:r>
    </w:p>
    <w:p w14:paraId="58CEE50E">
      <w:pPr>
        <w:spacing w:before="19" w:line="400" w:lineRule="exact"/>
        <w:rPr>
          <w:rFonts w:eastAsia="宋体"/>
          <w:szCs w:val="21"/>
          <w:highlight w:val="none"/>
        </w:rPr>
      </w:pPr>
      <w:r>
        <w:rPr>
          <w:rFonts w:eastAsia="宋体"/>
          <w:szCs w:val="21"/>
          <w:highlight w:val="none"/>
        </w:rPr>
        <w:t>十四、付款前乙方须提供</w:t>
      </w:r>
      <w:r>
        <w:rPr>
          <w:rFonts w:eastAsia="宋体"/>
          <w:szCs w:val="21"/>
          <w:highlight w:val="none"/>
          <w:u w:val="single"/>
        </w:rPr>
        <w:t xml:space="preserve">      增值税专用发票     </w:t>
      </w:r>
      <w:r>
        <w:rPr>
          <w:rFonts w:eastAsia="宋体"/>
          <w:szCs w:val="21"/>
          <w:highlight w:val="none"/>
        </w:rPr>
        <w:t>，总价不变。</w:t>
      </w:r>
    </w:p>
    <w:p w14:paraId="2247D0EB">
      <w:pPr>
        <w:spacing w:before="19" w:line="400" w:lineRule="exact"/>
        <w:rPr>
          <w:rFonts w:eastAsia="宋体"/>
          <w:szCs w:val="21"/>
          <w:highlight w:val="none"/>
        </w:rPr>
      </w:pPr>
      <w:r>
        <w:rPr>
          <w:rFonts w:eastAsia="宋体"/>
          <w:szCs w:val="21"/>
          <w:highlight w:val="none"/>
        </w:rPr>
        <w:t>十五、本合同由甲、乙双方共同签订，合同一式</w:t>
      </w:r>
      <w:r>
        <w:rPr>
          <w:rFonts w:eastAsia="宋体"/>
          <w:szCs w:val="21"/>
          <w:highlight w:val="none"/>
          <w:u w:val="single"/>
        </w:rPr>
        <w:t xml:space="preserve">  </w:t>
      </w:r>
      <w:r>
        <w:rPr>
          <w:rFonts w:hint="eastAsia" w:eastAsia="宋体"/>
          <w:szCs w:val="21"/>
          <w:highlight w:val="none"/>
          <w:u w:val="single"/>
          <w:lang w:val="en-US" w:eastAsia="zh-CN"/>
        </w:rPr>
        <w:t>伍</w:t>
      </w:r>
      <w:r>
        <w:rPr>
          <w:rFonts w:eastAsia="宋体"/>
          <w:szCs w:val="21"/>
          <w:highlight w:val="none"/>
          <w:u w:val="single"/>
        </w:rPr>
        <w:t xml:space="preserve">  </w:t>
      </w:r>
      <w:r>
        <w:rPr>
          <w:rFonts w:eastAsia="宋体"/>
          <w:szCs w:val="21"/>
          <w:highlight w:val="none"/>
        </w:rPr>
        <w:t>份，甲方</w:t>
      </w:r>
      <w:r>
        <w:rPr>
          <w:rFonts w:eastAsia="宋体"/>
          <w:szCs w:val="21"/>
          <w:highlight w:val="none"/>
          <w:u w:val="single"/>
        </w:rPr>
        <w:t xml:space="preserve">    </w:t>
      </w:r>
      <w:r>
        <w:rPr>
          <w:rFonts w:hint="eastAsia" w:eastAsia="宋体"/>
          <w:szCs w:val="21"/>
          <w:highlight w:val="none"/>
          <w:u w:val="single"/>
          <w:lang w:val="en-US" w:eastAsia="zh-CN"/>
        </w:rPr>
        <w:t>叁</w:t>
      </w:r>
      <w:r>
        <w:rPr>
          <w:rFonts w:eastAsia="宋体"/>
          <w:szCs w:val="21"/>
          <w:highlight w:val="none"/>
          <w:u w:val="single"/>
        </w:rPr>
        <w:t xml:space="preserve">   </w:t>
      </w:r>
      <w:r>
        <w:rPr>
          <w:rFonts w:eastAsia="宋体"/>
          <w:szCs w:val="21"/>
          <w:highlight w:val="none"/>
        </w:rPr>
        <w:t>份、乙方</w:t>
      </w:r>
      <w:r>
        <w:rPr>
          <w:rFonts w:eastAsia="宋体"/>
          <w:szCs w:val="21"/>
          <w:highlight w:val="none"/>
          <w:u w:val="single"/>
        </w:rPr>
        <w:t xml:space="preserve">  </w:t>
      </w:r>
      <w:r>
        <w:rPr>
          <w:rFonts w:hint="eastAsia" w:eastAsia="宋体"/>
          <w:szCs w:val="21"/>
          <w:highlight w:val="none"/>
          <w:u w:val="single"/>
          <w:lang w:val="en-US" w:eastAsia="zh-CN"/>
        </w:rPr>
        <w:t>贰</w:t>
      </w:r>
      <w:r>
        <w:rPr>
          <w:rFonts w:eastAsia="宋体"/>
          <w:szCs w:val="21"/>
          <w:highlight w:val="none"/>
          <w:u w:val="single"/>
        </w:rPr>
        <w:t xml:space="preserve">   </w:t>
      </w:r>
      <w:r>
        <w:rPr>
          <w:rFonts w:eastAsia="宋体"/>
          <w:szCs w:val="21"/>
          <w:highlight w:val="none"/>
        </w:rPr>
        <w:t>份。自双方签字、盖章之日起生效。</w:t>
      </w:r>
    </w:p>
    <w:p w14:paraId="320C19F2">
      <w:pPr>
        <w:spacing w:before="19" w:line="360" w:lineRule="auto"/>
        <w:ind w:firstLine="360"/>
        <w:rPr>
          <w:rFonts w:eastAsia="宋体"/>
          <w:szCs w:val="21"/>
          <w:highlight w:val="none"/>
        </w:rPr>
      </w:pPr>
    </w:p>
    <w:p w14:paraId="28CF74BB">
      <w:pPr>
        <w:spacing w:before="19" w:line="360" w:lineRule="auto"/>
        <w:ind w:firstLine="360"/>
        <w:rPr>
          <w:rFonts w:eastAsia="宋体"/>
          <w:szCs w:val="21"/>
          <w:highlight w:val="none"/>
        </w:rPr>
      </w:pPr>
    </w:p>
    <w:p w14:paraId="657B42CA">
      <w:pPr>
        <w:spacing w:before="19" w:line="360" w:lineRule="auto"/>
        <w:ind w:firstLine="360"/>
        <w:rPr>
          <w:rFonts w:eastAsia="宋体"/>
          <w:szCs w:val="21"/>
          <w:highlight w:val="none"/>
        </w:rPr>
      </w:pPr>
      <w:r>
        <w:rPr>
          <w:rFonts w:eastAsia="宋体"/>
          <w:szCs w:val="21"/>
          <w:highlight w:val="none"/>
        </w:rPr>
        <w:t>甲方                                 乙方</w:t>
      </w:r>
    </w:p>
    <w:p w14:paraId="6A3BCD7C">
      <w:pPr>
        <w:spacing w:before="19" w:line="360" w:lineRule="auto"/>
        <w:ind w:firstLine="360"/>
        <w:rPr>
          <w:rFonts w:hint="eastAsia" w:eastAsia="宋体"/>
          <w:szCs w:val="21"/>
          <w:highlight w:val="none"/>
        </w:rPr>
      </w:pPr>
      <w:r>
        <w:rPr>
          <w:rFonts w:eastAsia="宋体"/>
          <w:szCs w:val="21"/>
          <w:highlight w:val="none"/>
        </w:rPr>
        <w:t>单位名称：南京邮电大学                单位名称：</w:t>
      </w:r>
      <w:r>
        <w:rPr>
          <w:rFonts w:hint="eastAsia" w:eastAsia="宋体"/>
          <w:szCs w:val="21"/>
          <w:highlight w:val="none"/>
        </w:rPr>
        <w:t>上海肇芾精工电子仪器有限公司</w:t>
      </w:r>
    </w:p>
    <w:p w14:paraId="0B4DC82F">
      <w:pPr>
        <w:spacing w:before="19" w:line="360" w:lineRule="auto"/>
        <w:ind w:firstLine="360"/>
        <w:rPr>
          <w:rFonts w:eastAsia="宋体"/>
          <w:szCs w:val="21"/>
          <w:highlight w:val="none"/>
        </w:rPr>
      </w:pPr>
      <w:r>
        <w:rPr>
          <w:rFonts w:eastAsia="宋体"/>
          <w:szCs w:val="21"/>
          <w:highlight w:val="none"/>
        </w:rPr>
        <w:t>单位地址：                            单位地址：</w:t>
      </w:r>
      <w:r>
        <w:rPr>
          <w:rFonts w:hint="eastAsia" w:eastAsia="宋体"/>
          <w:szCs w:val="21"/>
          <w:highlight w:val="none"/>
        </w:rPr>
        <w:t>中国（上海）自由贸易试验区临</w:t>
      </w:r>
      <w:r>
        <w:rPr>
          <w:rFonts w:hint="eastAsia" w:eastAsia="宋体"/>
          <w:szCs w:val="21"/>
          <w:highlight w:val="none"/>
          <w:lang w:val="en-US" w:eastAsia="zh-CN"/>
        </w:rPr>
        <w:tab/>
      </w:r>
      <w:r>
        <w:rPr>
          <w:rFonts w:hint="eastAsia" w:eastAsia="宋体"/>
          <w:szCs w:val="21"/>
          <w:highlight w:val="none"/>
          <w:lang w:val="en-US" w:eastAsia="zh-CN"/>
        </w:rPr>
        <w:tab/>
      </w:r>
      <w:r>
        <w:rPr>
          <w:rFonts w:hint="eastAsia" w:eastAsia="宋体"/>
          <w:szCs w:val="21"/>
          <w:highlight w:val="none"/>
          <w:lang w:val="en-US" w:eastAsia="zh-CN"/>
        </w:rPr>
        <w:tab/>
      </w:r>
      <w:r>
        <w:rPr>
          <w:rFonts w:hint="eastAsia" w:eastAsia="宋体"/>
          <w:szCs w:val="21"/>
          <w:highlight w:val="none"/>
          <w:lang w:val="en-US" w:eastAsia="zh-CN"/>
        </w:rPr>
        <w:tab/>
      </w:r>
      <w:r>
        <w:rPr>
          <w:rFonts w:hint="eastAsia" w:eastAsia="宋体"/>
          <w:szCs w:val="21"/>
          <w:highlight w:val="none"/>
          <w:lang w:val="en-US" w:eastAsia="zh-CN"/>
        </w:rPr>
        <w:tab/>
      </w:r>
      <w:r>
        <w:rPr>
          <w:rFonts w:hint="eastAsia" w:eastAsia="宋体"/>
          <w:szCs w:val="21"/>
          <w:highlight w:val="none"/>
          <w:lang w:val="en-US" w:eastAsia="zh-CN"/>
        </w:rPr>
        <w:tab/>
      </w:r>
      <w:r>
        <w:rPr>
          <w:rFonts w:hint="eastAsia" w:eastAsia="宋体"/>
          <w:szCs w:val="21"/>
          <w:highlight w:val="none"/>
          <w:lang w:val="en-US" w:eastAsia="zh-CN"/>
        </w:rPr>
        <w:tab/>
      </w:r>
      <w:r>
        <w:rPr>
          <w:rFonts w:hint="eastAsia" w:eastAsia="宋体"/>
          <w:szCs w:val="21"/>
          <w:highlight w:val="none"/>
          <w:lang w:val="en-US" w:eastAsia="zh-CN"/>
        </w:rPr>
        <w:tab/>
      </w:r>
      <w:r>
        <w:rPr>
          <w:rFonts w:hint="eastAsia" w:eastAsia="宋体"/>
          <w:szCs w:val="21"/>
          <w:highlight w:val="none"/>
          <w:lang w:val="en-US" w:eastAsia="zh-CN"/>
        </w:rPr>
        <w:tab/>
      </w:r>
      <w:r>
        <w:rPr>
          <w:rFonts w:hint="eastAsia" w:eastAsia="宋体"/>
          <w:szCs w:val="21"/>
          <w:highlight w:val="none"/>
          <w:lang w:val="en-US" w:eastAsia="zh-CN"/>
        </w:rPr>
        <w:tab/>
      </w:r>
      <w:r>
        <w:rPr>
          <w:rFonts w:hint="eastAsia" w:eastAsia="宋体"/>
          <w:szCs w:val="21"/>
          <w:highlight w:val="none"/>
          <w:lang w:val="en-US" w:eastAsia="zh-CN"/>
        </w:rPr>
        <w:t xml:space="preserve">      </w:t>
      </w:r>
      <w:r>
        <w:rPr>
          <w:rFonts w:hint="eastAsia" w:eastAsia="宋体"/>
          <w:szCs w:val="21"/>
          <w:highlight w:val="none"/>
        </w:rPr>
        <w:t>港新片区环湖西二路888号C楼</w:t>
      </w:r>
    </w:p>
    <w:p w14:paraId="5EBBB92A">
      <w:pPr>
        <w:spacing w:before="19" w:line="360" w:lineRule="auto"/>
        <w:ind w:firstLine="360"/>
        <w:rPr>
          <w:rFonts w:hint="eastAsia" w:eastAsia="宋体"/>
          <w:szCs w:val="21"/>
          <w:highlight w:val="none"/>
          <w:lang w:val="en-US" w:eastAsia="zh-CN"/>
        </w:rPr>
      </w:pPr>
      <w:r>
        <w:rPr>
          <w:rFonts w:eastAsia="宋体"/>
          <w:szCs w:val="21"/>
          <w:highlight w:val="none"/>
        </w:rPr>
        <w:t>法定代表人：                          法定代表人：</w:t>
      </w:r>
      <w:r>
        <w:rPr>
          <w:rFonts w:hint="eastAsia" w:eastAsia="宋体"/>
          <w:szCs w:val="21"/>
          <w:highlight w:val="none"/>
          <w:lang w:val="en-US" w:eastAsia="zh-CN"/>
        </w:rPr>
        <w:t>万利剑</w:t>
      </w:r>
    </w:p>
    <w:p w14:paraId="0AAE3ABD">
      <w:pPr>
        <w:spacing w:before="19" w:line="360" w:lineRule="auto"/>
        <w:ind w:firstLine="360"/>
        <w:rPr>
          <w:rFonts w:eastAsia="宋体"/>
          <w:szCs w:val="21"/>
          <w:highlight w:val="none"/>
        </w:rPr>
      </w:pPr>
      <w:r>
        <w:rPr>
          <w:rFonts w:eastAsia="宋体"/>
          <w:szCs w:val="21"/>
          <w:highlight w:val="none"/>
        </w:rPr>
        <w:t>委托代理人（签字）：                  委托代理人（签字）：</w:t>
      </w:r>
    </w:p>
    <w:p w14:paraId="26E5AF56">
      <w:pPr>
        <w:spacing w:before="19" w:line="360" w:lineRule="auto"/>
        <w:ind w:firstLine="360"/>
        <w:rPr>
          <w:rFonts w:eastAsia="宋体"/>
          <w:szCs w:val="21"/>
          <w:highlight w:val="none"/>
        </w:rPr>
      </w:pPr>
      <w:r>
        <w:rPr>
          <w:rFonts w:eastAsia="宋体"/>
          <w:szCs w:val="21"/>
          <w:highlight w:val="none"/>
        </w:rPr>
        <w:t>联系电话：                            联系电话：</w:t>
      </w:r>
      <w:r>
        <w:rPr>
          <w:rFonts w:hint="eastAsia" w:eastAsia="宋体"/>
          <w:szCs w:val="21"/>
          <w:highlight w:val="none"/>
        </w:rPr>
        <w:t>15027128203</w:t>
      </w:r>
      <w:r>
        <w:rPr>
          <w:rFonts w:eastAsia="宋体"/>
          <w:szCs w:val="21"/>
          <w:highlight w:val="none"/>
        </w:rPr>
        <w:t xml:space="preserve">                                           </w:t>
      </w:r>
    </w:p>
    <w:p w14:paraId="72D1ADBA">
      <w:pPr>
        <w:spacing w:before="19" w:line="360" w:lineRule="auto"/>
        <w:ind w:firstLine="360"/>
        <w:rPr>
          <w:rFonts w:eastAsia="宋体"/>
          <w:szCs w:val="21"/>
          <w:highlight w:val="none"/>
        </w:rPr>
      </w:pPr>
      <w:r>
        <w:rPr>
          <w:rFonts w:eastAsia="宋体"/>
          <w:szCs w:val="21"/>
          <w:highlight w:val="none"/>
        </w:rPr>
        <w:t>开户银行：                            开户银行：</w:t>
      </w:r>
      <w:r>
        <w:rPr>
          <w:rFonts w:hint="eastAsia" w:eastAsia="宋体"/>
          <w:szCs w:val="21"/>
          <w:highlight w:val="none"/>
        </w:rPr>
        <w:t>中国农业银行上海徐汇支行</w:t>
      </w:r>
    </w:p>
    <w:p w14:paraId="3217BBBC">
      <w:pPr>
        <w:spacing w:before="19" w:line="360" w:lineRule="auto"/>
        <w:ind w:firstLine="360"/>
        <w:rPr>
          <w:rFonts w:eastAsia="宋体"/>
          <w:szCs w:val="21"/>
          <w:highlight w:val="none"/>
        </w:rPr>
      </w:pPr>
      <w:r>
        <w:rPr>
          <w:rFonts w:eastAsia="宋体"/>
          <w:szCs w:val="21"/>
          <w:highlight w:val="none"/>
        </w:rPr>
        <w:t xml:space="preserve">户名： 南京邮电大学                   户名： </w:t>
      </w:r>
      <w:r>
        <w:rPr>
          <w:rFonts w:hint="eastAsia" w:eastAsia="宋体"/>
          <w:szCs w:val="21"/>
          <w:highlight w:val="none"/>
        </w:rPr>
        <w:t>上海肇芾精工电子仪器有限公司</w:t>
      </w:r>
    </w:p>
    <w:p w14:paraId="322C7871">
      <w:pPr>
        <w:spacing w:before="19" w:line="360" w:lineRule="auto"/>
        <w:ind w:firstLine="360"/>
        <w:rPr>
          <w:rFonts w:eastAsia="宋体"/>
          <w:szCs w:val="21"/>
          <w:highlight w:val="none"/>
        </w:rPr>
      </w:pPr>
      <w:r>
        <w:rPr>
          <w:rFonts w:eastAsia="宋体"/>
          <w:szCs w:val="21"/>
          <w:highlight w:val="none"/>
        </w:rPr>
        <w:t xml:space="preserve">                                      账号</w:t>
      </w:r>
      <w:r>
        <w:rPr>
          <w:rFonts w:hint="eastAsia" w:eastAsia="宋体"/>
          <w:szCs w:val="21"/>
          <w:highlight w:val="none"/>
        </w:rPr>
        <w:t>： 09361501040053787</w:t>
      </w:r>
    </w:p>
    <w:p w14:paraId="2C8E8504">
      <w:pPr>
        <w:spacing w:before="19" w:line="360" w:lineRule="auto"/>
        <w:ind w:firstLine="360"/>
        <w:rPr>
          <w:rFonts w:eastAsia="宋体"/>
          <w:szCs w:val="21"/>
          <w:highlight w:val="none"/>
        </w:rPr>
      </w:pPr>
      <w:r>
        <w:rPr>
          <w:rFonts w:eastAsia="宋体"/>
          <w:szCs w:val="21"/>
          <w:highlight w:val="none"/>
        </w:rPr>
        <w:t xml:space="preserve">                                      行号：  </w:t>
      </w:r>
      <w:r>
        <w:rPr>
          <w:rFonts w:hint="eastAsia" w:eastAsia="宋体"/>
          <w:szCs w:val="21"/>
          <w:highlight w:val="none"/>
        </w:rPr>
        <w:t>103290036156</w:t>
      </w:r>
    </w:p>
    <w:p w14:paraId="546C58E5">
      <w:pPr>
        <w:spacing w:before="19" w:line="360" w:lineRule="auto"/>
        <w:ind w:firstLine="360"/>
        <w:rPr>
          <w:rFonts w:eastAsia="宋体"/>
          <w:szCs w:val="21"/>
          <w:highlight w:val="none"/>
        </w:rPr>
      </w:pPr>
      <w:r>
        <w:rPr>
          <w:rFonts w:eastAsia="宋体"/>
          <w:szCs w:val="21"/>
          <w:highlight w:val="none"/>
        </w:rPr>
        <w:t>地址、电话：南京市栖霞区文苑路9 号　025-85866388    项目联系人：</w:t>
      </w:r>
    </w:p>
    <w:p w14:paraId="5EB784AF">
      <w:pPr>
        <w:spacing w:before="19" w:line="360" w:lineRule="auto"/>
        <w:ind w:firstLine="360"/>
        <w:rPr>
          <w:rFonts w:eastAsia="宋体"/>
          <w:szCs w:val="21"/>
          <w:highlight w:val="none"/>
        </w:rPr>
      </w:pPr>
      <w:r>
        <w:rPr>
          <w:rFonts w:eastAsia="宋体"/>
          <w:szCs w:val="21"/>
          <w:highlight w:val="none"/>
        </w:rPr>
        <w:t>签约日期（即合同生效日期）：    年     月     日       联系电话：</w:t>
      </w:r>
    </w:p>
    <w:p w14:paraId="39D6C5A2"/>
    <w:p w14:paraId="71BFE0B1">
      <w:r>
        <w:br w:type="page"/>
      </w:r>
    </w:p>
    <w:p w14:paraId="6B0B0B07">
      <w:pPr>
        <w:pBdr>
          <w:top w:val="none" w:color="000000" w:sz="0" w:space="0"/>
          <w:left w:val="none" w:color="000000" w:sz="0" w:space="0"/>
          <w:bottom w:val="none" w:color="000000" w:sz="0" w:space="0"/>
          <w:right w:val="none" w:color="000000" w:sz="0" w:space="0"/>
        </w:pBdr>
        <w:spacing w:line="360" w:lineRule="auto"/>
        <w:ind w:firstLine="21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附件一：</w:t>
      </w:r>
    </w:p>
    <w:p w14:paraId="433F83CB">
      <w:pPr>
        <w:pBdr>
          <w:top w:val="none" w:color="000000" w:sz="0" w:space="0"/>
          <w:left w:val="none" w:color="000000" w:sz="0" w:space="0"/>
          <w:bottom w:val="none" w:color="000000" w:sz="0" w:space="0"/>
          <w:right w:val="none" w:color="000000" w:sz="0" w:space="0"/>
        </w:pBdr>
        <w:spacing w:line="360" w:lineRule="auto"/>
        <w:ind w:firstLine="21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技术</w:t>
      </w:r>
      <w:r>
        <w:rPr>
          <w:rFonts w:hint="eastAsia" w:ascii="宋体" w:hAnsi="宋体" w:eastAsia="宋体" w:cs="宋体"/>
          <w:b/>
          <w:bCs/>
          <w:sz w:val="24"/>
          <w:szCs w:val="24"/>
          <w:highlight w:val="none"/>
          <w:lang w:val="en-US" w:eastAsia="zh-CN"/>
        </w:rPr>
        <w:t>参数</w:t>
      </w:r>
    </w:p>
    <w:tbl>
      <w:tblPr>
        <w:tblStyle w:val="3"/>
        <w:tblW w:w="86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8"/>
        <w:gridCol w:w="2697"/>
        <w:gridCol w:w="5000"/>
      </w:tblGrid>
      <w:tr w14:paraId="24146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8" w:hRule="atLeast"/>
          <w:tblHeader/>
          <w:jc w:val="center"/>
        </w:trPr>
        <w:tc>
          <w:tcPr>
            <w:tcW w:w="0" w:type="auto"/>
            <w:vAlign w:val="center"/>
          </w:tcPr>
          <w:p w14:paraId="60BA16FA">
            <w:pPr>
              <w:widowControl w:val="0"/>
              <w:snapToGrid w:val="0"/>
              <w:spacing w:after="0" w:line="240" w:lineRule="auto"/>
              <w:ind w:left="0" w:leftChars="0" w:right="0" w:rightChars="0" w:firstLine="0" w:firstLineChars="0"/>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序号</w:t>
            </w:r>
          </w:p>
        </w:tc>
        <w:tc>
          <w:tcPr>
            <w:tcW w:w="2697" w:type="dxa"/>
            <w:vAlign w:val="center"/>
          </w:tcPr>
          <w:p w14:paraId="64FCB653">
            <w:pPr>
              <w:widowControl w:val="0"/>
              <w:snapToGrid w:val="0"/>
              <w:spacing w:after="0" w:line="240" w:lineRule="auto"/>
              <w:ind w:left="0" w:leftChars="0" w:right="0" w:rightChars="0" w:firstLine="0" w:firstLineChars="0"/>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参数名称</w:t>
            </w:r>
          </w:p>
        </w:tc>
        <w:tc>
          <w:tcPr>
            <w:tcW w:w="5000" w:type="dxa"/>
            <w:vAlign w:val="center"/>
          </w:tcPr>
          <w:p w14:paraId="662281AA">
            <w:pPr>
              <w:widowControl w:val="0"/>
              <w:snapToGrid w:val="0"/>
              <w:spacing w:after="0" w:line="240" w:lineRule="auto"/>
              <w:ind w:left="0" w:leftChars="0" w:right="0" w:rightChars="0" w:firstLine="0" w:firstLineChars="0"/>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具体规格</w:t>
            </w:r>
          </w:p>
        </w:tc>
      </w:tr>
      <w:tr w14:paraId="58B83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127EE1A4">
            <w:pPr>
              <w:widowControl w:val="0"/>
              <w:numPr>
                <w:ilvl w:val="0"/>
                <w:numId w:val="2"/>
              </w:numPr>
              <w:snapToGrid w:val="0"/>
              <w:spacing w:after="0" w:line="240" w:lineRule="auto"/>
              <w:ind w:left="425" w:leftChars="0" w:right="0" w:rightChars="0" w:hanging="425" w:firstLineChars="0"/>
              <w:jc w:val="center"/>
              <w:rPr>
                <w:rFonts w:hint="eastAsia" w:ascii="宋体" w:hAnsi="宋体" w:eastAsia="宋体" w:cs="宋体"/>
                <w:b w:val="0"/>
                <w:bCs w:val="0"/>
                <w:sz w:val="24"/>
                <w:szCs w:val="24"/>
                <w:highlight w:val="none"/>
                <w:vertAlign w:val="baseline"/>
                <w:lang w:val="en-US" w:eastAsia="zh-CN"/>
              </w:rPr>
            </w:pPr>
          </w:p>
        </w:tc>
        <w:tc>
          <w:tcPr>
            <w:tcW w:w="2697" w:type="dxa"/>
            <w:vAlign w:val="center"/>
          </w:tcPr>
          <w:p w14:paraId="09A47330">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设备支持产品最大功率</w:t>
            </w:r>
          </w:p>
        </w:tc>
        <w:tc>
          <w:tcPr>
            <w:tcW w:w="5000" w:type="dxa"/>
            <w:vAlign w:val="center"/>
          </w:tcPr>
          <w:p w14:paraId="0790835B">
            <w:pPr>
              <w:widowControl w:val="0"/>
              <w:snapToGrid w:val="0"/>
              <w:spacing w:after="0" w:line="240" w:lineRule="auto"/>
              <w:ind w:left="0" w:leftChars="0" w:right="0" w:rightChars="0" w:firstLine="0" w:firstLineChars="0"/>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600W</w:t>
            </w:r>
          </w:p>
        </w:tc>
      </w:tr>
      <w:tr w14:paraId="02B5E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1B300AD2">
            <w:pPr>
              <w:widowControl w:val="0"/>
              <w:numPr>
                <w:ilvl w:val="0"/>
                <w:numId w:val="2"/>
              </w:numPr>
              <w:snapToGrid w:val="0"/>
              <w:spacing w:after="0" w:line="240" w:lineRule="auto"/>
              <w:ind w:left="425" w:leftChars="0" w:right="0" w:rightChars="0" w:hanging="425" w:firstLineChars="0"/>
              <w:jc w:val="center"/>
              <w:rPr>
                <w:rFonts w:hint="eastAsia" w:ascii="宋体" w:hAnsi="宋体" w:eastAsia="宋体" w:cs="宋体"/>
                <w:b w:val="0"/>
                <w:bCs w:val="0"/>
                <w:sz w:val="24"/>
                <w:szCs w:val="24"/>
                <w:highlight w:val="none"/>
                <w:vertAlign w:val="baseline"/>
                <w:lang w:val="en-US" w:eastAsia="zh-CN"/>
              </w:rPr>
            </w:pPr>
          </w:p>
        </w:tc>
        <w:tc>
          <w:tcPr>
            <w:tcW w:w="2697" w:type="dxa"/>
            <w:vAlign w:val="center"/>
          </w:tcPr>
          <w:p w14:paraId="496ADA64">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独立测试区域</w:t>
            </w:r>
          </w:p>
        </w:tc>
        <w:tc>
          <w:tcPr>
            <w:tcW w:w="5000" w:type="dxa"/>
            <w:vAlign w:val="center"/>
          </w:tcPr>
          <w:p w14:paraId="16C736F2">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14 个</w:t>
            </w:r>
          </w:p>
        </w:tc>
      </w:tr>
      <w:tr w14:paraId="18565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5B3EBE82">
            <w:pPr>
              <w:widowControl w:val="0"/>
              <w:numPr>
                <w:ilvl w:val="0"/>
                <w:numId w:val="2"/>
              </w:numPr>
              <w:snapToGrid w:val="0"/>
              <w:spacing w:after="0" w:line="240" w:lineRule="auto"/>
              <w:ind w:left="425" w:leftChars="0" w:right="0" w:rightChars="0" w:hanging="425" w:firstLineChars="0"/>
              <w:jc w:val="center"/>
              <w:rPr>
                <w:rFonts w:hint="eastAsia" w:ascii="宋体" w:hAnsi="宋体" w:eastAsia="宋体" w:cs="宋体"/>
                <w:b w:val="0"/>
                <w:bCs w:val="0"/>
                <w:sz w:val="24"/>
                <w:szCs w:val="24"/>
                <w:highlight w:val="none"/>
                <w:vertAlign w:val="baseline"/>
                <w:lang w:val="en-US" w:eastAsia="zh-CN"/>
              </w:rPr>
            </w:pPr>
          </w:p>
        </w:tc>
        <w:tc>
          <w:tcPr>
            <w:tcW w:w="2697" w:type="dxa"/>
            <w:vAlign w:val="center"/>
          </w:tcPr>
          <w:p w14:paraId="6635D3EC">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可插板卡数量</w:t>
            </w:r>
          </w:p>
        </w:tc>
        <w:tc>
          <w:tcPr>
            <w:tcW w:w="5000" w:type="dxa"/>
            <w:vAlign w:val="center"/>
          </w:tcPr>
          <w:p w14:paraId="74D33C93">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14块</w:t>
            </w:r>
          </w:p>
        </w:tc>
      </w:tr>
      <w:tr w14:paraId="093F3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01D14DDB">
            <w:pPr>
              <w:widowControl w:val="0"/>
              <w:numPr>
                <w:ilvl w:val="0"/>
                <w:numId w:val="2"/>
              </w:numPr>
              <w:snapToGrid w:val="0"/>
              <w:spacing w:after="0" w:line="240" w:lineRule="auto"/>
              <w:ind w:left="425" w:leftChars="0" w:right="0" w:rightChars="0" w:hanging="425" w:firstLineChars="0"/>
              <w:jc w:val="center"/>
              <w:rPr>
                <w:rFonts w:hint="eastAsia" w:ascii="宋体" w:hAnsi="宋体" w:eastAsia="宋体" w:cs="宋体"/>
                <w:b w:val="0"/>
                <w:bCs w:val="0"/>
                <w:sz w:val="24"/>
                <w:szCs w:val="24"/>
                <w:highlight w:val="none"/>
                <w:vertAlign w:val="baseline"/>
                <w:lang w:val="en-US" w:eastAsia="zh-CN"/>
              </w:rPr>
            </w:pPr>
          </w:p>
        </w:tc>
        <w:tc>
          <w:tcPr>
            <w:tcW w:w="2697" w:type="dxa"/>
            <w:vAlign w:val="center"/>
          </w:tcPr>
          <w:p w14:paraId="79B3A2B1">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单板卡site数量</w:t>
            </w:r>
          </w:p>
        </w:tc>
        <w:tc>
          <w:tcPr>
            <w:tcW w:w="5000" w:type="dxa"/>
            <w:vAlign w:val="center"/>
          </w:tcPr>
          <w:p w14:paraId="133FB669">
            <w:pPr>
              <w:widowControl w:val="0"/>
              <w:snapToGrid w:val="0"/>
              <w:spacing w:after="0" w:line="240" w:lineRule="auto"/>
              <w:ind w:left="0" w:leftChars="0" w:right="0" w:rightChars="0" w:firstLine="0" w:firstLineChars="0"/>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24sites</w:t>
            </w:r>
          </w:p>
        </w:tc>
      </w:tr>
      <w:tr w14:paraId="2EA0B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07771485">
            <w:pPr>
              <w:widowControl w:val="0"/>
              <w:numPr>
                <w:ilvl w:val="0"/>
                <w:numId w:val="2"/>
              </w:numPr>
              <w:snapToGrid w:val="0"/>
              <w:spacing w:after="0" w:line="240" w:lineRule="auto"/>
              <w:ind w:left="425" w:leftChars="0" w:right="0" w:rightChars="0" w:hanging="425" w:firstLineChars="0"/>
              <w:jc w:val="center"/>
              <w:rPr>
                <w:rFonts w:hint="eastAsia" w:ascii="宋体" w:hAnsi="宋体" w:eastAsia="宋体" w:cs="宋体"/>
                <w:b w:val="0"/>
                <w:bCs w:val="0"/>
                <w:sz w:val="24"/>
                <w:szCs w:val="24"/>
                <w:highlight w:val="none"/>
                <w:vertAlign w:val="baseline"/>
                <w:lang w:val="en-US" w:eastAsia="zh-CN"/>
              </w:rPr>
            </w:pPr>
          </w:p>
        </w:tc>
        <w:tc>
          <w:tcPr>
            <w:tcW w:w="2697" w:type="dxa"/>
            <w:vAlign w:val="center"/>
          </w:tcPr>
          <w:p w14:paraId="3048078B">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板卡尺寸</w:t>
            </w:r>
          </w:p>
        </w:tc>
        <w:tc>
          <w:tcPr>
            <w:tcW w:w="5000" w:type="dxa"/>
            <w:vAlign w:val="center"/>
          </w:tcPr>
          <w:p w14:paraId="363A697B">
            <w:pPr>
              <w:widowControl w:val="0"/>
              <w:snapToGrid w:val="0"/>
              <w:spacing w:after="0" w:line="240" w:lineRule="auto"/>
              <w:ind w:left="0" w:leftChars="0" w:right="0" w:rightChars="0" w:firstLine="0" w:firstLineChars="0"/>
              <w:jc w:val="center"/>
              <w:rPr>
                <w:rFonts w:hint="default" w:ascii="宋体" w:hAnsi="宋体" w:eastAsia="宋体" w:cs="宋体"/>
                <w:b w:val="0"/>
                <w:bCs w:val="0"/>
                <w:sz w:val="24"/>
                <w:szCs w:val="24"/>
                <w:highlight w:val="none"/>
                <w:vertAlign w:val="baseline"/>
                <w:lang w:val="en-US" w:eastAsia="zh-CN"/>
              </w:rPr>
            </w:pPr>
            <w:r>
              <w:rPr>
                <w:rFonts w:hint="default" w:ascii="宋体" w:hAnsi="宋体" w:eastAsia="宋体" w:cs="宋体"/>
                <w:b w:val="0"/>
                <w:bCs w:val="0"/>
                <w:sz w:val="24"/>
                <w:szCs w:val="24"/>
                <w:highlight w:val="none"/>
                <w:vertAlign w:val="baseline"/>
                <w:lang w:val="en-US" w:eastAsia="zh-CN"/>
              </w:rPr>
              <w:t>570mm(W)×610mm(L)</w:t>
            </w:r>
          </w:p>
        </w:tc>
      </w:tr>
      <w:tr w14:paraId="30543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47303523">
            <w:pPr>
              <w:widowControl w:val="0"/>
              <w:numPr>
                <w:ilvl w:val="0"/>
                <w:numId w:val="2"/>
              </w:numPr>
              <w:snapToGrid w:val="0"/>
              <w:spacing w:after="0" w:line="240" w:lineRule="auto"/>
              <w:ind w:left="425" w:leftChars="0" w:right="0" w:rightChars="0" w:hanging="425" w:firstLineChars="0"/>
              <w:jc w:val="center"/>
              <w:rPr>
                <w:rFonts w:hint="eastAsia" w:ascii="宋体" w:hAnsi="宋体" w:eastAsia="宋体" w:cs="宋体"/>
                <w:b w:val="0"/>
                <w:bCs w:val="0"/>
                <w:sz w:val="24"/>
                <w:szCs w:val="24"/>
                <w:highlight w:val="none"/>
                <w:vertAlign w:val="baseline"/>
                <w:lang w:val="en-US" w:eastAsia="zh-CN"/>
              </w:rPr>
            </w:pPr>
          </w:p>
        </w:tc>
        <w:tc>
          <w:tcPr>
            <w:tcW w:w="2697" w:type="dxa"/>
            <w:vAlign w:val="center"/>
          </w:tcPr>
          <w:p w14:paraId="01CF1630">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温度范围</w:t>
            </w:r>
          </w:p>
        </w:tc>
        <w:tc>
          <w:tcPr>
            <w:tcW w:w="5000" w:type="dxa"/>
            <w:vAlign w:val="center"/>
          </w:tcPr>
          <w:p w14:paraId="46B21053">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25℃～150℃</w:t>
            </w:r>
          </w:p>
        </w:tc>
      </w:tr>
      <w:tr w14:paraId="7351A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3DD87A2E">
            <w:pPr>
              <w:widowControl w:val="0"/>
              <w:numPr>
                <w:ilvl w:val="0"/>
                <w:numId w:val="2"/>
              </w:numPr>
              <w:snapToGrid w:val="0"/>
              <w:spacing w:after="0" w:line="240" w:lineRule="auto"/>
              <w:ind w:left="425" w:leftChars="0" w:right="0" w:rightChars="0" w:hanging="425" w:firstLineChars="0"/>
              <w:jc w:val="center"/>
              <w:rPr>
                <w:rFonts w:hint="eastAsia" w:ascii="宋体" w:hAnsi="宋体" w:eastAsia="宋体" w:cs="宋体"/>
                <w:b w:val="0"/>
                <w:bCs w:val="0"/>
                <w:sz w:val="24"/>
                <w:szCs w:val="24"/>
                <w:highlight w:val="none"/>
                <w:vertAlign w:val="baseline"/>
                <w:lang w:val="en-US" w:eastAsia="zh-CN"/>
              </w:rPr>
            </w:pPr>
          </w:p>
        </w:tc>
        <w:tc>
          <w:tcPr>
            <w:tcW w:w="2697" w:type="dxa"/>
            <w:vAlign w:val="center"/>
          </w:tcPr>
          <w:p w14:paraId="0CB90F6F">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温度传感器数量</w:t>
            </w:r>
          </w:p>
        </w:tc>
        <w:tc>
          <w:tcPr>
            <w:tcW w:w="5000" w:type="dxa"/>
            <w:vAlign w:val="center"/>
          </w:tcPr>
          <w:p w14:paraId="255DC3F2">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≥36个</w:t>
            </w:r>
          </w:p>
        </w:tc>
      </w:tr>
      <w:tr w14:paraId="6497A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694AF834">
            <w:pPr>
              <w:widowControl w:val="0"/>
              <w:numPr>
                <w:ilvl w:val="0"/>
                <w:numId w:val="2"/>
              </w:numPr>
              <w:snapToGrid w:val="0"/>
              <w:spacing w:after="0" w:line="240" w:lineRule="auto"/>
              <w:ind w:left="425" w:leftChars="0" w:right="0" w:rightChars="0" w:hanging="425" w:firstLineChars="0"/>
              <w:jc w:val="center"/>
              <w:rPr>
                <w:rFonts w:hint="eastAsia" w:ascii="宋体" w:hAnsi="宋体" w:eastAsia="宋体" w:cs="宋体"/>
                <w:b w:val="0"/>
                <w:bCs w:val="0"/>
                <w:sz w:val="24"/>
                <w:szCs w:val="24"/>
                <w:highlight w:val="none"/>
                <w:vertAlign w:val="baseline"/>
                <w:lang w:val="en-US" w:eastAsia="zh-CN"/>
              </w:rPr>
            </w:pPr>
          </w:p>
        </w:tc>
        <w:tc>
          <w:tcPr>
            <w:tcW w:w="2697" w:type="dxa"/>
            <w:vAlign w:val="center"/>
          </w:tcPr>
          <w:p w14:paraId="6A8243E5">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控温模式</w:t>
            </w:r>
          </w:p>
        </w:tc>
        <w:tc>
          <w:tcPr>
            <w:tcW w:w="5000" w:type="dxa"/>
            <w:vAlign w:val="center"/>
          </w:tcPr>
          <w:p w14:paraId="62664F8D">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独立控温</w:t>
            </w:r>
          </w:p>
        </w:tc>
      </w:tr>
      <w:tr w14:paraId="0BE40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1BF2EEDC">
            <w:pPr>
              <w:widowControl w:val="0"/>
              <w:numPr>
                <w:ilvl w:val="0"/>
                <w:numId w:val="2"/>
              </w:numPr>
              <w:snapToGrid w:val="0"/>
              <w:spacing w:after="0" w:line="240" w:lineRule="auto"/>
              <w:ind w:left="425" w:leftChars="0" w:right="0" w:rightChars="0" w:hanging="425" w:firstLineChars="0"/>
              <w:jc w:val="center"/>
              <w:rPr>
                <w:rFonts w:hint="eastAsia" w:ascii="宋体" w:hAnsi="宋体" w:eastAsia="宋体" w:cs="宋体"/>
                <w:b w:val="0"/>
                <w:bCs w:val="0"/>
                <w:sz w:val="24"/>
                <w:szCs w:val="24"/>
                <w:highlight w:val="none"/>
                <w:vertAlign w:val="baseline"/>
                <w:lang w:val="en-US" w:eastAsia="zh-CN"/>
              </w:rPr>
            </w:pPr>
          </w:p>
        </w:tc>
        <w:tc>
          <w:tcPr>
            <w:tcW w:w="2697" w:type="dxa"/>
            <w:vAlign w:val="center"/>
          </w:tcPr>
          <w:p w14:paraId="58E609B3">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散热方式</w:t>
            </w:r>
          </w:p>
        </w:tc>
        <w:tc>
          <w:tcPr>
            <w:tcW w:w="5000" w:type="dxa"/>
            <w:vAlign w:val="center"/>
          </w:tcPr>
          <w:p w14:paraId="28CE723F">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风冷（配合散热器水冷）</w:t>
            </w:r>
          </w:p>
        </w:tc>
      </w:tr>
      <w:tr w14:paraId="79234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5CCA940F">
            <w:pPr>
              <w:widowControl w:val="0"/>
              <w:numPr>
                <w:ilvl w:val="0"/>
                <w:numId w:val="2"/>
              </w:numPr>
              <w:snapToGrid w:val="0"/>
              <w:spacing w:after="0" w:line="240" w:lineRule="auto"/>
              <w:ind w:left="425" w:leftChars="0" w:right="0" w:rightChars="0" w:hanging="425" w:firstLineChars="0"/>
              <w:jc w:val="center"/>
              <w:rPr>
                <w:rFonts w:hint="eastAsia" w:ascii="宋体" w:hAnsi="宋体" w:eastAsia="宋体" w:cs="宋体"/>
                <w:b w:val="0"/>
                <w:bCs w:val="0"/>
                <w:sz w:val="24"/>
                <w:szCs w:val="24"/>
                <w:highlight w:val="none"/>
                <w:vertAlign w:val="baseline"/>
                <w:lang w:val="en-US" w:eastAsia="zh-CN"/>
              </w:rPr>
            </w:pPr>
          </w:p>
        </w:tc>
        <w:tc>
          <w:tcPr>
            <w:tcW w:w="2697" w:type="dxa"/>
            <w:vAlign w:val="center"/>
          </w:tcPr>
          <w:p w14:paraId="2EBAC757">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独立控温功能、分别设定和控制温度</w:t>
            </w:r>
          </w:p>
        </w:tc>
        <w:tc>
          <w:tcPr>
            <w:tcW w:w="5000" w:type="dxa"/>
            <w:vAlign w:val="center"/>
          </w:tcPr>
          <w:p w14:paraId="209A18EA">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具备独立控温功能、分别设定和控制温度，每个Zone可独立装/卸老化板、独立上下电、独立设定温度与独立运行试验项目，各Zone之间互不干扰。</w:t>
            </w:r>
          </w:p>
        </w:tc>
      </w:tr>
      <w:tr w14:paraId="7CE72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2B1E28BA">
            <w:pPr>
              <w:widowControl w:val="0"/>
              <w:numPr>
                <w:ilvl w:val="0"/>
                <w:numId w:val="2"/>
              </w:numPr>
              <w:snapToGrid w:val="0"/>
              <w:spacing w:after="0" w:line="240" w:lineRule="auto"/>
              <w:ind w:left="425" w:leftChars="0" w:right="0" w:rightChars="0" w:hanging="425" w:firstLineChars="0"/>
              <w:jc w:val="center"/>
              <w:rPr>
                <w:rFonts w:hint="eastAsia" w:ascii="宋体" w:hAnsi="宋体" w:eastAsia="宋体" w:cs="宋体"/>
                <w:b w:val="0"/>
                <w:bCs w:val="0"/>
                <w:sz w:val="24"/>
                <w:szCs w:val="24"/>
                <w:highlight w:val="none"/>
                <w:vertAlign w:val="baseline"/>
                <w:lang w:val="en-US" w:eastAsia="zh-CN"/>
              </w:rPr>
            </w:pPr>
          </w:p>
        </w:tc>
        <w:tc>
          <w:tcPr>
            <w:tcW w:w="2697" w:type="dxa"/>
            <w:vAlign w:val="center"/>
          </w:tcPr>
          <w:p w14:paraId="782E2A98">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独立温控温度精度</w:t>
            </w:r>
          </w:p>
        </w:tc>
        <w:tc>
          <w:tcPr>
            <w:tcW w:w="5000" w:type="dxa"/>
            <w:vAlign w:val="center"/>
          </w:tcPr>
          <w:p w14:paraId="740202BE">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w:t>
            </w:r>
          </w:p>
        </w:tc>
      </w:tr>
      <w:tr w14:paraId="34B85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7872A4E3">
            <w:pPr>
              <w:widowControl w:val="0"/>
              <w:numPr>
                <w:ilvl w:val="0"/>
                <w:numId w:val="2"/>
              </w:numPr>
              <w:snapToGrid w:val="0"/>
              <w:spacing w:after="0" w:line="240" w:lineRule="auto"/>
              <w:ind w:left="425" w:leftChars="0" w:right="0" w:rightChars="0" w:hanging="425" w:firstLineChars="0"/>
              <w:jc w:val="center"/>
              <w:rPr>
                <w:rFonts w:hint="eastAsia" w:ascii="宋体" w:hAnsi="宋体" w:eastAsia="宋体" w:cs="宋体"/>
                <w:b w:val="0"/>
                <w:bCs w:val="0"/>
                <w:sz w:val="24"/>
                <w:szCs w:val="24"/>
                <w:highlight w:val="none"/>
                <w:vertAlign w:val="baseline"/>
                <w:lang w:val="en-US" w:eastAsia="zh-CN"/>
              </w:rPr>
            </w:pPr>
          </w:p>
        </w:tc>
        <w:tc>
          <w:tcPr>
            <w:tcW w:w="2697" w:type="dxa"/>
            <w:vAlign w:val="center"/>
          </w:tcPr>
          <w:p w14:paraId="4DA8ACD4">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温控模式</w:t>
            </w:r>
          </w:p>
        </w:tc>
        <w:tc>
          <w:tcPr>
            <w:tcW w:w="5000" w:type="dxa"/>
            <w:vAlign w:val="center"/>
          </w:tcPr>
          <w:p w14:paraId="4A7968DB">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壳温控温和结温控温双模式</w:t>
            </w:r>
          </w:p>
        </w:tc>
      </w:tr>
      <w:tr w14:paraId="00030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7428D557">
            <w:pPr>
              <w:widowControl w:val="0"/>
              <w:numPr>
                <w:ilvl w:val="0"/>
                <w:numId w:val="2"/>
              </w:numPr>
              <w:snapToGrid w:val="0"/>
              <w:spacing w:after="0" w:line="240" w:lineRule="auto"/>
              <w:ind w:left="425" w:leftChars="0" w:right="0" w:rightChars="0" w:hanging="425" w:firstLineChars="0"/>
              <w:jc w:val="center"/>
              <w:rPr>
                <w:rFonts w:hint="eastAsia" w:ascii="宋体" w:hAnsi="宋体" w:eastAsia="宋体" w:cs="宋体"/>
                <w:b w:val="0"/>
                <w:bCs w:val="0"/>
                <w:sz w:val="24"/>
                <w:szCs w:val="24"/>
                <w:highlight w:val="none"/>
                <w:vertAlign w:val="baseline"/>
                <w:lang w:val="en-US" w:eastAsia="zh-CN"/>
              </w:rPr>
            </w:pPr>
          </w:p>
        </w:tc>
        <w:tc>
          <w:tcPr>
            <w:tcW w:w="2697" w:type="dxa"/>
            <w:vAlign w:val="center"/>
          </w:tcPr>
          <w:p w14:paraId="0DFCDB9E">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设备提供DPS通道数</w:t>
            </w:r>
          </w:p>
        </w:tc>
        <w:tc>
          <w:tcPr>
            <w:tcW w:w="5000" w:type="dxa"/>
            <w:vAlign w:val="center"/>
          </w:tcPr>
          <w:p w14:paraId="72702667">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&gt;13(每Slot含12路低功耗DPS+1路大功耗6</w:t>
            </w:r>
          </w:p>
          <w:p w14:paraId="7D416D6C">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HPDPS+1路一级程控电源通道，合计14通道)</w:t>
            </w:r>
          </w:p>
        </w:tc>
      </w:tr>
      <w:tr w14:paraId="402B2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62F31F23">
            <w:pPr>
              <w:widowControl w:val="0"/>
              <w:numPr>
                <w:ilvl w:val="0"/>
                <w:numId w:val="2"/>
              </w:numPr>
              <w:snapToGrid w:val="0"/>
              <w:spacing w:after="0" w:line="240" w:lineRule="auto"/>
              <w:ind w:left="425" w:leftChars="0" w:right="0" w:rightChars="0" w:hanging="425" w:firstLineChars="0"/>
              <w:jc w:val="center"/>
              <w:rPr>
                <w:rFonts w:hint="eastAsia" w:ascii="宋体" w:hAnsi="宋体" w:eastAsia="宋体" w:cs="宋体"/>
                <w:b w:val="0"/>
                <w:bCs w:val="0"/>
                <w:sz w:val="24"/>
                <w:szCs w:val="24"/>
                <w:highlight w:val="none"/>
                <w:vertAlign w:val="baseline"/>
                <w:lang w:val="en-US" w:eastAsia="zh-CN"/>
              </w:rPr>
            </w:pPr>
          </w:p>
        </w:tc>
        <w:tc>
          <w:tcPr>
            <w:tcW w:w="2697" w:type="dxa"/>
            <w:vAlign w:val="center"/>
          </w:tcPr>
          <w:p w14:paraId="11999710">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电源通道和带载能力</w:t>
            </w:r>
          </w:p>
        </w:tc>
        <w:tc>
          <w:tcPr>
            <w:tcW w:w="5000" w:type="dxa"/>
            <w:vAlign w:val="center"/>
          </w:tcPr>
          <w:p w14:paraId="79866B1A">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≥4000W/slot</w:t>
            </w:r>
          </w:p>
        </w:tc>
      </w:tr>
      <w:tr w14:paraId="14F1B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2341AABF">
            <w:pPr>
              <w:widowControl w:val="0"/>
              <w:numPr>
                <w:ilvl w:val="0"/>
                <w:numId w:val="2"/>
              </w:numPr>
              <w:snapToGrid w:val="0"/>
              <w:spacing w:after="0" w:line="240" w:lineRule="auto"/>
              <w:ind w:left="425" w:leftChars="0" w:right="0" w:rightChars="0" w:hanging="425" w:firstLineChars="0"/>
              <w:jc w:val="center"/>
              <w:rPr>
                <w:rFonts w:hint="eastAsia" w:ascii="宋体" w:hAnsi="宋体" w:eastAsia="宋体" w:cs="宋体"/>
                <w:b w:val="0"/>
                <w:bCs w:val="0"/>
                <w:sz w:val="24"/>
                <w:szCs w:val="24"/>
                <w:highlight w:val="none"/>
                <w:vertAlign w:val="baseline"/>
                <w:lang w:val="en-US" w:eastAsia="zh-CN"/>
              </w:rPr>
            </w:pPr>
          </w:p>
        </w:tc>
        <w:tc>
          <w:tcPr>
            <w:tcW w:w="2697" w:type="dxa"/>
            <w:vAlign w:val="center"/>
          </w:tcPr>
          <w:p w14:paraId="7E47EC3C">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单通道电源最大负载电流</w:t>
            </w:r>
          </w:p>
        </w:tc>
        <w:tc>
          <w:tcPr>
            <w:tcW w:w="5000" w:type="dxa"/>
            <w:vAlign w:val="center"/>
          </w:tcPr>
          <w:p w14:paraId="071EB053">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≥1000A</w:t>
            </w:r>
          </w:p>
        </w:tc>
      </w:tr>
      <w:tr w14:paraId="662BF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40A9FCF2">
            <w:pPr>
              <w:widowControl w:val="0"/>
              <w:numPr>
                <w:ilvl w:val="0"/>
                <w:numId w:val="2"/>
              </w:numPr>
              <w:snapToGrid w:val="0"/>
              <w:spacing w:after="0" w:line="240" w:lineRule="auto"/>
              <w:ind w:left="425" w:leftChars="0" w:right="0" w:rightChars="0" w:hanging="425" w:firstLineChars="0"/>
              <w:jc w:val="center"/>
              <w:rPr>
                <w:rFonts w:hint="eastAsia" w:ascii="宋体" w:hAnsi="宋体" w:eastAsia="宋体" w:cs="宋体"/>
                <w:b w:val="0"/>
                <w:bCs w:val="0"/>
                <w:sz w:val="24"/>
                <w:szCs w:val="24"/>
                <w:highlight w:val="none"/>
                <w:vertAlign w:val="baseline"/>
                <w:lang w:val="en-US" w:eastAsia="zh-CN"/>
              </w:rPr>
            </w:pPr>
          </w:p>
        </w:tc>
        <w:tc>
          <w:tcPr>
            <w:tcW w:w="2697" w:type="dxa"/>
            <w:vAlign w:val="center"/>
          </w:tcPr>
          <w:p w14:paraId="1A271324">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电压精度</w:t>
            </w:r>
          </w:p>
        </w:tc>
        <w:tc>
          <w:tcPr>
            <w:tcW w:w="5000" w:type="dxa"/>
            <w:vAlign w:val="center"/>
          </w:tcPr>
          <w:p w14:paraId="134964A9">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0.3%×Vset ±10mV</w:t>
            </w:r>
          </w:p>
        </w:tc>
      </w:tr>
      <w:tr w14:paraId="46A11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4EB3F831">
            <w:pPr>
              <w:widowControl w:val="0"/>
              <w:numPr>
                <w:ilvl w:val="0"/>
                <w:numId w:val="2"/>
              </w:numPr>
              <w:snapToGrid w:val="0"/>
              <w:spacing w:after="0" w:line="240" w:lineRule="auto"/>
              <w:ind w:left="425" w:leftChars="0" w:right="0" w:rightChars="0" w:hanging="425" w:firstLineChars="0"/>
              <w:jc w:val="center"/>
              <w:rPr>
                <w:rFonts w:hint="eastAsia" w:ascii="宋体" w:hAnsi="宋体" w:eastAsia="宋体" w:cs="宋体"/>
                <w:b w:val="0"/>
                <w:bCs w:val="0"/>
                <w:sz w:val="24"/>
                <w:szCs w:val="24"/>
                <w:highlight w:val="none"/>
                <w:vertAlign w:val="baseline"/>
                <w:lang w:val="en-US" w:eastAsia="zh-CN"/>
              </w:rPr>
            </w:pPr>
          </w:p>
        </w:tc>
        <w:tc>
          <w:tcPr>
            <w:tcW w:w="2697" w:type="dxa"/>
            <w:vAlign w:val="center"/>
          </w:tcPr>
          <w:p w14:paraId="646FFD83">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电流检测精度</w:t>
            </w:r>
          </w:p>
        </w:tc>
        <w:tc>
          <w:tcPr>
            <w:tcW w:w="5000" w:type="dxa"/>
            <w:vAlign w:val="center"/>
          </w:tcPr>
          <w:p w14:paraId="70249126">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1.5%×I ±0.125A</w:t>
            </w:r>
          </w:p>
        </w:tc>
      </w:tr>
      <w:tr w14:paraId="34947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656B35EC">
            <w:pPr>
              <w:widowControl w:val="0"/>
              <w:numPr>
                <w:ilvl w:val="0"/>
                <w:numId w:val="2"/>
              </w:numPr>
              <w:snapToGrid w:val="0"/>
              <w:spacing w:after="0" w:line="240" w:lineRule="auto"/>
              <w:ind w:left="425" w:leftChars="0" w:right="0" w:rightChars="0" w:hanging="425" w:firstLineChars="0"/>
              <w:jc w:val="center"/>
              <w:rPr>
                <w:rFonts w:hint="eastAsia" w:ascii="宋体" w:hAnsi="宋体" w:eastAsia="宋体" w:cs="宋体"/>
                <w:b w:val="0"/>
                <w:bCs w:val="0"/>
                <w:sz w:val="24"/>
                <w:szCs w:val="24"/>
                <w:highlight w:val="none"/>
                <w:vertAlign w:val="baseline"/>
                <w:lang w:val="en-US" w:eastAsia="zh-CN"/>
              </w:rPr>
            </w:pPr>
          </w:p>
        </w:tc>
        <w:tc>
          <w:tcPr>
            <w:tcW w:w="2697" w:type="dxa"/>
            <w:vAlign w:val="center"/>
          </w:tcPr>
          <w:p w14:paraId="73375AA3">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IO信号频率</w:t>
            </w:r>
          </w:p>
        </w:tc>
        <w:tc>
          <w:tcPr>
            <w:tcW w:w="5000" w:type="dxa"/>
            <w:vAlign w:val="center"/>
          </w:tcPr>
          <w:p w14:paraId="302DB1B9">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20MHz</w:t>
            </w:r>
          </w:p>
        </w:tc>
      </w:tr>
      <w:tr w14:paraId="2895F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7D88245A">
            <w:pPr>
              <w:widowControl w:val="0"/>
              <w:numPr>
                <w:ilvl w:val="0"/>
                <w:numId w:val="2"/>
              </w:numPr>
              <w:snapToGrid w:val="0"/>
              <w:spacing w:after="0" w:line="240" w:lineRule="auto"/>
              <w:ind w:left="425" w:leftChars="0" w:right="0" w:rightChars="0" w:hanging="425" w:firstLineChars="0"/>
              <w:jc w:val="center"/>
              <w:rPr>
                <w:rFonts w:hint="eastAsia" w:ascii="宋体" w:hAnsi="宋体" w:eastAsia="宋体" w:cs="宋体"/>
                <w:b w:val="0"/>
                <w:bCs w:val="0"/>
                <w:sz w:val="24"/>
                <w:szCs w:val="24"/>
                <w:highlight w:val="none"/>
                <w:vertAlign w:val="baseline"/>
                <w:lang w:val="en-US" w:eastAsia="zh-CN"/>
              </w:rPr>
            </w:pPr>
          </w:p>
        </w:tc>
        <w:tc>
          <w:tcPr>
            <w:tcW w:w="2697" w:type="dxa"/>
            <w:vAlign w:val="center"/>
          </w:tcPr>
          <w:p w14:paraId="1670DD64">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IO驱动电流</w:t>
            </w:r>
          </w:p>
        </w:tc>
        <w:tc>
          <w:tcPr>
            <w:tcW w:w="5000" w:type="dxa"/>
            <w:vAlign w:val="center"/>
          </w:tcPr>
          <w:p w14:paraId="259C71BE">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±100mA（高电平拉电流+100mA，低电平灌电流-100mA）</w:t>
            </w:r>
          </w:p>
        </w:tc>
      </w:tr>
      <w:tr w14:paraId="77927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641C912E">
            <w:pPr>
              <w:widowControl w:val="0"/>
              <w:numPr>
                <w:ilvl w:val="0"/>
                <w:numId w:val="2"/>
              </w:numPr>
              <w:snapToGrid w:val="0"/>
              <w:spacing w:after="0" w:line="240" w:lineRule="auto"/>
              <w:ind w:left="425" w:leftChars="0" w:right="0" w:rightChars="0" w:hanging="425" w:firstLineChars="0"/>
              <w:jc w:val="center"/>
              <w:rPr>
                <w:rFonts w:hint="eastAsia" w:ascii="宋体" w:hAnsi="宋体" w:eastAsia="宋体" w:cs="宋体"/>
                <w:b w:val="0"/>
                <w:bCs w:val="0"/>
                <w:sz w:val="24"/>
                <w:szCs w:val="24"/>
                <w:highlight w:val="none"/>
                <w:vertAlign w:val="baseline"/>
                <w:lang w:val="en-US" w:eastAsia="zh-CN"/>
              </w:rPr>
            </w:pPr>
          </w:p>
        </w:tc>
        <w:tc>
          <w:tcPr>
            <w:tcW w:w="2697" w:type="dxa"/>
            <w:vAlign w:val="center"/>
          </w:tcPr>
          <w:p w14:paraId="088D8523">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每个测试插槽提供IO通道数量</w:t>
            </w:r>
          </w:p>
        </w:tc>
        <w:tc>
          <w:tcPr>
            <w:tcW w:w="5000" w:type="dxa"/>
            <w:vAlign w:val="center"/>
          </w:tcPr>
          <w:p w14:paraId="17CA99B5">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256路，通道为双向通道，同时支持驱动输出与 DUT 输出信号的自动比对（DFT Error Log 自动捕获并记录失配信息）。</w:t>
            </w:r>
          </w:p>
        </w:tc>
      </w:tr>
      <w:tr w14:paraId="3B132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502D98EE">
            <w:pPr>
              <w:widowControl w:val="0"/>
              <w:numPr>
                <w:ilvl w:val="0"/>
                <w:numId w:val="2"/>
              </w:numPr>
              <w:snapToGrid w:val="0"/>
              <w:spacing w:after="0" w:line="240" w:lineRule="auto"/>
              <w:ind w:left="425" w:leftChars="0" w:right="0" w:rightChars="0" w:hanging="425" w:firstLineChars="0"/>
              <w:jc w:val="center"/>
              <w:rPr>
                <w:rFonts w:hint="eastAsia" w:ascii="宋体" w:hAnsi="宋体" w:eastAsia="宋体" w:cs="宋体"/>
                <w:b w:val="0"/>
                <w:bCs w:val="0"/>
                <w:sz w:val="24"/>
                <w:szCs w:val="24"/>
                <w:highlight w:val="none"/>
                <w:vertAlign w:val="baseline"/>
                <w:lang w:val="en-US" w:eastAsia="zh-CN"/>
              </w:rPr>
            </w:pPr>
          </w:p>
        </w:tc>
        <w:tc>
          <w:tcPr>
            <w:tcW w:w="2697" w:type="dxa"/>
            <w:vAlign w:val="center"/>
          </w:tcPr>
          <w:p w14:paraId="01E80745">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异常日志深度</w:t>
            </w:r>
          </w:p>
        </w:tc>
        <w:tc>
          <w:tcPr>
            <w:tcW w:w="5000" w:type="dxa"/>
            <w:vAlign w:val="center"/>
          </w:tcPr>
          <w:p w14:paraId="0A6483B2">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≥2K，错误存储深度不受限于驱动板硬件容量，可根据用户需求扩展配置。</w:t>
            </w:r>
          </w:p>
        </w:tc>
      </w:tr>
      <w:tr w14:paraId="42F60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726F16EC">
            <w:pPr>
              <w:widowControl w:val="0"/>
              <w:numPr>
                <w:ilvl w:val="0"/>
                <w:numId w:val="2"/>
              </w:numPr>
              <w:snapToGrid w:val="0"/>
              <w:spacing w:after="0" w:line="240" w:lineRule="auto"/>
              <w:ind w:left="425" w:leftChars="0" w:right="0" w:rightChars="0" w:hanging="425" w:firstLineChars="0"/>
              <w:jc w:val="center"/>
              <w:rPr>
                <w:rFonts w:hint="eastAsia" w:ascii="宋体" w:hAnsi="宋体" w:eastAsia="宋体" w:cs="宋体"/>
                <w:b w:val="0"/>
                <w:bCs w:val="0"/>
                <w:sz w:val="24"/>
                <w:szCs w:val="24"/>
                <w:highlight w:val="none"/>
                <w:vertAlign w:val="baseline"/>
                <w:lang w:val="en-US" w:eastAsia="zh-CN"/>
              </w:rPr>
            </w:pPr>
          </w:p>
        </w:tc>
        <w:tc>
          <w:tcPr>
            <w:tcW w:w="2697" w:type="dxa"/>
            <w:vAlign w:val="center"/>
          </w:tcPr>
          <w:p w14:paraId="3B690083">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矢量内存深度</w:t>
            </w:r>
          </w:p>
        </w:tc>
        <w:tc>
          <w:tcPr>
            <w:tcW w:w="5000" w:type="dxa"/>
            <w:vAlign w:val="center"/>
          </w:tcPr>
          <w:p w14:paraId="410708AB">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64 M 行</w:t>
            </w:r>
          </w:p>
        </w:tc>
      </w:tr>
      <w:tr w14:paraId="79C53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2DC5D7F4">
            <w:pPr>
              <w:widowControl w:val="0"/>
              <w:numPr>
                <w:ilvl w:val="0"/>
                <w:numId w:val="2"/>
              </w:numPr>
              <w:snapToGrid w:val="0"/>
              <w:spacing w:after="0" w:line="240" w:lineRule="auto"/>
              <w:ind w:left="425" w:leftChars="0" w:right="0" w:rightChars="0" w:hanging="425" w:firstLineChars="0"/>
              <w:jc w:val="center"/>
              <w:rPr>
                <w:rFonts w:hint="eastAsia" w:ascii="宋体" w:hAnsi="宋体" w:eastAsia="宋体" w:cs="宋体"/>
                <w:b w:val="0"/>
                <w:bCs w:val="0"/>
                <w:sz w:val="24"/>
                <w:szCs w:val="24"/>
                <w:highlight w:val="none"/>
                <w:vertAlign w:val="baseline"/>
                <w:lang w:val="en-US" w:eastAsia="zh-CN"/>
              </w:rPr>
            </w:pPr>
          </w:p>
        </w:tc>
        <w:tc>
          <w:tcPr>
            <w:tcW w:w="2697" w:type="dxa"/>
            <w:vAlign w:val="center"/>
          </w:tcPr>
          <w:p w14:paraId="31A95059">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时序通道数量</w:t>
            </w:r>
          </w:p>
        </w:tc>
        <w:tc>
          <w:tcPr>
            <w:tcW w:w="5000" w:type="dxa"/>
            <w:vAlign w:val="center"/>
          </w:tcPr>
          <w:p w14:paraId="59D3AB15">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8 组，每组配 1 组 Strobe，支持多时序配置，适应不同接口协议的时序要求。</w:t>
            </w:r>
          </w:p>
        </w:tc>
      </w:tr>
      <w:tr w14:paraId="64E92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17FB8060">
            <w:pPr>
              <w:widowControl w:val="0"/>
              <w:numPr>
                <w:ilvl w:val="0"/>
                <w:numId w:val="2"/>
              </w:numPr>
              <w:snapToGrid w:val="0"/>
              <w:spacing w:after="0" w:line="240" w:lineRule="auto"/>
              <w:ind w:left="425" w:leftChars="0" w:right="0" w:rightChars="0" w:hanging="425" w:firstLineChars="0"/>
              <w:jc w:val="center"/>
              <w:rPr>
                <w:rFonts w:hint="eastAsia" w:ascii="宋体" w:hAnsi="宋体" w:eastAsia="宋体" w:cs="宋体"/>
                <w:b w:val="0"/>
                <w:bCs w:val="0"/>
                <w:sz w:val="24"/>
                <w:szCs w:val="24"/>
                <w:highlight w:val="none"/>
                <w:vertAlign w:val="baseline"/>
                <w:lang w:val="en-US" w:eastAsia="zh-CN"/>
              </w:rPr>
            </w:pPr>
          </w:p>
        </w:tc>
        <w:tc>
          <w:tcPr>
            <w:tcW w:w="2697" w:type="dxa"/>
            <w:vAlign w:val="center"/>
          </w:tcPr>
          <w:p w14:paraId="425786E3">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IO 电压域</w:t>
            </w:r>
          </w:p>
        </w:tc>
        <w:tc>
          <w:tcPr>
            <w:tcW w:w="5000" w:type="dxa"/>
            <w:vAlign w:val="center"/>
          </w:tcPr>
          <w:p w14:paraId="318452CD">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4 组</w:t>
            </w:r>
          </w:p>
        </w:tc>
      </w:tr>
      <w:tr w14:paraId="32B52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070336CE">
            <w:pPr>
              <w:widowControl w:val="0"/>
              <w:numPr>
                <w:ilvl w:val="0"/>
                <w:numId w:val="2"/>
              </w:numPr>
              <w:snapToGrid w:val="0"/>
              <w:spacing w:after="0" w:line="240" w:lineRule="auto"/>
              <w:ind w:left="425" w:leftChars="0" w:right="0" w:rightChars="0" w:hanging="425" w:firstLineChars="0"/>
              <w:jc w:val="center"/>
              <w:rPr>
                <w:rFonts w:hint="eastAsia" w:ascii="宋体" w:hAnsi="宋体" w:eastAsia="宋体" w:cs="宋体"/>
                <w:b w:val="0"/>
                <w:bCs w:val="0"/>
                <w:sz w:val="24"/>
                <w:szCs w:val="24"/>
                <w:highlight w:val="none"/>
                <w:vertAlign w:val="baseline"/>
                <w:lang w:val="en-US" w:eastAsia="zh-CN"/>
              </w:rPr>
            </w:pPr>
          </w:p>
        </w:tc>
        <w:tc>
          <w:tcPr>
            <w:tcW w:w="2697" w:type="dxa"/>
            <w:vAlign w:val="center"/>
          </w:tcPr>
          <w:p w14:paraId="5745BFE5">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4组电压域VIH Level；VIL Level</w:t>
            </w:r>
          </w:p>
        </w:tc>
        <w:tc>
          <w:tcPr>
            <w:tcW w:w="5000" w:type="dxa"/>
            <w:vAlign w:val="center"/>
          </w:tcPr>
          <w:p w14:paraId="42A1A427">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0 ～ +5 V（分辨率 2 mV）；VIL Level：Fixed 0 V。</w:t>
            </w:r>
          </w:p>
        </w:tc>
      </w:tr>
      <w:tr w14:paraId="0D628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0" w:type="auto"/>
            <w:vAlign w:val="center"/>
          </w:tcPr>
          <w:p w14:paraId="4DBFF1A1">
            <w:pPr>
              <w:widowControl w:val="0"/>
              <w:numPr>
                <w:ilvl w:val="0"/>
                <w:numId w:val="2"/>
              </w:numPr>
              <w:snapToGrid w:val="0"/>
              <w:spacing w:after="0" w:line="240" w:lineRule="auto"/>
              <w:ind w:left="425" w:leftChars="0" w:right="0" w:rightChars="0" w:hanging="425" w:firstLineChars="0"/>
              <w:jc w:val="center"/>
              <w:rPr>
                <w:rFonts w:hint="eastAsia" w:ascii="宋体" w:hAnsi="宋体" w:eastAsia="宋体" w:cs="宋体"/>
                <w:b w:val="0"/>
                <w:bCs w:val="0"/>
                <w:sz w:val="24"/>
                <w:szCs w:val="24"/>
                <w:highlight w:val="none"/>
                <w:vertAlign w:val="baseline"/>
                <w:lang w:val="en-US" w:eastAsia="zh-CN"/>
              </w:rPr>
            </w:pPr>
          </w:p>
        </w:tc>
        <w:tc>
          <w:tcPr>
            <w:tcW w:w="2697" w:type="dxa"/>
            <w:vAlign w:val="center"/>
          </w:tcPr>
          <w:p w14:paraId="3D8B7719">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VRL/VRH电压范围</w:t>
            </w:r>
          </w:p>
        </w:tc>
        <w:tc>
          <w:tcPr>
            <w:tcW w:w="5000" w:type="dxa"/>
            <w:vAlign w:val="center"/>
          </w:tcPr>
          <w:p w14:paraId="3D75D1DA">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0 ～ +4.5 V（分辨率 2 mV；VRL：参考低电平，VRH：参考高电平）</w:t>
            </w:r>
          </w:p>
        </w:tc>
      </w:tr>
      <w:tr w14:paraId="5DFE4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7BF92868">
            <w:pPr>
              <w:widowControl w:val="0"/>
              <w:numPr>
                <w:ilvl w:val="0"/>
                <w:numId w:val="2"/>
              </w:numPr>
              <w:snapToGrid w:val="0"/>
              <w:spacing w:after="0" w:line="240" w:lineRule="auto"/>
              <w:ind w:left="425" w:leftChars="0" w:right="0" w:rightChars="0" w:hanging="425" w:firstLineChars="0"/>
              <w:jc w:val="center"/>
              <w:rPr>
                <w:rFonts w:hint="eastAsia" w:ascii="宋体" w:hAnsi="宋体" w:eastAsia="宋体" w:cs="宋体"/>
                <w:b w:val="0"/>
                <w:bCs w:val="0"/>
                <w:sz w:val="24"/>
                <w:szCs w:val="24"/>
                <w:highlight w:val="none"/>
                <w:vertAlign w:val="baseline"/>
                <w:lang w:val="en-US" w:eastAsia="zh-CN"/>
              </w:rPr>
            </w:pPr>
          </w:p>
        </w:tc>
        <w:tc>
          <w:tcPr>
            <w:tcW w:w="2697" w:type="dxa"/>
            <w:vAlign w:val="center"/>
          </w:tcPr>
          <w:p w14:paraId="669C77D2">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保护功能（包括但不限于）</w:t>
            </w:r>
          </w:p>
        </w:tc>
        <w:tc>
          <w:tcPr>
            <w:tcW w:w="5000" w:type="dxa"/>
            <w:vAlign w:val="center"/>
          </w:tcPr>
          <w:p w14:paraId="32237375">
            <w:pPr>
              <w:widowControl w:val="0"/>
              <w:snapToGrid w:val="0"/>
              <w:spacing w:after="0" w:line="240" w:lineRule="auto"/>
              <w:ind w:left="0" w:leftChars="0" w:right="0" w:rightChars="0" w:firstLine="0" w:firstLineChars="0"/>
              <w:jc w:val="center"/>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具备过压保护（OVP）、欠压保护（UVP）、过流保护（OCP）、欠流保护（UCP）、高温保护（OTP）、短路保护另配备：急停开关（EMO，警报时紧急下电）、腔体门开关、蜂鸣报警、上下电顺序联锁（上电先 AC 后 DC，下电先 DC 后 AC）。</w:t>
            </w:r>
          </w:p>
        </w:tc>
      </w:tr>
      <w:tr w14:paraId="55998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5A5E0897">
            <w:pPr>
              <w:widowControl w:val="0"/>
              <w:numPr>
                <w:ilvl w:val="0"/>
                <w:numId w:val="2"/>
              </w:numPr>
              <w:snapToGrid w:val="0"/>
              <w:spacing w:after="0" w:line="240" w:lineRule="auto"/>
              <w:ind w:left="425" w:leftChars="0" w:right="0" w:rightChars="0" w:hanging="425" w:firstLineChars="0"/>
              <w:jc w:val="center"/>
              <w:rPr>
                <w:rFonts w:hint="eastAsia" w:ascii="宋体" w:hAnsi="宋体" w:eastAsia="宋体" w:cs="宋体"/>
                <w:b w:val="0"/>
                <w:bCs w:val="0"/>
                <w:sz w:val="24"/>
                <w:szCs w:val="24"/>
                <w:highlight w:val="none"/>
                <w:vertAlign w:val="baseline"/>
                <w:lang w:val="en-US" w:eastAsia="zh-CN"/>
              </w:rPr>
            </w:pPr>
          </w:p>
        </w:tc>
        <w:tc>
          <w:tcPr>
            <w:tcW w:w="2697" w:type="dxa"/>
            <w:vAlign w:val="center"/>
          </w:tcPr>
          <w:p w14:paraId="122C84D1">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上位机支持测试程序编辑、执行、监控和数据分析，支持标准测试向量格式导入，需要配备厂商自研的向量转换工具，支持设备自检功能（如WGL、STIL、VCD等）</w:t>
            </w:r>
          </w:p>
        </w:tc>
        <w:tc>
          <w:tcPr>
            <w:tcW w:w="5000" w:type="dxa"/>
            <w:vAlign w:val="center"/>
          </w:tcPr>
          <w:p w14:paraId="27A05EC3">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上位机支持测试程序的编辑、执行、监控和数据分析全流程。支持标准测试向量格式导入：WGL、STIL、VCD、AVC、VEC、ATP、TXT、EXCEL 等。配备厂商自主研发的向量转换工具，可将 EDA 软件生成的 WGL、STIL 等文件转换为系统通用 VEC 文本文件，支持常用 ATE 测试机格式，支持批量和级联转换。</w:t>
            </w:r>
          </w:p>
        </w:tc>
      </w:tr>
      <w:tr w14:paraId="7CD83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56012425">
            <w:pPr>
              <w:widowControl w:val="0"/>
              <w:numPr>
                <w:ilvl w:val="0"/>
                <w:numId w:val="2"/>
              </w:numPr>
              <w:snapToGrid w:val="0"/>
              <w:spacing w:after="0" w:line="240" w:lineRule="auto"/>
              <w:ind w:left="425" w:leftChars="0" w:right="0" w:rightChars="0" w:hanging="425" w:firstLineChars="0"/>
              <w:jc w:val="center"/>
              <w:rPr>
                <w:rFonts w:hint="eastAsia" w:ascii="宋体" w:hAnsi="宋体" w:eastAsia="宋体" w:cs="宋体"/>
                <w:b w:val="0"/>
                <w:bCs w:val="0"/>
                <w:sz w:val="24"/>
                <w:szCs w:val="24"/>
                <w:highlight w:val="none"/>
                <w:vertAlign w:val="baseline"/>
                <w:lang w:val="en-US" w:eastAsia="zh-CN"/>
              </w:rPr>
            </w:pPr>
          </w:p>
        </w:tc>
        <w:tc>
          <w:tcPr>
            <w:tcW w:w="2697" w:type="dxa"/>
            <w:vAlign w:val="center"/>
          </w:tcPr>
          <w:p w14:paraId="7B1C9C0F">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Pattern Zone数量≥14，每个slot都有独立的驱动板，可以测试不同的项目</w:t>
            </w:r>
          </w:p>
        </w:tc>
        <w:tc>
          <w:tcPr>
            <w:tcW w:w="5000" w:type="dxa"/>
            <w:vAlign w:val="center"/>
          </w:tcPr>
          <w:p w14:paraId="247CEC42">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14 个。每个 Slot 均配置独立的驱动板（Pattern 发生与驱动板），各 Slot 可加载不同测试向量、执行不同试验项目。</w:t>
            </w:r>
          </w:p>
        </w:tc>
      </w:tr>
      <w:tr w14:paraId="79B5F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12EFFAAE">
            <w:pPr>
              <w:widowControl w:val="0"/>
              <w:numPr>
                <w:ilvl w:val="0"/>
                <w:numId w:val="2"/>
              </w:numPr>
              <w:snapToGrid w:val="0"/>
              <w:spacing w:after="0" w:line="240" w:lineRule="auto"/>
              <w:ind w:left="425" w:leftChars="0" w:right="0" w:rightChars="0" w:hanging="425" w:firstLineChars="0"/>
              <w:jc w:val="center"/>
              <w:rPr>
                <w:rFonts w:hint="eastAsia" w:ascii="宋体" w:hAnsi="宋体" w:eastAsia="宋体" w:cs="宋体"/>
                <w:b w:val="0"/>
                <w:bCs w:val="0"/>
                <w:sz w:val="24"/>
                <w:szCs w:val="24"/>
                <w:highlight w:val="none"/>
                <w:vertAlign w:val="baseline"/>
                <w:lang w:val="en-US" w:eastAsia="zh-CN"/>
              </w:rPr>
            </w:pPr>
          </w:p>
        </w:tc>
        <w:tc>
          <w:tcPr>
            <w:tcW w:w="2697" w:type="dxa"/>
            <w:vAlign w:val="center"/>
          </w:tcPr>
          <w:p w14:paraId="700B61C1">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软件具备实时数据采集功能，可实时监控每颗DUT的电压、电流、温度、测试状态等参数</w:t>
            </w:r>
          </w:p>
        </w:tc>
        <w:tc>
          <w:tcPr>
            <w:tcW w:w="5000" w:type="dxa"/>
            <w:vAlign w:val="center"/>
          </w:tcPr>
          <w:p w14:paraId="3A4C1010">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软件具备实时数据采集功能，可实时监控每颗 DUT 的电压、电流、温度、测试状态等参数，并以图形化方式展示。</w:t>
            </w:r>
          </w:p>
          <w:p w14:paraId="5AE8B4AB">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p>
        </w:tc>
      </w:tr>
      <w:tr w14:paraId="5300C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7D75D066">
            <w:pPr>
              <w:widowControl w:val="0"/>
              <w:numPr>
                <w:ilvl w:val="0"/>
                <w:numId w:val="2"/>
              </w:numPr>
              <w:snapToGrid w:val="0"/>
              <w:spacing w:after="0" w:line="240" w:lineRule="auto"/>
              <w:ind w:left="425" w:leftChars="0" w:right="0" w:rightChars="0" w:hanging="425" w:firstLineChars="0"/>
              <w:jc w:val="center"/>
              <w:rPr>
                <w:rFonts w:hint="eastAsia" w:ascii="宋体" w:hAnsi="宋体" w:eastAsia="宋体" w:cs="宋体"/>
                <w:b w:val="0"/>
                <w:bCs w:val="0"/>
                <w:sz w:val="24"/>
                <w:szCs w:val="24"/>
                <w:highlight w:val="none"/>
                <w:vertAlign w:val="baseline"/>
                <w:lang w:val="en-US" w:eastAsia="zh-CN"/>
              </w:rPr>
            </w:pPr>
          </w:p>
        </w:tc>
        <w:tc>
          <w:tcPr>
            <w:tcW w:w="2697" w:type="dxa"/>
            <w:vAlign w:val="center"/>
          </w:tcPr>
          <w:p w14:paraId="08E32DF8">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软件具备日志记录与报警管理功能，所有操作日志、测试数据、异常事件自动记录并存储，支持按时间、Slot、DUT编号等条件检索</w:t>
            </w:r>
          </w:p>
        </w:tc>
        <w:tc>
          <w:tcPr>
            <w:tcW w:w="5000" w:type="dxa"/>
            <w:vAlign w:val="center"/>
          </w:tcPr>
          <w:p w14:paraId="6E65B663">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软件具备日志记录与报警管理功能：所有操作日志、测试数据、异常事件自动记录并存储，支持按时间、Slot、DUT 编号等条件检索；支持异常中断后续接试验。</w:t>
            </w:r>
          </w:p>
        </w:tc>
      </w:tr>
      <w:tr w14:paraId="41210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88" w:type="dxa"/>
            <w:vAlign w:val="center"/>
          </w:tcPr>
          <w:p w14:paraId="044B875C">
            <w:pPr>
              <w:widowControl w:val="0"/>
              <w:numPr>
                <w:ilvl w:val="0"/>
                <w:numId w:val="2"/>
              </w:numPr>
              <w:snapToGrid w:val="0"/>
              <w:spacing w:after="0" w:line="240" w:lineRule="auto"/>
              <w:ind w:left="425" w:leftChars="0" w:right="0" w:rightChars="0" w:hanging="425" w:firstLineChars="0"/>
              <w:jc w:val="center"/>
              <w:rPr>
                <w:rFonts w:hint="eastAsia" w:ascii="宋体" w:hAnsi="宋体" w:eastAsia="宋体" w:cs="宋体"/>
                <w:b w:val="0"/>
                <w:bCs w:val="0"/>
                <w:sz w:val="24"/>
                <w:szCs w:val="24"/>
                <w:highlight w:val="none"/>
                <w:vertAlign w:val="baseline"/>
                <w:lang w:val="en-US" w:eastAsia="zh-CN"/>
              </w:rPr>
            </w:pPr>
          </w:p>
        </w:tc>
        <w:tc>
          <w:tcPr>
            <w:tcW w:w="2697" w:type="dxa"/>
            <w:vAlign w:val="center"/>
          </w:tcPr>
          <w:p w14:paraId="3479EE21">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软件支持用户权限管理，可配置不同角色（管理员、工程师、操作员）的操作权限，保障系统安全。</w:t>
            </w:r>
          </w:p>
        </w:tc>
        <w:tc>
          <w:tcPr>
            <w:tcW w:w="5000" w:type="dxa"/>
            <w:vAlign w:val="center"/>
          </w:tcPr>
          <w:p w14:paraId="433F023F">
            <w:pPr>
              <w:widowControl w:val="0"/>
              <w:snapToGrid w:val="0"/>
              <w:spacing w:after="0" w:line="240" w:lineRule="auto"/>
              <w:ind w:left="0" w:leftChars="0" w:right="0" w:rightChars="0" w:firstLine="0" w:firstLineChars="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软件支持用户权限管理，可配置管理员、工程师、操作员等不同角色的操作权限，保障系统安全。</w:t>
            </w:r>
          </w:p>
        </w:tc>
      </w:tr>
    </w:tbl>
    <w:p w14:paraId="1E8915EA">
      <w:pP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br w:type="page"/>
      </w:r>
    </w:p>
    <w:p w14:paraId="7B73BF35">
      <w:pPr>
        <w:pBdr>
          <w:top w:val="none" w:color="000000" w:sz="0" w:space="0"/>
          <w:left w:val="none" w:color="000000" w:sz="0" w:space="0"/>
          <w:bottom w:val="none" w:color="000000" w:sz="0" w:space="0"/>
          <w:right w:val="none" w:color="000000" w:sz="0" w:space="0"/>
        </w:pBdr>
        <w:spacing w:line="360" w:lineRule="auto"/>
        <w:ind w:firstLine="210"/>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附件二、</w:t>
      </w:r>
    </w:p>
    <w:p w14:paraId="4B48AC07">
      <w:pPr>
        <w:pBdr>
          <w:top w:val="none" w:color="000000" w:sz="0" w:space="0"/>
          <w:left w:val="none" w:color="000000" w:sz="0" w:space="0"/>
          <w:bottom w:val="none" w:color="000000" w:sz="0" w:space="0"/>
          <w:right w:val="none" w:color="000000" w:sz="0" w:space="0"/>
        </w:pBdr>
        <w:spacing w:line="360" w:lineRule="auto"/>
        <w:ind w:firstLine="210"/>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交货清单</w:t>
      </w:r>
    </w:p>
    <w:tbl>
      <w:tblPr>
        <w:tblStyle w:val="2"/>
        <w:tblW w:w="8522" w:type="dxa"/>
        <w:jc w:val="center"/>
        <w:tblLayout w:type="autofit"/>
        <w:tblCellMar>
          <w:top w:w="0" w:type="dxa"/>
          <w:left w:w="108" w:type="dxa"/>
          <w:bottom w:w="0" w:type="dxa"/>
          <w:right w:w="108" w:type="dxa"/>
        </w:tblCellMar>
      </w:tblPr>
      <w:tblGrid>
        <w:gridCol w:w="1028"/>
        <w:gridCol w:w="2279"/>
        <w:gridCol w:w="1031"/>
        <w:gridCol w:w="2227"/>
        <w:gridCol w:w="1957"/>
      </w:tblGrid>
      <w:tr w14:paraId="2ED7A5FD">
        <w:trPr>
          <w:trHeight w:val="0" w:hRule="atLeast"/>
          <w:tblHeader/>
          <w:jc w:val="center"/>
        </w:trPr>
        <w:tc>
          <w:tcPr>
            <w:tcW w:w="1028" w:type="dxa"/>
            <w:tcBorders>
              <w:top w:val="single" w:color="E0E0E0" w:sz="6" w:space="0"/>
              <w:left w:val="single" w:color="E0E0E0" w:sz="6" w:space="0"/>
              <w:bottom w:val="single" w:color="E0E0E0" w:sz="6" w:space="0"/>
              <w:right w:val="single" w:color="E0E0E0" w:sz="6" w:space="0"/>
            </w:tcBorders>
            <w:shd w:val="clear" w:color="auto" w:fill="F5F7FA"/>
            <w:tcMar>
              <w:top w:w="108" w:type="dxa"/>
              <w:left w:w="168" w:type="dxa"/>
              <w:bottom w:w="108" w:type="dxa"/>
              <w:right w:w="168" w:type="dxa"/>
            </w:tcMar>
            <w:vAlign w:val="center"/>
          </w:tcPr>
          <w:p w14:paraId="268FC101">
            <w:pPr>
              <w:snapToGrid w:val="0"/>
              <w:spacing w:before="45" w:after="45" w:line="240" w:lineRule="auto"/>
              <w:ind w:left="0" w:leftChars="0" w:right="0" w:rightChars="0" w:firstLine="0" w:firstLineChars="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序号</w:t>
            </w:r>
          </w:p>
        </w:tc>
        <w:tc>
          <w:tcPr>
            <w:tcW w:w="2279" w:type="dxa"/>
            <w:tcBorders>
              <w:top w:val="single" w:color="E0E0E0" w:sz="6" w:space="0"/>
              <w:left w:val="single" w:color="E0E0E0" w:sz="6" w:space="0"/>
              <w:bottom w:val="single" w:color="E0E0E0" w:sz="6" w:space="0"/>
              <w:right w:val="single" w:color="E0E0E0" w:sz="6" w:space="0"/>
            </w:tcBorders>
            <w:shd w:val="clear" w:color="auto" w:fill="F5F7FA"/>
            <w:tcMar>
              <w:top w:w="108" w:type="dxa"/>
              <w:left w:w="168" w:type="dxa"/>
              <w:bottom w:w="108" w:type="dxa"/>
              <w:right w:w="168" w:type="dxa"/>
            </w:tcMar>
            <w:vAlign w:val="center"/>
          </w:tcPr>
          <w:p w14:paraId="6391C7F1">
            <w:pPr>
              <w:snapToGrid w:val="0"/>
              <w:spacing w:before="45" w:after="45" w:line="240" w:lineRule="auto"/>
              <w:ind w:left="0" w:leftChars="0" w:right="0" w:rightChars="0" w:firstLine="0" w:firstLineChars="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名称</w:t>
            </w:r>
          </w:p>
        </w:tc>
        <w:tc>
          <w:tcPr>
            <w:tcW w:w="1031" w:type="dxa"/>
            <w:tcBorders>
              <w:top w:val="single" w:color="E0E0E0" w:sz="6" w:space="0"/>
              <w:left w:val="single" w:color="E0E0E0" w:sz="6" w:space="0"/>
              <w:bottom w:val="single" w:color="E0E0E0" w:sz="6" w:space="0"/>
              <w:right w:val="single" w:color="E0E0E0" w:sz="6" w:space="0"/>
            </w:tcBorders>
            <w:shd w:val="clear" w:color="auto" w:fill="F5F7FA"/>
            <w:tcMar>
              <w:top w:w="108" w:type="dxa"/>
              <w:left w:w="168" w:type="dxa"/>
              <w:bottom w:w="108" w:type="dxa"/>
              <w:right w:w="168" w:type="dxa"/>
            </w:tcMar>
            <w:vAlign w:val="center"/>
          </w:tcPr>
          <w:p w14:paraId="3037AFCE">
            <w:pPr>
              <w:snapToGrid w:val="0"/>
              <w:spacing w:before="45" w:after="45" w:line="240" w:lineRule="auto"/>
              <w:ind w:left="0" w:leftChars="0" w:right="0" w:rightChars="0" w:firstLine="0" w:firstLineChars="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型号</w:t>
            </w:r>
          </w:p>
        </w:tc>
        <w:tc>
          <w:tcPr>
            <w:tcW w:w="2227" w:type="dxa"/>
            <w:tcBorders>
              <w:top w:val="single" w:color="E0E0E0" w:sz="6" w:space="0"/>
              <w:left w:val="single" w:color="E0E0E0" w:sz="6" w:space="0"/>
              <w:bottom w:val="single" w:color="E0E0E0" w:sz="6" w:space="0"/>
              <w:right w:val="single" w:color="E0E0E0" w:sz="6" w:space="0"/>
            </w:tcBorders>
            <w:shd w:val="clear" w:color="auto" w:fill="F5F7FA"/>
            <w:tcMar>
              <w:top w:w="108" w:type="dxa"/>
              <w:left w:w="168" w:type="dxa"/>
              <w:bottom w:w="108" w:type="dxa"/>
              <w:right w:w="168" w:type="dxa"/>
            </w:tcMar>
            <w:vAlign w:val="center"/>
          </w:tcPr>
          <w:p w14:paraId="17DF3280">
            <w:pPr>
              <w:snapToGrid w:val="0"/>
              <w:spacing w:before="45" w:after="45" w:line="240" w:lineRule="auto"/>
              <w:ind w:left="0" w:leftChars="0" w:right="0" w:rightChars="0" w:firstLine="0" w:firstLineChars="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数量（PCS）</w:t>
            </w:r>
          </w:p>
        </w:tc>
        <w:tc>
          <w:tcPr>
            <w:tcW w:w="1957" w:type="dxa"/>
            <w:tcBorders>
              <w:top w:val="single" w:color="E0E0E0" w:sz="6" w:space="0"/>
              <w:left w:val="single" w:color="E0E0E0" w:sz="6" w:space="0"/>
              <w:bottom w:val="single" w:color="E0E0E0" w:sz="6" w:space="0"/>
              <w:right w:val="single" w:color="E0E0E0" w:sz="6" w:space="0"/>
            </w:tcBorders>
            <w:shd w:val="clear" w:color="auto" w:fill="F5F7FA"/>
            <w:tcMar>
              <w:top w:w="108" w:type="dxa"/>
              <w:left w:w="168" w:type="dxa"/>
              <w:bottom w:w="108" w:type="dxa"/>
              <w:right w:w="168" w:type="dxa"/>
            </w:tcMar>
            <w:vAlign w:val="center"/>
          </w:tcPr>
          <w:p w14:paraId="2C3EF879">
            <w:pPr>
              <w:snapToGrid w:val="0"/>
              <w:spacing w:before="45" w:after="45" w:line="240" w:lineRule="auto"/>
              <w:ind w:left="0" w:leftChars="0" w:right="0" w:rightChars="0" w:firstLine="0" w:firstLineChars="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备注</w:t>
            </w:r>
          </w:p>
        </w:tc>
      </w:tr>
      <w:tr w14:paraId="6C71EA65">
        <w:tblPrEx>
          <w:tblCellMar>
            <w:top w:w="0" w:type="dxa"/>
            <w:left w:w="108" w:type="dxa"/>
            <w:bottom w:w="0" w:type="dxa"/>
            <w:right w:w="108" w:type="dxa"/>
          </w:tblCellMar>
        </w:tblPrEx>
        <w:trPr>
          <w:trHeight w:val="0" w:hRule="atLeast"/>
          <w:jc w:val="center"/>
        </w:trPr>
        <w:tc>
          <w:tcPr>
            <w:tcW w:w="1028"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7D92C4A6">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2279"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5EC250C0">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老化腔体</w:t>
            </w:r>
          </w:p>
        </w:tc>
        <w:tc>
          <w:tcPr>
            <w:tcW w:w="1031"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7FC8CB8D">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2227"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4F27C8E8">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957"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458265E8">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bookmarkStart w:id="0" w:name="1_01"/>
            <w:bookmarkEnd w:id="0"/>
          </w:p>
        </w:tc>
      </w:tr>
      <w:tr w14:paraId="4E42FCBC">
        <w:tblPrEx>
          <w:tblCellMar>
            <w:top w:w="0" w:type="dxa"/>
            <w:left w:w="108" w:type="dxa"/>
            <w:bottom w:w="0" w:type="dxa"/>
            <w:right w:w="108" w:type="dxa"/>
          </w:tblCellMar>
        </w:tblPrEx>
        <w:trPr>
          <w:trHeight w:val="0" w:hRule="atLeast"/>
          <w:jc w:val="center"/>
        </w:trPr>
        <w:tc>
          <w:tcPr>
            <w:tcW w:w="1028"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4EA32B9D">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2279"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0E77A810">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驱动板</w:t>
            </w:r>
          </w:p>
        </w:tc>
        <w:tc>
          <w:tcPr>
            <w:tcW w:w="1031"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3A0B1836">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2227"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76630CD7">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14</w:t>
            </w:r>
          </w:p>
        </w:tc>
        <w:tc>
          <w:tcPr>
            <w:tcW w:w="1957"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3B939408">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bookmarkStart w:id="1" w:name="14_01"/>
            <w:bookmarkEnd w:id="1"/>
          </w:p>
        </w:tc>
      </w:tr>
      <w:tr w14:paraId="6DA442C3">
        <w:tblPrEx>
          <w:tblCellMar>
            <w:top w:w="0" w:type="dxa"/>
            <w:left w:w="108" w:type="dxa"/>
            <w:bottom w:w="0" w:type="dxa"/>
            <w:right w:w="108" w:type="dxa"/>
          </w:tblCellMar>
        </w:tblPrEx>
        <w:trPr>
          <w:trHeight w:val="0" w:hRule="atLeast"/>
          <w:jc w:val="center"/>
        </w:trPr>
        <w:tc>
          <w:tcPr>
            <w:tcW w:w="1028"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341800BA">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2279"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61A5BCA2">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GUI  软件</w:t>
            </w:r>
          </w:p>
        </w:tc>
        <w:tc>
          <w:tcPr>
            <w:tcW w:w="1031"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6FE64104">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2227"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7ED80FC2">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957"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6780E6D9">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bookmarkStart w:id="2" w:name="1_02"/>
            <w:bookmarkEnd w:id="2"/>
          </w:p>
        </w:tc>
      </w:tr>
      <w:tr w14:paraId="2AADE5F9">
        <w:tblPrEx>
          <w:tblCellMar>
            <w:top w:w="0" w:type="dxa"/>
            <w:left w:w="108" w:type="dxa"/>
            <w:bottom w:w="0" w:type="dxa"/>
            <w:right w:w="108" w:type="dxa"/>
          </w:tblCellMar>
        </w:tblPrEx>
        <w:trPr>
          <w:trHeight w:val="0" w:hRule="atLeast"/>
          <w:jc w:val="center"/>
        </w:trPr>
        <w:tc>
          <w:tcPr>
            <w:tcW w:w="1028"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6745CC4F">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2279"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37DCA616">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UPS</w:t>
            </w:r>
          </w:p>
        </w:tc>
        <w:tc>
          <w:tcPr>
            <w:tcW w:w="1031"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3E724BAB">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2227"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672F5A58">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957"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01BF3497">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bookmarkStart w:id="3" w:name="1_03"/>
            <w:bookmarkEnd w:id="3"/>
          </w:p>
        </w:tc>
      </w:tr>
      <w:tr w14:paraId="69F45A52">
        <w:tblPrEx>
          <w:tblCellMar>
            <w:top w:w="0" w:type="dxa"/>
            <w:left w:w="108" w:type="dxa"/>
            <w:bottom w:w="0" w:type="dxa"/>
            <w:right w:w="108" w:type="dxa"/>
          </w:tblCellMar>
        </w:tblPrEx>
        <w:trPr>
          <w:trHeight w:val="0" w:hRule="atLeast"/>
          <w:jc w:val="center"/>
        </w:trPr>
        <w:tc>
          <w:tcPr>
            <w:tcW w:w="1028"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688B8086">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2279"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64AA99F1">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电脑主机</w:t>
            </w:r>
          </w:p>
        </w:tc>
        <w:tc>
          <w:tcPr>
            <w:tcW w:w="1031"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492876A2">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2227"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00F2C1B2">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957"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6277C450">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bookmarkStart w:id="4" w:name="1_04"/>
            <w:bookmarkEnd w:id="4"/>
          </w:p>
        </w:tc>
      </w:tr>
      <w:tr w14:paraId="715D85B4">
        <w:tblPrEx>
          <w:tblCellMar>
            <w:top w:w="0" w:type="dxa"/>
            <w:left w:w="108" w:type="dxa"/>
            <w:bottom w:w="0" w:type="dxa"/>
            <w:right w:w="108" w:type="dxa"/>
          </w:tblCellMar>
        </w:tblPrEx>
        <w:trPr>
          <w:trHeight w:val="0" w:hRule="atLeast"/>
          <w:jc w:val="center"/>
        </w:trPr>
        <w:tc>
          <w:tcPr>
            <w:tcW w:w="1028"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6985EF76">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c>
          <w:tcPr>
            <w:tcW w:w="2279"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325263DE">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冷水机</w:t>
            </w:r>
          </w:p>
        </w:tc>
        <w:tc>
          <w:tcPr>
            <w:tcW w:w="1031"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287216FB">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w:t>
            </w:r>
          </w:p>
        </w:tc>
        <w:tc>
          <w:tcPr>
            <w:tcW w:w="2227"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097703D3">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957"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4AA760A5">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p>
        </w:tc>
      </w:tr>
      <w:tr w14:paraId="23FB9E58">
        <w:tblPrEx>
          <w:tblCellMar>
            <w:top w:w="0" w:type="dxa"/>
            <w:left w:w="108" w:type="dxa"/>
            <w:bottom w:w="0" w:type="dxa"/>
            <w:right w:w="108" w:type="dxa"/>
          </w:tblCellMar>
        </w:tblPrEx>
        <w:trPr>
          <w:trHeight w:val="0" w:hRule="atLeast"/>
          <w:jc w:val="center"/>
        </w:trPr>
        <w:tc>
          <w:tcPr>
            <w:tcW w:w="1028"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6A857FA4">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w:t>
            </w:r>
          </w:p>
        </w:tc>
        <w:tc>
          <w:tcPr>
            <w:tcW w:w="2279"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7C99B1E9">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BIB升降车</w:t>
            </w:r>
          </w:p>
        </w:tc>
        <w:tc>
          <w:tcPr>
            <w:tcW w:w="1031"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7EB0DEAC">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w:t>
            </w:r>
          </w:p>
        </w:tc>
        <w:tc>
          <w:tcPr>
            <w:tcW w:w="2227"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7A2C4F29">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p>
        </w:tc>
        <w:tc>
          <w:tcPr>
            <w:tcW w:w="1957"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6F6C487D">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p>
        </w:tc>
      </w:tr>
      <w:tr w14:paraId="6BE5A1F4">
        <w:tblPrEx>
          <w:tblCellMar>
            <w:top w:w="0" w:type="dxa"/>
            <w:left w:w="108" w:type="dxa"/>
            <w:bottom w:w="0" w:type="dxa"/>
            <w:right w:w="108" w:type="dxa"/>
          </w:tblCellMar>
        </w:tblPrEx>
        <w:trPr>
          <w:trHeight w:val="0" w:hRule="atLeast"/>
          <w:jc w:val="center"/>
        </w:trPr>
        <w:tc>
          <w:tcPr>
            <w:tcW w:w="1028"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43BA72E2">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8</w:t>
            </w:r>
          </w:p>
        </w:tc>
        <w:tc>
          <w:tcPr>
            <w:tcW w:w="2279"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424ABEA3">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验板机</w:t>
            </w:r>
          </w:p>
        </w:tc>
        <w:tc>
          <w:tcPr>
            <w:tcW w:w="1031"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16DD9556">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w:t>
            </w:r>
          </w:p>
        </w:tc>
        <w:tc>
          <w:tcPr>
            <w:tcW w:w="2227"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2D54E85C">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p>
        </w:tc>
        <w:tc>
          <w:tcPr>
            <w:tcW w:w="1957"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1CFF306A">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p>
        </w:tc>
      </w:tr>
      <w:tr w14:paraId="6192D494">
        <w:tblPrEx>
          <w:tblCellMar>
            <w:top w:w="0" w:type="dxa"/>
            <w:left w:w="108" w:type="dxa"/>
            <w:bottom w:w="0" w:type="dxa"/>
            <w:right w:w="108" w:type="dxa"/>
          </w:tblCellMar>
        </w:tblPrEx>
        <w:trPr>
          <w:trHeight w:val="0" w:hRule="atLeast"/>
          <w:jc w:val="center"/>
        </w:trPr>
        <w:tc>
          <w:tcPr>
            <w:tcW w:w="1028"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44947345">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9</w:t>
            </w:r>
          </w:p>
        </w:tc>
        <w:tc>
          <w:tcPr>
            <w:tcW w:w="2279"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785E7C77">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BNC  转接线</w:t>
            </w:r>
          </w:p>
        </w:tc>
        <w:tc>
          <w:tcPr>
            <w:tcW w:w="1031"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0A199B04">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2227"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2A69A16C">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957"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347B4B41">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公头转公头</w:t>
            </w:r>
          </w:p>
        </w:tc>
      </w:tr>
      <w:tr w14:paraId="616C0B7C">
        <w:tblPrEx>
          <w:tblCellMar>
            <w:top w:w="0" w:type="dxa"/>
            <w:left w:w="108" w:type="dxa"/>
            <w:bottom w:w="0" w:type="dxa"/>
            <w:right w:w="108" w:type="dxa"/>
          </w:tblCellMar>
        </w:tblPrEx>
        <w:trPr>
          <w:trHeight w:val="0" w:hRule="atLeast"/>
          <w:jc w:val="center"/>
        </w:trPr>
        <w:tc>
          <w:tcPr>
            <w:tcW w:w="1028"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009031C2">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w:t>
            </w:r>
          </w:p>
        </w:tc>
        <w:tc>
          <w:tcPr>
            <w:tcW w:w="2279"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7F38B6DE">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显示屏</w:t>
            </w:r>
          </w:p>
        </w:tc>
        <w:tc>
          <w:tcPr>
            <w:tcW w:w="1031"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6ED8A200">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2227"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70A30739">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957"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37895301">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bookmarkStart w:id="5" w:name="1_05"/>
            <w:bookmarkEnd w:id="5"/>
          </w:p>
        </w:tc>
      </w:tr>
      <w:tr w14:paraId="3ABA3249">
        <w:tblPrEx>
          <w:tblCellMar>
            <w:top w:w="0" w:type="dxa"/>
            <w:left w:w="108" w:type="dxa"/>
            <w:bottom w:w="0" w:type="dxa"/>
            <w:right w:w="108" w:type="dxa"/>
          </w:tblCellMar>
        </w:tblPrEx>
        <w:trPr>
          <w:trHeight w:val="0" w:hRule="atLeast"/>
          <w:jc w:val="center"/>
        </w:trPr>
        <w:tc>
          <w:tcPr>
            <w:tcW w:w="1028"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753FA68D">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w:t>
            </w:r>
          </w:p>
        </w:tc>
        <w:tc>
          <w:tcPr>
            <w:tcW w:w="2279"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3A189038">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鼠标</w:t>
            </w:r>
          </w:p>
        </w:tc>
        <w:tc>
          <w:tcPr>
            <w:tcW w:w="1031"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6A80AB69">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2227"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62B8CADC">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957"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00E40E2E">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bookmarkStart w:id="6" w:name="1_06"/>
            <w:bookmarkEnd w:id="6"/>
          </w:p>
        </w:tc>
      </w:tr>
      <w:tr w14:paraId="15F0DCEA">
        <w:tblPrEx>
          <w:tblCellMar>
            <w:top w:w="0" w:type="dxa"/>
            <w:left w:w="108" w:type="dxa"/>
            <w:bottom w:w="0" w:type="dxa"/>
            <w:right w:w="108" w:type="dxa"/>
          </w:tblCellMar>
        </w:tblPrEx>
        <w:trPr>
          <w:trHeight w:val="0" w:hRule="atLeast"/>
          <w:jc w:val="center"/>
        </w:trPr>
        <w:tc>
          <w:tcPr>
            <w:tcW w:w="1028"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6478FD2B">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12</w:t>
            </w:r>
          </w:p>
        </w:tc>
        <w:tc>
          <w:tcPr>
            <w:tcW w:w="2279"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327596C8">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键盘</w:t>
            </w:r>
          </w:p>
        </w:tc>
        <w:tc>
          <w:tcPr>
            <w:tcW w:w="1031"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2BA84A3B">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2227"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39126FFF">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957"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1A3EAB0B">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bookmarkStart w:id="7" w:name="1_07"/>
            <w:bookmarkEnd w:id="7"/>
          </w:p>
        </w:tc>
      </w:tr>
      <w:tr w14:paraId="0F3C64AF">
        <w:tblPrEx>
          <w:tblCellMar>
            <w:top w:w="0" w:type="dxa"/>
            <w:left w:w="108" w:type="dxa"/>
            <w:bottom w:w="0" w:type="dxa"/>
            <w:right w:w="108" w:type="dxa"/>
          </w:tblCellMar>
        </w:tblPrEx>
        <w:trPr>
          <w:trHeight w:val="0" w:hRule="atLeast"/>
          <w:jc w:val="center"/>
        </w:trPr>
        <w:tc>
          <w:tcPr>
            <w:tcW w:w="1028"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251A2ECA">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13</w:t>
            </w:r>
          </w:p>
        </w:tc>
        <w:tc>
          <w:tcPr>
            <w:tcW w:w="2279"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28A2A3C2">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电缆</w:t>
            </w:r>
          </w:p>
        </w:tc>
        <w:tc>
          <w:tcPr>
            <w:tcW w:w="1031"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699F64FF">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w:t>
            </w:r>
          </w:p>
        </w:tc>
        <w:tc>
          <w:tcPr>
            <w:tcW w:w="2227"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77DF24F0">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957"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1E4A0F3B">
            <w:pPr>
              <w:snapToGrid w:val="0"/>
              <w:spacing w:before="45" w:after="45" w:line="240" w:lineRule="auto"/>
              <w:ind w:left="0" w:leftChars="0" w:right="0" w:rightChars="0" w:firstLine="0" w:firstLineChars="0"/>
              <w:jc w:val="center"/>
              <w:rPr>
                <w:rFonts w:hint="default" w:ascii="Times New Roman" w:hAnsi="Times New Roman" w:eastAsia="宋体" w:cs="Times New Roman"/>
                <w:color w:val="212121"/>
                <w:kern w:val="0"/>
                <w:sz w:val="20"/>
                <w:szCs w:val="20"/>
                <w:lang w:val="en-US" w:eastAsia="zh-CN" w:bidi="ar"/>
              </w:rPr>
            </w:pPr>
            <w:r>
              <w:rPr>
                <w:rFonts w:hint="default" w:ascii="Times New Roman" w:hAnsi="Times New Roman" w:eastAsia="宋体" w:cs="Times New Roman"/>
                <w:color w:val="212121"/>
                <w:kern w:val="0"/>
                <w:sz w:val="20"/>
                <w:szCs w:val="20"/>
                <w:lang w:val="en-US" w:eastAsia="zh-CN" w:bidi="ar"/>
              </w:rPr>
              <w:t>4×95mm²+1×50mm</w:t>
            </w:r>
          </w:p>
          <w:p w14:paraId="08942590">
            <w:pPr>
              <w:snapToGrid w:val="0"/>
              <w:spacing w:before="45" w:after="45" w:line="240" w:lineRule="auto"/>
              <w:ind w:left="0" w:leftChars="0" w:right="0" w:rightChars="0" w:firstLine="0" w:firstLineChars="0"/>
              <w:jc w:val="center"/>
              <w:rPr>
                <w:rFonts w:hint="default" w:ascii="Times New Roman" w:hAnsi="Times New Roman" w:eastAsia="宋体" w:cs="Times New Roman"/>
                <w:color w:val="212121"/>
                <w:kern w:val="0"/>
                <w:sz w:val="20"/>
                <w:szCs w:val="20"/>
                <w:lang w:val="en-US" w:eastAsia="zh-CN" w:bidi="ar"/>
              </w:rPr>
            </w:pPr>
            <w:r>
              <w:rPr>
                <w:rFonts w:hint="eastAsia" w:ascii="Times New Roman" w:hAnsi="Times New Roman" w:eastAsia="宋体" w:cs="Times New Roman"/>
                <w:color w:val="212121"/>
                <w:kern w:val="0"/>
                <w:sz w:val="20"/>
                <w:szCs w:val="20"/>
                <w:lang w:val="en-US" w:eastAsia="zh-CN" w:bidi="ar"/>
              </w:rPr>
              <w:t>10米</w:t>
            </w:r>
          </w:p>
        </w:tc>
      </w:tr>
      <w:tr w14:paraId="7831ACA8">
        <w:tblPrEx>
          <w:tblCellMar>
            <w:top w:w="0" w:type="dxa"/>
            <w:left w:w="108" w:type="dxa"/>
            <w:bottom w:w="0" w:type="dxa"/>
            <w:right w:w="108" w:type="dxa"/>
          </w:tblCellMar>
        </w:tblPrEx>
        <w:trPr>
          <w:trHeight w:val="0" w:hRule="atLeast"/>
          <w:jc w:val="center"/>
        </w:trPr>
        <w:tc>
          <w:tcPr>
            <w:tcW w:w="1028"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791753E9">
            <w:pPr>
              <w:snapToGrid w:val="0"/>
              <w:spacing w:before="45" w:after="45" w:line="240" w:lineRule="auto"/>
              <w:ind w:left="0" w:leftChars="0" w:right="0" w:rightChars="0" w:firstLine="0" w:firstLineChars="0"/>
              <w:jc w:val="center"/>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14</w:t>
            </w:r>
          </w:p>
        </w:tc>
        <w:tc>
          <w:tcPr>
            <w:tcW w:w="2279"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51EFB3C0">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产品规格书</w:t>
            </w:r>
          </w:p>
        </w:tc>
        <w:tc>
          <w:tcPr>
            <w:tcW w:w="1031"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47F052FB">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2227"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28F1807C">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957"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6C46BD41">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电子版</w:t>
            </w:r>
          </w:p>
        </w:tc>
      </w:tr>
      <w:tr w14:paraId="241E2C0E">
        <w:tblPrEx>
          <w:tblCellMar>
            <w:top w:w="0" w:type="dxa"/>
            <w:left w:w="108" w:type="dxa"/>
            <w:bottom w:w="0" w:type="dxa"/>
            <w:right w:w="108" w:type="dxa"/>
          </w:tblCellMar>
        </w:tblPrEx>
        <w:trPr>
          <w:trHeight w:val="0" w:hRule="atLeast"/>
          <w:jc w:val="center"/>
        </w:trPr>
        <w:tc>
          <w:tcPr>
            <w:tcW w:w="1028"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5186C015">
            <w:pPr>
              <w:snapToGrid w:val="0"/>
              <w:spacing w:before="45" w:after="45" w:line="240" w:lineRule="auto"/>
              <w:ind w:left="0" w:leftChars="0" w:right="0" w:rightChars="0" w:firstLine="0" w:firstLineChars="0"/>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15</w:t>
            </w:r>
          </w:p>
        </w:tc>
        <w:tc>
          <w:tcPr>
            <w:tcW w:w="2279"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5DD2DF2D">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操作手册</w:t>
            </w:r>
          </w:p>
        </w:tc>
        <w:tc>
          <w:tcPr>
            <w:tcW w:w="1031"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58F0F0D5">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2227"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370BBC42">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957"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6240B1BF">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电子版</w:t>
            </w:r>
          </w:p>
        </w:tc>
      </w:tr>
      <w:tr w14:paraId="063D6B20">
        <w:tblPrEx>
          <w:tblCellMar>
            <w:top w:w="0" w:type="dxa"/>
            <w:left w:w="108" w:type="dxa"/>
            <w:bottom w:w="0" w:type="dxa"/>
            <w:right w:w="108" w:type="dxa"/>
          </w:tblCellMar>
        </w:tblPrEx>
        <w:trPr>
          <w:trHeight w:val="0" w:hRule="atLeast"/>
          <w:jc w:val="center"/>
        </w:trPr>
        <w:tc>
          <w:tcPr>
            <w:tcW w:w="1028"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4090EBBE">
            <w:pPr>
              <w:snapToGrid w:val="0"/>
              <w:spacing w:before="45" w:after="45" w:line="240" w:lineRule="auto"/>
              <w:ind w:left="0" w:leftChars="0" w:right="0" w:rightChars="0" w:firstLine="0" w:firstLineChars="0"/>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16</w:t>
            </w:r>
          </w:p>
        </w:tc>
        <w:tc>
          <w:tcPr>
            <w:tcW w:w="2279"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5C6A4BD5">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合格证</w:t>
            </w:r>
          </w:p>
        </w:tc>
        <w:tc>
          <w:tcPr>
            <w:tcW w:w="1031"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34E9AE28">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2227"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37AD26A5">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957" w:type="dxa"/>
            <w:tcBorders>
              <w:top w:val="single" w:color="E0E0E0" w:sz="6" w:space="0"/>
              <w:left w:val="single" w:color="E0E0E0" w:sz="6" w:space="0"/>
              <w:bottom w:val="single" w:color="E0E0E0" w:sz="6" w:space="0"/>
              <w:right w:val="single" w:color="E0E0E0" w:sz="6" w:space="0"/>
            </w:tcBorders>
            <w:tcMar>
              <w:top w:w="108" w:type="dxa"/>
              <w:left w:w="168" w:type="dxa"/>
              <w:bottom w:w="108" w:type="dxa"/>
              <w:right w:w="168" w:type="dxa"/>
            </w:tcMar>
            <w:vAlign w:val="center"/>
          </w:tcPr>
          <w:p w14:paraId="7A08AB95">
            <w:pPr>
              <w:snapToGrid w:val="0"/>
              <w:spacing w:before="45" w:after="45" w:line="240" w:lineRule="auto"/>
              <w:ind w:left="0" w:leftChars="0" w:right="0" w:rightChars="0" w:firstLine="0" w:firstLineChars="0"/>
              <w:jc w:val="center"/>
              <w:rPr>
                <w:rFonts w:hint="eastAsia" w:ascii="宋体" w:hAnsi="宋体" w:eastAsia="宋体" w:cs="宋体"/>
                <w:sz w:val="24"/>
                <w:szCs w:val="24"/>
                <w:highlight w:val="none"/>
              </w:rPr>
            </w:pPr>
            <w:bookmarkStart w:id="8" w:name="1_09"/>
            <w:bookmarkEnd w:id="8"/>
          </w:p>
        </w:tc>
      </w:tr>
    </w:tbl>
    <w:p w14:paraId="16D71BE7">
      <w:bookmarkStart w:id="9" w:name="_GoBack"/>
      <w:bookmarkEnd w:id="9"/>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88"/>
    <w:family w:val="script"/>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B4B38D"/>
    <w:multiLevelType w:val="singleLevel"/>
    <w:tmpl w:val="8FB4B38D"/>
    <w:lvl w:ilvl="0" w:tentative="0">
      <w:start w:val="1"/>
      <w:numFmt w:val="chineseCounting"/>
      <w:suff w:val="nothing"/>
      <w:lvlText w:val="%1、"/>
      <w:lvlJc w:val="left"/>
      <w:rPr>
        <w:rFonts w:hint="eastAsia"/>
      </w:rPr>
    </w:lvl>
  </w:abstractNum>
  <w:abstractNum w:abstractNumId="1">
    <w:nsid w:val="7F60F035"/>
    <w:multiLevelType w:val="singleLevel"/>
    <w:tmpl w:val="7F60F035"/>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4D3AFA"/>
    <w:rsid w:val="4A4D3AFA"/>
    <w:rsid w:val="57466F02"/>
    <w:rsid w:val="58E25576"/>
    <w:rsid w:val="664879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hint="default" w:ascii="Times New Roman" w:hAnsi="Times New Roman" w:eastAsia="Arial" w:cs="Times New Roman"/>
      <w:sz w:val="21"/>
      <w:szCs w:val="22"/>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2247</Words>
  <Characters>2529</Characters>
  <Lines>0</Lines>
  <Paragraphs>0</Paragraphs>
  <TotalTime>0</TotalTime>
  <ScaleCrop>false</ScaleCrop>
  <LinksUpToDate>false</LinksUpToDate>
  <CharactersWithSpaces>3083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2026-09-15T00:23:00Z</dcterms:created>
  <dc:creator>Gerry  wang</dc:creator>
  <cp:lastModifiedBy>WPS_1596645474</cp:lastModifiedBy>
  <dcterms:modified xsi:type="dcterms:W3CDTF">2026-09-15T07:08:54Z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306F770BF4674EA6A8C82773525110E3_13</vt:lpwstr>
  </property>
  <property fmtid="{D5CDD505-2E9C-101B-9397-08002B2CF9AE}" pid="4" name="KSOTemplateDocerSaveRecord">
    <vt:lpwstr>eyJoZGlkIjoiNzdmNGIzZGRkMGI5N2JhNjc3MGRhYzA0YjRhMTI2NzQiLCJ1c2VySWQiOiIxMDUxNzIwNDYwIn0=</vt:lpwstr>
  </property>
</Properties>
</file>