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F652F6">
      <w:pPr>
        <w:pStyle w:val="19"/>
        <w:adjustRightInd w:val="0"/>
        <w:snapToGrid w:val="0"/>
        <w:spacing w:after="0" w:line="360" w:lineRule="auto"/>
        <w:ind w:firstLine="0" w:firstLineChars="0"/>
        <w:jc w:val="center"/>
        <w:rPr>
          <w:rFonts w:hint="eastAsia" w:ascii="宋体" w:hAnsi="宋体"/>
          <w:b/>
          <w:color w:val="000000" w:themeColor="text1"/>
          <w:sz w:val="44"/>
          <w:highlight w:val="none"/>
          <w:shd w:val="clear" w:color="auto" w:fill="FFFFFF"/>
          <w14:textFill>
            <w14:solidFill>
              <w14:schemeClr w14:val="tx1"/>
            </w14:solidFill>
          </w14:textFill>
        </w:rPr>
      </w:pPr>
    </w:p>
    <w:p w14:paraId="053CC2B8">
      <w:pPr>
        <w:pStyle w:val="19"/>
        <w:adjustRightInd w:val="0"/>
        <w:snapToGrid w:val="0"/>
        <w:spacing w:after="0" w:line="360" w:lineRule="auto"/>
        <w:ind w:firstLine="0" w:firstLineChars="0"/>
        <w:jc w:val="center"/>
        <w:rPr>
          <w:rFonts w:hint="eastAsia" w:ascii="宋体" w:hAnsi="宋体"/>
          <w:b/>
          <w:color w:val="000000" w:themeColor="text1"/>
          <w:sz w:val="44"/>
          <w:highlight w:val="none"/>
          <w:shd w:val="clear" w:color="auto" w:fill="FFFFFF"/>
          <w14:textFill>
            <w14:solidFill>
              <w14:schemeClr w14:val="tx1"/>
            </w14:solidFill>
          </w14:textFill>
        </w:rPr>
      </w:pPr>
    </w:p>
    <w:p w14:paraId="09F9D444">
      <w:pPr>
        <w:pStyle w:val="19"/>
        <w:adjustRightInd w:val="0"/>
        <w:snapToGrid w:val="0"/>
        <w:spacing w:after="0" w:line="360" w:lineRule="auto"/>
        <w:ind w:firstLine="0" w:firstLineChars="0"/>
        <w:jc w:val="center"/>
        <w:rPr>
          <w:rFonts w:hint="eastAsia" w:ascii="宋体" w:hAnsi="宋体"/>
          <w:color w:val="000000" w:themeColor="text1"/>
          <w:highlight w:val="none"/>
          <w14:textFill>
            <w14:solidFill>
              <w14:schemeClr w14:val="tx1"/>
            </w14:solidFill>
          </w14:textFill>
        </w:rPr>
      </w:pPr>
      <w:r>
        <w:rPr>
          <w:rFonts w:hint="eastAsia" w:ascii="宋体" w:hAnsi="宋体" w:cs="宋体"/>
          <w:b/>
          <w:color w:val="000000" w:themeColor="text1"/>
          <w:sz w:val="44"/>
          <w:highlight w:val="none"/>
          <w:shd w:val="clear" w:color="auto" w:fill="FFFFFF"/>
          <w14:textFill>
            <w14:solidFill>
              <w14:schemeClr w14:val="tx1"/>
            </w14:solidFill>
          </w14:textFill>
        </w:rPr>
        <w:t>南京邮电大学配电房维保服务</w:t>
      </w:r>
    </w:p>
    <w:p w14:paraId="66E8595C">
      <w:pPr>
        <w:pStyle w:val="19"/>
        <w:adjustRightInd w:val="0"/>
        <w:snapToGrid w:val="0"/>
        <w:spacing w:after="0" w:line="360" w:lineRule="auto"/>
        <w:ind w:firstLine="0" w:firstLineChars="0"/>
        <w:jc w:val="center"/>
        <w:rPr>
          <w:rFonts w:hint="eastAsia" w:ascii="宋体" w:hAnsi="宋体"/>
          <w:color w:val="000000" w:themeColor="text1"/>
          <w:highlight w:val="none"/>
          <w14:textFill>
            <w14:solidFill>
              <w14:schemeClr w14:val="tx1"/>
            </w14:solidFill>
          </w14:textFill>
        </w:rPr>
      </w:pPr>
    </w:p>
    <w:p w14:paraId="41A59E6B">
      <w:pPr>
        <w:pStyle w:val="19"/>
        <w:adjustRightInd w:val="0"/>
        <w:snapToGrid w:val="0"/>
        <w:spacing w:after="0" w:line="360" w:lineRule="auto"/>
        <w:ind w:firstLine="0" w:firstLineChars="0"/>
        <w:jc w:val="center"/>
        <w:rPr>
          <w:rFonts w:hint="eastAsia" w:ascii="宋体" w:hAnsi="宋体"/>
          <w:color w:val="000000" w:themeColor="text1"/>
          <w:highlight w:val="none"/>
          <w14:textFill>
            <w14:solidFill>
              <w14:schemeClr w14:val="tx1"/>
            </w14:solidFill>
          </w14:textFill>
        </w:rPr>
      </w:pPr>
    </w:p>
    <w:p w14:paraId="0E104DB0">
      <w:pPr>
        <w:adjustRightInd w:val="0"/>
        <w:snapToGrid w:val="0"/>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01D7054A">
      <w:pPr>
        <w:adjustRightInd w:val="0"/>
        <w:snapToGrid w:val="0"/>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3C0BECEF">
      <w:pPr>
        <w:adjustRightInd w:val="0"/>
        <w:snapToGrid w:val="0"/>
        <w:spacing w:line="360" w:lineRule="auto"/>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2E38A67F">
      <w:pPr>
        <w:adjustRightInd w:val="0"/>
        <w:snapToGrid w:val="0"/>
        <w:spacing w:line="360" w:lineRule="auto"/>
        <w:jc w:val="center"/>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28"/>
          <w:highlight w:val="none"/>
          <w14:textFill>
            <w14:solidFill>
              <w14:schemeClr w14:val="tx1"/>
            </w14:solidFill>
          </w14:textFill>
        </w:rPr>
        <w:t>项目编号：</w:t>
      </w:r>
      <w:r>
        <w:rPr>
          <w:rFonts w:hint="eastAsia" w:ascii="宋体" w:hAnsi="宋体"/>
          <w:b/>
          <w:w w:val="90"/>
          <w:sz w:val="32"/>
          <w:szCs w:val="32"/>
          <w:highlight w:val="none"/>
        </w:rPr>
        <w:t>FSCG2025-1679（</w:t>
      </w:r>
      <w:r>
        <w:rPr>
          <w:rFonts w:hint="eastAsia" w:ascii="宋体" w:hAnsi="宋体"/>
          <w:b/>
          <w:w w:val="90"/>
          <w:sz w:val="32"/>
          <w:szCs w:val="32"/>
          <w:highlight w:val="none"/>
        </w:rPr>
        <w:t>0675-256JOC004762</w:t>
      </w:r>
      <w:r>
        <w:rPr>
          <w:rFonts w:hint="eastAsia" w:ascii="宋体" w:hAnsi="宋体"/>
          <w:b/>
          <w:w w:val="90"/>
          <w:sz w:val="32"/>
          <w:szCs w:val="32"/>
          <w:highlight w:val="none"/>
        </w:rPr>
        <w:t>）</w:t>
      </w:r>
    </w:p>
    <w:p w14:paraId="65420AC0">
      <w:pPr>
        <w:adjustRightInd w:val="0"/>
        <w:snapToGrid w:val="0"/>
        <w:spacing w:line="360" w:lineRule="auto"/>
        <w:jc w:val="center"/>
        <w:rPr>
          <w:rFonts w:hint="eastAsia" w:ascii="宋体" w:hAnsi="宋体" w:cs="宋体"/>
          <w:b/>
          <w:color w:val="000000" w:themeColor="text1"/>
          <w:sz w:val="36"/>
          <w:highlight w:val="none"/>
          <w14:textFill>
            <w14:solidFill>
              <w14:schemeClr w14:val="tx1"/>
            </w14:solidFill>
          </w14:textFill>
        </w:rPr>
      </w:pPr>
    </w:p>
    <w:p w14:paraId="1EFF11EB">
      <w:pPr>
        <w:adjustRightInd w:val="0"/>
        <w:snapToGrid w:val="0"/>
        <w:spacing w:line="360" w:lineRule="auto"/>
        <w:jc w:val="center"/>
        <w:rPr>
          <w:rFonts w:hint="eastAsia" w:ascii="宋体" w:hAnsi="宋体" w:cs="宋体"/>
          <w:b/>
          <w:color w:val="000000" w:themeColor="text1"/>
          <w:sz w:val="36"/>
          <w:highlight w:val="none"/>
          <w14:textFill>
            <w14:solidFill>
              <w14:schemeClr w14:val="tx1"/>
            </w14:solidFill>
          </w14:textFill>
        </w:rPr>
      </w:pPr>
    </w:p>
    <w:p w14:paraId="1468E305">
      <w:pPr>
        <w:adjustRightInd w:val="0"/>
        <w:snapToGrid w:val="0"/>
        <w:spacing w:line="360" w:lineRule="auto"/>
        <w:jc w:val="center"/>
        <w:rPr>
          <w:rFonts w:hint="eastAsia" w:ascii="宋体" w:hAnsi="宋体" w:cs="宋体"/>
          <w:b/>
          <w:color w:val="000000" w:themeColor="text1"/>
          <w:sz w:val="36"/>
          <w:highlight w:val="none"/>
          <w14:textFill>
            <w14:solidFill>
              <w14:schemeClr w14:val="tx1"/>
            </w14:solidFill>
          </w14:textFill>
        </w:rPr>
      </w:pPr>
    </w:p>
    <w:p w14:paraId="73C16B30">
      <w:pPr>
        <w:adjustRightInd w:val="0"/>
        <w:snapToGrid w:val="0"/>
        <w:spacing w:line="360" w:lineRule="auto"/>
        <w:jc w:val="center"/>
        <w:rPr>
          <w:rFonts w:hint="eastAsia" w:ascii="宋体" w:hAnsi="宋体" w:cs="宋体"/>
          <w:b/>
          <w:color w:val="000000" w:themeColor="text1"/>
          <w:sz w:val="36"/>
          <w:highlight w:val="none"/>
          <w14:textFill>
            <w14:solidFill>
              <w14:schemeClr w14:val="tx1"/>
            </w14:solidFill>
          </w14:textFill>
        </w:rPr>
      </w:pPr>
    </w:p>
    <w:p w14:paraId="3578D5C0">
      <w:pPr>
        <w:adjustRightInd w:val="0"/>
        <w:snapToGrid w:val="0"/>
        <w:spacing w:line="360" w:lineRule="auto"/>
        <w:jc w:val="center"/>
        <w:rPr>
          <w:rFonts w:hint="eastAsia" w:ascii="宋体" w:hAnsi="宋体" w:cs="宋体"/>
          <w:b/>
          <w:color w:val="000000" w:themeColor="text1"/>
          <w:sz w:val="36"/>
          <w:highlight w:val="none"/>
          <w14:textFill>
            <w14:solidFill>
              <w14:schemeClr w14:val="tx1"/>
            </w14:solidFill>
          </w14:textFill>
        </w:rPr>
      </w:pPr>
    </w:p>
    <w:p w14:paraId="71A7D2B6">
      <w:pPr>
        <w:adjustRightInd w:val="0"/>
        <w:snapToGrid w:val="0"/>
        <w:spacing w:line="360" w:lineRule="auto"/>
        <w:jc w:val="center"/>
        <w:rPr>
          <w:rFonts w:hint="eastAsia" w:ascii="宋体" w:hAnsi="宋体" w:cs="宋体"/>
          <w:b/>
          <w:color w:val="000000" w:themeColor="text1"/>
          <w:sz w:val="36"/>
          <w:highlight w:val="none"/>
          <w14:textFill>
            <w14:solidFill>
              <w14:schemeClr w14:val="tx1"/>
            </w14:solidFill>
          </w14:textFill>
        </w:rPr>
      </w:pPr>
    </w:p>
    <w:p w14:paraId="0EDC74E6">
      <w:pPr>
        <w:pStyle w:val="19"/>
        <w:adjustRightInd w:val="0"/>
        <w:snapToGrid w:val="0"/>
        <w:spacing w:after="0" w:line="360" w:lineRule="auto"/>
        <w:ind w:firstLine="0" w:firstLineChars="0"/>
        <w:jc w:val="center"/>
        <w:rPr>
          <w:rFonts w:hint="eastAsia" w:ascii="宋体" w:hAnsi="宋体"/>
          <w:color w:val="000000" w:themeColor="text1"/>
          <w:highlight w:val="none"/>
          <w14:textFill>
            <w14:solidFill>
              <w14:schemeClr w14:val="tx1"/>
            </w14:solidFill>
          </w14:textFill>
        </w:rPr>
      </w:pPr>
    </w:p>
    <w:p w14:paraId="70E9682B">
      <w:pPr>
        <w:adjustRightInd w:val="0"/>
        <w:snapToGrid w:val="0"/>
        <w:spacing w:line="360" w:lineRule="auto"/>
        <w:jc w:val="center"/>
        <w:rPr>
          <w:rFonts w:hint="eastAsia"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t>采购人：</w:t>
      </w:r>
      <w:r>
        <w:rPr>
          <w:rFonts w:hint="eastAsia" w:ascii="宋体" w:hAnsi="宋体"/>
          <w:b/>
          <w:color w:val="000000" w:themeColor="text1"/>
          <w:sz w:val="32"/>
          <w:szCs w:val="32"/>
          <w:highlight w:val="none"/>
          <w14:textFill>
            <w14:solidFill>
              <w14:schemeClr w14:val="tx1"/>
            </w14:solidFill>
          </w14:textFill>
        </w:rPr>
        <w:t>南京邮电大学</w:t>
      </w:r>
    </w:p>
    <w:p w14:paraId="2F73E34A">
      <w:pPr>
        <w:adjustRightInd w:val="0"/>
        <w:snapToGrid w:val="0"/>
        <w:spacing w:line="360" w:lineRule="auto"/>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采购</w:t>
      </w:r>
      <w:r>
        <w:rPr>
          <w:rFonts w:ascii="宋体" w:hAnsi="宋体" w:cs="宋体"/>
          <w:b/>
          <w:color w:val="000000" w:themeColor="text1"/>
          <w:sz w:val="32"/>
          <w:szCs w:val="32"/>
          <w:highlight w:val="none"/>
          <w14:textFill>
            <w14:solidFill>
              <w14:schemeClr w14:val="tx1"/>
            </w14:solidFill>
          </w14:textFill>
        </w:rPr>
        <w:t>代理机构：</w:t>
      </w:r>
      <w:r>
        <w:rPr>
          <w:rFonts w:hint="eastAsia" w:ascii="宋体" w:hAnsi="宋体" w:cs="宋体"/>
          <w:b/>
          <w:color w:val="000000" w:themeColor="text1"/>
          <w:sz w:val="32"/>
          <w:szCs w:val="32"/>
          <w:highlight w:val="none"/>
          <w14:textFill>
            <w14:solidFill>
              <w14:schemeClr w14:val="tx1"/>
            </w14:solidFill>
          </w14:textFill>
        </w:rPr>
        <w:t>江苏海外集团国际工程咨询有限公司</w:t>
      </w:r>
    </w:p>
    <w:p w14:paraId="421009C9">
      <w:pPr>
        <w:adjustRightInd w:val="0"/>
        <w:snapToGrid w:val="0"/>
        <w:spacing w:line="360" w:lineRule="auto"/>
        <w:jc w:val="center"/>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t>日期：二〇二</w:t>
      </w:r>
      <w:r>
        <w:rPr>
          <w:rFonts w:hint="eastAsia" w:ascii="宋体" w:hAnsi="宋体" w:cs="宋体"/>
          <w:b/>
          <w:color w:val="000000" w:themeColor="text1"/>
          <w:sz w:val="32"/>
          <w:szCs w:val="32"/>
          <w:highlight w:val="none"/>
          <w14:textFill>
            <w14:solidFill>
              <w14:schemeClr w14:val="tx1"/>
            </w14:solidFill>
          </w14:textFill>
        </w:rPr>
        <w:t>五</w:t>
      </w:r>
      <w:r>
        <w:rPr>
          <w:rFonts w:ascii="宋体" w:hAnsi="宋体" w:cs="宋体"/>
          <w:b/>
          <w:color w:val="000000" w:themeColor="text1"/>
          <w:sz w:val="32"/>
          <w:szCs w:val="32"/>
          <w:highlight w:val="none"/>
          <w14:textFill>
            <w14:solidFill>
              <w14:schemeClr w14:val="tx1"/>
            </w14:solidFill>
          </w14:textFill>
        </w:rPr>
        <w:t>年</w:t>
      </w:r>
      <w:r>
        <w:rPr>
          <w:rFonts w:hint="eastAsia" w:ascii="宋体" w:hAnsi="宋体" w:cs="宋体"/>
          <w:b/>
          <w:color w:val="000000" w:themeColor="text1"/>
          <w:sz w:val="32"/>
          <w:szCs w:val="32"/>
          <w:highlight w:val="none"/>
          <w14:textFill>
            <w14:solidFill>
              <w14:schemeClr w14:val="tx1"/>
            </w14:solidFill>
          </w14:textFill>
        </w:rPr>
        <w:t>十</w:t>
      </w:r>
      <w:r>
        <w:rPr>
          <w:rFonts w:hint="eastAsia" w:ascii="宋体" w:hAnsi="宋体" w:cs="宋体"/>
          <w:b/>
          <w:color w:val="000000" w:themeColor="text1"/>
          <w:sz w:val="32"/>
          <w:szCs w:val="32"/>
          <w:highlight w:val="none"/>
          <w:lang w:eastAsia="zh-CN"/>
          <w14:textFill>
            <w14:solidFill>
              <w14:schemeClr w14:val="tx1"/>
            </w14:solidFill>
          </w14:textFill>
        </w:rPr>
        <w:t>二</w:t>
      </w:r>
      <w:r>
        <w:rPr>
          <w:rFonts w:ascii="宋体" w:hAnsi="宋体" w:cs="宋体"/>
          <w:b/>
          <w:color w:val="000000" w:themeColor="text1"/>
          <w:sz w:val="32"/>
          <w:szCs w:val="32"/>
          <w:highlight w:val="none"/>
          <w14:textFill>
            <w14:solidFill>
              <w14:schemeClr w14:val="tx1"/>
            </w14:solidFill>
          </w14:textFill>
        </w:rPr>
        <w:t>月</w:t>
      </w:r>
    </w:p>
    <w:p w14:paraId="6BEF15E3">
      <w:pPr>
        <w:pStyle w:val="2"/>
        <w:adjustRightInd w:val="0"/>
        <w:snapToGrid w:val="0"/>
        <w:spacing w:after="0" w:line="360" w:lineRule="auto"/>
        <w:ind w:left="0" w:leftChars="0" w:firstLine="0" w:firstLineChars="0"/>
        <w:rPr>
          <w:rFonts w:hint="eastAsia"/>
          <w:highlight w:val="none"/>
        </w:rPr>
      </w:pPr>
    </w:p>
    <w:p w14:paraId="0B32D4E9">
      <w:pPr>
        <w:jc w:val="center"/>
        <w:outlineLvl w:val="0"/>
        <w:rPr>
          <w:rFonts w:hint="eastAsia"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3B601EAA">
      <w:pPr>
        <w:pStyle w:val="19"/>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77E3DF33">
      <w:pPr>
        <w:pStyle w:val="19"/>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color w:val="000000" w:themeColor="text1"/>
          <w:highlight w:val="none"/>
          <w14:textFill>
            <w14:solidFill>
              <w14:schemeClr w14:val="tx1"/>
            </w14:solidFill>
          </w14:textFill>
        </w:rPr>
        <w:t>FSCG2025-1679（</w:t>
      </w:r>
      <w:r>
        <w:rPr>
          <w:rFonts w:hint="eastAsia"/>
          <w:color w:val="000000" w:themeColor="text1"/>
          <w:highlight w:val="none"/>
          <w14:textFill>
            <w14:solidFill>
              <w14:schemeClr w14:val="tx1"/>
            </w14:solidFill>
          </w14:textFill>
        </w:rPr>
        <w:t>0675-256JOC004762</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51C02818">
      <w:pPr>
        <w:pStyle w:val="19"/>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14:textFill>
            <w14:solidFill>
              <w14:schemeClr w14:val="tx1"/>
            </w14:solidFill>
          </w14:textFill>
        </w:rPr>
        <w:t>南京邮电大学配电房维保服务</w:t>
      </w:r>
      <w:r>
        <w:rPr>
          <w:color w:val="000000" w:themeColor="text1"/>
          <w:highlight w:val="none"/>
          <w14:textFill>
            <w14:solidFill>
              <w14:schemeClr w14:val="tx1"/>
            </w14:solidFill>
          </w14:textFill>
        </w:rPr>
        <w:t>；</w:t>
      </w:r>
    </w:p>
    <w:p w14:paraId="02024115">
      <w:pPr>
        <w:pStyle w:val="19"/>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14:textFill>
            <w14:solidFill>
              <w14:schemeClr w14:val="tx1"/>
            </w14:solidFill>
          </w14:textFill>
        </w:rPr>
        <w:t>19.8</w:t>
      </w:r>
      <w:r>
        <w:rPr>
          <w:color w:val="000000" w:themeColor="text1"/>
          <w:highlight w:val="none"/>
          <w14:textFill>
            <w14:solidFill>
              <w14:schemeClr w14:val="tx1"/>
            </w14:solidFill>
          </w14:textFill>
        </w:rPr>
        <w:t>万元；</w:t>
      </w:r>
    </w:p>
    <w:p w14:paraId="0EEC79B8">
      <w:pPr>
        <w:pStyle w:val="19"/>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14:textFill>
            <w14:solidFill>
              <w14:schemeClr w14:val="tx1"/>
            </w14:solidFill>
          </w14:textFill>
        </w:rPr>
        <w:t>19.8</w:t>
      </w:r>
      <w:r>
        <w:rPr>
          <w:color w:val="000000" w:themeColor="text1"/>
          <w:highlight w:val="none"/>
          <w14:textFill>
            <w14:solidFill>
              <w14:schemeClr w14:val="tx1"/>
            </w14:solidFill>
          </w14:textFill>
        </w:rPr>
        <w:t>万元；</w:t>
      </w:r>
    </w:p>
    <w:p w14:paraId="71B31E46">
      <w:pPr>
        <w:pStyle w:val="19"/>
        <w:ind w:left="480"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响应报价超过单价最高限价的，响应文件作无效处理。</w:t>
      </w:r>
    </w:p>
    <w:p w14:paraId="7BDF9A75">
      <w:pPr>
        <w:pStyle w:val="19"/>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48B0F32">
      <w:pPr>
        <w:pStyle w:val="19"/>
        <w:ind w:left="480"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采购需求：</w:t>
      </w:r>
      <w:r>
        <w:rPr>
          <w:rFonts w:hint="eastAsia" w:ascii="宋体" w:hAnsi="宋体" w:cs="宋体"/>
          <w:szCs w:val="21"/>
          <w:highlight w:val="none"/>
        </w:rPr>
        <w:t>本次采购为南京邮电大学配电房维保服务</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具体详见采购文件。</w:t>
      </w:r>
    </w:p>
    <w:p w14:paraId="22DAD58F">
      <w:pPr>
        <w:pStyle w:val="19"/>
        <w:ind w:left="480"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7、服务</w:t>
      </w:r>
      <w:r>
        <w:rPr>
          <w:color w:val="000000" w:themeColor="text1"/>
          <w:highlight w:val="none"/>
          <w14:textFill>
            <w14:solidFill>
              <w14:schemeClr w14:val="tx1"/>
            </w14:solidFill>
          </w14:textFill>
        </w:rPr>
        <w:t>期限：</w:t>
      </w:r>
      <w:r>
        <w:rPr>
          <w:rFonts w:hint="eastAsia"/>
          <w:color w:val="000000" w:themeColor="text1"/>
          <w:highlight w:val="none"/>
          <w14:textFill>
            <w14:solidFill>
              <w14:schemeClr w14:val="tx1"/>
            </w14:solidFill>
          </w14:textFill>
        </w:rPr>
        <w:t>合同签订生效后1年。</w:t>
      </w:r>
    </w:p>
    <w:p w14:paraId="6E303AA6">
      <w:pPr>
        <w:pStyle w:val="19"/>
        <w:ind w:left="480"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w:t>
      </w:r>
      <w:r>
        <w:rPr>
          <w:color w:val="000000" w:themeColor="text1"/>
          <w:highlight w:val="none"/>
          <w14:textFill>
            <w14:solidFill>
              <w14:schemeClr w14:val="tx1"/>
            </w14:solidFill>
          </w14:textFill>
        </w:rPr>
        <w:t>本项目是否接受联合体响应：不接受。</w:t>
      </w:r>
    </w:p>
    <w:p w14:paraId="3F79A163">
      <w:pPr>
        <w:pStyle w:val="19"/>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0DC9C730">
      <w:pPr>
        <w:pStyle w:val="19"/>
        <w:numPr>
          <w:ilvl w:val="0"/>
          <w:numId w:val="4"/>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681BCF56">
      <w:pPr>
        <w:pStyle w:val="19"/>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w:t>
      </w:r>
    </w:p>
    <w:p w14:paraId="31BD6E34">
      <w:pPr>
        <w:pStyle w:val="19"/>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w:t>
      </w:r>
    </w:p>
    <w:p w14:paraId="29FA22D6">
      <w:pPr>
        <w:pStyle w:val="19"/>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w:t>
      </w:r>
    </w:p>
    <w:p w14:paraId="7E136C25">
      <w:pPr>
        <w:pStyle w:val="19"/>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w:t>
      </w:r>
    </w:p>
    <w:p w14:paraId="38BB43E4">
      <w:pPr>
        <w:pStyle w:val="19"/>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w:t>
      </w:r>
    </w:p>
    <w:p w14:paraId="38E0143D">
      <w:pPr>
        <w:pStyle w:val="19"/>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33FE5175">
      <w:pPr>
        <w:pStyle w:val="19"/>
        <w:numPr>
          <w:ilvl w:val="0"/>
          <w:numId w:val="4"/>
        </w:numPr>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p>
    <w:p w14:paraId="0913717D">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（1）供应商具有《承装（修、试）电力设施许可证》三级（含）以上资质（提供证书复印件加盖公章）；</w:t>
      </w:r>
    </w:p>
    <w:p w14:paraId="7F199332">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（2）供应商具有有效期内的安全生产许可证（提供有效期内的证书复印件加盖供应商公章）；</w:t>
      </w:r>
    </w:p>
    <w:p w14:paraId="6851DFDB">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（3）拟派项目经理须具有机电工程专业注册建造师二级及以上，且具备有效的安全B证（提供有效期内的证书复印件加盖公章）；</w:t>
      </w:r>
    </w:p>
    <w:p w14:paraId="17E27D70">
      <w:pPr>
        <w:pStyle w:val="19"/>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拟派</w:t>
      </w:r>
      <w:r>
        <w:rPr>
          <w:rFonts w:hint="eastAsia"/>
          <w:color w:val="000000" w:themeColor="text1"/>
          <w:highlight w:val="none"/>
          <w:lang w:val="en-US" w:eastAsia="zh-CN"/>
          <w14:textFill>
            <w14:solidFill>
              <w14:schemeClr w14:val="tx1"/>
            </w14:solidFill>
          </w14:textFill>
        </w:rPr>
        <w:t>所有服务人员须具有国家职能部门颁发的高压电工进网作业证资格证书</w:t>
      </w:r>
      <w:r>
        <w:rPr>
          <w:rFonts w:hint="eastAsia"/>
          <w:color w:val="000000" w:themeColor="text1"/>
          <w:highlight w:val="none"/>
          <w14:textFill>
            <w14:solidFill>
              <w14:schemeClr w14:val="tx1"/>
            </w14:solidFill>
          </w14:textFill>
        </w:rPr>
        <w:t>（提供有效期内的证书复印件加盖供应商公章）</w:t>
      </w:r>
      <w:r>
        <w:rPr>
          <w:rFonts w:hint="eastAsia"/>
          <w:color w:val="000000" w:themeColor="text1"/>
          <w:highlight w:val="none"/>
          <w:lang w:val="en-US" w:eastAsia="zh-CN"/>
          <w14:textFill>
            <w14:solidFill>
              <w14:schemeClr w14:val="tx1"/>
            </w14:solidFill>
          </w14:textFill>
        </w:rPr>
        <w:t>；</w:t>
      </w:r>
    </w:p>
    <w:p w14:paraId="7530C245">
      <w:pPr>
        <w:pStyle w:val="19"/>
        <w:ind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26333A46">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4337BAD4">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4D98DEA6">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7A40557E">
      <w:pPr>
        <w:pStyle w:val="19"/>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0C5F245C">
      <w:pPr>
        <w:pStyle w:val="19"/>
        <w:numPr>
          <w:ilvl w:val="0"/>
          <w:numId w:val="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12</w:t>
      </w:r>
      <w:r>
        <w:rPr>
          <w:color w:val="000000" w:themeColor="text1"/>
          <w:highlight w:val="none"/>
          <w:u w:val="single"/>
          <w14:textFill>
            <w14:solidFill>
              <w14:schemeClr w14:val="tx1"/>
            </w14:solidFill>
          </w14:textFill>
        </w:rPr>
        <w:t>日上午09:00至2025年</w:t>
      </w:r>
      <w:r>
        <w:rPr>
          <w:rFonts w:hint="eastAsia"/>
          <w:color w:val="000000" w:themeColor="text1"/>
          <w:highlight w:val="none"/>
          <w:u w:val="single"/>
          <w:lang w:val="en-US" w:eastAsia="zh-CN"/>
          <w14:textFill>
            <w14:solidFill>
              <w14:schemeClr w14:val="tx1"/>
            </w14:solidFill>
          </w14:textFill>
        </w:rPr>
        <w:t>12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18</w:t>
      </w:r>
      <w:r>
        <w:rPr>
          <w:color w:val="000000" w:themeColor="text1"/>
          <w:highlight w:val="none"/>
          <w:u w:val="single"/>
          <w14:textFill>
            <w14:solidFill>
              <w14:schemeClr w14:val="tx1"/>
            </w14:solidFill>
          </w14:textFill>
        </w:rPr>
        <w:t>日17:00（</w:t>
      </w:r>
      <w:r>
        <w:rPr>
          <w:color w:val="000000" w:themeColor="text1"/>
          <w:highlight w:val="none"/>
          <w14:textFill>
            <w14:solidFill>
              <w14:schemeClr w14:val="tx1"/>
            </w14:solidFill>
          </w14:textFill>
        </w:rPr>
        <w:t>北京时间）</w:t>
      </w:r>
    </w:p>
    <w:p w14:paraId="23481AD7">
      <w:pPr>
        <w:pStyle w:val="19"/>
        <w:numPr>
          <w:ilvl w:val="0"/>
          <w:numId w:val="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获取方式：</w:t>
      </w:r>
      <w:r>
        <w:rPr>
          <w:rFonts w:hint="eastAsia"/>
          <w:color w:val="000000" w:themeColor="text1"/>
          <w:highlight w:val="none"/>
          <w14:textFill>
            <w14:solidFill>
              <w14:schemeClr w14:val="tx1"/>
            </w14:solidFill>
          </w14:textFill>
        </w:rPr>
        <w:t>供应商登录https://www.joccon.cn/hwzb/平台免费获取采购文件。在获取采购文件前，前往https://www.joccon.cn/hwzb/（江苏海外电子招投标平台）免费注册，平台审核通过后可以登录平台参与项目。（</w:t>
      </w:r>
      <w:r>
        <w:rPr>
          <w:rFonts w:hint="eastAsia" w:ascii="宋体" w:hAnsi="宋体" w:cs="宋体"/>
          <w:szCs w:val="21"/>
          <w:highlight w:val="none"/>
        </w:rPr>
        <w:t>需提供（1）企业营业执照；（2）企业介绍信或法人授权委托书（包含身份证）。）</w:t>
      </w:r>
    </w:p>
    <w:p w14:paraId="467540DE">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5B23AF6A">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平台服务费每包500元，不予退还</w:t>
      </w:r>
      <w:r>
        <w:rPr>
          <w:color w:val="000000" w:themeColor="text1"/>
          <w:highlight w:val="none"/>
          <w14:textFill>
            <w14:solidFill>
              <w14:schemeClr w14:val="tx1"/>
            </w14:solidFill>
          </w14:textFill>
        </w:rPr>
        <w:t>。</w:t>
      </w:r>
    </w:p>
    <w:p w14:paraId="60640BFE">
      <w:pPr>
        <w:pStyle w:val="19"/>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734DD130">
      <w:pPr>
        <w:pStyle w:val="1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22</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w:t>
      </w:r>
      <w:r>
        <w:rPr>
          <w:rFonts w:hint="eastAsia"/>
          <w:color w:val="000000" w:themeColor="text1"/>
          <w:highlight w:val="none"/>
          <w:u w:val="single"/>
          <w:lang w:val="en-US" w:eastAsia="zh-CN"/>
          <w14:textFill>
            <w14:solidFill>
              <w14:schemeClr w14:val="tx1"/>
            </w14:solidFill>
          </w14:textFill>
        </w:rPr>
        <w:t>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35EE6329">
      <w:pPr>
        <w:pStyle w:val="1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22</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bookmarkStart w:id="19" w:name="_GoBack"/>
      <w:bookmarkEnd w:id="19"/>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50253865">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rFonts w:hint="eastAsia"/>
          <w:color w:val="000000" w:themeColor="text1"/>
          <w:highlight w:val="none"/>
          <w14:textFill>
            <w14:solidFill>
              <w14:schemeClr w14:val="tx1"/>
            </w14:solidFill>
          </w14:textFill>
        </w:rPr>
        <w:t>南京邮电大学仙林校区门诊楼409室。</w:t>
      </w:r>
    </w:p>
    <w:p w14:paraId="408B3A58">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3F3E5E79">
      <w:pPr>
        <w:pStyle w:val="19"/>
        <w:numPr>
          <w:ilvl w:val="0"/>
          <w:numId w:val="2"/>
        </w:numPr>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14BB9C97">
      <w:pPr>
        <w:pStyle w:val="19"/>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w:t>
      </w:r>
      <w:r>
        <w:rPr>
          <w:rFonts w:hint="eastAsia"/>
          <w:color w:val="000000" w:themeColor="text1"/>
          <w:highlight w:val="none"/>
          <w14:textFill>
            <w14:solidFill>
              <w14:schemeClr w14:val="tx1"/>
            </w14:solidFill>
          </w14:textFill>
        </w:rPr>
        <w:t>3个工作日</w:t>
      </w:r>
      <w:r>
        <w:rPr>
          <w:color w:val="000000" w:themeColor="text1"/>
          <w:highlight w:val="none"/>
          <w14:textFill>
            <w14:solidFill>
              <w14:schemeClr w14:val="tx1"/>
            </w14:solidFill>
          </w14:textFill>
        </w:rPr>
        <w:t>。</w:t>
      </w:r>
    </w:p>
    <w:p w14:paraId="0632D7F9">
      <w:pPr>
        <w:pStyle w:val="19"/>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151528F3">
      <w:pPr>
        <w:pStyle w:val="19"/>
        <w:numPr>
          <w:ilvl w:val="0"/>
          <w:numId w:val="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w:t>
      </w:r>
      <w:r>
        <w:rPr>
          <w:rFonts w:hint="eastAsia"/>
          <w:color w:val="000000" w:themeColor="text1"/>
          <w:highlight w:val="none"/>
          <w14:textFill>
            <w14:solidFill>
              <w14:schemeClr w14:val="tx1"/>
            </w14:solidFill>
          </w14:textFill>
        </w:rPr>
        <w:t>叁</w:t>
      </w:r>
      <w:r>
        <w:rPr>
          <w:color w:val="000000" w:themeColor="text1"/>
          <w:highlight w:val="none"/>
          <w14:textFill>
            <w14:solidFill>
              <w14:schemeClr w14:val="tx1"/>
            </w14:solidFill>
          </w14:textFill>
        </w:rPr>
        <w:t>份（壹份正本、</w:t>
      </w:r>
      <w:r>
        <w:rPr>
          <w:rFonts w:hint="eastAsia"/>
          <w:color w:val="000000" w:themeColor="text1"/>
          <w:highlight w:val="none"/>
          <w14:textFill>
            <w14:solidFill>
              <w14:schemeClr w14:val="tx1"/>
            </w14:solidFill>
          </w14:textFill>
        </w:rPr>
        <w:t>贰</w:t>
      </w:r>
      <w:r>
        <w:rPr>
          <w:color w:val="000000" w:themeColor="text1"/>
          <w:highlight w:val="none"/>
          <w14:textFill>
            <w14:solidFill>
              <w14:schemeClr w14:val="tx1"/>
            </w14:solidFill>
          </w14:textFill>
        </w:rPr>
        <w:t>份副本），电子版响应文件壹份（一般应为PDF格式、U盘形式或光盘形式，随纸质正本文件一并提交）。当纸质正本文件和电子版文件不一致时，以纸质正本文件为准。</w:t>
      </w:r>
    </w:p>
    <w:p w14:paraId="121AFDF5">
      <w:pPr>
        <w:pStyle w:val="19"/>
        <w:numPr>
          <w:ilvl w:val="0"/>
          <w:numId w:val="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落实政府采购政策满足的资格要求：无。</w:t>
      </w:r>
    </w:p>
    <w:p w14:paraId="642A29FB">
      <w:pPr>
        <w:pStyle w:val="19"/>
        <w:numPr>
          <w:ilvl w:val="0"/>
          <w:numId w:val="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本项目属于校内分散采购，按《南京邮电大学校内分散采购管理实施细则（修订）》执行。</w:t>
      </w:r>
    </w:p>
    <w:p w14:paraId="735D4806">
      <w:pPr>
        <w:pStyle w:val="19"/>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7ADCFB73">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0251D6D2">
      <w:pPr>
        <w:pStyle w:val="19"/>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5F593E79">
      <w:pPr>
        <w:pStyle w:val="19"/>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1、采购人信息</w:t>
      </w:r>
    </w:p>
    <w:p w14:paraId="265F7CCB">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2E227D7E">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4FD4D3F5">
      <w:pPr>
        <w:pStyle w:val="1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孙</w:t>
      </w:r>
      <w:r>
        <w:rPr>
          <w:color w:val="000000" w:themeColor="text1"/>
          <w:highlight w:val="none"/>
          <w14:textFill>
            <w14:solidFill>
              <w14:schemeClr w14:val="tx1"/>
            </w14:solidFill>
          </w14:textFill>
        </w:rPr>
        <w:t>老师</w:t>
      </w:r>
    </w:p>
    <w:p w14:paraId="6C198207">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联系方式：025-85866561</w:t>
      </w:r>
    </w:p>
    <w:p w14:paraId="1606F600">
      <w:pPr>
        <w:pStyle w:val="19"/>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2、采购代理机构信息</w:t>
      </w:r>
    </w:p>
    <w:p w14:paraId="4213D2E5">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 称：江苏海外集团国际工程咨询有限公司</w:t>
      </w:r>
    </w:p>
    <w:p w14:paraId="61E29CED">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 址：南京市建邺区云龙山路56号大唐科技大厦A座高区15楼</w:t>
      </w:r>
    </w:p>
    <w:p w14:paraId="5A8E5FA5">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联系方式：025-84795941</w:t>
      </w:r>
    </w:p>
    <w:p w14:paraId="58342EE6">
      <w:pPr>
        <w:pStyle w:val="19"/>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3、项目联系方式</w:t>
      </w:r>
    </w:p>
    <w:p w14:paraId="7F521FA1">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项目联系人： </w:t>
      </w:r>
      <w:r>
        <w:rPr>
          <w:rFonts w:hint="eastAsia" w:ascii="宋体" w:hAnsi="宋体" w:cs="宋体"/>
          <w:szCs w:val="21"/>
          <w:highlight w:val="none"/>
        </w:rPr>
        <w:t>孙夏卉 任艳秋  陶冉  周兵</w:t>
      </w:r>
    </w:p>
    <w:p w14:paraId="1EBCCE4E">
      <w:pPr>
        <w:pStyle w:val="19"/>
        <w:ind w:firstLine="480"/>
        <w:rPr>
          <w:rFonts w:hint="eastAsia" w:ascii="宋体" w:hAnsi="宋体" w:cs="宋体"/>
          <w:szCs w:val="21"/>
          <w:highlight w:val="none"/>
        </w:rPr>
      </w:pPr>
      <w:r>
        <w:rPr>
          <w:color w:val="000000" w:themeColor="text1"/>
          <w:highlight w:val="none"/>
          <w14:textFill>
            <w14:solidFill>
              <w14:schemeClr w14:val="tx1"/>
            </w14:solidFill>
          </w14:textFill>
        </w:rPr>
        <w:t>电话：</w:t>
      </w:r>
      <w:r>
        <w:rPr>
          <w:rFonts w:hint="eastAsia" w:ascii="宋体" w:hAnsi="宋体" w:cs="宋体"/>
          <w:szCs w:val="21"/>
          <w:highlight w:val="none"/>
        </w:rPr>
        <w:t>025-84795991、</w:t>
      </w:r>
      <w:r>
        <w:rPr>
          <w:rFonts w:ascii="宋体" w:hAnsi="宋体" w:cs="宋体"/>
          <w:szCs w:val="21"/>
          <w:highlight w:val="none"/>
        </w:rPr>
        <w:t>025-84795941</w:t>
      </w:r>
    </w:p>
    <w:p w14:paraId="5D0B32D1">
      <w:pPr>
        <w:pStyle w:val="19"/>
        <w:ind w:firstLine="480"/>
        <w:rPr>
          <w:rFonts w:hint="eastAsia" w:ascii="宋体" w:hAnsi="宋体" w:cs="宋体"/>
          <w:szCs w:val="21"/>
          <w:highlight w:val="none"/>
        </w:rPr>
      </w:pPr>
      <w:r>
        <w:rPr>
          <w:rFonts w:hint="eastAsia" w:ascii="宋体" w:hAnsi="宋体" w:cs="宋体"/>
          <w:szCs w:val="21"/>
          <w:highlight w:val="none"/>
        </w:rPr>
        <w:t>邮 箱：sxh@jocite.com</w:t>
      </w:r>
    </w:p>
    <w:p w14:paraId="648B265E">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28359008"/>
      <w:bookmarkStart w:id="3" w:name="_Toc35393796"/>
      <w:bookmarkStart w:id="4" w:name="_Toc35393627"/>
      <w:bookmarkStart w:id="5" w:name="_Toc28359085"/>
    </w:p>
    <w:bookmarkEnd w:id="2"/>
    <w:bookmarkEnd w:id="3"/>
    <w:bookmarkEnd w:id="4"/>
    <w:bookmarkEnd w:id="5"/>
    <w:p w14:paraId="7D651691">
      <w:pPr>
        <w:jc w:val="center"/>
        <w:outlineLvl w:val="0"/>
        <w:rPr>
          <w:rFonts w:ascii="宋体" w:hAnsi="宋体" w:cs="黑体"/>
          <w:b/>
          <w:color w:val="000000" w:themeColor="text1"/>
          <w:sz w:val="36"/>
          <w:highlight w:val="none"/>
          <w:lang w:val="zh-CN"/>
          <w14:textFill>
            <w14:solidFill>
              <w14:schemeClr w14:val="tx1"/>
            </w14:solidFill>
          </w14:textFill>
        </w:rPr>
      </w:pPr>
      <w:r>
        <w:rPr>
          <w:highlight w:val="none"/>
        </w:rPr>
        <w:br w:type="page"/>
      </w:r>
      <w:r>
        <w:rPr>
          <w:rFonts w:ascii="宋体" w:hAnsi="宋体" w:cs="黑体"/>
          <w:b/>
          <w:color w:val="000000" w:themeColor="text1"/>
          <w:sz w:val="36"/>
          <w:highlight w:val="none"/>
          <w:lang w:val="zh-CN"/>
          <w14:textFill>
            <w14:solidFill>
              <w14:schemeClr w14:val="tx1"/>
            </w14:solidFill>
          </w14:textFill>
        </w:rPr>
        <w:t xml:space="preserve">第二章  </w:t>
      </w:r>
      <w:r>
        <w:rPr>
          <w:rFonts w:hint="eastAsia" w:ascii="宋体" w:hAnsi="宋体" w:cs="黑体"/>
          <w:b/>
          <w:color w:val="000000" w:themeColor="text1"/>
          <w:sz w:val="36"/>
          <w:highlight w:val="none"/>
          <w:lang w:val="zh-CN"/>
          <w14:textFill>
            <w14:solidFill>
              <w14:schemeClr w14:val="tx1"/>
            </w14:solidFill>
          </w14:textFill>
        </w:rPr>
        <w:t>供应商</w:t>
      </w:r>
      <w:r>
        <w:rPr>
          <w:rFonts w:ascii="宋体" w:hAnsi="宋体" w:cs="黑体"/>
          <w:b/>
          <w:color w:val="000000" w:themeColor="text1"/>
          <w:sz w:val="36"/>
          <w:highlight w:val="none"/>
          <w:lang w:val="zh-CN"/>
          <w14:textFill>
            <w14:solidFill>
              <w14:schemeClr w14:val="tx1"/>
            </w14:solidFill>
          </w14:textFill>
        </w:rPr>
        <w:t>须知</w:t>
      </w:r>
    </w:p>
    <w:p w14:paraId="6E9EAF31">
      <w:pPr>
        <w:pStyle w:val="19"/>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1029AB19">
      <w:pPr>
        <w:pStyle w:val="19"/>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69AC197F">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本采购项目为非政府采购项目，本次采购适用《南京邮电大学采购招标管理办法（修订）》（校发〔2025〕34号）关于印发《南京邮电大学校内分散采购管理实施细则（修订）》</w:t>
      </w:r>
      <w:r>
        <w:rPr>
          <w:color w:val="000000" w:themeColor="text1"/>
          <w:highlight w:val="none"/>
          <w14:textFill>
            <w14:solidFill>
              <w14:schemeClr w14:val="tx1"/>
            </w14:solidFill>
          </w14:textFill>
        </w:rPr>
        <w:t>《南京邮电大学采购项目质疑答复和投诉处理实施细则（试行）》（校发〔2023〕38号）等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67813949">
      <w:pPr>
        <w:pStyle w:val="19"/>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1BA9809C">
      <w:pPr>
        <w:pStyle w:val="19"/>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5C5E758E">
      <w:pPr>
        <w:pStyle w:val="19"/>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“货物和服务”</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货物和服务</w:t>
      </w:r>
      <w:r>
        <w:rPr>
          <w:color w:val="000000" w:themeColor="text1"/>
          <w:highlight w:val="none"/>
          <w14:textFill>
            <w14:solidFill>
              <w14:schemeClr w14:val="tx1"/>
            </w14:solidFill>
          </w14:textFill>
        </w:rPr>
        <w:t>。</w:t>
      </w:r>
    </w:p>
    <w:p w14:paraId="6BB45B9B">
      <w:pPr>
        <w:pStyle w:val="19"/>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14:paraId="08BED34D">
      <w:pPr>
        <w:pStyle w:val="19"/>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27C9A000">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3063D452">
      <w:pPr>
        <w:pStyle w:val="19"/>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6FF062AC">
      <w:pPr>
        <w:pStyle w:val="19"/>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11A98561">
      <w:pPr>
        <w:pStyle w:val="19"/>
        <w:widowControl/>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578B3D3D">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206E9438">
      <w:pPr>
        <w:pStyle w:val="19"/>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25BD8A7E">
      <w:pPr>
        <w:pStyle w:val="19"/>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3625DE23">
      <w:pPr>
        <w:pStyle w:val="19"/>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6C164B82">
      <w:pPr>
        <w:pStyle w:val="19"/>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4187C918">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61FD6814">
      <w:pPr>
        <w:pStyle w:val="19"/>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64400E83">
      <w:pPr>
        <w:pStyle w:val="19"/>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14E813DD">
      <w:pPr>
        <w:pStyle w:val="19"/>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49BB5375">
      <w:pPr>
        <w:pStyle w:val="19"/>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4A476769">
      <w:pPr>
        <w:pStyle w:val="19"/>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141463EA">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04B90E20">
      <w:pPr>
        <w:pStyle w:val="19"/>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6F951FF0">
      <w:pPr>
        <w:pStyle w:val="19"/>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41380AB8">
      <w:pPr>
        <w:pStyle w:val="19"/>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45E21895">
      <w:pPr>
        <w:pStyle w:val="19"/>
        <w:numPr>
          <w:ilvl w:val="0"/>
          <w:numId w:val="12"/>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5050BBCD">
      <w:pPr>
        <w:pStyle w:val="19"/>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2240207B">
      <w:pPr>
        <w:pStyle w:val="19"/>
        <w:numPr>
          <w:ilvl w:val="0"/>
          <w:numId w:val="15"/>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校内分散采购项目代理费按固定标准执行，货物类项目收费2500元/个；服务类项目收费2500元/个；工程类项目收费3300元/个。</w:t>
      </w:r>
    </w:p>
    <w:p w14:paraId="57DD6529">
      <w:pPr>
        <w:pStyle w:val="19"/>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7D4C9A5D">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744BA3F7">
      <w:pPr>
        <w:pStyle w:val="19"/>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11B84F2D">
      <w:pPr>
        <w:pStyle w:val="19"/>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6FFBB6F1">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38E74D92">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4F48D010">
      <w:pPr>
        <w:pStyle w:val="19"/>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1ADEF984">
      <w:pPr>
        <w:pStyle w:val="19"/>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182E5F4E">
      <w:pPr>
        <w:pStyle w:val="19"/>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2C9423B7">
      <w:pPr>
        <w:pStyle w:val="19"/>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1D0F2AD9">
      <w:pPr>
        <w:pStyle w:val="19"/>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493F3672">
      <w:pPr>
        <w:pStyle w:val="19"/>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5E9649D8">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7CED43E5">
      <w:pPr>
        <w:pStyle w:val="19"/>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280631EA">
      <w:pPr>
        <w:pStyle w:val="19"/>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30E1FAE1">
      <w:pPr>
        <w:pStyle w:val="19"/>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255D2043">
      <w:pPr>
        <w:pStyle w:val="19"/>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5C9F170C">
      <w:pPr>
        <w:pStyle w:val="19"/>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0EDF8EAE">
      <w:pPr>
        <w:pStyle w:val="19"/>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0603CD1B">
      <w:pPr>
        <w:pStyle w:val="19"/>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1BC77B56">
      <w:pPr>
        <w:pStyle w:val="19"/>
        <w:widowControl/>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4BD1CAE8">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51AE0581">
      <w:pPr>
        <w:pStyle w:val="19"/>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26CACABC">
      <w:pPr>
        <w:pStyle w:val="19"/>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3CFD4536">
      <w:pPr>
        <w:pStyle w:val="19"/>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016FB966">
      <w:pPr>
        <w:pStyle w:val="19"/>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404D7F97">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5007700D">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1B238019">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6425AEEC">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04562A83">
      <w:pPr>
        <w:pStyle w:val="19"/>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19A3B9A4">
      <w:pPr>
        <w:pStyle w:val="19"/>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7980F9D">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1265DEEB">
      <w:pPr>
        <w:pStyle w:val="19"/>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4B8F0440">
      <w:pPr>
        <w:pStyle w:val="19"/>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6B32051">
      <w:pPr>
        <w:pStyle w:val="19"/>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59DC0CAB">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1C736A75">
      <w:pPr>
        <w:pStyle w:val="19"/>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35658EFE">
      <w:pPr>
        <w:pStyle w:val="19"/>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19C92E2F">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5795CA4E">
      <w:pPr>
        <w:pStyle w:val="19"/>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193B57D9">
      <w:pPr>
        <w:pStyle w:val="19"/>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12DA9E49">
      <w:pPr>
        <w:pStyle w:val="19"/>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5BAD8FE2">
      <w:pPr>
        <w:pStyle w:val="19"/>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26DA5BC7">
      <w:pPr>
        <w:pStyle w:val="19"/>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4E1A4D51">
      <w:pPr>
        <w:pStyle w:val="19"/>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03973A14">
      <w:pPr>
        <w:pStyle w:val="19"/>
        <w:numPr>
          <w:ilvl w:val="0"/>
          <w:numId w:val="26"/>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1038F82A">
      <w:pPr>
        <w:pStyle w:val="19"/>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0F13B713">
      <w:pPr>
        <w:pStyle w:val="19"/>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1DD104F9">
      <w:pPr>
        <w:pStyle w:val="19"/>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14787862">
      <w:pPr>
        <w:pStyle w:val="19"/>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35C947DB">
      <w:pPr>
        <w:pStyle w:val="19"/>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20EF526D">
      <w:pPr>
        <w:pStyle w:val="19"/>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4D40A42F">
      <w:pPr>
        <w:pStyle w:val="19"/>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35FD9A0F">
      <w:pPr>
        <w:pStyle w:val="19"/>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53B06F2F">
      <w:pPr>
        <w:pStyle w:val="19"/>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21A7D9EF">
      <w:pPr>
        <w:pStyle w:val="19"/>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04EB516E">
      <w:pPr>
        <w:pStyle w:val="19"/>
        <w:adjustRightInd w:val="0"/>
        <w:snapToGrid w:val="0"/>
        <w:spacing w:after="0"/>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公开方式征集供应商的，响应供应商或者合格供应商只有两家或者一家，采购文件没有不合理条款，且采购程序符合规定，可以根据实际情况确定已有合格供应商均参加后续采购程序，继续开展采购活动，或采用其他方式采购。</w:t>
      </w:r>
    </w:p>
    <w:p w14:paraId="446BD8A8">
      <w:pPr>
        <w:pStyle w:val="19"/>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721350F2">
      <w:pPr>
        <w:pStyle w:val="19"/>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1EF0F0F8">
      <w:pPr>
        <w:pStyle w:val="19"/>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评审工作由代理机构组织，具体评审事务由依法组建的评审小组负责，并独立履行下列职责：</w:t>
      </w:r>
    </w:p>
    <w:p w14:paraId="4B33DB01">
      <w:pPr>
        <w:pStyle w:val="19"/>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2E35E5A3">
      <w:pPr>
        <w:pStyle w:val="19"/>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23D6EE79">
      <w:pPr>
        <w:pStyle w:val="19"/>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62A24AA4">
      <w:pPr>
        <w:pStyle w:val="19"/>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183BEF8F">
      <w:pPr>
        <w:pStyle w:val="19"/>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5AB090A5">
      <w:pPr>
        <w:pStyle w:val="19"/>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评审小组由采购人代表和有关技术、经济等方面的专家组成，独立开展评审工作。</w:t>
      </w:r>
    </w:p>
    <w:p w14:paraId="7EF1646B">
      <w:pPr>
        <w:pStyle w:val="19"/>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4552F154">
      <w:pPr>
        <w:pStyle w:val="19"/>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响应文件的审查</w:t>
      </w:r>
    </w:p>
    <w:p w14:paraId="1195DBC6">
      <w:pPr>
        <w:pStyle w:val="19"/>
        <w:numPr>
          <w:ilvl w:val="0"/>
          <w:numId w:val="32"/>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评审小组</w:t>
      </w:r>
      <w:r>
        <w:rPr>
          <w:color w:val="000000" w:themeColor="text1"/>
          <w:highlight w:val="none"/>
          <w14:textFill>
            <w14:solidFill>
              <w14:schemeClr w14:val="tx1"/>
            </w14:solidFill>
          </w14:textFill>
        </w:rPr>
        <w:t>依法对供应商的</w:t>
      </w:r>
      <w:r>
        <w:rPr>
          <w:rFonts w:hint="eastAsia"/>
          <w:color w:val="000000" w:themeColor="text1"/>
          <w:highlight w:val="none"/>
          <w14:textFill>
            <w14:solidFill>
              <w14:schemeClr w14:val="tx1"/>
            </w14:solidFill>
          </w14:textFill>
        </w:rPr>
        <w:t>符合性</w:t>
      </w:r>
      <w:r>
        <w:rPr>
          <w:color w:val="000000" w:themeColor="text1"/>
          <w:highlight w:val="none"/>
          <w14:textFill>
            <w14:solidFill>
              <w14:schemeClr w14:val="tx1"/>
            </w14:solidFill>
          </w14:textFill>
        </w:rPr>
        <w:t>进行审查。</w:t>
      </w:r>
    </w:p>
    <w:p w14:paraId="061F4EE6">
      <w:pPr>
        <w:pStyle w:val="19"/>
        <w:widowControl/>
        <w:numPr>
          <w:ilvl w:val="0"/>
          <w:numId w:val="3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响应文件有下列情况之一的，在审查时按照无效响应处理</w:t>
      </w:r>
    </w:p>
    <w:p w14:paraId="7872AE83">
      <w:pPr>
        <w:pStyle w:val="19"/>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4D18E496">
      <w:pPr>
        <w:pStyle w:val="19"/>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7DC83BE5">
      <w:pPr>
        <w:pStyle w:val="19"/>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.2.2.1评审小组将依据法律法规和采购文件的规定，对响应文件的有效性、完整性和对采购文件的响应程度进行审查，以确定是否对采购文件的实质性要求作出响应。</w:t>
      </w:r>
    </w:p>
    <w:p w14:paraId="07C302D4">
      <w:pPr>
        <w:pStyle w:val="19"/>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12893051">
      <w:pPr>
        <w:pStyle w:val="19"/>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.2.2.3如果响应文件实质上没有响应采购文件的要求，评审小组将予以拒绝，供应商不得通过修改或撤销不符合要求的偏离而使其响应成为实质性响应的响应。</w:t>
      </w:r>
    </w:p>
    <w:p w14:paraId="7CAEBFC8">
      <w:pPr>
        <w:pStyle w:val="19"/>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38FC904A">
      <w:pPr>
        <w:pStyle w:val="19"/>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75D70010">
      <w:pPr>
        <w:pStyle w:val="19"/>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5757B643">
      <w:pPr>
        <w:pStyle w:val="19"/>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67D3F06D">
      <w:pPr>
        <w:pStyle w:val="19"/>
        <w:widowControl/>
        <w:numPr>
          <w:ilvl w:val="0"/>
          <w:numId w:val="3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评审小组认为供应商的报价明显低于其他通过符合性审查供应商的报价，有可能影响服务质量或者不能诚信履约的，未在评审现场合理的时间内提供书面说明或相关证明材料，不能证明其报价合理的。</w:t>
      </w:r>
    </w:p>
    <w:p w14:paraId="1BE2EE02">
      <w:pPr>
        <w:pStyle w:val="19"/>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450679B8">
      <w:pPr>
        <w:pStyle w:val="19"/>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0657F9DE">
      <w:pPr>
        <w:pStyle w:val="19"/>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5A4BE27A">
      <w:pPr>
        <w:pStyle w:val="19"/>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12F0E8EB">
      <w:pPr>
        <w:pStyle w:val="19"/>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0B9617A6">
      <w:pPr>
        <w:pStyle w:val="19"/>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7F74D477">
      <w:pPr>
        <w:pStyle w:val="19"/>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评审小组将对确定为实质性响应的响应文件进行进一步评审，看其是否有计算上或累加上的算术错误，修正错误的原则如下：</w:t>
      </w:r>
    </w:p>
    <w:p w14:paraId="42C9617F">
      <w:pPr>
        <w:pStyle w:val="19"/>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42D67927">
      <w:pPr>
        <w:pStyle w:val="19"/>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当单价与数量的乘积和总价不一致时，以单价为准进行修正。只有在评审小组认为单价有明显的小数点错误时，才能以标出的总价为准，并修改单价。</w:t>
      </w:r>
    </w:p>
    <w:p w14:paraId="5E140EC3">
      <w:pPr>
        <w:pStyle w:val="19"/>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评审小组将按上述修正错误的方法调整响应文件中的响应价，调整后的价格应对供应商具有约束力。如果供应商不接受修正后的价格，则其响应将被拒绝。</w:t>
      </w:r>
    </w:p>
    <w:p w14:paraId="1769B174">
      <w:pPr>
        <w:pStyle w:val="19"/>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评审小组将允许修正响应文件中不构成重大偏离的、微小的、非正规的、不一致的或不规则的地方，但这些修改不能影响任何供应商相应的名次排列。</w:t>
      </w:r>
    </w:p>
    <w:p w14:paraId="080F0528">
      <w:pPr>
        <w:pStyle w:val="19"/>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小组可以要求供应商作出必要的澄清、说明或者补正。供应商的澄清、说明、补正应当采用书面形式，由其授权代表签字，但不得超出响应文件的范围或者改变响应文件的实质性内容。</w:t>
      </w:r>
    </w:p>
    <w:p w14:paraId="43D18B37">
      <w:pPr>
        <w:pStyle w:val="19"/>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142095ED">
      <w:pPr>
        <w:pStyle w:val="19"/>
        <w:widowControl/>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49C0CFD2">
      <w:pPr>
        <w:pStyle w:val="19"/>
        <w:widowControl/>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40F10A55">
      <w:pPr>
        <w:pStyle w:val="19"/>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33096DD9">
      <w:pPr>
        <w:pStyle w:val="19"/>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3E75F76C">
      <w:pPr>
        <w:pStyle w:val="19"/>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2C2EA0B4">
      <w:pPr>
        <w:pStyle w:val="19"/>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后按照得分由高到低顺序对供应商进行排序。评审小组按综合得分排名推荐3名成交候选人。得分相同的，按响应报价由低到高顺序排列。按以下第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7BD64297">
      <w:pPr>
        <w:pStyle w:val="19"/>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评审小组直接确定排名第一的成交候选人为成交供应商；</w:t>
      </w:r>
    </w:p>
    <w:p w14:paraId="7D4AB9D0">
      <w:pPr>
        <w:pStyle w:val="19"/>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采购人项目单位在评审小组推荐的成交候选人中按顺序确定成交供应商。</w:t>
      </w:r>
    </w:p>
    <w:p w14:paraId="0262A3AE">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168783C6">
      <w:pPr>
        <w:pStyle w:val="19"/>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19B35F43">
      <w:pPr>
        <w:pStyle w:val="19"/>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512A09F4">
      <w:pPr>
        <w:pStyle w:val="19"/>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0F674118">
      <w:pPr>
        <w:pStyle w:val="19"/>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代理机构和评审小组对未成交的供应商不作未成交原因的解释。</w:t>
      </w:r>
    </w:p>
    <w:p w14:paraId="44D5B6D6">
      <w:pPr>
        <w:pStyle w:val="19"/>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44A4FFFA">
      <w:pPr>
        <w:pStyle w:val="19"/>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091F1FCE">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评审小组根据全体评审成员签字的原始评审记录和评审结果编写评审报告。</w:t>
      </w:r>
    </w:p>
    <w:p w14:paraId="7750D3F8">
      <w:pPr>
        <w:pStyle w:val="19"/>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0FC1BD65">
      <w:pPr>
        <w:pStyle w:val="19"/>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60FE716D">
      <w:pPr>
        <w:pStyle w:val="19"/>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4F01FEE6">
      <w:pPr>
        <w:pStyle w:val="19"/>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1C27D7F2">
      <w:pPr>
        <w:pStyle w:val="19"/>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6CB8E11E">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7A5D236F">
      <w:pPr>
        <w:pStyle w:val="19"/>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7560B39B">
      <w:pPr>
        <w:pStyle w:val="19"/>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67296B59">
      <w:pPr>
        <w:pStyle w:val="19"/>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1604E60B">
      <w:pPr>
        <w:pStyle w:val="19"/>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707A4351">
      <w:pPr>
        <w:pStyle w:val="19"/>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3E29BAAE">
      <w:pPr>
        <w:pStyle w:val="19"/>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4E10D2B6">
      <w:pPr>
        <w:pStyle w:val="19"/>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2E0CB034">
      <w:pPr>
        <w:pStyle w:val="19"/>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95D1491">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1A6C200F">
      <w:pPr>
        <w:pStyle w:val="19"/>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55D26727">
      <w:pPr>
        <w:pStyle w:val="19"/>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1940DBFA">
      <w:pPr>
        <w:pStyle w:val="19"/>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0A2DEB62">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22FFF23D">
      <w:pPr>
        <w:pStyle w:val="19"/>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470FF82E">
      <w:pPr>
        <w:pStyle w:val="19"/>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163E6C7F">
      <w:pPr>
        <w:pStyle w:val="19"/>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457DFFC3">
      <w:pPr>
        <w:pStyle w:val="19"/>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7F3CA780">
      <w:pPr>
        <w:pStyle w:val="19"/>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1E560EEC">
      <w:pPr>
        <w:pStyle w:val="19"/>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77F15970">
      <w:pPr>
        <w:pStyle w:val="19"/>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199D1830">
      <w:pPr>
        <w:pStyle w:val="19"/>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1C27465A">
      <w:pPr>
        <w:pStyle w:val="19"/>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684E38FC">
      <w:pPr>
        <w:pStyle w:val="19"/>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1A23429E">
      <w:pPr>
        <w:pStyle w:val="19"/>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57E116EB">
      <w:pPr>
        <w:pStyle w:val="19"/>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23203AFF">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0A3245D8">
      <w:pPr>
        <w:pStyle w:val="19"/>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215BB12E">
      <w:pPr>
        <w:pStyle w:val="19"/>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719EA722">
      <w:pPr>
        <w:pStyle w:val="19"/>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37586A94">
      <w:pPr>
        <w:pStyle w:val="19"/>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5EDB891E">
      <w:pPr>
        <w:pStyle w:val="19"/>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0864E047">
      <w:pPr>
        <w:pStyle w:val="19"/>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58E4312B">
      <w:pPr>
        <w:pStyle w:val="19"/>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5BDEA731">
      <w:pPr>
        <w:pStyle w:val="19"/>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0F156A78">
      <w:pPr>
        <w:pStyle w:val="19"/>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32272140">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469FD046">
      <w:pPr>
        <w:pStyle w:val="19"/>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5576885B">
      <w:pPr>
        <w:pStyle w:val="19"/>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2E680AAE">
      <w:pPr>
        <w:pStyle w:val="19"/>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49F5289C">
      <w:pPr>
        <w:pStyle w:val="19"/>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42EF0BF9">
      <w:pPr>
        <w:pStyle w:val="19"/>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431FF463">
      <w:pPr>
        <w:pStyle w:val="19"/>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1A845258">
      <w:pPr>
        <w:pStyle w:val="19"/>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20554DEF">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5003D006">
      <w:pPr>
        <w:pStyle w:val="19"/>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33DFD982">
      <w:pPr>
        <w:pStyle w:val="19"/>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009CB933">
      <w:pPr>
        <w:pStyle w:val="19"/>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供应商不得向代理机构工作人员、评审小组成员行贿或者采取其他不正当手段谋取成交。经查实供应商有此行为的，采购管理部门将供应商列入不良行为记录名单，按照有关规定处理。</w:t>
      </w:r>
    </w:p>
    <w:p w14:paraId="4A29A245">
      <w:pPr>
        <w:pStyle w:val="19"/>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527586D2">
      <w:pPr>
        <w:pStyle w:val="19"/>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504B8B9E">
      <w:pPr>
        <w:pStyle w:val="19"/>
        <w:ind w:left="480" w:firstLine="0" w:firstLineChars="0"/>
        <w:rPr>
          <w:color w:val="000000" w:themeColor="text1"/>
          <w:highlight w:val="none"/>
          <w14:textFill>
            <w14:solidFill>
              <w14:schemeClr w14:val="tx1"/>
            </w14:solidFill>
          </w14:textFill>
        </w:rPr>
      </w:pPr>
    </w:p>
    <w:p w14:paraId="4E3D7D66">
      <w:pPr>
        <w:rPr>
          <w:rFonts w:hint="eastAsia" w:ascii="宋体" w:hAnsi="宋体" w:cs="黑体"/>
          <w:b/>
          <w:color w:val="000000" w:themeColor="text1"/>
          <w:sz w:val="36"/>
          <w:highlight w:val="none"/>
          <w14:textFill>
            <w14:solidFill>
              <w14:schemeClr w14:val="tx1"/>
            </w14:solidFill>
          </w14:textFill>
        </w:rPr>
      </w:pPr>
      <w:r>
        <w:rPr>
          <w:rFonts w:ascii="宋体" w:hAnsi="宋体" w:cs="黑体"/>
          <w:b/>
          <w:color w:val="000000" w:themeColor="text1"/>
          <w:sz w:val="36"/>
          <w:highlight w:val="none"/>
          <w14:textFill>
            <w14:solidFill>
              <w14:schemeClr w14:val="tx1"/>
            </w14:solidFill>
          </w14:textFill>
        </w:rPr>
        <w:br w:type="page"/>
      </w:r>
    </w:p>
    <w:p w14:paraId="0E25DCED">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17A127F6">
      <w:pPr>
        <w:pStyle w:val="19"/>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500BD3E5">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26A03037">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小组根据供应商总得分由高到低的顺序推荐前三名作为成交候选人。总得分相同的，按响应报价由低到高顺序排列；总得分及响应报价相同的，由评审小组按照评审因素的量化指标评审得分最高的供应商为排名第一的成交候选人。</w:t>
      </w:r>
    </w:p>
    <w:p w14:paraId="1AD4BEB2">
      <w:pPr>
        <w:pStyle w:val="19"/>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7"/>
        <w:gridCol w:w="6959"/>
      </w:tblGrid>
      <w:tr w14:paraId="727CE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37" w:type="dxa"/>
            <w:vAlign w:val="center"/>
          </w:tcPr>
          <w:p w14:paraId="274F3295">
            <w:pPr>
              <w:widowControl/>
              <w:adjustRightInd w:val="0"/>
              <w:snapToGrid w:val="0"/>
              <w:spacing w:line="300" w:lineRule="auto"/>
              <w:jc w:val="center"/>
              <w:rPr>
                <w:rFonts w:hint="eastAsia" w:ascii="宋体" w:hAnsi="宋体"/>
                <w:szCs w:val="21"/>
                <w:highlight w:val="none"/>
              </w:rPr>
            </w:pPr>
            <w:r>
              <w:rPr>
                <w:rFonts w:hint="eastAsia" w:ascii="宋体" w:hAnsi="宋体" w:cs="仿宋"/>
                <w:b/>
                <w:bCs/>
                <w:szCs w:val="21"/>
                <w:highlight w:val="none"/>
              </w:rPr>
              <w:t>评分因素</w:t>
            </w:r>
          </w:p>
        </w:tc>
        <w:tc>
          <w:tcPr>
            <w:tcW w:w="6959" w:type="dxa"/>
            <w:vAlign w:val="center"/>
          </w:tcPr>
          <w:p w14:paraId="36E4B104">
            <w:pPr>
              <w:widowControl/>
              <w:adjustRightInd w:val="0"/>
              <w:snapToGrid w:val="0"/>
              <w:spacing w:line="300" w:lineRule="auto"/>
              <w:jc w:val="center"/>
              <w:rPr>
                <w:rFonts w:hint="eastAsia" w:ascii="宋体" w:hAnsi="宋体"/>
                <w:szCs w:val="21"/>
                <w:highlight w:val="none"/>
              </w:rPr>
            </w:pPr>
            <w:r>
              <w:rPr>
                <w:rFonts w:hint="eastAsia" w:ascii="宋体" w:hAnsi="宋体" w:cs="仿宋"/>
                <w:b/>
                <w:bCs/>
                <w:szCs w:val="21"/>
                <w:highlight w:val="none"/>
              </w:rPr>
              <w:t>评审标准分值</w:t>
            </w:r>
          </w:p>
        </w:tc>
      </w:tr>
      <w:tr w14:paraId="1835D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dxa"/>
            <w:vAlign w:val="center"/>
          </w:tcPr>
          <w:p w14:paraId="0753E883">
            <w:pPr>
              <w:adjustRightInd w:val="0"/>
              <w:snapToGrid w:val="0"/>
              <w:spacing w:line="300" w:lineRule="auto"/>
              <w:jc w:val="center"/>
              <w:rPr>
                <w:rFonts w:hint="eastAsia" w:ascii="宋体" w:hAnsi="宋体" w:cs="仿宋"/>
                <w:b/>
                <w:bCs/>
                <w:szCs w:val="21"/>
                <w:highlight w:val="none"/>
              </w:rPr>
            </w:pPr>
            <w:r>
              <w:rPr>
                <w:rFonts w:hint="eastAsia" w:ascii="宋体" w:hAnsi="宋体" w:cs="仿宋"/>
                <w:b/>
                <w:bCs/>
                <w:szCs w:val="21"/>
                <w:highlight w:val="none"/>
              </w:rPr>
              <w:t>响应报价</w:t>
            </w:r>
          </w:p>
          <w:p w14:paraId="64839720">
            <w:pPr>
              <w:widowControl/>
              <w:adjustRightInd w:val="0"/>
              <w:snapToGrid w:val="0"/>
              <w:spacing w:line="300" w:lineRule="auto"/>
              <w:jc w:val="center"/>
              <w:rPr>
                <w:rFonts w:hint="eastAsia" w:ascii="宋体" w:hAnsi="宋体"/>
                <w:szCs w:val="21"/>
                <w:highlight w:val="none"/>
              </w:rPr>
            </w:pPr>
            <w:r>
              <w:rPr>
                <w:rFonts w:hint="eastAsia" w:ascii="宋体" w:hAnsi="宋体" w:cs="仿宋"/>
                <w:b/>
                <w:bCs/>
                <w:szCs w:val="21"/>
                <w:highlight w:val="none"/>
              </w:rPr>
              <w:t>（</w:t>
            </w:r>
            <w:r>
              <w:rPr>
                <w:rFonts w:hint="eastAsia" w:ascii="宋体" w:hAnsi="宋体" w:cs="仿宋"/>
                <w:b/>
                <w:bCs/>
                <w:szCs w:val="21"/>
                <w:highlight w:val="none"/>
                <w:lang w:val="en-US" w:eastAsia="zh-CN"/>
              </w:rPr>
              <w:t>30</w:t>
            </w:r>
            <w:r>
              <w:rPr>
                <w:rFonts w:hint="eastAsia" w:ascii="宋体" w:hAnsi="宋体" w:cs="仿宋"/>
                <w:b/>
                <w:bCs/>
                <w:szCs w:val="21"/>
                <w:highlight w:val="none"/>
              </w:rPr>
              <w:t>分）</w:t>
            </w:r>
          </w:p>
        </w:tc>
        <w:tc>
          <w:tcPr>
            <w:tcW w:w="6959" w:type="dxa"/>
            <w:vAlign w:val="center"/>
          </w:tcPr>
          <w:p w14:paraId="515A59D8">
            <w:pPr>
              <w:adjustRightInd w:val="0"/>
              <w:snapToGrid w:val="0"/>
              <w:spacing w:line="300" w:lineRule="auto"/>
              <w:jc w:val="left"/>
              <w:rPr>
                <w:rFonts w:hint="eastAsia" w:ascii="宋体" w:hAnsi="宋体"/>
                <w:szCs w:val="21"/>
                <w:highlight w:val="none"/>
              </w:rPr>
            </w:pPr>
            <w:r>
              <w:rPr>
                <w:rFonts w:hint="eastAsia" w:ascii="宋体" w:hAnsi="宋体"/>
                <w:szCs w:val="21"/>
                <w:highlight w:val="none"/>
              </w:rPr>
              <w:t>价格分采用低价优先法计算，即满足采购文件要求且报价最低的供应商报价为评审基准价，其价格分为满分</w:t>
            </w:r>
            <w:r>
              <w:rPr>
                <w:rFonts w:hint="eastAsia" w:ascii="宋体" w:hAnsi="宋体"/>
                <w:szCs w:val="21"/>
                <w:highlight w:val="none"/>
                <w:lang w:val="en-US" w:eastAsia="zh-CN"/>
              </w:rPr>
              <w:t>30</w:t>
            </w:r>
            <w:r>
              <w:rPr>
                <w:rFonts w:hint="eastAsia" w:ascii="宋体" w:hAnsi="宋体"/>
                <w:szCs w:val="21"/>
                <w:highlight w:val="none"/>
              </w:rPr>
              <w:t>分，其它供应商的价格分统一按照以下公式计算：报价得分=(最低报价/该单位的响应报价)*</w:t>
            </w:r>
            <w:r>
              <w:rPr>
                <w:rFonts w:hint="eastAsia" w:ascii="宋体" w:hAnsi="宋体"/>
                <w:szCs w:val="21"/>
                <w:highlight w:val="none"/>
                <w:lang w:val="en-US" w:eastAsia="zh-CN"/>
              </w:rPr>
              <w:t>30</w:t>
            </w:r>
            <w:r>
              <w:rPr>
                <w:rFonts w:hint="eastAsia" w:ascii="宋体" w:hAnsi="宋体"/>
                <w:szCs w:val="21"/>
                <w:highlight w:val="none"/>
              </w:rPr>
              <w:t>。</w:t>
            </w:r>
          </w:p>
        </w:tc>
      </w:tr>
      <w:tr w14:paraId="4154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14:paraId="0FD323BE">
            <w:pPr>
              <w:widowControl/>
              <w:adjustRightInd w:val="0"/>
              <w:snapToGrid w:val="0"/>
              <w:jc w:val="left"/>
              <w:rPr>
                <w:rFonts w:hint="eastAsia" w:ascii="宋体" w:hAnsi="宋体"/>
                <w:b/>
                <w:bCs/>
                <w:szCs w:val="21"/>
                <w:highlight w:val="none"/>
              </w:rPr>
            </w:pPr>
            <w:r>
              <w:rPr>
                <w:rFonts w:hint="eastAsia" w:ascii="宋体" w:hAnsi="宋体"/>
                <w:b/>
                <w:bCs/>
                <w:szCs w:val="21"/>
                <w:highlight w:val="none"/>
              </w:rPr>
              <w:t>启动异常低价审查的情形和具体要求：</w:t>
            </w:r>
          </w:p>
          <w:p w14:paraId="148296AD">
            <w:pPr>
              <w:widowControl/>
              <w:adjustRightInd w:val="0"/>
              <w:snapToGrid w:val="0"/>
              <w:jc w:val="left"/>
              <w:rPr>
                <w:rFonts w:hint="eastAsia" w:ascii="宋体" w:hAnsi="宋体"/>
                <w:szCs w:val="21"/>
                <w:highlight w:val="none"/>
              </w:rPr>
            </w:pPr>
            <w:r>
              <w:rPr>
                <w:rFonts w:hint="eastAsia" w:ascii="宋体" w:hAnsi="宋体"/>
                <w:szCs w:val="21"/>
                <w:highlight w:val="none"/>
              </w:rPr>
              <w:t>(一)评审过程中出现下列情形之一的，评审小组应当启动异常低价响应审查程序:</w:t>
            </w:r>
          </w:p>
          <w:p w14:paraId="46BD690A">
            <w:pPr>
              <w:widowControl/>
              <w:adjustRightInd w:val="0"/>
              <w:snapToGrid w:val="0"/>
              <w:jc w:val="left"/>
              <w:rPr>
                <w:rFonts w:hint="eastAsia" w:ascii="宋体" w:hAnsi="宋体"/>
                <w:szCs w:val="21"/>
                <w:highlight w:val="none"/>
              </w:rPr>
            </w:pPr>
            <w:r>
              <w:rPr>
                <w:rFonts w:hint="eastAsia" w:ascii="宋体" w:hAnsi="宋体"/>
                <w:szCs w:val="21"/>
                <w:highlight w:val="none"/>
              </w:rPr>
              <w:t>1.响应报价低于采购项目预算50%的，即响应报价&lt;采购项目预算x50%；</w:t>
            </w:r>
          </w:p>
          <w:p w14:paraId="7DB3E012">
            <w:pPr>
              <w:widowControl/>
              <w:adjustRightInd w:val="0"/>
              <w:snapToGrid w:val="0"/>
              <w:jc w:val="left"/>
              <w:rPr>
                <w:rFonts w:hint="eastAsia" w:ascii="宋体" w:hAnsi="宋体"/>
                <w:szCs w:val="21"/>
                <w:highlight w:val="none"/>
              </w:rPr>
            </w:pPr>
            <w:r>
              <w:rPr>
                <w:rFonts w:hint="eastAsia" w:ascii="宋体" w:hAnsi="宋体"/>
                <w:szCs w:val="21"/>
                <w:highlight w:val="none"/>
              </w:rPr>
              <w:t>2.响应报价低于采购项目最高限价45%的，即响应报价&lt;采购项目最高限价x45%；</w:t>
            </w:r>
          </w:p>
          <w:p w14:paraId="0F51EA32">
            <w:pPr>
              <w:widowControl/>
              <w:adjustRightInd w:val="0"/>
              <w:snapToGrid w:val="0"/>
              <w:jc w:val="left"/>
              <w:rPr>
                <w:rFonts w:hint="eastAsia" w:ascii="宋体" w:hAnsi="宋体"/>
                <w:szCs w:val="21"/>
                <w:highlight w:val="none"/>
              </w:rPr>
            </w:pPr>
            <w:r>
              <w:rPr>
                <w:rFonts w:hint="eastAsia" w:ascii="宋体" w:hAnsi="宋体"/>
                <w:szCs w:val="21"/>
                <w:highlight w:val="none"/>
              </w:rPr>
              <w:t>3.评审小组认定的供应商报价过低、有可能影响产品质量或者不能诚信履约的其他情形。</w:t>
            </w:r>
          </w:p>
          <w:p w14:paraId="28AB1ECC">
            <w:pPr>
              <w:adjustRightInd w:val="0"/>
              <w:snapToGrid w:val="0"/>
              <w:spacing w:line="300" w:lineRule="auto"/>
              <w:jc w:val="left"/>
              <w:rPr>
                <w:rFonts w:hint="eastAsia" w:ascii="宋体" w:hAnsi="宋体"/>
                <w:szCs w:val="21"/>
                <w:highlight w:val="none"/>
              </w:rPr>
            </w:pPr>
            <w:r>
              <w:rPr>
                <w:rFonts w:hint="eastAsia" w:ascii="宋体" w:hAnsi="宋体"/>
                <w:szCs w:val="21"/>
                <w:highlight w:val="none"/>
              </w:rPr>
              <w:t>(二)启动异常低价响应审查后，评审小组应当要求相关供应商在评审现场合理的时间内，提供项目具体成本测算等与报价合理性相关的书面说明及相关证明材料，对响应价格作出解释，由评审小组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w:t>
            </w:r>
          </w:p>
        </w:tc>
      </w:tr>
      <w:tr w14:paraId="4C44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1337" w:type="dxa"/>
            <w:vAlign w:val="center"/>
          </w:tcPr>
          <w:p w14:paraId="3A13AD74">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Cs w:val="21"/>
                <w:highlight w:val="none"/>
              </w:rPr>
            </w:pPr>
            <w:r>
              <w:rPr>
                <w:rFonts w:hint="eastAsia" w:ascii="宋体" w:hAnsi="宋体" w:cs="宋体"/>
                <w:b/>
                <w:szCs w:val="21"/>
                <w:highlight w:val="none"/>
              </w:rPr>
              <w:t>业绩</w:t>
            </w:r>
          </w:p>
          <w:p w14:paraId="745DA8CA">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仿宋"/>
                <w:szCs w:val="21"/>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12</w:t>
            </w:r>
            <w:r>
              <w:rPr>
                <w:rFonts w:hint="eastAsia" w:ascii="宋体" w:hAnsi="宋体" w:cs="宋体"/>
                <w:b/>
                <w:szCs w:val="21"/>
                <w:highlight w:val="none"/>
              </w:rPr>
              <w:t>分）</w:t>
            </w:r>
          </w:p>
        </w:tc>
        <w:tc>
          <w:tcPr>
            <w:tcW w:w="6959" w:type="dxa"/>
            <w:vAlign w:val="center"/>
          </w:tcPr>
          <w:p w14:paraId="5A1D6316">
            <w:pPr>
              <w:rPr>
                <w:rFonts w:hint="eastAsia" w:ascii="宋体" w:hAnsi="宋体"/>
                <w:szCs w:val="21"/>
                <w:highlight w:val="none"/>
              </w:rPr>
            </w:pPr>
            <w:r>
              <w:rPr>
                <w:rFonts w:hint="eastAsia" w:ascii="宋体" w:hAnsi="宋体" w:cs="宋体"/>
                <w:szCs w:val="21"/>
                <w:highlight w:val="none"/>
              </w:rPr>
              <w:t>供应商自202</w:t>
            </w:r>
            <w:r>
              <w:rPr>
                <w:rFonts w:hint="eastAsia" w:ascii="宋体" w:hAnsi="宋体" w:cs="宋体"/>
                <w:szCs w:val="21"/>
                <w:highlight w:val="none"/>
                <w:lang w:val="en-US" w:eastAsia="zh-CN"/>
              </w:rPr>
              <w:t>2</w:t>
            </w:r>
            <w:r>
              <w:rPr>
                <w:rFonts w:hint="eastAsia" w:ascii="宋体" w:hAnsi="宋体" w:cs="宋体"/>
                <w:szCs w:val="21"/>
                <w:highlight w:val="none"/>
              </w:rPr>
              <w:t>年9月1日以来（以合同签订时间为准）具有本项目类似的配电房维保业绩，每提供一个业绩得</w:t>
            </w:r>
            <w:r>
              <w:rPr>
                <w:rFonts w:hint="eastAsia" w:ascii="宋体" w:hAnsi="宋体" w:cs="宋体"/>
                <w:szCs w:val="21"/>
                <w:highlight w:val="none"/>
                <w:lang w:val="en-US" w:eastAsia="zh-CN"/>
              </w:rPr>
              <w:t>3</w:t>
            </w:r>
            <w:r>
              <w:rPr>
                <w:rFonts w:hint="eastAsia" w:ascii="宋体" w:hAnsi="宋体" w:cs="宋体"/>
                <w:szCs w:val="21"/>
                <w:highlight w:val="none"/>
              </w:rPr>
              <w:t>分，最多得</w:t>
            </w:r>
            <w:r>
              <w:rPr>
                <w:rFonts w:hint="eastAsia" w:ascii="宋体" w:hAnsi="宋体" w:cs="宋体"/>
                <w:szCs w:val="21"/>
                <w:highlight w:val="none"/>
                <w:lang w:val="en-US" w:eastAsia="zh-CN"/>
              </w:rPr>
              <w:t>12</w:t>
            </w:r>
            <w:r>
              <w:rPr>
                <w:rFonts w:hint="eastAsia" w:ascii="宋体" w:hAnsi="宋体" w:cs="宋体"/>
                <w:szCs w:val="21"/>
                <w:highlight w:val="none"/>
              </w:rPr>
              <w:t>分。（提供合同复印件并加盖供应商公章，合同需包括合同名称、项目内容、盖章、日期等关键内容，缺一不可。）</w:t>
            </w:r>
          </w:p>
        </w:tc>
      </w:tr>
      <w:tr w14:paraId="4C756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5" w:hRule="atLeast"/>
          <w:jc w:val="center"/>
        </w:trPr>
        <w:tc>
          <w:tcPr>
            <w:tcW w:w="1337" w:type="dxa"/>
            <w:vAlign w:val="center"/>
          </w:tcPr>
          <w:p w14:paraId="152973A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szCs w:val="21"/>
                <w:highlight w:val="none"/>
              </w:rPr>
            </w:pPr>
            <w:r>
              <w:rPr>
                <w:rFonts w:hint="eastAsia" w:ascii="宋体" w:hAnsi="宋体" w:cs="宋体"/>
                <w:b/>
                <w:szCs w:val="21"/>
                <w:highlight w:val="none"/>
              </w:rPr>
              <w:t>人员配置</w:t>
            </w:r>
          </w:p>
          <w:p w14:paraId="1350BEF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szCs w:val="21"/>
                <w:highlight w:val="none"/>
              </w:rPr>
            </w:pPr>
            <w:r>
              <w:rPr>
                <w:rFonts w:hint="eastAsia" w:ascii="宋体" w:hAnsi="宋体" w:cs="宋体"/>
                <w:b/>
                <w:szCs w:val="21"/>
                <w:highlight w:val="none"/>
              </w:rPr>
              <w:t>方案</w:t>
            </w:r>
          </w:p>
          <w:p w14:paraId="11B36E5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szCs w:val="21"/>
                <w:highlight w:val="none"/>
              </w:rPr>
            </w:pPr>
            <w:r>
              <w:rPr>
                <w:rFonts w:hint="eastAsia" w:ascii="宋体" w:hAnsi="宋体" w:cs="宋体"/>
                <w:b/>
                <w:szCs w:val="21"/>
                <w:highlight w:val="none"/>
              </w:rPr>
              <w:t>（10分）</w:t>
            </w:r>
          </w:p>
        </w:tc>
        <w:tc>
          <w:tcPr>
            <w:tcW w:w="6959" w:type="dxa"/>
            <w:vAlign w:val="center"/>
          </w:tcPr>
          <w:p w14:paraId="29FF0FC1">
            <w:pPr>
              <w:rPr>
                <w:rFonts w:hint="eastAsia" w:ascii="宋体" w:hAnsi="宋体" w:cs="宋体"/>
                <w:szCs w:val="21"/>
                <w:highlight w:val="none"/>
              </w:rPr>
            </w:pPr>
            <w:r>
              <w:rPr>
                <w:rFonts w:hint="eastAsia" w:ascii="宋体" w:hAnsi="宋体" w:cs="宋体"/>
                <w:szCs w:val="21"/>
                <w:highlight w:val="none"/>
              </w:rPr>
              <w:t>本项目人员要求有项目</w:t>
            </w:r>
            <w:r>
              <w:rPr>
                <w:rFonts w:hint="eastAsia" w:ascii="宋体" w:hAnsi="宋体" w:cs="宋体"/>
                <w:szCs w:val="21"/>
                <w:highlight w:val="none"/>
                <w:lang w:eastAsia="zh-CN"/>
              </w:rPr>
              <w:t>经理</w:t>
            </w:r>
            <w:r>
              <w:rPr>
                <w:rFonts w:hint="eastAsia" w:ascii="宋体" w:hAnsi="宋体" w:cs="宋体"/>
                <w:szCs w:val="21"/>
                <w:highlight w:val="none"/>
              </w:rPr>
              <w:t>、技术负责人、驻场运行维护人员等，供应商须提供详细的拟投入本项目人员名单，并制定详细的人员配置方案。</w:t>
            </w:r>
          </w:p>
          <w:p w14:paraId="473E0631">
            <w:pPr>
              <w:rPr>
                <w:rFonts w:hint="eastAsia" w:ascii="宋体" w:hAnsi="宋体" w:cs="宋体"/>
                <w:szCs w:val="21"/>
                <w:highlight w:val="none"/>
              </w:rPr>
            </w:pPr>
            <w:r>
              <w:rPr>
                <w:rFonts w:hint="eastAsia" w:ascii="宋体" w:hAnsi="宋体" w:cs="宋体"/>
                <w:szCs w:val="21"/>
                <w:highlight w:val="none"/>
              </w:rPr>
              <w:t>方案完整具体，人员配备合理且充足，得10分；</w:t>
            </w:r>
          </w:p>
          <w:p w14:paraId="65C76F44">
            <w:pPr>
              <w:rPr>
                <w:rFonts w:hint="eastAsia" w:ascii="宋体" w:hAnsi="宋体" w:cs="宋体"/>
                <w:szCs w:val="21"/>
                <w:highlight w:val="none"/>
              </w:rPr>
            </w:pPr>
            <w:r>
              <w:rPr>
                <w:rFonts w:hint="eastAsia" w:ascii="宋体" w:hAnsi="宋体" w:cs="宋体"/>
                <w:szCs w:val="21"/>
                <w:highlight w:val="none"/>
              </w:rPr>
              <w:t>方案完整，人员配备较合理且人员较为充足，得7分；</w:t>
            </w:r>
          </w:p>
          <w:p w14:paraId="70B2BE8A">
            <w:pPr>
              <w:rPr>
                <w:rFonts w:hint="eastAsia" w:ascii="宋体" w:hAnsi="宋体" w:cs="宋体"/>
                <w:szCs w:val="21"/>
                <w:highlight w:val="none"/>
              </w:rPr>
            </w:pPr>
            <w:r>
              <w:rPr>
                <w:rFonts w:hint="eastAsia" w:ascii="宋体" w:hAnsi="宋体" w:cs="宋体"/>
                <w:szCs w:val="21"/>
                <w:highlight w:val="none"/>
              </w:rPr>
              <w:t>方案内容基本完整，有相关人员配备，得4分；</w:t>
            </w:r>
          </w:p>
          <w:p w14:paraId="31B7ED5E">
            <w:pPr>
              <w:rPr>
                <w:rFonts w:hint="eastAsia" w:ascii="宋体" w:hAnsi="宋体" w:cs="宋体"/>
                <w:szCs w:val="21"/>
                <w:highlight w:val="none"/>
              </w:rPr>
            </w:pPr>
            <w:r>
              <w:rPr>
                <w:rFonts w:hint="eastAsia" w:ascii="宋体" w:hAnsi="宋体" w:cs="宋体"/>
                <w:szCs w:val="21"/>
                <w:highlight w:val="none"/>
              </w:rPr>
              <w:t>方案简单，需进一步修改完善方可满足项目要求，得1分；</w:t>
            </w:r>
          </w:p>
          <w:p w14:paraId="2499AD67">
            <w:pPr>
              <w:rPr>
                <w:rFonts w:hint="eastAsia" w:ascii="宋体" w:hAnsi="宋体" w:cs="宋体"/>
                <w:szCs w:val="21"/>
                <w:highlight w:val="none"/>
              </w:rPr>
            </w:pPr>
            <w:r>
              <w:rPr>
                <w:rFonts w:hint="eastAsia" w:ascii="宋体" w:hAnsi="宋体" w:cs="宋体"/>
                <w:szCs w:val="21"/>
                <w:highlight w:val="none"/>
              </w:rPr>
              <w:t>未提供不得分。</w:t>
            </w:r>
          </w:p>
          <w:p w14:paraId="16527BC5">
            <w:pPr>
              <w:rPr>
                <w:rFonts w:hint="eastAsia" w:ascii="宋体" w:hAnsi="宋体" w:cs="宋体"/>
                <w:szCs w:val="21"/>
                <w:highlight w:val="none"/>
              </w:rPr>
            </w:pPr>
            <w:r>
              <w:rPr>
                <w:rFonts w:hint="eastAsia" w:ascii="宋体" w:hAnsi="宋体" w:cs="宋体"/>
                <w:b/>
                <w:bCs/>
                <w:szCs w:val="21"/>
                <w:highlight w:val="none"/>
              </w:rPr>
              <w:t>注：响应文件中须提供项目组成员分工表和供应商为上述所有人员提供的2025年4月以来任意1个月缴纳的社保证明材料复印件加盖供应商公章，未按要求提供不得分。</w:t>
            </w:r>
          </w:p>
        </w:tc>
      </w:tr>
      <w:tr w14:paraId="648F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dxa"/>
            <w:vAlign w:val="center"/>
          </w:tcPr>
          <w:p w14:paraId="1E86ADA5">
            <w:pPr>
              <w:adjustRightInd w:val="0"/>
              <w:snapToGrid w:val="0"/>
              <w:spacing w:line="300" w:lineRule="auto"/>
              <w:jc w:val="center"/>
              <w:rPr>
                <w:rFonts w:hint="eastAsia" w:ascii="宋体" w:hAnsi="宋体" w:cs="仿宋"/>
                <w:b/>
                <w:bCs/>
                <w:szCs w:val="21"/>
                <w:highlight w:val="none"/>
              </w:rPr>
            </w:pPr>
            <w:r>
              <w:rPr>
                <w:rFonts w:hint="eastAsia" w:ascii="宋体" w:hAnsi="宋体" w:cs="仿宋"/>
                <w:b/>
                <w:bCs/>
                <w:szCs w:val="21"/>
                <w:highlight w:val="none"/>
              </w:rPr>
              <w:t>项目团队</w:t>
            </w:r>
          </w:p>
          <w:p w14:paraId="5865EC9C">
            <w:pPr>
              <w:adjustRightInd w:val="0"/>
              <w:snapToGrid w:val="0"/>
              <w:spacing w:line="300" w:lineRule="auto"/>
              <w:jc w:val="center"/>
              <w:rPr>
                <w:rFonts w:hint="eastAsia" w:ascii="宋体" w:hAnsi="宋体" w:cs="仿宋"/>
                <w:b/>
                <w:bCs/>
                <w:szCs w:val="21"/>
                <w:highlight w:val="none"/>
              </w:rPr>
            </w:pPr>
            <w:r>
              <w:rPr>
                <w:rFonts w:hint="eastAsia" w:ascii="宋体" w:hAnsi="宋体" w:cs="仿宋"/>
                <w:b/>
                <w:bCs/>
                <w:szCs w:val="21"/>
                <w:highlight w:val="none"/>
              </w:rPr>
              <w:t>专业性</w:t>
            </w:r>
          </w:p>
          <w:p w14:paraId="03A2B262">
            <w:pPr>
              <w:adjustRightInd w:val="0"/>
              <w:snapToGrid w:val="0"/>
              <w:spacing w:line="300" w:lineRule="auto"/>
              <w:jc w:val="center"/>
              <w:rPr>
                <w:rFonts w:hint="eastAsia" w:ascii="宋体" w:hAnsi="宋体" w:cs="仿宋"/>
                <w:kern w:val="2"/>
                <w:szCs w:val="21"/>
                <w:highlight w:val="none"/>
              </w:rPr>
            </w:pPr>
            <w:r>
              <w:rPr>
                <w:rFonts w:hint="eastAsia" w:ascii="宋体" w:hAnsi="宋体" w:cs="仿宋"/>
                <w:b/>
                <w:bCs/>
                <w:szCs w:val="21"/>
                <w:highlight w:val="none"/>
              </w:rPr>
              <w:t>（</w:t>
            </w:r>
            <w:r>
              <w:rPr>
                <w:rFonts w:hint="eastAsia" w:ascii="宋体" w:hAnsi="宋体" w:cs="仿宋"/>
                <w:b/>
                <w:bCs/>
                <w:szCs w:val="21"/>
                <w:highlight w:val="none"/>
                <w:lang w:val="en-US" w:eastAsia="zh-CN"/>
              </w:rPr>
              <w:t>13</w:t>
            </w:r>
            <w:r>
              <w:rPr>
                <w:rFonts w:hint="eastAsia" w:ascii="宋体" w:hAnsi="宋体" w:cs="仿宋"/>
                <w:b/>
                <w:bCs/>
                <w:szCs w:val="21"/>
                <w:highlight w:val="none"/>
              </w:rPr>
              <w:t>分）</w:t>
            </w:r>
          </w:p>
        </w:tc>
        <w:tc>
          <w:tcPr>
            <w:tcW w:w="6959" w:type="dxa"/>
            <w:vAlign w:val="center"/>
          </w:tcPr>
          <w:p w14:paraId="39510F71">
            <w:pPr>
              <w:adjustRightInd w:val="0"/>
              <w:snapToGrid w:val="0"/>
              <w:spacing w:line="300" w:lineRule="auto"/>
              <w:jc w:val="left"/>
              <w:rPr>
                <w:rFonts w:hint="eastAsia" w:ascii="宋体" w:hAnsi="宋体"/>
                <w:kern w:val="2"/>
                <w:szCs w:val="21"/>
                <w:highlight w:val="none"/>
              </w:rPr>
            </w:pPr>
            <w:r>
              <w:rPr>
                <w:rFonts w:hint="eastAsia" w:ascii="宋体" w:hAnsi="宋体"/>
                <w:kern w:val="2"/>
                <w:szCs w:val="21"/>
                <w:highlight w:val="none"/>
              </w:rPr>
              <w:t>(1)拟派项目经理具有电力相关专业高级职称的得</w:t>
            </w:r>
            <w:r>
              <w:rPr>
                <w:rFonts w:hint="eastAsia" w:ascii="宋体" w:hAnsi="宋体"/>
                <w:kern w:val="2"/>
                <w:szCs w:val="21"/>
                <w:highlight w:val="none"/>
                <w:lang w:val="en-US" w:eastAsia="zh-CN"/>
              </w:rPr>
              <w:t>5</w:t>
            </w:r>
            <w:r>
              <w:rPr>
                <w:rFonts w:hint="eastAsia" w:ascii="宋体" w:hAnsi="宋体"/>
                <w:kern w:val="2"/>
                <w:szCs w:val="21"/>
                <w:highlight w:val="none"/>
              </w:rPr>
              <w:t>分，中级职称的得</w:t>
            </w:r>
            <w:r>
              <w:rPr>
                <w:rFonts w:hint="eastAsia" w:ascii="宋体" w:hAnsi="宋体"/>
                <w:kern w:val="2"/>
                <w:szCs w:val="21"/>
                <w:highlight w:val="none"/>
                <w:lang w:val="en-US" w:eastAsia="zh-CN"/>
              </w:rPr>
              <w:t>3</w:t>
            </w:r>
            <w:r>
              <w:rPr>
                <w:rFonts w:hint="eastAsia" w:ascii="宋体" w:hAnsi="宋体"/>
                <w:kern w:val="2"/>
                <w:szCs w:val="21"/>
                <w:highlight w:val="none"/>
              </w:rPr>
              <w:t>分，其余不得分。</w:t>
            </w:r>
          </w:p>
          <w:p w14:paraId="31C187E5">
            <w:pPr>
              <w:adjustRightInd w:val="0"/>
              <w:snapToGrid w:val="0"/>
              <w:spacing w:line="300" w:lineRule="auto"/>
              <w:jc w:val="left"/>
              <w:rPr>
                <w:rFonts w:hint="eastAsia" w:ascii="宋体" w:hAnsi="宋体"/>
                <w:kern w:val="2"/>
                <w:szCs w:val="21"/>
                <w:highlight w:val="none"/>
              </w:rPr>
            </w:pPr>
            <w:r>
              <w:rPr>
                <w:rFonts w:hint="eastAsia" w:ascii="宋体" w:hAnsi="宋体"/>
                <w:kern w:val="2"/>
                <w:szCs w:val="21"/>
                <w:highlight w:val="none"/>
              </w:rPr>
              <w:t>（2）拟派本项目的成员（除项目</w:t>
            </w:r>
            <w:r>
              <w:rPr>
                <w:rFonts w:hint="eastAsia" w:ascii="宋体" w:hAnsi="宋体"/>
                <w:kern w:val="2"/>
                <w:szCs w:val="21"/>
                <w:highlight w:val="none"/>
                <w:lang w:val="en-US" w:eastAsia="zh-CN"/>
              </w:rPr>
              <w:t>经理</w:t>
            </w:r>
            <w:r>
              <w:rPr>
                <w:rFonts w:hint="eastAsia" w:ascii="宋体" w:hAnsi="宋体"/>
                <w:kern w:val="2"/>
                <w:szCs w:val="21"/>
                <w:highlight w:val="none"/>
              </w:rPr>
              <w:t>外）</w:t>
            </w:r>
            <w:r>
              <w:rPr>
                <w:rFonts w:hint="eastAsia" w:ascii="宋体" w:hAnsi="宋体" w:cs="宋体"/>
                <w:highlight w:val="none"/>
              </w:rPr>
              <w:t>具有电气或电力中级及以上工程师职称的，每有1个得</w:t>
            </w:r>
            <w:r>
              <w:rPr>
                <w:rFonts w:hint="eastAsia" w:ascii="宋体" w:hAnsi="宋体" w:cs="宋体"/>
                <w:highlight w:val="none"/>
                <w:lang w:val="en-US" w:eastAsia="zh-CN"/>
              </w:rPr>
              <w:t>2</w:t>
            </w:r>
            <w:r>
              <w:rPr>
                <w:rFonts w:hint="eastAsia" w:ascii="宋体" w:hAnsi="宋体" w:cs="宋体"/>
                <w:highlight w:val="none"/>
              </w:rPr>
              <w:t>分，具有工程师职称的每有1个得1分，</w:t>
            </w:r>
            <w:r>
              <w:rPr>
                <w:rFonts w:hint="eastAsia" w:ascii="宋体" w:hAnsi="宋体"/>
                <w:kern w:val="2"/>
                <w:szCs w:val="21"/>
                <w:highlight w:val="none"/>
              </w:rPr>
              <w:t>最高得</w:t>
            </w:r>
            <w:r>
              <w:rPr>
                <w:rFonts w:hint="eastAsia" w:ascii="宋体" w:hAnsi="宋体"/>
                <w:kern w:val="2"/>
                <w:szCs w:val="21"/>
                <w:highlight w:val="none"/>
                <w:lang w:val="en-US" w:eastAsia="zh-CN"/>
              </w:rPr>
              <w:t>8</w:t>
            </w:r>
            <w:r>
              <w:rPr>
                <w:rFonts w:hint="eastAsia" w:ascii="宋体" w:hAnsi="宋体"/>
                <w:kern w:val="2"/>
                <w:szCs w:val="21"/>
                <w:highlight w:val="none"/>
              </w:rPr>
              <w:t>分</w:t>
            </w:r>
            <w:r>
              <w:rPr>
                <w:rFonts w:hint="eastAsia" w:ascii="宋体" w:hAnsi="宋体" w:cs="宋体"/>
                <w:highlight w:val="none"/>
              </w:rPr>
              <w:t>。</w:t>
            </w:r>
          </w:p>
          <w:p w14:paraId="574AC39B">
            <w:pPr>
              <w:adjustRightInd w:val="0"/>
              <w:snapToGrid w:val="0"/>
              <w:spacing w:line="300" w:lineRule="auto"/>
              <w:jc w:val="left"/>
              <w:rPr>
                <w:rFonts w:hint="eastAsia" w:ascii="宋体" w:hAnsi="宋体"/>
                <w:kern w:val="2"/>
                <w:szCs w:val="21"/>
                <w:highlight w:val="none"/>
              </w:rPr>
            </w:pPr>
            <w:r>
              <w:rPr>
                <w:rFonts w:hint="eastAsia" w:ascii="宋体" w:hAnsi="宋体"/>
                <w:b/>
                <w:bCs/>
                <w:kern w:val="2"/>
                <w:szCs w:val="21"/>
                <w:highlight w:val="none"/>
              </w:rPr>
              <w:t>注：以上人员证书不可兼得，须提供有效证书复印件，未按要求提供不得分。</w:t>
            </w:r>
          </w:p>
        </w:tc>
      </w:tr>
      <w:tr w14:paraId="7BAEF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dxa"/>
            <w:vAlign w:val="center"/>
          </w:tcPr>
          <w:p w14:paraId="248851E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szCs w:val="21"/>
                <w:highlight w:val="none"/>
              </w:rPr>
            </w:pPr>
            <w:r>
              <w:rPr>
                <w:rFonts w:hint="eastAsia" w:ascii="宋体" w:hAnsi="宋体" w:cs="宋体"/>
                <w:b/>
                <w:szCs w:val="21"/>
                <w:highlight w:val="none"/>
              </w:rPr>
              <w:t>项目实施方案</w:t>
            </w:r>
          </w:p>
          <w:p w14:paraId="4DA240E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Cs w:val="21"/>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15</w:t>
            </w:r>
            <w:r>
              <w:rPr>
                <w:rFonts w:hint="eastAsia" w:ascii="宋体" w:hAnsi="宋体" w:cs="宋体"/>
                <w:b/>
                <w:szCs w:val="21"/>
                <w:highlight w:val="none"/>
              </w:rPr>
              <w:t>分）</w:t>
            </w:r>
          </w:p>
        </w:tc>
        <w:tc>
          <w:tcPr>
            <w:tcW w:w="6959" w:type="dxa"/>
            <w:vAlign w:val="center"/>
          </w:tcPr>
          <w:p w14:paraId="2A34950C">
            <w:pPr>
              <w:rPr>
                <w:rFonts w:hint="eastAsia" w:ascii="宋体" w:hAnsi="宋体" w:cs="宋体"/>
                <w:szCs w:val="21"/>
                <w:highlight w:val="none"/>
              </w:rPr>
            </w:pPr>
            <w:r>
              <w:rPr>
                <w:rFonts w:hint="eastAsia" w:ascii="宋体" w:hAnsi="宋体" w:cs="宋体"/>
                <w:szCs w:val="21"/>
                <w:highlight w:val="none"/>
              </w:rPr>
              <w:t>针对本项目提供项目实施方案，结合学校用电的特点，编制实施方案包括施工计划、检测内容、检测报告出具，各项技术措施、组织措施，安全管理等</w:t>
            </w:r>
          </w:p>
          <w:p w14:paraId="311B61A5">
            <w:pPr>
              <w:rPr>
                <w:rFonts w:hint="eastAsia" w:ascii="宋体" w:hAnsi="宋体" w:cs="宋体"/>
                <w:szCs w:val="21"/>
                <w:highlight w:val="none"/>
              </w:rPr>
            </w:pPr>
            <w:r>
              <w:rPr>
                <w:rFonts w:hint="eastAsia" w:ascii="宋体" w:hAnsi="宋体" w:cs="宋体"/>
                <w:szCs w:val="21"/>
                <w:highlight w:val="none"/>
              </w:rPr>
              <w:t>方案内容完整、详细，进度计划合理，各项技术及组织等措施合理，可行性强且完全满足项目实际需求，得</w:t>
            </w:r>
            <w:r>
              <w:rPr>
                <w:rFonts w:hint="eastAsia" w:ascii="宋体" w:hAnsi="宋体" w:cs="宋体"/>
                <w:szCs w:val="21"/>
                <w:highlight w:val="none"/>
                <w:lang w:val="en-US" w:eastAsia="zh-CN"/>
              </w:rPr>
              <w:t>15</w:t>
            </w:r>
            <w:r>
              <w:rPr>
                <w:rFonts w:hint="eastAsia" w:ascii="宋体" w:hAnsi="宋体" w:cs="宋体"/>
                <w:szCs w:val="21"/>
                <w:highlight w:val="none"/>
              </w:rPr>
              <w:t>分；</w:t>
            </w:r>
          </w:p>
          <w:p w14:paraId="5090B7CA">
            <w:pPr>
              <w:rPr>
                <w:rFonts w:hint="eastAsia" w:ascii="宋体" w:hAnsi="宋体" w:cs="宋体"/>
                <w:strike/>
                <w:szCs w:val="21"/>
                <w:highlight w:val="none"/>
              </w:rPr>
            </w:pPr>
            <w:r>
              <w:rPr>
                <w:rFonts w:hint="eastAsia" w:ascii="宋体" w:hAnsi="宋体" w:cs="宋体"/>
                <w:szCs w:val="21"/>
                <w:highlight w:val="none"/>
              </w:rPr>
              <w:t>方案内容完整，进度计划较合理，各项技术及组织等措施合理，可行性较强且满足项目实际需求，得</w:t>
            </w:r>
            <w:r>
              <w:rPr>
                <w:rFonts w:hint="eastAsia" w:ascii="宋体" w:hAnsi="宋体" w:cs="宋体"/>
                <w:szCs w:val="21"/>
                <w:highlight w:val="none"/>
                <w:lang w:val="en-US" w:eastAsia="zh-CN"/>
              </w:rPr>
              <w:t>10</w:t>
            </w:r>
            <w:r>
              <w:rPr>
                <w:rFonts w:hint="eastAsia" w:ascii="宋体" w:hAnsi="宋体" w:cs="宋体"/>
                <w:szCs w:val="21"/>
                <w:highlight w:val="none"/>
              </w:rPr>
              <w:t>分；</w:t>
            </w:r>
          </w:p>
          <w:p w14:paraId="3B6D2C40">
            <w:pPr>
              <w:rPr>
                <w:rFonts w:hint="eastAsia" w:ascii="宋体" w:hAnsi="宋体" w:cs="宋体"/>
                <w:szCs w:val="21"/>
                <w:highlight w:val="none"/>
              </w:rPr>
            </w:pPr>
            <w:r>
              <w:rPr>
                <w:rFonts w:hint="eastAsia" w:ascii="宋体" w:hAnsi="宋体" w:cs="宋体"/>
                <w:szCs w:val="21"/>
                <w:highlight w:val="none"/>
              </w:rPr>
              <w:t>方案内容基本完整，有进度计划但略有瑕疵，各项技术及组织等措施基本合理，基本满足项目实际需求，得</w:t>
            </w:r>
            <w:r>
              <w:rPr>
                <w:rFonts w:hint="eastAsia" w:ascii="宋体" w:hAnsi="宋体" w:cs="宋体"/>
                <w:szCs w:val="21"/>
                <w:highlight w:val="none"/>
                <w:lang w:val="en-US" w:eastAsia="zh-CN"/>
              </w:rPr>
              <w:t>6</w:t>
            </w:r>
            <w:r>
              <w:rPr>
                <w:rFonts w:hint="eastAsia" w:ascii="宋体" w:hAnsi="宋体" w:cs="宋体"/>
                <w:szCs w:val="21"/>
                <w:highlight w:val="none"/>
              </w:rPr>
              <w:t>分；</w:t>
            </w:r>
          </w:p>
          <w:p w14:paraId="356257CE">
            <w:pPr>
              <w:rPr>
                <w:rFonts w:hint="eastAsia" w:ascii="宋体" w:hAnsi="宋体" w:cs="宋体"/>
                <w:szCs w:val="21"/>
                <w:highlight w:val="none"/>
              </w:rPr>
            </w:pPr>
            <w:r>
              <w:rPr>
                <w:rFonts w:hint="eastAsia" w:ascii="宋体" w:hAnsi="宋体" w:cs="宋体"/>
                <w:szCs w:val="21"/>
                <w:highlight w:val="none"/>
              </w:rPr>
              <w:t>方案内容有缺失，进度计划不明确，各项技术及组织等措施需进一步修改完善方可满足项目实际需求，得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54261E5D">
            <w:pPr>
              <w:rPr>
                <w:rFonts w:hint="eastAsia" w:ascii="宋体" w:hAnsi="宋体" w:cs="宋体"/>
                <w:szCs w:val="21"/>
                <w:highlight w:val="none"/>
              </w:rPr>
            </w:pPr>
            <w:r>
              <w:rPr>
                <w:rFonts w:hint="eastAsia" w:ascii="宋体" w:hAnsi="宋体" w:cs="宋体"/>
                <w:szCs w:val="21"/>
                <w:highlight w:val="none"/>
              </w:rPr>
              <w:t>未提供不得分。</w:t>
            </w:r>
          </w:p>
        </w:tc>
      </w:tr>
      <w:tr w14:paraId="73E55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atLeast"/>
          <w:jc w:val="center"/>
        </w:trPr>
        <w:tc>
          <w:tcPr>
            <w:tcW w:w="1337" w:type="dxa"/>
            <w:vAlign w:val="center"/>
          </w:tcPr>
          <w:p w14:paraId="6C8DB87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Cs w:val="21"/>
                <w:highlight w:val="none"/>
              </w:rPr>
            </w:pPr>
            <w:r>
              <w:rPr>
                <w:rFonts w:hint="eastAsia" w:ascii="宋体" w:hAnsi="宋体" w:cs="宋体"/>
                <w:b/>
                <w:bCs/>
                <w:szCs w:val="21"/>
                <w:highlight w:val="none"/>
              </w:rPr>
              <w:t>应急预案</w:t>
            </w:r>
          </w:p>
          <w:p w14:paraId="7D80399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仿宋"/>
                <w:szCs w:val="21"/>
                <w:highlight w:val="none"/>
                <w:lang w:bidi="zh-CN"/>
              </w:rPr>
            </w:pPr>
            <w:r>
              <w:rPr>
                <w:rFonts w:hint="eastAsia" w:ascii="宋体" w:hAnsi="宋体" w:cs="宋体"/>
                <w:b/>
                <w:bCs/>
                <w:szCs w:val="21"/>
                <w:highlight w:val="none"/>
              </w:rPr>
              <w:t>（</w:t>
            </w:r>
            <w:r>
              <w:rPr>
                <w:rFonts w:hint="eastAsia" w:ascii="宋体" w:hAnsi="宋体" w:cs="宋体"/>
                <w:b/>
                <w:bCs/>
                <w:szCs w:val="21"/>
                <w:highlight w:val="none"/>
                <w:lang w:val="en-US" w:eastAsia="zh-CN"/>
              </w:rPr>
              <w:t>14</w:t>
            </w:r>
            <w:r>
              <w:rPr>
                <w:rFonts w:hint="eastAsia" w:ascii="宋体" w:hAnsi="宋体" w:cs="宋体"/>
                <w:b/>
                <w:bCs/>
                <w:szCs w:val="21"/>
                <w:highlight w:val="none"/>
              </w:rPr>
              <w:t>分）</w:t>
            </w:r>
          </w:p>
        </w:tc>
        <w:tc>
          <w:tcPr>
            <w:tcW w:w="6959" w:type="dxa"/>
            <w:vAlign w:val="center"/>
          </w:tcPr>
          <w:p w14:paraId="32E26561">
            <w:pPr>
              <w:rPr>
                <w:rFonts w:hint="eastAsia" w:ascii="宋体" w:hAnsi="宋体" w:cs="宋体"/>
                <w:szCs w:val="21"/>
                <w:highlight w:val="none"/>
              </w:rPr>
            </w:pPr>
            <w:r>
              <w:rPr>
                <w:rFonts w:hint="eastAsia" w:ascii="宋体" w:hAnsi="宋体" w:cs="宋体"/>
                <w:szCs w:val="21"/>
                <w:highlight w:val="none"/>
              </w:rPr>
              <w:t>根据提供的售后服务方案（内容包括但不限于服务体系及服务内容、故障解决方案及响应时间、应急人员及服务保障等）进行评审：</w:t>
            </w:r>
          </w:p>
          <w:p w14:paraId="755D61BC">
            <w:pPr>
              <w:rPr>
                <w:rFonts w:hint="eastAsia" w:ascii="宋体" w:hAnsi="宋体" w:cs="宋体"/>
                <w:szCs w:val="21"/>
                <w:highlight w:val="none"/>
              </w:rPr>
            </w:pPr>
            <w:r>
              <w:rPr>
                <w:rFonts w:hint="eastAsia" w:ascii="宋体" w:hAnsi="宋体" w:cs="宋体"/>
                <w:szCs w:val="21"/>
                <w:highlight w:val="none"/>
              </w:rPr>
              <w:t>售后服务体系完善，应急人员充足、承诺解决问题周期短、维修便利的得</w:t>
            </w:r>
            <w:r>
              <w:rPr>
                <w:rFonts w:hint="eastAsia" w:ascii="宋体" w:hAnsi="宋体" w:cs="宋体"/>
                <w:szCs w:val="21"/>
                <w:highlight w:val="none"/>
                <w:lang w:val="en-US" w:eastAsia="zh-CN"/>
              </w:rPr>
              <w:t>14</w:t>
            </w:r>
            <w:r>
              <w:rPr>
                <w:rFonts w:hint="eastAsia" w:ascii="宋体" w:hAnsi="宋体" w:cs="宋体"/>
                <w:szCs w:val="21"/>
                <w:highlight w:val="none"/>
              </w:rPr>
              <w:t>分；</w:t>
            </w:r>
          </w:p>
          <w:p w14:paraId="22F46E1F">
            <w:pPr>
              <w:rPr>
                <w:rFonts w:hint="eastAsia" w:ascii="宋体" w:hAnsi="宋体" w:cs="宋体"/>
                <w:szCs w:val="21"/>
                <w:highlight w:val="none"/>
              </w:rPr>
            </w:pPr>
            <w:r>
              <w:rPr>
                <w:rFonts w:hint="eastAsia" w:ascii="宋体" w:hAnsi="宋体" w:cs="宋体"/>
                <w:szCs w:val="21"/>
                <w:highlight w:val="none"/>
              </w:rPr>
              <w:t>售后服务体系完善，应急人员较充足、承诺解决问题周期较短、维修较便利的得</w:t>
            </w:r>
            <w:r>
              <w:rPr>
                <w:rFonts w:hint="eastAsia" w:ascii="宋体" w:hAnsi="宋体" w:cs="宋体"/>
                <w:szCs w:val="21"/>
                <w:highlight w:val="none"/>
                <w:lang w:val="en-US" w:eastAsia="zh-CN"/>
              </w:rPr>
              <w:t>10</w:t>
            </w:r>
            <w:r>
              <w:rPr>
                <w:rFonts w:hint="eastAsia" w:ascii="宋体" w:hAnsi="宋体" w:cs="宋体"/>
                <w:szCs w:val="21"/>
                <w:highlight w:val="none"/>
              </w:rPr>
              <w:t>分；</w:t>
            </w:r>
          </w:p>
          <w:p w14:paraId="3B5A624A">
            <w:pPr>
              <w:rPr>
                <w:rFonts w:hint="eastAsia" w:ascii="宋体" w:hAnsi="宋体" w:cs="宋体"/>
                <w:szCs w:val="21"/>
                <w:highlight w:val="none"/>
              </w:rPr>
            </w:pPr>
            <w:r>
              <w:rPr>
                <w:rFonts w:hint="eastAsia" w:ascii="宋体" w:hAnsi="宋体" w:cs="宋体"/>
                <w:szCs w:val="21"/>
                <w:highlight w:val="none"/>
              </w:rPr>
              <w:t>售后服务体系较完善，应急人员充足性一般、承诺解决问题周期较短、维修便利性一般的得</w:t>
            </w:r>
            <w:r>
              <w:rPr>
                <w:rFonts w:hint="eastAsia" w:ascii="宋体" w:hAnsi="宋体" w:cs="宋体"/>
                <w:szCs w:val="21"/>
                <w:highlight w:val="none"/>
                <w:lang w:val="en-US" w:eastAsia="zh-CN"/>
              </w:rPr>
              <w:t>6</w:t>
            </w:r>
            <w:r>
              <w:rPr>
                <w:rFonts w:hint="eastAsia" w:ascii="宋体" w:hAnsi="宋体" w:cs="宋体"/>
                <w:szCs w:val="21"/>
                <w:highlight w:val="none"/>
              </w:rPr>
              <w:t>分；</w:t>
            </w:r>
          </w:p>
          <w:p w14:paraId="670DBC4F">
            <w:pPr>
              <w:rPr>
                <w:rFonts w:hint="eastAsia" w:ascii="宋体" w:hAnsi="宋体" w:cs="宋体"/>
                <w:szCs w:val="21"/>
                <w:highlight w:val="none"/>
              </w:rPr>
            </w:pPr>
            <w:r>
              <w:rPr>
                <w:rFonts w:hint="eastAsia" w:ascii="宋体" w:hAnsi="宋体" w:cs="宋体"/>
                <w:szCs w:val="21"/>
                <w:highlight w:val="none"/>
              </w:rPr>
              <w:t>售后服务方案简单，需进一步修改完善方可满足项目要求得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7FEC278F">
            <w:pPr>
              <w:rPr>
                <w:rFonts w:hint="eastAsia" w:ascii="宋体" w:hAnsi="宋体"/>
                <w:szCs w:val="21"/>
                <w:highlight w:val="none"/>
              </w:rPr>
            </w:pPr>
            <w:r>
              <w:rPr>
                <w:rFonts w:hint="eastAsia" w:ascii="宋体" w:hAnsi="宋体" w:cs="宋体"/>
                <w:szCs w:val="21"/>
                <w:highlight w:val="none"/>
              </w:rPr>
              <w:t>未提供不得分。</w:t>
            </w:r>
          </w:p>
        </w:tc>
      </w:tr>
      <w:tr w14:paraId="29AEE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1" w:hRule="atLeast"/>
          <w:jc w:val="center"/>
        </w:trPr>
        <w:tc>
          <w:tcPr>
            <w:tcW w:w="1337" w:type="dxa"/>
            <w:vAlign w:val="center"/>
          </w:tcPr>
          <w:p w14:paraId="1B8F41BA">
            <w:pPr>
              <w:spacing w:line="360" w:lineRule="auto"/>
              <w:jc w:val="center"/>
              <w:rPr>
                <w:rFonts w:hint="eastAsia" w:ascii="宋体" w:hAnsi="宋体" w:cs="宋体"/>
                <w:b/>
                <w:bCs/>
                <w:highlight w:val="none"/>
              </w:rPr>
            </w:pPr>
            <w:r>
              <w:rPr>
                <w:rFonts w:hint="eastAsia" w:ascii="宋体" w:hAnsi="宋体" w:cs="宋体"/>
                <w:b/>
                <w:bCs/>
                <w:highlight w:val="none"/>
              </w:rPr>
              <w:t>增值服务</w:t>
            </w:r>
          </w:p>
          <w:p w14:paraId="1F327416">
            <w:pPr>
              <w:spacing w:line="360" w:lineRule="auto"/>
              <w:jc w:val="center"/>
              <w:rPr>
                <w:rFonts w:hint="eastAsia" w:ascii="宋体" w:hAnsi="宋体" w:cs="宋体"/>
                <w:b/>
                <w:szCs w:val="21"/>
                <w:highlight w:val="none"/>
              </w:rPr>
            </w:pPr>
            <w:r>
              <w:rPr>
                <w:rFonts w:hint="eastAsia" w:ascii="宋体" w:hAnsi="宋体" w:cs="宋体"/>
                <w:b/>
                <w:bCs/>
                <w:highlight w:val="none"/>
              </w:rPr>
              <w:t>（</w:t>
            </w:r>
            <w:r>
              <w:rPr>
                <w:rFonts w:hint="eastAsia" w:ascii="宋体" w:hAnsi="宋体" w:cs="宋体"/>
                <w:b/>
                <w:bCs/>
                <w:highlight w:val="none"/>
                <w:lang w:val="en-US" w:eastAsia="zh-CN"/>
              </w:rPr>
              <w:t>6</w:t>
            </w:r>
            <w:r>
              <w:rPr>
                <w:rFonts w:hint="eastAsia" w:ascii="宋体" w:hAnsi="宋体" w:cs="宋体"/>
                <w:b/>
                <w:bCs/>
                <w:highlight w:val="none"/>
              </w:rPr>
              <w:t>分）</w:t>
            </w:r>
          </w:p>
        </w:tc>
        <w:tc>
          <w:tcPr>
            <w:tcW w:w="6959" w:type="dxa"/>
            <w:vAlign w:val="center"/>
          </w:tcPr>
          <w:p w14:paraId="156F67D6">
            <w:pPr>
              <w:spacing w:line="300" w:lineRule="exact"/>
              <w:rPr>
                <w:szCs w:val="24"/>
                <w:highlight w:val="none"/>
              </w:rPr>
            </w:pPr>
            <w:r>
              <w:rPr>
                <w:rFonts w:hint="eastAsia" w:ascii="宋体" w:hAnsi="宋体" w:cs="宋体"/>
                <w:highlight w:val="none"/>
              </w:rPr>
              <w:t>根据供应商提供的服务承诺，包括但不限定于优于采购需求的服务承诺、附加及增值服务、提供额外的维保服务</w:t>
            </w:r>
            <w:r>
              <w:rPr>
                <w:rFonts w:hint="eastAsia" w:ascii="宋体" w:hAnsi="宋体" w:cs="宋体"/>
                <w:highlight w:val="none"/>
                <w:lang w:eastAsia="zh-CN"/>
              </w:rPr>
              <w:t>、</w:t>
            </w:r>
            <w:r>
              <w:rPr>
                <w:rFonts w:hint="eastAsia" w:ascii="宋体" w:hAnsi="宋体" w:cs="宋体"/>
                <w:highlight w:val="none"/>
                <w:lang w:val="en-US" w:eastAsia="zh-CN"/>
              </w:rPr>
              <w:t>提供培训服务</w:t>
            </w:r>
            <w:r>
              <w:rPr>
                <w:rFonts w:hint="eastAsia" w:ascii="宋体" w:hAnsi="宋体" w:cs="宋体"/>
                <w:highlight w:val="none"/>
              </w:rPr>
              <w:t>等每提供一项得</w:t>
            </w:r>
            <w:r>
              <w:rPr>
                <w:rFonts w:hint="eastAsia" w:ascii="宋体" w:hAnsi="宋体" w:cs="宋体"/>
                <w:highlight w:val="none"/>
                <w:lang w:val="en-US" w:eastAsia="zh-CN"/>
              </w:rPr>
              <w:t>2</w:t>
            </w:r>
            <w:r>
              <w:rPr>
                <w:rFonts w:hint="eastAsia" w:ascii="宋体" w:hAnsi="宋体" w:cs="宋体"/>
                <w:highlight w:val="none"/>
              </w:rPr>
              <w:t>分，最高得</w:t>
            </w:r>
            <w:r>
              <w:rPr>
                <w:rFonts w:hint="eastAsia" w:ascii="宋体" w:hAnsi="宋体" w:cs="宋体"/>
                <w:highlight w:val="none"/>
                <w:lang w:val="en-US" w:eastAsia="zh-CN"/>
              </w:rPr>
              <w:t>6</w:t>
            </w:r>
            <w:r>
              <w:rPr>
                <w:rFonts w:hint="eastAsia" w:ascii="宋体" w:hAnsi="宋体" w:cs="宋体"/>
                <w:highlight w:val="none"/>
              </w:rPr>
              <w:t>分。</w:t>
            </w:r>
            <w:r>
              <w:rPr>
                <w:rFonts w:hint="eastAsia"/>
                <w:szCs w:val="24"/>
                <w:highlight w:val="none"/>
              </w:rPr>
              <w:t>（以能否对项目服务产生实质性加乘效益为衡量标准，由评审小组评定是否为实质性优惠承诺。）。</w:t>
            </w:r>
          </w:p>
          <w:p w14:paraId="58B5CB79">
            <w:pPr>
              <w:pStyle w:val="15"/>
              <w:ind w:firstLine="0"/>
              <w:rPr>
                <w:rFonts w:hint="eastAsia" w:ascii="宋体" w:hAnsi="宋体" w:eastAsia="宋体" w:cs="宋体"/>
                <w:szCs w:val="21"/>
                <w:highlight w:val="none"/>
                <w:lang w:val="en-US" w:eastAsia="zh-CN"/>
              </w:rPr>
            </w:pPr>
            <w:r>
              <w:rPr>
                <w:rFonts w:hint="eastAsia"/>
                <w:b/>
                <w:bCs/>
                <w:highlight w:val="none"/>
              </w:rPr>
              <w:t>注：提供增值服务承诺并加盖供应商公章，格式自拟。</w:t>
            </w:r>
            <w:r>
              <w:rPr>
                <w:rFonts w:hint="eastAsia"/>
                <w:b/>
                <w:bCs/>
                <w:highlight w:val="none"/>
                <w:lang w:val="en-US" w:eastAsia="zh-CN"/>
              </w:rPr>
              <w:t xml:space="preserve"> </w:t>
            </w:r>
          </w:p>
        </w:tc>
      </w:tr>
    </w:tbl>
    <w:p w14:paraId="4E0AAC84">
      <w:pPr>
        <w:rPr>
          <w:rFonts w:ascii="宋体"/>
          <w:b/>
          <w:highlight w:val="none"/>
        </w:rPr>
      </w:pPr>
      <w:r>
        <w:rPr>
          <w:rFonts w:hint="eastAsia" w:ascii="宋体"/>
          <w:b/>
          <w:highlight w:val="none"/>
        </w:rPr>
        <w:t>所有认证、证明和业绩均以有效清晰的证明文件的复印件为依据，原件备查。</w:t>
      </w:r>
      <w:r>
        <w:rPr>
          <w:rFonts w:hint="eastAsia" w:ascii="宋体"/>
          <w:b/>
          <w:bCs/>
          <w:highlight w:val="none"/>
        </w:rPr>
        <w:t>并在评审索引表中详细标明其所在响应文件中的页码和位置。无相关材料证实的，评选委员会有权做负偏离处理。</w:t>
      </w:r>
    </w:p>
    <w:p w14:paraId="2CB0EF01">
      <w:pPr>
        <w:adjustRightInd w:val="0"/>
        <w:snapToGrid w:val="0"/>
        <w:spacing w:line="360" w:lineRule="auto"/>
        <w:ind w:firstLine="420" w:firstLineChars="200"/>
        <w:rPr>
          <w:rFonts w:hint="eastAsia" w:ascii="宋体" w:hAnsi="宋体"/>
          <w:highlight w:val="none"/>
        </w:rPr>
      </w:pPr>
    </w:p>
    <w:p w14:paraId="6D4E9DC2">
      <w:pPr>
        <w:rPr>
          <w:rFonts w:hint="eastAsia"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14:textFill>
            <w14:solidFill>
              <w14:schemeClr w14:val="tx1"/>
            </w14:solidFill>
          </w14:textFill>
        </w:rPr>
        <w:br w:type="page"/>
      </w:r>
    </w:p>
    <w:p w14:paraId="4127E02B">
      <w:pPr>
        <w:pStyle w:val="261"/>
        <w:numPr>
          <w:ilvl w:val="0"/>
          <w:numId w:val="53"/>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采购需求</w:t>
      </w:r>
    </w:p>
    <w:p w14:paraId="6237EE7A">
      <w:pPr>
        <w:rPr>
          <w:rFonts w:hint="eastAsia" w:ascii="宋体" w:hAnsi="宋体" w:cs="宋体"/>
          <w:b/>
          <w:bCs/>
          <w:sz w:val="24"/>
          <w:szCs w:val="24"/>
          <w:highlight w:val="none"/>
        </w:rPr>
      </w:pPr>
      <w:r>
        <w:rPr>
          <w:rFonts w:hint="eastAsia" w:ascii="宋体" w:hAnsi="宋体" w:cs="宋体"/>
          <w:b/>
          <w:bCs/>
          <w:color w:val="000000"/>
          <w:sz w:val="24"/>
          <w:szCs w:val="24"/>
          <w:highlight w:val="none"/>
        </w:rPr>
        <w:t>一、基本情况</w:t>
      </w:r>
    </w:p>
    <w:p w14:paraId="377CCF22">
      <w:pPr>
        <w:spacing w:line="360" w:lineRule="auto"/>
        <w:ind w:firstLine="480" w:firstLineChars="200"/>
        <w:outlineLvl w:val="1"/>
        <w:rPr>
          <w:rFonts w:hint="eastAsia" w:ascii="宋体" w:hAnsi="宋体" w:cs="宋体"/>
          <w:sz w:val="24"/>
          <w:szCs w:val="24"/>
          <w:highlight w:val="none"/>
        </w:rPr>
      </w:pPr>
      <w:r>
        <w:rPr>
          <w:rFonts w:hint="eastAsia" w:ascii="宋体" w:hAnsi="宋体" w:cs="宋体"/>
          <w:sz w:val="24"/>
          <w:szCs w:val="24"/>
          <w:highlight w:val="none"/>
        </w:rPr>
        <w:t>南京邮电大学仙林校区有3所10kV中心站</w:t>
      </w:r>
      <w:r>
        <w:rPr>
          <w:rFonts w:hint="eastAsia" w:ascii="宋体" w:hAnsi="宋体" w:cs="宋体"/>
          <w:color w:val="000000"/>
          <w:sz w:val="24"/>
          <w:szCs w:val="24"/>
          <w:highlight w:val="none"/>
        </w:rPr>
        <w:t>，</w:t>
      </w:r>
      <w:r>
        <w:rPr>
          <w:rFonts w:hint="eastAsia" w:ascii="宋体" w:hAnsi="宋体" w:cs="宋体"/>
          <w:sz w:val="24"/>
          <w:szCs w:val="24"/>
          <w:highlight w:val="none"/>
        </w:rPr>
        <w:t>三牌楼校区 1所10kV中心站，锁金村校区1所中心站 ，三校区共有20余处10KV/0.4kV，主要满足全校教学、科研及生活用电需求。设备详见附件1。</w:t>
      </w:r>
    </w:p>
    <w:p w14:paraId="29059ABE">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二、维保服务基本内容</w:t>
      </w:r>
    </w:p>
    <w:p w14:paraId="337DFE7D">
      <w:pPr>
        <w:numPr>
          <w:ilvl w:val="0"/>
          <w:numId w:val="54"/>
        </w:num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服务范围</w:t>
      </w:r>
    </w:p>
    <w:p w14:paraId="15898202">
      <w:pPr>
        <w:pStyle w:val="271"/>
        <w:numPr>
          <w:ilvl w:val="0"/>
          <w:numId w:val="55"/>
        </w:numPr>
        <w:tabs>
          <w:tab w:val="left" w:pos="851"/>
        </w:tabs>
        <w:spacing w:line="360" w:lineRule="auto"/>
        <w:ind w:left="881"/>
        <w:rPr>
          <w:rFonts w:hint="eastAsia" w:ascii="宋体" w:hAnsi="宋体" w:cs="宋体"/>
          <w:sz w:val="24"/>
          <w:szCs w:val="24"/>
          <w:highlight w:val="none"/>
        </w:rPr>
      </w:pPr>
      <w:r>
        <w:rPr>
          <w:rFonts w:hint="eastAsia" w:ascii="宋体" w:hAnsi="宋体" w:cs="宋体"/>
          <w:sz w:val="24"/>
          <w:szCs w:val="24"/>
          <w:highlight w:val="none"/>
        </w:rPr>
        <w:t>上述变电站所列范围内设施、设备，具体以变电站墙壁为界；</w:t>
      </w:r>
    </w:p>
    <w:p w14:paraId="06EA776E">
      <w:pPr>
        <w:pStyle w:val="271"/>
        <w:numPr>
          <w:ilvl w:val="0"/>
          <w:numId w:val="55"/>
        </w:numPr>
        <w:tabs>
          <w:tab w:val="left" w:pos="851"/>
        </w:tabs>
        <w:spacing w:line="360" w:lineRule="auto"/>
        <w:ind w:left="881"/>
        <w:rPr>
          <w:rFonts w:hint="eastAsia" w:ascii="宋体" w:hAnsi="宋体" w:cs="宋体"/>
          <w:sz w:val="24"/>
          <w:szCs w:val="24"/>
          <w:highlight w:val="none"/>
        </w:rPr>
      </w:pPr>
      <w:r>
        <w:rPr>
          <w:rFonts w:hint="eastAsia" w:ascii="宋体" w:hAnsi="宋体" w:cs="宋体"/>
          <w:sz w:val="24"/>
          <w:szCs w:val="24"/>
          <w:highlight w:val="none"/>
        </w:rPr>
        <w:t>自电源侧供电部门分界点到低压出线柜出线开关下桩头之间的出线设备；</w:t>
      </w:r>
    </w:p>
    <w:p w14:paraId="4030B019">
      <w:pPr>
        <w:pStyle w:val="271"/>
        <w:numPr>
          <w:ilvl w:val="0"/>
          <w:numId w:val="55"/>
        </w:numPr>
        <w:tabs>
          <w:tab w:val="left" w:pos="851"/>
        </w:tabs>
        <w:spacing w:line="360" w:lineRule="auto"/>
        <w:ind w:left="881"/>
        <w:rPr>
          <w:rFonts w:hint="eastAsia" w:ascii="宋体" w:hAnsi="宋体" w:cs="宋体"/>
          <w:b/>
          <w:bCs/>
          <w:sz w:val="24"/>
          <w:szCs w:val="24"/>
          <w:highlight w:val="none"/>
        </w:rPr>
      </w:pPr>
      <w:r>
        <w:rPr>
          <w:rFonts w:hint="eastAsia" w:ascii="宋体" w:hAnsi="宋体" w:cs="宋体"/>
          <w:sz w:val="24"/>
          <w:szCs w:val="24"/>
          <w:highlight w:val="none"/>
        </w:rPr>
        <w:t>主要包括：高、低压开关柜、高压电缆、配电变压器、直流系统、保护、低压无功补偿柜、仪表。</w:t>
      </w:r>
    </w:p>
    <w:p w14:paraId="7F4CF49E">
      <w:pPr>
        <w:numPr>
          <w:ilvl w:val="0"/>
          <w:numId w:val="54"/>
        </w:num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主要内容</w:t>
      </w:r>
    </w:p>
    <w:p w14:paraId="4265E655">
      <w:pPr>
        <w:spacing w:line="360" w:lineRule="auto"/>
        <w:ind w:firstLine="480" w:firstLineChars="200"/>
        <w:outlineLvl w:val="1"/>
        <w:rPr>
          <w:rFonts w:hint="eastAsia" w:ascii="宋体" w:hAnsi="宋体" w:cs="宋体"/>
          <w:sz w:val="24"/>
          <w:szCs w:val="24"/>
          <w:highlight w:val="none"/>
        </w:rPr>
      </w:pPr>
      <w:bookmarkStart w:id="6" w:name="_Toc464299504"/>
      <w:r>
        <w:rPr>
          <w:rFonts w:hint="eastAsia" w:ascii="宋体" w:hAnsi="宋体" w:cs="宋体"/>
          <w:sz w:val="24"/>
          <w:szCs w:val="24"/>
          <w:highlight w:val="none"/>
        </w:rPr>
        <w:t>南京邮电大学三校区均由校方驻站值守，需要外部专业团队进行日常维护保养及维修，</w:t>
      </w:r>
      <w:bookmarkEnd w:id="6"/>
      <w:r>
        <w:rPr>
          <w:rFonts w:hint="eastAsia" w:ascii="宋体" w:hAnsi="宋体" w:cs="宋体"/>
          <w:sz w:val="24"/>
          <w:szCs w:val="24"/>
          <w:highlight w:val="none"/>
        </w:rPr>
        <w:t>服务内容包括不限于：</w:t>
      </w:r>
    </w:p>
    <w:p w14:paraId="1B642989">
      <w:pPr>
        <w:pStyle w:val="271"/>
        <w:numPr>
          <w:ilvl w:val="0"/>
          <w:numId w:val="56"/>
        </w:numPr>
        <w:spacing w:line="360" w:lineRule="auto"/>
        <w:jc w:val="left"/>
        <w:rPr>
          <w:rFonts w:hint="eastAsia" w:ascii="宋体" w:hAnsi="宋体" w:cs="宋体"/>
          <w:sz w:val="24"/>
          <w:szCs w:val="24"/>
          <w:highlight w:val="none"/>
        </w:rPr>
      </w:pPr>
      <w:r>
        <w:rPr>
          <w:rFonts w:hint="eastAsia" w:ascii="宋体" w:hAnsi="宋体" w:cs="宋体"/>
          <w:b/>
          <w:bCs/>
          <w:sz w:val="24"/>
          <w:szCs w:val="24"/>
          <w:highlight w:val="none"/>
        </w:rPr>
        <w:t>巡检运维</w:t>
      </w:r>
    </w:p>
    <w:p w14:paraId="1540DEBD">
      <w:pPr>
        <w:pStyle w:val="271"/>
        <w:spacing w:line="360" w:lineRule="auto"/>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根据现场要求，通过编制“配电室标识标准化”、“维保作业计划”，对高压、低压配电室做巡检，做好巡检记录并定期维护保养。</w:t>
      </w:r>
      <w:r>
        <w:rPr>
          <w:rFonts w:hint="eastAsia" w:ascii="宋体" w:hAnsi="宋体" w:cs="宋体"/>
          <w:sz w:val="24"/>
          <w:szCs w:val="24"/>
          <w:highlight w:val="none"/>
          <w:lang w:val="en-US" w:eastAsia="zh-CN"/>
        </w:rPr>
        <w:t>每学期至少把所有配电房巡查一轮。</w:t>
      </w:r>
    </w:p>
    <w:p w14:paraId="0096546A">
      <w:pPr>
        <w:pStyle w:val="271"/>
        <w:numPr>
          <w:ilvl w:val="0"/>
          <w:numId w:val="56"/>
        </w:num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提供带电状态检修</w:t>
      </w:r>
    </w:p>
    <w:p w14:paraId="29C27967">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定期对高低压设施进行带电状态检修，保障缺陷故障检测成功率95%以上，有效做到预防预判、杜绝事故发生。需要配置红外成像仪、电能质量测试仪等专业设备。</w:t>
      </w:r>
    </w:p>
    <w:p w14:paraId="1C7A9DA0">
      <w:pPr>
        <w:pStyle w:val="271"/>
        <w:numPr>
          <w:ilvl w:val="0"/>
          <w:numId w:val="56"/>
        </w:num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设备设施消缺</w:t>
      </w:r>
    </w:p>
    <w:p w14:paraId="1A51E2F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配电系统日常运行过程中损坏、短缺的部件，及时提交消缺建议，得到学校同意后，及时对缺陷设备进行维修、消缺处理，能维修的运行维护人员应负责维修，让设备、设施保持在良好的运行状态，变被动抢修变主动维护。</w:t>
      </w:r>
    </w:p>
    <w:p w14:paraId="6625B2AC">
      <w:pPr>
        <w:pStyle w:val="271"/>
        <w:numPr>
          <w:ilvl w:val="0"/>
          <w:numId w:val="56"/>
        </w:num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配电设施进行清理、检查</w:t>
      </w:r>
    </w:p>
    <w:p w14:paraId="7F83CC59">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紧固电器连接点以及清扫检查，主要内容为清扫电气设备、绝缘表面的污垢并检查其破损裂纹痕迹，紧固电器连接点，检查仪表部件是否缺少，为学校提供评估消缺建议。</w:t>
      </w:r>
    </w:p>
    <w:p w14:paraId="1E2B96F0">
      <w:pPr>
        <w:pStyle w:val="271"/>
        <w:numPr>
          <w:ilvl w:val="0"/>
          <w:numId w:val="56"/>
        </w:num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设备应急抢修</w:t>
      </w:r>
    </w:p>
    <w:p w14:paraId="6E5E983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为采购人编制科学合理的应急预案，提供7*24小时电力故障抢修服务，应急响应时间60分钟，根据故障现场分析，进行判定，采取隔离和处理措施，实施抢修施工和设备更换，以最快时间恢复送电。</w:t>
      </w:r>
    </w:p>
    <w:p w14:paraId="0534814F">
      <w:pPr>
        <w:spacing w:line="360" w:lineRule="auto"/>
        <w:ind w:firstLine="482" w:firstLineChars="200"/>
        <w:rPr>
          <w:rFonts w:hint="eastAsia" w:ascii="宋体" w:hAnsi="宋体" w:cs="宋体"/>
          <w:b/>
          <w:bCs/>
          <w:kern w:val="2"/>
          <w:sz w:val="24"/>
          <w:szCs w:val="24"/>
          <w:highlight w:val="none"/>
        </w:rPr>
      </w:pPr>
      <w:r>
        <w:rPr>
          <w:rFonts w:hint="eastAsia" w:ascii="宋体" w:hAnsi="宋体" w:cs="宋体"/>
          <w:b/>
          <w:bCs/>
          <w:kern w:val="2"/>
          <w:sz w:val="24"/>
          <w:szCs w:val="24"/>
          <w:highlight w:val="none"/>
        </w:rPr>
        <w:t>6.其他服务</w:t>
      </w:r>
    </w:p>
    <w:p w14:paraId="5190000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1.服从采购人的管理，遵守学校的各项规章制度。为采购人制定、补充、完善及修订变电所管理章程和制度并执行。</w:t>
      </w:r>
    </w:p>
    <w:p w14:paraId="40F3C37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根据能源局与电网监管要求，在合同期内配合采购人要求计划性进行各类高低压操作服务。对变电所进行停电检修保养1次，高低压设备维护保养后应达到《35KV及以下变电所设计规范》、《电气装置安装工程高压电器施工及验收规范》、《电力用户变电所运行规程》等国家相关规定的标准。</w:t>
      </w:r>
    </w:p>
    <w:p w14:paraId="05A8A7F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3.运行维护人员必须符合《电业安全工作规程》的有关规定，并持有有效的电工进网作业许可证；运行维护服务严格按照《电力用户变电所运行规程》（DB32/T 1702-2010）执行；运行维护人员应配合招标人做好供配电部门的检查或验收。</w:t>
      </w:r>
    </w:p>
    <w:p w14:paraId="59EC15A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4.供应商确保设备运行无安全事故、无人员伤亡事故、无安全隐患（包括违反安全运行操作规程、消防隐患）。供应商应对值班人员定期培训，遵守安全操作规程。</w:t>
      </w:r>
    </w:p>
    <w:p w14:paraId="3448379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5.结合学校用电计划和需要，定期进行开关柜整定参数的核算和调整；根据负载情况及变压器零线电流情况进行出线负载调整；</w:t>
      </w:r>
    </w:p>
    <w:p w14:paraId="320F7B3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.本项目不得转包或分包，一经发现有转包或分包现象，立即终止合同，没收其全部履约保证金，给采购人造成的损失超过履约保证金数额的，成交供应商还应当对超过部分予以赔偿，且承担相应的法律责任。</w:t>
      </w:r>
    </w:p>
    <w:p w14:paraId="2F2CF263">
      <w:pPr>
        <w:rPr>
          <w:rFonts w:hint="default"/>
          <w:highlight w:val="none"/>
          <w:lang w:val="en-US" w:eastAsia="zh-CN"/>
        </w:rPr>
      </w:pPr>
      <w:r>
        <w:rPr>
          <w:rFonts w:hint="eastAsia" w:ascii="宋体" w:hAnsi="宋体" w:cs="宋体"/>
          <w:b/>
          <w:bCs/>
          <w:sz w:val="24"/>
          <w:szCs w:val="24"/>
          <w:highlight w:val="none"/>
          <w:lang w:val="en-US" w:eastAsia="zh-CN"/>
        </w:rPr>
        <w:t>7</w:t>
      </w:r>
      <w:r>
        <w:rPr>
          <w:rFonts w:hint="eastAsia" w:ascii="宋体" w:hAnsi="宋体" w:cs="宋体"/>
          <w:b/>
          <w:bCs/>
          <w:sz w:val="24"/>
          <w:szCs w:val="24"/>
          <w:highlight w:val="none"/>
        </w:rPr>
        <w:t>.本服务费已包含维修所需的</w:t>
      </w:r>
      <w:r>
        <w:rPr>
          <w:rFonts w:hint="eastAsia" w:ascii="宋体" w:hAnsi="宋体" w:cs="宋体"/>
          <w:b/>
          <w:bCs/>
          <w:sz w:val="24"/>
          <w:szCs w:val="24"/>
          <w:highlight w:val="none"/>
          <w:lang w:val="en-US" w:eastAsia="zh-CN"/>
        </w:rPr>
        <w:t>不超过500元的</w:t>
      </w:r>
      <w:r>
        <w:rPr>
          <w:rFonts w:hint="eastAsia" w:ascii="宋体" w:hAnsi="宋体" w:cs="宋体"/>
          <w:b/>
          <w:bCs/>
          <w:sz w:val="24"/>
          <w:szCs w:val="24"/>
          <w:highlight w:val="none"/>
        </w:rPr>
        <w:t xml:space="preserve">单个零件（详见附件2）；若需更换的零件单价超过 </w:t>
      </w:r>
      <w:r>
        <w:rPr>
          <w:rFonts w:hint="eastAsia" w:ascii="宋体" w:hAnsi="宋体" w:cs="宋体"/>
          <w:b/>
          <w:bCs/>
          <w:sz w:val="24"/>
          <w:szCs w:val="24"/>
          <w:highlight w:val="none"/>
          <w:lang w:eastAsia="zh-CN"/>
        </w:rPr>
        <w:t>5</w:t>
      </w:r>
      <w:r>
        <w:rPr>
          <w:rFonts w:hint="eastAsia" w:ascii="宋体" w:hAnsi="宋体" w:cs="宋体"/>
          <w:b/>
          <w:bCs/>
          <w:sz w:val="24"/>
          <w:szCs w:val="24"/>
          <w:highlight w:val="none"/>
          <w:lang w:val="en-US" w:eastAsia="zh-CN"/>
        </w:rPr>
        <w:t>00</w:t>
      </w:r>
      <w:r>
        <w:rPr>
          <w:rFonts w:hint="eastAsia" w:ascii="宋体" w:hAnsi="宋体" w:cs="宋体"/>
          <w:b/>
          <w:bCs/>
          <w:sz w:val="24"/>
          <w:szCs w:val="24"/>
          <w:highlight w:val="none"/>
        </w:rPr>
        <w:t xml:space="preserve"> 元，费用另行</w:t>
      </w:r>
      <w:r>
        <w:rPr>
          <w:rFonts w:hint="eastAsia" w:ascii="宋体" w:hAnsi="宋体" w:cs="宋体"/>
          <w:b/>
          <w:bCs/>
          <w:sz w:val="24"/>
          <w:szCs w:val="24"/>
          <w:highlight w:val="none"/>
          <w:lang w:val="en-US" w:eastAsia="zh-CN"/>
        </w:rPr>
        <w:t>协商</w:t>
      </w:r>
      <w:r>
        <w:rPr>
          <w:rFonts w:hint="eastAsia" w:ascii="宋体" w:hAnsi="宋体" w:cs="宋体"/>
          <w:b/>
          <w:bCs/>
          <w:sz w:val="24"/>
          <w:szCs w:val="24"/>
          <w:highlight w:val="none"/>
        </w:rPr>
        <w:t>结算。</w:t>
      </w:r>
      <w:r>
        <w:rPr>
          <w:rFonts w:hint="eastAsia" w:cs="宋体"/>
          <w:color w:val="000000"/>
          <w:sz w:val="24"/>
          <w:szCs w:val="24"/>
          <w:highlight w:val="none"/>
          <w:lang w:val="en-US" w:eastAsia="zh-CN"/>
        </w:rPr>
        <w:t>抢修及维保过程中，涉及的零件更换安装等不再支付人工费。</w:t>
      </w:r>
    </w:p>
    <w:p w14:paraId="014DA708">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三、主要设备的服务参数要求</w:t>
      </w:r>
    </w:p>
    <w:p w14:paraId="53664A79">
      <w:pPr>
        <w:pStyle w:val="271"/>
        <w:numPr>
          <w:ilvl w:val="0"/>
          <w:numId w:val="57"/>
        </w:num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高压配电柜</w:t>
      </w:r>
    </w:p>
    <w:p w14:paraId="668A9107">
      <w:pPr>
        <w:pStyle w:val="271"/>
        <w:numPr>
          <w:ilvl w:val="-1"/>
          <w:numId w:val="0"/>
        </w:numPr>
        <w:spacing w:line="360" w:lineRule="auto"/>
        <w:ind w:left="431" w:firstLine="480" w:firstLineChars="200"/>
        <w:jc w:val="left"/>
        <w:rPr>
          <w:rFonts w:hint="eastAsia" w:ascii="宋体" w:hAnsi="宋体" w:cs="宋体"/>
          <w:b/>
          <w:bCs/>
          <w:sz w:val="24"/>
          <w:szCs w:val="24"/>
          <w:highlight w:val="none"/>
        </w:rPr>
      </w:pPr>
      <w:r>
        <w:rPr>
          <w:rFonts w:hint="eastAsia" w:ascii="宋体" w:hAnsi="宋体" w:cs="宋体"/>
          <w:sz w:val="24"/>
          <w:szCs w:val="24"/>
          <w:highlight w:val="none"/>
        </w:rPr>
        <w:t>1)高压柜必须清理干净，漆层完好，各构件间连接应牢固，接头温度应在允许范围。</w:t>
      </w:r>
    </w:p>
    <w:p w14:paraId="70FFCFA3">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)检查母线接头处有无变形，有无放电变黑痕迹，紧固联接螺栓，螺栓若有生锈应予以更换，确保接头连接紧密。检查母线上绝缘子有无松动和损坏。</w:t>
      </w:r>
    </w:p>
    <w:p w14:paraId="734F41FE">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)柜内的机械闭锁，电气闭锁应动作准确、可靠，开关小车推拉应灵活，无卡阻现象。</w:t>
      </w:r>
    </w:p>
    <w:p w14:paraId="0FED53C7">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)柜的正面各电器、端子排等应标明编号、名称、用途及操作位置，其标明的字迹应清晰、工整、不易脱落。</w:t>
      </w:r>
    </w:p>
    <w:p w14:paraId="57C88F50">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)柜内二次回路的连接件均应采用铜质制品牢固紧接，绝缘件采用自熄性阻燃材料，并应清洁干燥。</w:t>
      </w:r>
    </w:p>
    <w:p w14:paraId="1FE216CE">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)柜上装有装置性设备或其它有接地要求的电器，其外壳应可靠接地</w:t>
      </w:r>
    </w:p>
    <w:p w14:paraId="1ACDC92D">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w:t>
      </w:r>
      <w:r>
        <w:rPr>
          <w:rFonts w:hint="eastAsia" w:ascii="宋体" w:hAnsi="宋体" w:cs="宋体"/>
          <w:sz w:val="24"/>
          <w:szCs w:val="24"/>
          <w:highlight w:val="none"/>
          <w:lang w:val="en-US" w:eastAsia="zh-CN"/>
        </w:rPr>
        <w:t>其他</w:t>
      </w:r>
      <w:r>
        <w:rPr>
          <w:rFonts w:hint="eastAsia" w:ascii="宋体" w:hAnsi="宋体" w:cs="宋体"/>
          <w:sz w:val="24"/>
          <w:szCs w:val="24"/>
          <w:highlight w:val="none"/>
        </w:rPr>
        <w:t>工作内容:</w:t>
      </w:r>
    </w:p>
    <w:p w14:paraId="3053322A">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)柜内的互感器作变比检查和测量绝缘电阻。</w:t>
      </w:r>
    </w:p>
    <w:p w14:paraId="77023637">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)测量开关的分、合闸线圈直流电阻，开关接触电阻，动作电压和返回电压以及分闸时间。</w:t>
      </w:r>
    </w:p>
    <w:p w14:paraId="134A8803">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)校核继保器的动作值、返回值、整定值。</w:t>
      </w:r>
    </w:p>
    <w:p w14:paraId="4F624171">
      <w:pPr>
        <w:pStyle w:val="271"/>
        <w:numPr>
          <w:ilvl w:val="0"/>
          <w:numId w:val="57"/>
        </w:num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蓄电池直流屏</w:t>
      </w:r>
    </w:p>
    <w:p w14:paraId="741FC60E">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1)对蓄电池进行恢复性的充放电。</w:t>
      </w:r>
    </w:p>
    <w:p w14:paraId="06CBF6CB">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2)巡看蓄电池的液面是否符合要求，有无漏液发生</w:t>
      </w:r>
    </w:p>
    <w:p w14:paraId="03ACD4A5">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)清除屏内充电机及设备上的灰尘和蓄电池槽表面污垢，连接件上的氧化物;</w:t>
      </w:r>
    </w:p>
    <w:p w14:paraId="01E5AB80">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)对充电机、输出回路进行绝缘测试以及各种特性测试。</w:t>
      </w:r>
    </w:p>
    <w:p w14:paraId="15BDD353">
      <w:pPr>
        <w:pStyle w:val="271"/>
        <w:numPr>
          <w:ilvl w:val="0"/>
          <w:numId w:val="57"/>
        </w:numPr>
        <w:spacing w:line="360" w:lineRule="auto"/>
        <w:ind w:left="0" w:firstLine="0" w:firstLineChars="0"/>
        <w:jc w:val="left"/>
        <w:rPr>
          <w:rFonts w:hint="eastAsia" w:ascii="宋体" w:hAnsi="宋体" w:cs="宋体"/>
          <w:sz w:val="24"/>
          <w:szCs w:val="24"/>
          <w:highlight w:val="none"/>
        </w:rPr>
      </w:pPr>
      <w:r>
        <w:rPr>
          <w:rFonts w:hint="eastAsia" w:ascii="宋体" w:hAnsi="宋体" w:cs="宋体"/>
          <w:sz w:val="24"/>
          <w:szCs w:val="24"/>
          <w:highlight w:val="none"/>
        </w:rPr>
        <w:t>变压器</w:t>
      </w:r>
    </w:p>
    <w:p w14:paraId="35FD91A8">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1)变压器套管是否清洁，有无破损、裂纹和放电痕迹;</w:t>
      </w:r>
    </w:p>
    <w:p w14:paraId="3C506166">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2)变压器零部件必须无损伤或移位，接线是否松动、断裂、绝缘件和线圈是否有破损，是否有赃物或异物等;</w:t>
      </w:r>
    </w:p>
    <w:p w14:paraId="7E77548E">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3)检查风机、温控设备等能否正常运行;</w:t>
      </w:r>
    </w:p>
    <w:p w14:paraId="7021A6AE">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)高低压电缆头的接触情况，螺丝有无松动，接头是否过热;</w:t>
      </w:r>
    </w:p>
    <w:p w14:paraId="0DFA40FD">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)检查所有的紧固件、连接件、标准件是否松动，并重新紧固一次;</w:t>
      </w:r>
    </w:p>
    <w:p w14:paraId="353F876F">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)检查变压器的箱体和铁芯是否可靠接地，穿心螺杆的绝缘是否良好;</w:t>
      </w:r>
    </w:p>
    <w:p w14:paraId="6EACF627">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)套管密封、顶部连接片、密封衬垫的检查，瓷绝缘的检查和清扫;</w:t>
      </w:r>
    </w:p>
    <w:p w14:paraId="79FB76FA">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cs="宋体"/>
          <w:sz w:val="24"/>
          <w:szCs w:val="24"/>
          <w:highlight w:val="none"/>
        </w:rPr>
        <w:t>)各种保护装置、测量装置及操作控制箱的检修;</w:t>
      </w:r>
    </w:p>
    <w:p w14:paraId="6313C751">
      <w:pPr>
        <w:pStyle w:val="271"/>
        <w:numPr>
          <w:ilvl w:val="0"/>
          <w:numId w:val="58"/>
        </w:num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低压配电柜</w:t>
      </w:r>
    </w:p>
    <w:p w14:paraId="7BCA28C2">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1)观察母排的发热程度，示温蜡片有否熔化，各连接螺丝有否松动;</w:t>
      </w:r>
    </w:p>
    <w:p w14:paraId="5E834084">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2)测量电容柜的温度，检查各电容器的外观有无变形，熔断器有无熔断，运行时不应该有任何声音。</w:t>
      </w:r>
    </w:p>
    <w:p w14:paraId="25D4FEE9">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)低压柜内设备与各构件间连接应牢固，接头温度应在允许范围;</w:t>
      </w:r>
    </w:p>
    <w:p w14:paraId="50C5ECE4">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)低压柜的机械闭锁、电气闭锁应动作准确、可靠;</w:t>
      </w:r>
    </w:p>
    <w:p w14:paraId="7417C71F">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)配电柜抽屉推拉应灵活、无卡阻现象;</w:t>
      </w:r>
    </w:p>
    <w:p w14:paraId="7A79B489">
      <w:pPr>
        <w:pStyle w:val="271"/>
        <w:spacing w:line="360" w:lineRule="auto"/>
        <w:ind w:left="0" w:firstLine="960" w:firstLineChars="400"/>
        <w:jc w:val="left"/>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)柜的固定及接地可靠，漆层应完好、清洁整齐。</w:t>
      </w:r>
    </w:p>
    <w:p w14:paraId="778F9276">
      <w:pPr>
        <w:pStyle w:val="271"/>
        <w:numPr>
          <w:ilvl w:val="0"/>
          <w:numId w:val="58"/>
        </w:numPr>
        <w:spacing w:line="360" w:lineRule="auto"/>
        <w:ind w:left="0" w:firstLine="0" w:firstLineChars="0"/>
        <w:jc w:val="left"/>
        <w:rPr>
          <w:rFonts w:hint="eastAsia" w:ascii="宋体" w:hAnsi="宋体" w:cs="宋体"/>
          <w:sz w:val="24"/>
          <w:szCs w:val="24"/>
          <w:highlight w:val="none"/>
        </w:rPr>
      </w:pPr>
      <w:r>
        <w:rPr>
          <w:rFonts w:hint="eastAsia" w:ascii="宋体" w:hAnsi="宋体" w:cs="宋体"/>
          <w:sz w:val="24"/>
          <w:szCs w:val="24"/>
          <w:highlight w:val="none"/>
          <w:lang w:val="en-US" w:eastAsia="zh-CN"/>
        </w:rPr>
        <w:t>接地系统</w:t>
      </w:r>
    </w:p>
    <w:p w14:paraId="2408F32B">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1)检查地网有无脱漆、锈蚀、设备各接地处、导体搭接处是否牢固。</w:t>
      </w:r>
    </w:p>
    <w:p w14:paraId="2C4F8AD0">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)进行接地系统的接地电阻测量。</w:t>
      </w:r>
    </w:p>
    <w:p w14:paraId="13429D33">
      <w:pPr>
        <w:pStyle w:val="271"/>
        <w:numPr>
          <w:ilvl w:val="0"/>
          <w:numId w:val="58"/>
        </w:num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其他</w:t>
      </w:r>
    </w:p>
    <w:p w14:paraId="66DAA8E0">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1、定期检查配电房照明和防潮灯及通风机是否正常。</w:t>
      </w:r>
    </w:p>
    <w:p w14:paraId="6D10AC65">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按照相关规定需配备数量足够、检测合格的安全工器具，并配备适量备品，定期检测更换，包括绝缘手套、绝缘靴、绝缘棒、验电器、接地线等，按操作班组配置，其中绝缘手套、绝缘靴至少2双/班组（仙林男码，三牌楼锁金村男女码），其余至少1套/班组。</w:t>
      </w:r>
    </w:p>
    <w:p w14:paraId="707D601E">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3、做好开闭所与配电房防汛防鼠</w:t>
      </w:r>
      <w:r>
        <w:rPr>
          <w:rFonts w:hint="eastAsia" w:ascii="宋体" w:hAnsi="宋体" w:cs="宋体"/>
          <w:sz w:val="24"/>
          <w:szCs w:val="24"/>
          <w:highlight w:val="none"/>
          <w:lang w:val="en-US" w:eastAsia="zh-CN"/>
        </w:rPr>
        <w:t>等检查工作</w:t>
      </w:r>
      <w:r>
        <w:rPr>
          <w:rFonts w:hint="eastAsia" w:ascii="宋体" w:hAnsi="宋体" w:cs="宋体"/>
          <w:sz w:val="24"/>
          <w:szCs w:val="24"/>
          <w:highlight w:val="none"/>
        </w:rPr>
        <w:t>。</w:t>
      </w:r>
    </w:p>
    <w:p w14:paraId="01E5CC16">
      <w:pPr>
        <w:pStyle w:val="271"/>
        <w:spacing w:line="360" w:lineRule="auto"/>
        <w:ind w:left="431"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根据以上详细要求和设备清单，编制工作计划表（工作内容、落实时间节点）。</w:t>
      </w:r>
    </w:p>
    <w:p w14:paraId="05AFED99">
      <w:pPr>
        <w:wordWrap w:val="0"/>
        <w:spacing w:line="567" w:lineRule="exact"/>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rPr>
        <w:t>四、供应商需</w:t>
      </w:r>
      <w:r>
        <w:rPr>
          <w:rFonts w:hint="eastAsia" w:ascii="宋体" w:hAnsi="宋体" w:cs="宋体"/>
          <w:b/>
          <w:color w:val="000000"/>
          <w:sz w:val="24"/>
          <w:szCs w:val="24"/>
          <w:highlight w:val="none"/>
          <w:lang w:val="en-US" w:eastAsia="zh-CN"/>
        </w:rPr>
        <w:t>具备的常用</w:t>
      </w:r>
      <w:r>
        <w:rPr>
          <w:rFonts w:hint="eastAsia" w:ascii="宋体" w:hAnsi="宋体" w:cs="宋体"/>
          <w:b/>
          <w:color w:val="000000"/>
          <w:sz w:val="24"/>
          <w:szCs w:val="24"/>
          <w:highlight w:val="none"/>
        </w:rPr>
        <w:t>工器具仪表</w:t>
      </w:r>
    </w:p>
    <w:p w14:paraId="5009694C">
      <w:pPr>
        <w:widowControl/>
        <w:jc w:val="center"/>
        <w:rPr>
          <w:rFonts w:hint="eastAsia" w:ascii="宋体" w:hAnsi="宋体" w:cs="宋体"/>
          <w:b/>
          <w:bCs/>
          <w:sz w:val="24"/>
          <w:szCs w:val="24"/>
          <w:highlight w:val="none"/>
        </w:rPr>
      </w:pPr>
      <w:r>
        <w:rPr>
          <w:rFonts w:hint="eastAsia" w:ascii="宋体" w:hAnsi="宋体" w:cs="宋体"/>
          <w:b/>
          <w:bCs/>
          <w:sz w:val="24"/>
          <w:szCs w:val="24"/>
          <w:highlight w:val="none"/>
        </w:rPr>
        <w:t>表1 动力专业维护工具仪表基本要求</w:t>
      </w:r>
    </w:p>
    <w:tbl>
      <w:tblPr>
        <w:tblStyle w:val="43"/>
        <w:tblW w:w="8329" w:type="dxa"/>
        <w:tblInd w:w="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799"/>
        <w:gridCol w:w="2127"/>
        <w:gridCol w:w="2754"/>
      </w:tblGrid>
      <w:tr w14:paraId="18D05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49" w:type="dxa"/>
            <w:shd w:val="clear" w:color="auto" w:fill="FFFFFF"/>
            <w:noWrap/>
            <w:vAlign w:val="center"/>
          </w:tcPr>
          <w:p w14:paraId="0A0DA09E">
            <w:pPr>
              <w:adjustRightInd w:val="0"/>
              <w:snapToGrid w:val="0"/>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t>序号</w:t>
            </w:r>
          </w:p>
        </w:tc>
        <w:tc>
          <w:tcPr>
            <w:tcW w:w="2799" w:type="dxa"/>
            <w:shd w:val="clear" w:color="auto" w:fill="FFFFFF"/>
            <w:noWrap/>
            <w:vAlign w:val="center"/>
          </w:tcPr>
          <w:p w14:paraId="01713A1A">
            <w:pPr>
              <w:adjustRightInd w:val="0"/>
              <w:snapToGrid w:val="0"/>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t>仪表/工器具名称</w:t>
            </w:r>
          </w:p>
        </w:tc>
        <w:tc>
          <w:tcPr>
            <w:tcW w:w="2127" w:type="dxa"/>
            <w:shd w:val="clear" w:color="auto" w:fill="FFFFFF"/>
            <w:noWrap/>
            <w:vAlign w:val="center"/>
          </w:tcPr>
          <w:p w14:paraId="047CD44B">
            <w:pPr>
              <w:adjustRightInd w:val="0"/>
              <w:snapToGrid w:val="0"/>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t>配置标准</w:t>
            </w:r>
          </w:p>
        </w:tc>
        <w:tc>
          <w:tcPr>
            <w:tcW w:w="2754" w:type="dxa"/>
            <w:shd w:val="clear" w:color="auto" w:fill="FFFFFF"/>
            <w:noWrap/>
            <w:vAlign w:val="center"/>
          </w:tcPr>
          <w:p w14:paraId="637FB2C3">
            <w:pPr>
              <w:adjustRightInd w:val="0"/>
              <w:snapToGrid w:val="0"/>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t>功能要求</w:t>
            </w:r>
          </w:p>
        </w:tc>
      </w:tr>
      <w:tr w14:paraId="172C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9" w:type="dxa"/>
            <w:shd w:val="clear" w:color="auto" w:fill="FFFFFF"/>
            <w:noWrap/>
            <w:vAlign w:val="center"/>
          </w:tcPr>
          <w:p w14:paraId="01D39300">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1</w:t>
            </w:r>
          </w:p>
        </w:tc>
        <w:tc>
          <w:tcPr>
            <w:tcW w:w="2799" w:type="dxa"/>
            <w:shd w:val="clear" w:color="auto" w:fill="FFFFFF"/>
            <w:noWrap/>
            <w:vAlign w:val="center"/>
          </w:tcPr>
          <w:p w14:paraId="4718CAAE">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手提式应急照明灯</w:t>
            </w:r>
          </w:p>
        </w:tc>
        <w:tc>
          <w:tcPr>
            <w:tcW w:w="2127" w:type="dxa"/>
            <w:shd w:val="clear" w:color="auto" w:fill="FFFFFF"/>
            <w:noWrap/>
            <w:vAlign w:val="center"/>
          </w:tcPr>
          <w:p w14:paraId="1883C31E">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1台</w:t>
            </w:r>
          </w:p>
        </w:tc>
        <w:tc>
          <w:tcPr>
            <w:tcW w:w="2754" w:type="dxa"/>
            <w:shd w:val="clear" w:color="auto" w:fill="FFFFFF"/>
            <w:noWrap/>
            <w:vAlign w:val="center"/>
          </w:tcPr>
          <w:p w14:paraId="7F95ABD2">
            <w:pPr>
              <w:widowControl/>
              <w:jc w:val="left"/>
              <w:textAlignment w:val="top"/>
              <w:rPr>
                <w:rFonts w:hint="eastAsia" w:ascii="宋体" w:hAnsi="宋体" w:cs="宋体"/>
                <w:sz w:val="24"/>
                <w:szCs w:val="24"/>
                <w:highlight w:val="none"/>
              </w:rPr>
            </w:pPr>
          </w:p>
        </w:tc>
      </w:tr>
      <w:tr w14:paraId="38B0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9" w:type="dxa"/>
            <w:shd w:val="clear" w:color="auto" w:fill="FFFFFF"/>
            <w:noWrap/>
            <w:vAlign w:val="center"/>
          </w:tcPr>
          <w:p w14:paraId="7B1DDA2A">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2</w:t>
            </w:r>
          </w:p>
        </w:tc>
        <w:tc>
          <w:tcPr>
            <w:tcW w:w="2799" w:type="dxa"/>
            <w:shd w:val="clear" w:color="auto" w:fill="FFFFFF"/>
            <w:noWrap/>
            <w:vAlign w:val="center"/>
          </w:tcPr>
          <w:p w14:paraId="536B3A69">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地阻测试仪</w:t>
            </w:r>
          </w:p>
        </w:tc>
        <w:tc>
          <w:tcPr>
            <w:tcW w:w="2127" w:type="dxa"/>
            <w:shd w:val="clear" w:color="auto" w:fill="FFFFFF"/>
            <w:noWrap/>
            <w:vAlign w:val="center"/>
          </w:tcPr>
          <w:p w14:paraId="5726D3F9">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1台</w:t>
            </w:r>
          </w:p>
        </w:tc>
        <w:tc>
          <w:tcPr>
            <w:tcW w:w="2754" w:type="dxa"/>
            <w:shd w:val="clear" w:color="auto" w:fill="FFFFFF"/>
            <w:noWrap/>
            <w:vAlign w:val="center"/>
          </w:tcPr>
          <w:p w14:paraId="52365D20">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数字型</w:t>
            </w:r>
          </w:p>
        </w:tc>
      </w:tr>
      <w:tr w14:paraId="5EB7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9" w:type="dxa"/>
            <w:shd w:val="clear" w:color="auto" w:fill="FFFFFF"/>
            <w:noWrap/>
            <w:vAlign w:val="center"/>
          </w:tcPr>
          <w:p w14:paraId="5A5C8F56">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3</w:t>
            </w:r>
          </w:p>
        </w:tc>
        <w:tc>
          <w:tcPr>
            <w:tcW w:w="2799" w:type="dxa"/>
            <w:shd w:val="clear" w:color="auto" w:fill="FFFFFF"/>
            <w:noWrap/>
            <w:vAlign w:val="center"/>
          </w:tcPr>
          <w:p w14:paraId="44ACF916">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红外热成像仪</w:t>
            </w:r>
          </w:p>
        </w:tc>
        <w:tc>
          <w:tcPr>
            <w:tcW w:w="2127" w:type="dxa"/>
            <w:shd w:val="clear" w:color="auto" w:fill="FFFFFF"/>
            <w:noWrap/>
            <w:vAlign w:val="center"/>
          </w:tcPr>
          <w:p w14:paraId="04108051">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1台</w:t>
            </w:r>
          </w:p>
        </w:tc>
        <w:tc>
          <w:tcPr>
            <w:tcW w:w="2754" w:type="dxa"/>
            <w:shd w:val="clear" w:color="auto" w:fill="FFFFFF"/>
            <w:noWrap/>
            <w:vAlign w:val="center"/>
          </w:tcPr>
          <w:p w14:paraId="55F33A48">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分辨率不低于220*165，可导出分析图片</w:t>
            </w:r>
          </w:p>
        </w:tc>
      </w:tr>
      <w:tr w14:paraId="7132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9" w:type="dxa"/>
            <w:shd w:val="clear" w:color="auto" w:fill="FFFFFF"/>
            <w:noWrap/>
            <w:vAlign w:val="center"/>
          </w:tcPr>
          <w:p w14:paraId="65139C7B">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4</w:t>
            </w:r>
          </w:p>
        </w:tc>
        <w:tc>
          <w:tcPr>
            <w:tcW w:w="2799" w:type="dxa"/>
            <w:shd w:val="clear" w:color="auto" w:fill="FFFFFF"/>
            <w:noWrap/>
            <w:vAlign w:val="center"/>
          </w:tcPr>
          <w:p w14:paraId="4CBFB098">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万用表</w:t>
            </w:r>
          </w:p>
        </w:tc>
        <w:tc>
          <w:tcPr>
            <w:tcW w:w="2127" w:type="dxa"/>
            <w:shd w:val="clear" w:color="auto" w:fill="FFFFFF"/>
            <w:noWrap/>
            <w:vAlign w:val="center"/>
          </w:tcPr>
          <w:p w14:paraId="3FD79A87">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1台</w:t>
            </w:r>
          </w:p>
        </w:tc>
        <w:tc>
          <w:tcPr>
            <w:tcW w:w="2754" w:type="dxa"/>
            <w:shd w:val="clear" w:color="auto" w:fill="FFFFFF"/>
            <w:noWrap/>
            <w:vAlign w:val="center"/>
          </w:tcPr>
          <w:p w14:paraId="7097E261">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数字型，需具备交/直流功能</w:t>
            </w:r>
          </w:p>
        </w:tc>
      </w:tr>
      <w:tr w14:paraId="07760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9" w:type="dxa"/>
            <w:shd w:val="clear" w:color="auto" w:fill="FFFFFF"/>
            <w:noWrap/>
            <w:vAlign w:val="center"/>
          </w:tcPr>
          <w:p w14:paraId="70D43ACC">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5</w:t>
            </w:r>
          </w:p>
        </w:tc>
        <w:tc>
          <w:tcPr>
            <w:tcW w:w="2799" w:type="dxa"/>
            <w:shd w:val="clear" w:color="auto" w:fill="FFFFFF"/>
            <w:noWrap/>
            <w:vAlign w:val="center"/>
          </w:tcPr>
          <w:p w14:paraId="0CE73F2E">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兆欧表</w:t>
            </w:r>
          </w:p>
        </w:tc>
        <w:tc>
          <w:tcPr>
            <w:tcW w:w="2127" w:type="dxa"/>
            <w:shd w:val="clear" w:color="auto" w:fill="FFFFFF"/>
            <w:noWrap/>
            <w:vAlign w:val="center"/>
          </w:tcPr>
          <w:p w14:paraId="6CF858ED">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10000V、5000V、500V，各1台</w:t>
            </w:r>
          </w:p>
        </w:tc>
        <w:tc>
          <w:tcPr>
            <w:tcW w:w="2754" w:type="dxa"/>
            <w:shd w:val="clear" w:color="auto" w:fill="FFFFFF"/>
            <w:noWrap/>
            <w:vAlign w:val="center"/>
          </w:tcPr>
          <w:p w14:paraId="08B81D2A">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数字型</w:t>
            </w:r>
          </w:p>
        </w:tc>
      </w:tr>
      <w:tr w14:paraId="35B0D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9" w:type="dxa"/>
            <w:shd w:val="clear" w:color="auto" w:fill="FFFFFF"/>
            <w:noWrap/>
            <w:vAlign w:val="center"/>
          </w:tcPr>
          <w:p w14:paraId="4FE77138">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6</w:t>
            </w:r>
          </w:p>
        </w:tc>
        <w:tc>
          <w:tcPr>
            <w:tcW w:w="2799" w:type="dxa"/>
            <w:shd w:val="clear" w:color="auto" w:fill="FFFFFF"/>
            <w:noWrap/>
            <w:vAlign w:val="center"/>
          </w:tcPr>
          <w:p w14:paraId="71C21B4B">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交、直流钳形表</w:t>
            </w:r>
          </w:p>
        </w:tc>
        <w:tc>
          <w:tcPr>
            <w:tcW w:w="2127" w:type="dxa"/>
            <w:shd w:val="clear" w:color="auto" w:fill="FFFFFF"/>
            <w:noWrap/>
            <w:vAlign w:val="center"/>
          </w:tcPr>
          <w:p w14:paraId="717AACA3">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1台</w:t>
            </w:r>
          </w:p>
        </w:tc>
        <w:tc>
          <w:tcPr>
            <w:tcW w:w="2754" w:type="dxa"/>
            <w:shd w:val="clear" w:color="auto" w:fill="FFFFFF"/>
            <w:noWrap/>
            <w:vAlign w:val="center"/>
          </w:tcPr>
          <w:p w14:paraId="3CF274FA">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数字型，最大测试电流不小于2000A</w:t>
            </w:r>
          </w:p>
        </w:tc>
      </w:tr>
      <w:tr w14:paraId="3C98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9" w:type="dxa"/>
            <w:shd w:val="clear" w:color="auto" w:fill="FFFFFF"/>
            <w:noWrap/>
            <w:vAlign w:val="center"/>
          </w:tcPr>
          <w:p w14:paraId="7F47AB73">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7</w:t>
            </w:r>
          </w:p>
        </w:tc>
        <w:tc>
          <w:tcPr>
            <w:tcW w:w="2799" w:type="dxa"/>
            <w:shd w:val="clear" w:color="auto" w:fill="FFFFFF"/>
            <w:noWrap/>
            <w:vAlign w:val="center"/>
          </w:tcPr>
          <w:p w14:paraId="22F33D96">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常用维护仪表和工具</w:t>
            </w:r>
          </w:p>
        </w:tc>
        <w:tc>
          <w:tcPr>
            <w:tcW w:w="2127" w:type="dxa"/>
            <w:shd w:val="clear" w:color="auto" w:fill="FFFFFF"/>
            <w:noWrap/>
            <w:vAlign w:val="center"/>
          </w:tcPr>
          <w:p w14:paraId="730AACA9">
            <w:pPr>
              <w:widowControl/>
              <w:jc w:val="left"/>
              <w:textAlignment w:val="top"/>
              <w:rPr>
                <w:rFonts w:hint="eastAsia" w:ascii="宋体" w:hAnsi="宋体" w:cs="宋体"/>
                <w:sz w:val="24"/>
                <w:szCs w:val="24"/>
                <w:highlight w:val="none"/>
              </w:rPr>
            </w:pPr>
            <w:r>
              <w:rPr>
                <w:rFonts w:hint="eastAsia" w:ascii="宋体" w:hAnsi="宋体" w:cs="宋体"/>
                <w:sz w:val="24"/>
                <w:szCs w:val="24"/>
                <w:highlight w:val="none"/>
              </w:rPr>
              <w:t>不低于1套</w:t>
            </w:r>
          </w:p>
        </w:tc>
        <w:tc>
          <w:tcPr>
            <w:tcW w:w="2754" w:type="dxa"/>
            <w:shd w:val="clear" w:color="auto" w:fill="FFFFFF"/>
            <w:noWrap/>
            <w:vAlign w:val="center"/>
          </w:tcPr>
          <w:p w14:paraId="5B1FDE0A">
            <w:pPr>
              <w:widowControl/>
              <w:jc w:val="left"/>
              <w:textAlignment w:val="top"/>
              <w:rPr>
                <w:rFonts w:hint="eastAsia" w:ascii="宋体" w:hAnsi="宋体" w:cs="宋体"/>
                <w:sz w:val="24"/>
                <w:szCs w:val="24"/>
                <w:highlight w:val="none"/>
              </w:rPr>
            </w:pPr>
          </w:p>
        </w:tc>
      </w:tr>
    </w:tbl>
    <w:p w14:paraId="6EE81903">
      <w:pPr>
        <w:spacing w:line="225" w:lineRule="exact"/>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注：供应商需自备以上常用工具，甲方不予提供（包括但不限于）</w:t>
      </w:r>
    </w:p>
    <w:p w14:paraId="0D09BD7B">
      <w:pPr>
        <w:wordWrap w:val="0"/>
        <w:spacing w:before="187" w:after="187" w:line="278" w:lineRule="auto"/>
        <w:jc w:val="left"/>
        <w:rPr>
          <w:rFonts w:hint="default" w:ascii="宋体" w:hAnsi="宋体" w:eastAsia="宋体" w:cs="宋体"/>
          <w:sz w:val="24"/>
          <w:szCs w:val="24"/>
          <w:highlight w:val="none"/>
          <w:lang w:val="en-US" w:eastAsia="zh-CN"/>
        </w:rPr>
      </w:pPr>
      <w:r>
        <w:rPr>
          <w:rFonts w:hint="eastAsia" w:ascii="宋体" w:hAnsi="宋体" w:cs="宋体"/>
          <w:b/>
          <w:color w:val="000000"/>
          <w:sz w:val="24"/>
          <w:szCs w:val="24"/>
          <w:highlight w:val="none"/>
          <w:lang w:val="en-US" w:eastAsia="zh-CN"/>
        </w:rPr>
        <w:t>五</w:t>
      </w:r>
      <w:r>
        <w:rPr>
          <w:rFonts w:hint="eastAsia" w:ascii="宋体" w:hAnsi="宋体" w:cs="宋体"/>
          <w:b/>
          <w:color w:val="000000"/>
          <w:sz w:val="24"/>
          <w:szCs w:val="24"/>
          <w:highlight w:val="none"/>
        </w:rPr>
        <w:t>、</w:t>
      </w:r>
      <w:r>
        <w:rPr>
          <w:rFonts w:hint="eastAsia" w:ascii="宋体" w:hAnsi="宋体" w:cs="宋体"/>
          <w:b/>
          <w:color w:val="000000"/>
          <w:sz w:val="24"/>
          <w:szCs w:val="24"/>
          <w:highlight w:val="none"/>
          <w:lang w:val="en-US" w:eastAsia="zh-CN"/>
        </w:rPr>
        <w:t>考核要求</w:t>
      </w:r>
    </w:p>
    <w:p w14:paraId="5601A29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1.对于突发故障，供应商需在接到通知后迅速响应</w:t>
      </w:r>
      <w:r>
        <w:rPr>
          <w:rFonts w:hint="eastAsia" w:ascii="宋体" w:hAnsi="宋体" w:cs="宋体"/>
          <w:sz w:val="24"/>
          <w:szCs w:val="24"/>
          <w:highlight w:val="none"/>
          <w:lang w:eastAsia="zh-CN"/>
        </w:rPr>
        <w:t>（</w:t>
      </w:r>
      <w:r>
        <w:rPr>
          <w:rFonts w:hint="eastAsia" w:ascii="宋体" w:hAnsi="宋体" w:cs="宋体"/>
          <w:sz w:val="24"/>
          <w:szCs w:val="24"/>
          <w:highlight w:val="none"/>
        </w:rPr>
        <w:t>停电倒闸操作时间≤0.5小时；应急响应1小时内</w:t>
      </w:r>
      <w:r>
        <w:rPr>
          <w:rFonts w:hint="eastAsia" w:ascii="宋体" w:hAnsi="宋体" w:cs="宋体"/>
          <w:sz w:val="24"/>
          <w:szCs w:val="24"/>
          <w:highlight w:val="none"/>
          <w:lang w:eastAsia="zh-CN"/>
        </w:rPr>
        <w:t>）</w:t>
      </w:r>
      <w:r>
        <w:rPr>
          <w:rFonts w:hint="eastAsia" w:ascii="宋体" w:hAnsi="宋体" w:cs="宋体"/>
          <w:sz w:val="24"/>
          <w:szCs w:val="24"/>
          <w:highlight w:val="none"/>
        </w:rPr>
        <w:t>，并在规定时间内到达现场进行处理。到达现场后，供应商应立即开展故障排查和修复工作，确保设备尽快恢复正常运行。若因特殊情况无法在现场完成修复，供应商需提供临时解决方案，并明确告知设备修复所需时间。</w:t>
      </w:r>
    </w:p>
    <w:p w14:paraId="6BCC331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2.主要设备维护和检修100%，完成巡检记录填写。</w:t>
      </w:r>
      <w:r>
        <w:rPr>
          <w:rFonts w:hint="eastAsia" w:ascii="宋体" w:hAnsi="宋体" w:cs="宋体"/>
          <w:sz w:val="24"/>
          <w:szCs w:val="24"/>
          <w:highlight w:val="none"/>
          <w:lang w:eastAsia="zh-CN"/>
        </w:rPr>
        <w:t>维护记录和报告必须真实、准确、完整，无遗漏和虚假记录。</w:t>
      </w:r>
    </w:p>
    <w:p w14:paraId="5A5B17A2">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rPr>
        <w:t>3.按要求完成巡检，</w:t>
      </w:r>
      <w:r>
        <w:rPr>
          <w:rFonts w:hint="eastAsia" w:ascii="宋体" w:hAnsi="宋体" w:cs="宋体"/>
          <w:sz w:val="24"/>
          <w:szCs w:val="24"/>
          <w:highlight w:val="none"/>
          <w:lang w:val="en-US" w:eastAsia="zh-CN"/>
        </w:rPr>
        <w:t>若发现设备存在潜在安全隐患或性能下降趋势，供应商应及时记录并反馈给采购方，同时提出相应的改进建议或预防措施。</w:t>
      </w:r>
    </w:p>
    <w:p w14:paraId="23A822B9">
      <w:pPr>
        <w:wordWrap w:val="0"/>
        <w:spacing w:before="187" w:after="187" w:line="278" w:lineRule="auto"/>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rPr>
        <w:t>五、付款方式及履约保证金</w:t>
      </w:r>
    </w:p>
    <w:p w14:paraId="79E42B71">
      <w:pPr>
        <w:pStyle w:val="6"/>
        <w:numPr>
          <w:ilvl w:val="1"/>
          <w:numId w:val="0"/>
        </w:numPr>
        <w:rPr>
          <w:rFonts w:hint="eastAsia" w:ascii="宋体" w:hAnsi="宋体" w:cs="宋体"/>
          <w:b w:val="0"/>
          <w:color w:val="000000"/>
          <w:szCs w:val="24"/>
          <w:highlight w:val="none"/>
        </w:rPr>
      </w:pPr>
      <w:r>
        <w:rPr>
          <w:rFonts w:hint="eastAsia" w:ascii="宋体" w:hAnsi="宋体" w:cs="宋体"/>
          <w:b w:val="0"/>
          <w:kern w:val="2"/>
          <w:szCs w:val="24"/>
          <w:highlight w:val="none"/>
        </w:rPr>
        <w:t>1.履约保证金（合同价的10%）：成交供应商在收到成交通知书后，在与采购人签订合同前需向采购人支付履约保证金，履约保证金用以约束供应商在合同履行中的行为，弥补合同执行中由于自身行为可能给采购人带来的各种损失。如果成交供应商不同意按照规定去做，采购人有权取消本次采购成交决定，其履约保证金不予退还。</w:t>
      </w:r>
    </w:p>
    <w:p w14:paraId="2BA9CF75">
      <w:pPr>
        <w:spacing w:line="360" w:lineRule="auto"/>
        <w:ind w:firstLine="480" w:firstLineChars="200"/>
        <w:rPr>
          <w:rFonts w:hint="eastAsia" w:ascii="宋体" w:hAnsi="宋体" w:cs="宋体"/>
          <w:sz w:val="24"/>
          <w:szCs w:val="24"/>
          <w:highlight w:val="none"/>
        </w:rPr>
      </w:pPr>
      <w:bookmarkStart w:id="7" w:name="_Hlk66364616"/>
      <w:r>
        <w:rPr>
          <w:rFonts w:hint="eastAsia" w:ascii="宋体" w:hAnsi="宋体" w:cs="宋体"/>
          <w:sz w:val="24"/>
          <w:szCs w:val="24"/>
          <w:highlight w:val="none"/>
        </w:rPr>
        <w:t>2.付款方式</w:t>
      </w:r>
      <w:bookmarkEnd w:id="7"/>
    </w:p>
    <w:p w14:paraId="2AFE338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合同签订后</w:t>
      </w:r>
      <w:r>
        <w:rPr>
          <w:rFonts w:hint="eastAsia" w:ascii="宋体" w:hAnsi="宋体" w:cs="宋体"/>
          <w:sz w:val="24"/>
          <w:szCs w:val="24"/>
          <w:highlight w:val="none"/>
          <w:lang w:eastAsia="zh-CN"/>
        </w:rPr>
        <w:t>，根据服务考核每半年</w:t>
      </w:r>
      <w:r>
        <w:rPr>
          <w:rFonts w:hint="eastAsia" w:ascii="宋体" w:hAnsi="宋体" w:cs="宋体"/>
          <w:sz w:val="24"/>
          <w:szCs w:val="24"/>
          <w:highlight w:val="none"/>
        </w:rPr>
        <w:t>支付合同总价的</w:t>
      </w:r>
      <w:r>
        <w:rPr>
          <w:rFonts w:hint="eastAsia" w:ascii="宋体" w:hAnsi="宋体" w:cs="宋体"/>
          <w:sz w:val="24"/>
          <w:szCs w:val="24"/>
          <w:highlight w:val="none"/>
          <w:lang w:val="en-US" w:eastAsia="zh-CN"/>
        </w:rPr>
        <w:t>5</w:t>
      </w:r>
      <w:r>
        <w:rPr>
          <w:rFonts w:hint="eastAsia" w:ascii="宋体" w:hAnsi="宋体" w:cs="宋体"/>
          <w:sz w:val="24"/>
          <w:szCs w:val="24"/>
          <w:highlight w:val="none"/>
        </w:rPr>
        <w:t>0%，</w:t>
      </w:r>
      <w:r>
        <w:rPr>
          <w:rFonts w:hint="eastAsia" w:ascii="宋体" w:hAnsi="宋体" w:cs="宋体"/>
          <w:sz w:val="24"/>
          <w:szCs w:val="24"/>
          <w:highlight w:val="none"/>
          <w:lang w:eastAsia="zh-CN"/>
        </w:rPr>
        <w:t>供应商</w:t>
      </w:r>
      <w:r>
        <w:rPr>
          <w:rFonts w:hint="eastAsia" w:ascii="宋体" w:hAnsi="宋体" w:cs="宋体"/>
          <w:sz w:val="24"/>
          <w:szCs w:val="24"/>
          <w:highlight w:val="none"/>
        </w:rPr>
        <w:t>向采购方提供发票，付款金额不计利息。</w:t>
      </w:r>
    </w:p>
    <w:p w14:paraId="552D6FB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3、合同的续约和解除</w:t>
      </w:r>
    </w:p>
    <w:p w14:paraId="4502618B">
      <w:pPr>
        <w:spacing w:before="156" w:beforeLines="50" w:line="360" w:lineRule="auto"/>
        <w:ind w:firstLine="480" w:firstLineChars="200"/>
        <w:rPr>
          <w:rFonts w:hint="eastAsia" w:ascii="宋体" w:hAnsi="宋体" w:cs="宋体"/>
          <w:color w:val="000000"/>
          <w:sz w:val="24"/>
          <w:szCs w:val="24"/>
          <w:highlight w:val="none"/>
        </w:rPr>
      </w:pPr>
      <w:r>
        <w:rPr>
          <w:rFonts w:hint="eastAsia" w:ascii="宋体" w:hAnsi="宋体" w:cs="宋体"/>
          <w:sz w:val="24"/>
          <w:szCs w:val="24"/>
          <w:highlight w:val="none"/>
        </w:rPr>
        <w:t>因成交供应商半年考核不合格，采购人有权无偿解除本合同，并扣留履约保证金。</w:t>
      </w:r>
    </w:p>
    <w:p w14:paraId="65A96A3A">
      <w:pPr>
        <w:rPr>
          <w:rFonts w:hint="eastAsia" w:ascii="宋体" w:hAnsi="宋体" w:cs="宋体"/>
          <w:b/>
          <w:bCs/>
          <w:color w:val="000000"/>
          <w:sz w:val="24"/>
          <w:szCs w:val="24"/>
          <w:highlight w:val="none"/>
        </w:rPr>
      </w:pPr>
      <w:r>
        <w:rPr>
          <w:color w:val="000000" w:themeColor="text1"/>
          <w:highlight w:val="none"/>
          <w14:textFill>
            <w14:solidFill>
              <w14:schemeClr w14:val="tx1"/>
            </w14:solidFill>
          </w14:textFill>
        </w:rPr>
        <w:t>★</w:t>
      </w:r>
      <w:r>
        <w:rPr>
          <w:rFonts w:hint="eastAsia" w:ascii="宋体" w:hAnsi="宋体" w:cs="宋体"/>
          <w:b/>
          <w:bCs/>
          <w:color w:val="000000"/>
          <w:sz w:val="24"/>
          <w:szCs w:val="24"/>
          <w:highlight w:val="none"/>
        </w:rPr>
        <w:t>六、员工意外保险</w:t>
      </w:r>
    </w:p>
    <w:p w14:paraId="4EAD507E">
      <w:pPr>
        <w:spacing w:line="360" w:lineRule="auto"/>
        <w:ind w:firstLine="482" w:firstLineChars="20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需承诺成交后可为项目派驻的技术人员购买针对本项目的雇主责任险或团体意外险。（需提供承诺函并加盖供应商公章，格式自拟）</w:t>
      </w:r>
    </w:p>
    <w:p w14:paraId="2B64521E">
      <w:pPr>
        <w:pBdr>
          <w:top w:val="none" w:color="auto" w:sz="0" w:space="0"/>
          <w:left w:val="none" w:color="auto" w:sz="0" w:space="0"/>
          <w:bottom w:val="none" w:color="auto" w:sz="0" w:space="0"/>
          <w:right w:val="none" w:color="auto" w:sz="0" w:space="0"/>
        </w:pBdr>
        <w:wordWrap w:val="0"/>
        <w:spacing w:before="187" w:after="187" w:line="278" w:lineRule="auto"/>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七、</w:t>
      </w:r>
      <w:r>
        <w:rPr>
          <w:rFonts w:hint="eastAsia" w:ascii="宋体" w:hAnsi="宋体" w:cs="宋体"/>
          <w:b/>
          <w:color w:val="000000"/>
          <w:sz w:val="24"/>
          <w:szCs w:val="24"/>
          <w:highlight w:val="none"/>
        </w:rPr>
        <w:t>进校报备：</w:t>
      </w:r>
    </w:p>
    <w:p w14:paraId="56E5397C">
      <w:pPr>
        <w:spacing w:line="400" w:lineRule="exact"/>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进校参加投标活动的人员，应提前2小时扫描下方二维码填写入校预约，审核通过后从南邮仙林校区</w:t>
      </w:r>
      <w:r>
        <w:rPr>
          <w:rFonts w:hint="eastAsia" w:ascii="宋体" w:hAnsi="宋体" w:cs="宋体"/>
          <w:color w:val="auto"/>
          <w:szCs w:val="21"/>
          <w:highlight w:val="none"/>
          <w:lang w:eastAsia="zh-CN"/>
        </w:rPr>
        <w:t>北</w:t>
      </w:r>
      <w:r>
        <w:rPr>
          <w:rFonts w:hint="eastAsia" w:ascii="宋体" w:hAnsi="宋体" w:cs="宋体"/>
          <w:color w:val="auto"/>
          <w:szCs w:val="21"/>
          <w:highlight w:val="none"/>
        </w:rPr>
        <w:t>门（文苑路9号）入校。</w:t>
      </w:r>
      <w:r>
        <w:rPr>
          <w:rFonts w:hint="eastAsia" w:ascii="宋体" w:hAnsi="宋体" w:cs="宋体"/>
          <w:b/>
          <w:bCs/>
          <w:color w:val="auto"/>
          <w:szCs w:val="21"/>
          <w:highlight w:val="none"/>
        </w:rPr>
        <w:t>（进校二维码见下）</w:t>
      </w:r>
    </w:p>
    <w:p w14:paraId="77AAACA7">
      <w:pPr>
        <w:ind w:firstLine="480"/>
        <w:jc w:val="center"/>
        <w:rPr>
          <w:rFonts w:hint="eastAsia" w:ascii="宋体" w:hAnsi="宋体" w:cs="宋体"/>
          <w:color w:val="auto"/>
          <w:szCs w:val="21"/>
          <w:highlight w:val="none"/>
        </w:rPr>
      </w:pPr>
    </w:p>
    <w:p w14:paraId="59917961">
      <w:pPr>
        <w:ind w:firstLine="48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drawing>
          <wp:inline distT="0" distB="0" distL="114300" distR="114300">
            <wp:extent cx="3135630" cy="3135630"/>
            <wp:effectExtent l="0" t="0" r="7620" b="7620"/>
            <wp:docPr id="3" name="图片 3" descr="5ecc7c2d06ef2eb199ed7af21dc0a1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ecc7c2d06ef2eb199ed7af21dc0a15e"/>
                    <pic:cNvPicPr>
                      <a:picLocks noChangeAspect="1"/>
                    </pic:cNvPicPr>
                  </pic:nvPicPr>
                  <pic:blipFill>
                    <a:blip r:embed="rId14"/>
                    <a:stretch>
                      <a:fillRect/>
                    </a:stretch>
                  </pic:blipFill>
                  <pic:spPr>
                    <a:xfrm>
                      <a:off x="0" y="0"/>
                      <a:ext cx="3135630" cy="3135630"/>
                    </a:xfrm>
                    <a:prstGeom prst="rect">
                      <a:avLst/>
                    </a:prstGeom>
                  </pic:spPr>
                </pic:pic>
              </a:graphicData>
            </a:graphic>
          </wp:inline>
        </w:drawing>
      </w:r>
    </w:p>
    <w:p w14:paraId="2821EA2D">
      <w:pPr>
        <w:spacing w:line="400" w:lineRule="exact"/>
        <w:ind w:firstLine="480"/>
        <w:rPr>
          <w:rFonts w:hint="eastAsia" w:ascii="宋体" w:hAnsi="宋体" w:cs="宋体"/>
          <w:bCs/>
          <w:color w:val="auto"/>
          <w:szCs w:val="21"/>
          <w:highlight w:val="none"/>
        </w:rPr>
      </w:pPr>
    </w:p>
    <w:p w14:paraId="6427A51A">
      <w:pPr>
        <w:rPr>
          <w:rFonts w:hint="eastAsia" w:ascii="宋体" w:hAnsi="宋体" w:cs="宋体"/>
          <w:color w:val="000000"/>
          <w:sz w:val="24"/>
          <w:szCs w:val="24"/>
          <w:highlight w:val="none"/>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eastAsia="宋体" w:cs="宋体"/>
          <w:b/>
          <w:color w:val="auto"/>
          <w:sz w:val="28"/>
          <w:szCs w:val="28"/>
          <w:highlight w:val="none"/>
        </w:rPr>
        <w:t>请务必预留充足时间，如不能在截止时间前递交</w:t>
      </w:r>
      <w:r>
        <w:rPr>
          <w:rFonts w:hint="eastAsia" w:ascii="宋体" w:hAnsi="宋体" w:cs="宋体"/>
          <w:b/>
          <w:color w:val="auto"/>
          <w:sz w:val="28"/>
          <w:szCs w:val="28"/>
          <w:highlight w:val="none"/>
          <w:lang w:eastAsia="zh-CN"/>
        </w:rPr>
        <w:t>响应</w:t>
      </w:r>
      <w:r>
        <w:rPr>
          <w:rFonts w:hint="eastAsia" w:ascii="宋体" w:hAnsi="宋体" w:eastAsia="宋体" w:cs="宋体"/>
          <w:b/>
          <w:color w:val="auto"/>
          <w:sz w:val="28"/>
          <w:szCs w:val="28"/>
          <w:highlight w:val="none"/>
        </w:rPr>
        <w:t>文件，后果自行承担。</w:t>
      </w:r>
    </w:p>
    <w:p w14:paraId="32738253">
      <w:pPr>
        <w:pStyle w:val="5"/>
        <w:pageBreakBefore/>
        <w:widowControl/>
        <w:tabs>
          <w:tab w:val="left" w:pos="0"/>
        </w:tabs>
        <w:spacing w:before="0" w:after="0" w:line="560" w:lineRule="exact"/>
        <w:rPr>
          <w:rFonts w:hint="eastAsia" w:ascii="宋体" w:hAnsi="宋体" w:cs="宋体"/>
          <w:color w:val="000000"/>
          <w:sz w:val="24"/>
          <w:szCs w:val="24"/>
          <w:highlight w:val="none"/>
        </w:rPr>
      </w:pPr>
      <w:r>
        <w:rPr>
          <w:rFonts w:hint="eastAsia"/>
          <w:color w:val="000000"/>
          <w:szCs w:val="24"/>
          <w:highlight w:val="none"/>
        </w:rPr>
        <w:t xml:space="preserve">附件1  </w:t>
      </w:r>
      <w:r>
        <w:rPr>
          <w:rFonts w:hint="eastAsia" w:ascii="宋体" w:hAnsi="宋体" w:cs="宋体"/>
          <w:color w:val="000000"/>
          <w:sz w:val="24"/>
          <w:szCs w:val="24"/>
          <w:highlight w:val="none"/>
        </w:rPr>
        <w:t>.电力设备参数表</w:t>
      </w:r>
    </w:p>
    <w:p w14:paraId="69DE311B">
      <w:pPr>
        <w:pStyle w:val="272"/>
        <w:rPr>
          <w:rFonts w:hint="eastAsia" w:ascii="宋体" w:hAnsi="宋体" w:eastAsia="宋体" w:cs="宋体"/>
          <w:sz w:val="24"/>
          <w:szCs w:val="24"/>
          <w:highlight w:val="none"/>
        </w:rPr>
      </w:pPr>
      <w:r>
        <w:rPr>
          <w:rFonts w:hint="eastAsia" w:ascii="宋体" w:hAnsi="宋体" w:eastAsia="宋体" w:cs="宋体"/>
          <w:sz w:val="24"/>
          <w:szCs w:val="24"/>
          <w:highlight w:val="none"/>
        </w:rPr>
        <w:t>南京邮电大学电力设备参数</w:t>
      </w:r>
    </w:p>
    <w:p w14:paraId="7A6B602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仙林校区10kV第一开闭所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
        <w:gridCol w:w="3250"/>
        <w:gridCol w:w="8342"/>
        <w:gridCol w:w="1087"/>
        <w:gridCol w:w="1086"/>
      </w:tblGrid>
      <w:tr w14:paraId="4BADF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881" w:type="dxa"/>
            <w:noWrap/>
            <w:vAlign w:val="center"/>
          </w:tcPr>
          <w:p w14:paraId="2A23CF52">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250" w:type="dxa"/>
            <w:noWrap/>
            <w:vAlign w:val="center"/>
          </w:tcPr>
          <w:p w14:paraId="61D3087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342" w:type="dxa"/>
            <w:noWrap/>
            <w:vAlign w:val="center"/>
          </w:tcPr>
          <w:p w14:paraId="683628D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87" w:type="dxa"/>
            <w:noWrap/>
            <w:vAlign w:val="center"/>
          </w:tcPr>
          <w:p w14:paraId="604AA22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1086" w:type="dxa"/>
            <w:noWrap/>
            <w:vAlign w:val="center"/>
          </w:tcPr>
          <w:p w14:paraId="65B399E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53777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881" w:type="dxa"/>
            <w:noWrap/>
            <w:vAlign w:val="center"/>
          </w:tcPr>
          <w:p w14:paraId="38C8699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250" w:type="dxa"/>
            <w:noWrap/>
            <w:vAlign w:val="center"/>
          </w:tcPr>
          <w:p w14:paraId="00E4A78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监控后台</w:t>
            </w:r>
          </w:p>
        </w:tc>
        <w:tc>
          <w:tcPr>
            <w:tcW w:w="8342" w:type="dxa"/>
            <w:noWrap/>
            <w:vAlign w:val="center"/>
          </w:tcPr>
          <w:p w14:paraId="5DCD2ED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南瑞集团：DSA系统（含电脑主机和显示器各一台，辅助设备）</w:t>
            </w:r>
          </w:p>
        </w:tc>
        <w:tc>
          <w:tcPr>
            <w:tcW w:w="1087" w:type="dxa"/>
            <w:noWrap/>
            <w:vAlign w:val="center"/>
          </w:tcPr>
          <w:p w14:paraId="189BF3E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1086" w:type="dxa"/>
            <w:noWrap/>
            <w:vAlign w:val="center"/>
          </w:tcPr>
          <w:p w14:paraId="630E8D8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5F789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881" w:type="dxa"/>
            <w:noWrap/>
            <w:vAlign w:val="center"/>
          </w:tcPr>
          <w:p w14:paraId="580BD21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250" w:type="dxa"/>
            <w:noWrap/>
            <w:vAlign w:val="center"/>
          </w:tcPr>
          <w:p w14:paraId="518F759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直流系统</w:t>
            </w:r>
          </w:p>
        </w:tc>
        <w:tc>
          <w:tcPr>
            <w:tcW w:w="8342" w:type="dxa"/>
            <w:noWrap/>
            <w:vAlign w:val="center"/>
          </w:tcPr>
          <w:p w14:paraId="3FA246B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无锡斯达：DC220伏40AH（直流充电馈线屏1面、电池屏一面）</w:t>
            </w:r>
          </w:p>
        </w:tc>
        <w:tc>
          <w:tcPr>
            <w:tcW w:w="1087" w:type="dxa"/>
            <w:noWrap/>
            <w:vAlign w:val="center"/>
          </w:tcPr>
          <w:p w14:paraId="64FAEF5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1086" w:type="dxa"/>
            <w:noWrap/>
            <w:vAlign w:val="center"/>
          </w:tcPr>
          <w:p w14:paraId="6EDC8AF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13A6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881" w:type="dxa"/>
            <w:noWrap/>
            <w:vAlign w:val="center"/>
          </w:tcPr>
          <w:p w14:paraId="56C58B4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250" w:type="dxa"/>
            <w:noWrap/>
            <w:vAlign w:val="center"/>
          </w:tcPr>
          <w:p w14:paraId="51D25C9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微机保护测控装置屏</w:t>
            </w:r>
          </w:p>
        </w:tc>
        <w:tc>
          <w:tcPr>
            <w:tcW w:w="8342" w:type="dxa"/>
            <w:noWrap/>
            <w:vAlign w:val="center"/>
          </w:tcPr>
          <w:p w14:paraId="5EC4CD8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南瑞集团：DSA系列</w:t>
            </w:r>
          </w:p>
        </w:tc>
        <w:tc>
          <w:tcPr>
            <w:tcW w:w="1087" w:type="dxa"/>
            <w:noWrap/>
            <w:vAlign w:val="center"/>
          </w:tcPr>
          <w:p w14:paraId="1192844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1086" w:type="dxa"/>
            <w:noWrap/>
            <w:vAlign w:val="center"/>
          </w:tcPr>
          <w:p w14:paraId="4BBFE39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7FD7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881" w:type="dxa"/>
            <w:noWrap/>
            <w:vAlign w:val="center"/>
          </w:tcPr>
          <w:p w14:paraId="6C3BE77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250" w:type="dxa"/>
            <w:noWrap/>
            <w:vAlign w:val="center"/>
          </w:tcPr>
          <w:p w14:paraId="6A8062F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高压开关柜</w:t>
            </w:r>
          </w:p>
        </w:tc>
        <w:tc>
          <w:tcPr>
            <w:tcW w:w="8342" w:type="dxa"/>
            <w:noWrap/>
            <w:vAlign w:val="center"/>
          </w:tcPr>
          <w:p w14:paraId="6F6B11C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长江电器：KYN28-12-11</w:t>
            </w:r>
          </w:p>
        </w:tc>
        <w:tc>
          <w:tcPr>
            <w:tcW w:w="1087" w:type="dxa"/>
            <w:noWrap/>
            <w:vAlign w:val="center"/>
          </w:tcPr>
          <w:p w14:paraId="0B60800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1086" w:type="dxa"/>
            <w:noWrap/>
            <w:vAlign w:val="center"/>
          </w:tcPr>
          <w:p w14:paraId="19B13C1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32</w:t>
            </w:r>
          </w:p>
        </w:tc>
      </w:tr>
      <w:tr w14:paraId="02B1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881" w:type="dxa"/>
            <w:noWrap/>
            <w:vAlign w:val="center"/>
          </w:tcPr>
          <w:p w14:paraId="720E50B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250" w:type="dxa"/>
            <w:noWrap/>
            <w:vAlign w:val="center"/>
          </w:tcPr>
          <w:p w14:paraId="7A6DCC3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高压断路器</w:t>
            </w:r>
          </w:p>
        </w:tc>
        <w:tc>
          <w:tcPr>
            <w:tcW w:w="8342" w:type="dxa"/>
            <w:noWrap/>
            <w:vAlign w:val="center"/>
          </w:tcPr>
          <w:p w14:paraId="14BAE53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ABB公司:12kV、1250A</w:t>
            </w:r>
          </w:p>
        </w:tc>
        <w:tc>
          <w:tcPr>
            <w:tcW w:w="1087" w:type="dxa"/>
            <w:noWrap/>
            <w:vAlign w:val="center"/>
          </w:tcPr>
          <w:p w14:paraId="1234506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1086" w:type="dxa"/>
            <w:noWrap/>
            <w:vAlign w:val="center"/>
          </w:tcPr>
          <w:p w14:paraId="2EA0EC0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25</w:t>
            </w:r>
          </w:p>
        </w:tc>
      </w:tr>
      <w:tr w14:paraId="7F40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881" w:type="dxa"/>
            <w:noWrap/>
            <w:vAlign w:val="center"/>
          </w:tcPr>
          <w:p w14:paraId="33A168A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250" w:type="dxa"/>
            <w:noWrap/>
            <w:vAlign w:val="center"/>
          </w:tcPr>
          <w:p w14:paraId="1217784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避雷器</w:t>
            </w:r>
          </w:p>
        </w:tc>
        <w:tc>
          <w:tcPr>
            <w:tcW w:w="8342" w:type="dxa"/>
            <w:noWrap/>
            <w:vAlign w:val="center"/>
          </w:tcPr>
          <w:p w14:paraId="789BBDE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氧化锌</w:t>
            </w:r>
          </w:p>
        </w:tc>
        <w:tc>
          <w:tcPr>
            <w:tcW w:w="1087" w:type="dxa"/>
            <w:noWrap/>
            <w:vAlign w:val="center"/>
          </w:tcPr>
          <w:p w14:paraId="6BA2840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只</w:t>
            </w:r>
          </w:p>
        </w:tc>
        <w:tc>
          <w:tcPr>
            <w:tcW w:w="1086" w:type="dxa"/>
            <w:noWrap/>
            <w:vAlign w:val="center"/>
          </w:tcPr>
          <w:p w14:paraId="0F8FC9D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72</w:t>
            </w:r>
          </w:p>
        </w:tc>
      </w:tr>
      <w:tr w14:paraId="7B47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881" w:type="dxa"/>
            <w:noWrap/>
            <w:vAlign w:val="center"/>
          </w:tcPr>
          <w:p w14:paraId="69880E7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3250" w:type="dxa"/>
            <w:noWrap/>
            <w:vAlign w:val="center"/>
          </w:tcPr>
          <w:p w14:paraId="0E6BA66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所用变压器</w:t>
            </w:r>
          </w:p>
        </w:tc>
        <w:tc>
          <w:tcPr>
            <w:tcW w:w="8342" w:type="dxa"/>
            <w:noWrap/>
            <w:vAlign w:val="center"/>
          </w:tcPr>
          <w:p w14:paraId="796FBB6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50kva</w:t>
            </w:r>
          </w:p>
        </w:tc>
        <w:tc>
          <w:tcPr>
            <w:tcW w:w="1087" w:type="dxa"/>
            <w:noWrap/>
            <w:vAlign w:val="center"/>
          </w:tcPr>
          <w:p w14:paraId="2FAAD1C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1086" w:type="dxa"/>
            <w:noWrap/>
            <w:vAlign w:val="center"/>
          </w:tcPr>
          <w:p w14:paraId="25A39F8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EFB8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881" w:type="dxa"/>
            <w:noWrap/>
            <w:vAlign w:val="center"/>
          </w:tcPr>
          <w:p w14:paraId="510A2A2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3250" w:type="dxa"/>
            <w:noWrap/>
            <w:vAlign w:val="center"/>
          </w:tcPr>
          <w:p w14:paraId="6D7045D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保护装置</w:t>
            </w:r>
          </w:p>
        </w:tc>
        <w:tc>
          <w:tcPr>
            <w:tcW w:w="8342" w:type="dxa"/>
            <w:noWrap/>
            <w:vAlign w:val="center"/>
          </w:tcPr>
          <w:p w14:paraId="28C6572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南瑞集团DSA</w:t>
            </w:r>
          </w:p>
        </w:tc>
        <w:tc>
          <w:tcPr>
            <w:tcW w:w="1087" w:type="dxa"/>
            <w:noWrap/>
            <w:vAlign w:val="center"/>
          </w:tcPr>
          <w:p w14:paraId="3980571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1086" w:type="dxa"/>
            <w:noWrap/>
            <w:vAlign w:val="center"/>
          </w:tcPr>
          <w:p w14:paraId="4084E2D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26</w:t>
            </w:r>
          </w:p>
        </w:tc>
      </w:tr>
      <w:tr w14:paraId="61607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881" w:type="dxa"/>
            <w:noWrap/>
            <w:vAlign w:val="center"/>
          </w:tcPr>
          <w:p w14:paraId="68B2602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3250" w:type="dxa"/>
            <w:noWrap/>
            <w:vAlign w:val="center"/>
          </w:tcPr>
          <w:p w14:paraId="403FCC5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高压电缆</w:t>
            </w:r>
          </w:p>
        </w:tc>
        <w:tc>
          <w:tcPr>
            <w:tcW w:w="8342" w:type="dxa"/>
            <w:noWrap/>
            <w:vAlign w:val="center"/>
          </w:tcPr>
          <w:p w14:paraId="4F62372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10kV</w:t>
            </w:r>
          </w:p>
        </w:tc>
        <w:tc>
          <w:tcPr>
            <w:tcW w:w="1087" w:type="dxa"/>
            <w:noWrap/>
            <w:vAlign w:val="center"/>
          </w:tcPr>
          <w:p w14:paraId="0EE26AA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条</w:t>
            </w:r>
          </w:p>
        </w:tc>
        <w:tc>
          <w:tcPr>
            <w:tcW w:w="1086" w:type="dxa"/>
            <w:noWrap/>
            <w:vAlign w:val="center"/>
          </w:tcPr>
          <w:p w14:paraId="22715A9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r>
    </w:tbl>
    <w:p w14:paraId="6E066B3D">
      <w:pPr>
        <w:spacing w:line="480" w:lineRule="auto"/>
        <w:jc w:val="center"/>
        <w:rPr>
          <w:rFonts w:hint="eastAsia" w:ascii="宋体" w:hAnsi="宋体" w:cs="宋体"/>
          <w:sz w:val="24"/>
          <w:szCs w:val="24"/>
          <w:highlight w:val="none"/>
        </w:rPr>
      </w:pPr>
    </w:p>
    <w:p w14:paraId="3113BA5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仙林校区10kV第二开闭所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3284"/>
        <w:gridCol w:w="8428"/>
        <w:gridCol w:w="1098"/>
        <w:gridCol w:w="1008"/>
      </w:tblGrid>
      <w:tr w14:paraId="7EB78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56" w:type="dxa"/>
            <w:noWrap/>
            <w:vAlign w:val="center"/>
          </w:tcPr>
          <w:p w14:paraId="1E948ECB">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284" w:type="dxa"/>
            <w:noWrap/>
            <w:vAlign w:val="center"/>
          </w:tcPr>
          <w:p w14:paraId="159600F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428" w:type="dxa"/>
            <w:noWrap/>
            <w:vAlign w:val="center"/>
          </w:tcPr>
          <w:p w14:paraId="056489D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98" w:type="dxa"/>
            <w:noWrap/>
            <w:vAlign w:val="center"/>
          </w:tcPr>
          <w:p w14:paraId="001C609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1008" w:type="dxa"/>
            <w:noWrap/>
            <w:vAlign w:val="center"/>
          </w:tcPr>
          <w:p w14:paraId="7CBC84F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2FA8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56" w:type="dxa"/>
            <w:noWrap/>
            <w:vAlign w:val="center"/>
          </w:tcPr>
          <w:p w14:paraId="7A74E70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284" w:type="dxa"/>
            <w:noWrap/>
            <w:vAlign w:val="center"/>
          </w:tcPr>
          <w:p w14:paraId="6F06D0B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监控后台</w:t>
            </w:r>
          </w:p>
        </w:tc>
        <w:tc>
          <w:tcPr>
            <w:tcW w:w="8428" w:type="dxa"/>
            <w:noWrap/>
            <w:vAlign w:val="center"/>
          </w:tcPr>
          <w:p w14:paraId="5E5BE99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南瑞集团：DSA系统（含电脑主机和显示器各一台，辅助设备）</w:t>
            </w:r>
          </w:p>
        </w:tc>
        <w:tc>
          <w:tcPr>
            <w:tcW w:w="1098" w:type="dxa"/>
            <w:noWrap/>
            <w:vAlign w:val="center"/>
          </w:tcPr>
          <w:p w14:paraId="5F77C3D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1008" w:type="dxa"/>
            <w:noWrap/>
            <w:vAlign w:val="center"/>
          </w:tcPr>
          <w:p w14:paraId="2170371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2573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56" w:type="dxa"/>
            <w:noWrap/>
            <w:vAlign w:val="center"/>
          </w:tcPr>
          <w:p w14:paraId="2095653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284" w:type="dxa"/>
            <w:noWrap/>
            <w:vAlign w:val="center"/>
          </w:tcPr>
          <w:p w14:paraId="611C6B6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直流系统</w:t>
            </w:r>
          </w:p>
        </w:tc>
        <w:tc>
          <w:tcPr>
            <w:tcW w:w="8428" w:type="dxa"/>
            <w:noWrap/>
            <w:vAlign w:val="center"/>
          </w:tcPr>
          <w:p w14:paraId="50CF96E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无锡斯达：DC220伏40AH（直流充电馈线屏1面、电池屏一面）</w:t>
            </w:r>
          </w:p>
        </w:tc>
        <w:tc>
          <w:tcPr>
            <w:tcW w:w="1098" w:type="dxa"/>
            <w:noWrap/>
            <w:vAlign w:val="center"/>
          </w:tcPr>
          <w:p w14:paraId="42F6A3A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1008" w:type="dxa"/>
            <w:noWrap/>
            <w:vAlign w:val="center"/>
          </w:tcPr>
          <w:p w14:paraId="096637F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59C6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56" w:type="dxa"/>
            <w:noWrap/>
            <w:vAlign w:val="center"/>
          </w:tcPr>
          <w:p w14:paraId="6533AD7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284" w:type="dxa"/>
            <w:noWrap/>
            <w:vAlign w:val="center"/>
          </w:tcPr>
          <w:p w14:paraId="1E7529B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微机保护测控装置屏</w:t>
            </w:r>
          </w:p>
        </w:tc>
        <w:tc>
          <w:tcPr>
            <w:tcW w:w="8428" w:type="dxa"/>
            <w:noWrap/>
            <w:vAlign w:val="center"/>
          </w:tcPr>
          <w:p w14:paraId="54096DD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南瑞集团：DSA系列</w:t>
            </w:r>
          </w:p>
        </w:tc>
        <w:tc>
          <w:tcPr>
            <w:tcW w:w="1098" w:type="dxa"/>
            <w:noWrap/>
            <w:vAlign w:val="center"/>
          </w:tcPr>
          <w:p w14:paraId="4697D7F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1008" w:type="dxa"/>
            <w:noWrap/>
            <w:vAlign w:val="center"/>
          </w:tcPr>
          <w:p w14:paraId="3DCC6EB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775B9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56" w:type="dxa"/>
            <w:noWrap/>
            <w:vAlign w:val="center"/>
          </w:tcPr>
          <w:p w14:paraId="09B8176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284" w:type="dxa"/>
            <w:noWrap/>
            <w:vAlign w:val="center"/>
          </w:tcPr>
          <w:p w14:paraId="7E9F96E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高压开关柜</w:t>
            </w:r>
          </w:p>
        </w:tc>
        <w:tc>
          <w:tcPr>
            <w:tcW w:w="8428" w:type="dxa"/>
            <w:noWrap/>
            <w:vAlign w:val="center"/>
          </w:tcPr>
          <w:p w14:paraId="63DD7D5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常州兰陵电器：KYN1B-10</w:t>
            </w:r>
          </w:p>
        </w:tc>
        <w:tc>
          <w:tcPr>
            <w:tcW w:w="1098" w:type="dxa"/>
            <w:noWrap/>
            <w:vAlign w:val="center"/>
          </w:tcPr>
          <w:p w14:paraId="33CC18D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1008" w:type="dxa"/>
            <w:noWrap/>
            <w:vAlign w:val="center"/>
          </w:tcPr>
          <w:p w14:paraId="36B3513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32</w:t>
            </w:r>
          </w:p>
        </w:tc>
      </w:tr>
      <w:tr w14:paraId="41A5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56" w:type="dxa"/>
            <w:noWrap/>
            <w:vAlign w:val="center"/>
          </w:tcPr>
          <w:p w14:paraId="20738CA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284" w:type="dxa"/>
            <w:noWrap/>
            <w:vAlign w:val="center"/>
          </w:tcPr>
          <w:p w14:paraId="6EEF8F4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高压断路器</w:t>
            </w:r>
          </w:p>
        </w:tc>
        <w:tc>
          <w:tcPr>
            <w:tcW w:w="8428" w:type="dxa"/>
            <w:noWrap/>
            <w:vAlign w:val="center"/>
          </w:tcPr>
          <w:p w14:paraId="7837758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ABB</w:t>
            </w:r>
          </w:p>
        </w:tc>
        <w:tc>
          <w:tcPr>
            <w:tcW w:w="1098" w:type="dxa"/>
            <w:noWrap/>
            <w:vAlign w:val="center"/>
          </w:tcPr>
          <w:p w14:paraId="79D1D91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1008" w:type="dxa"/>
            <w:noWrap/>
            <w:vAlign w:val="center"/>
          </w:tcPr>
          <w:p w14:paraId="231819F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25</w:t>
            </w:r>
          </w:p>
        </w:tc>
      </w:tr>
      <w:tr w14:paraId="0C14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56" w:type="dxa"/>
            <w:noWrap/>
            <w:vAlign w:val="center"/>
          </w:tcPr>
          <w:p w14:paraId="59AD752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284" w:type="dxa"/>
            <w:noWrap/>
            <w:vAlign w:val="center"/>
          </w:tcPr>
          <w:p w14:paraId="36B6AA1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避雷器</w:t>
            </w:r>
          </w:p>
        </w:tc>
        <w:tc>
          <w:tcPr>
            <w:tcW w:w="8428" w:type="dxa"/>
            <w:noWrap/>
            <w:vAlign w:val="center"/>
          </w:tcPr>
          <w:p w14:paraId="64C6F20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氧化锌</w:t>
            </w:r>
          </w:p>
        </w:tc>
        <w:tc>
          <w:tcPr>
            <w:tcW w:w="1098" w:type="dxa"/>
            <w:noWrap/>
            <w:vAlign w:val="center"/>
          </w:tcPr>
          <w:p w14:paraId="114AEE9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只</w:t>
            </w:r>
          </w:p>
        </w:tc>
        <w:tc>
          <w:tcPr>
            <w:tcW w:w="1008" w:type="dxa"/>
            <w:noWrap/>
            <w:vAlign w:val="center"/>
          </w:tcPr>
          <w:p w14:paraId="2BADF9B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72</w:t>
            </w:r>
          </w:p>
        </w:tc>
      </w:tr>
      <w:tr w14:paraId="03DE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56" w:type="dxa"/>
            <w:noWrap/>
            <w:vAlign w:val="center"/>
          </w:tcPr>
          <w:p w14:paraId="582A4E3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3284" w:type="dxa"/>
            <w:noWrap/>
            <w:vAlign w:val="center"/>
          </w:tcPr>
          <w:p w14:paraId="772FFB9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所用变压器</w:t>
            </w:r>
          </w:p>
        </w:tc>
        <w:tc>
          <w:tcPr>
            <w:tcW w:w="8428" w:type="dxa"/>
            <w:noWrap/>
            <w:vAlign w:val="center"/>
          </w:tcPr>
          <w:p w14:paraId="3039988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50kva</w:t>
            </w:r>
          </w:p>
        </w:tc>
        <w:tc>
          <w:tcPr>
            <w:tcW w:w="1098" w:type="dxa"/>
            <w:noWrap/>
            <w:vAlign w:val="center"/>
          </w:tcPr>
          <w:p w14:paraId="26384E6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1008" w:type="dxa"/>
            <w:noWrap/>
            <w:vAlign w:val="center"/>
          </w:tcPr>
          <w:p w14:paraId="613894F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0870D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56" w:type="dxa"/>
            <w:noWrap/>
            <w:vAlign w:val="center"/>
          </w:tcPr>
          <w:p w14:paraId="294BC3B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3284" w:type="dxa"/>
            <w:noWrap/>
            <w:vAlign w:val="center"/>
          </w:tcPr>
          <w:p w14:paraId="3F95FC4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保护装置</w:t>
            </w:r>
          </w:p>
        </w:tc>
        <w:tc>
          <w:tcPr>
            <w:tcW w:w="8428" w:type="dxa"/>
            <w:noWrap/>
            <w:vAlign w:val="center"/>
          </w:tcPr>
          <w:p w14:paraId="098E670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南瑞集团DSA</w:t>
            </w:r>
          </w:p>
        </w:tc>
        <w:tc>
          <w:tcPr>
            <w:tcW w:w="1098" w:type="dxa"/>
            <w:noWrap/>
            <w:vAlign w:val="center"/>
          </w:tcPr>
          <w:p w14:paraId="78DCE2A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1008" w:type="dxa"/>
            <w:noWrap/>
            <w:vAlign w:val="center"/>
          </w:tcPr>
          <w:p w14:paraId="1C29ABF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26</w:t>
            </w:r>
          </w:p>
        </w:tc>
      </w:tr>
      <w:tr w14:paraId="608D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56" w:type="dxa"/>
            <w:noWrap/>
            <w:vAlign w:val="center"/>
          </w:tcPr>
          <w:p w14:paraId="7C32EEA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3284" w:type="dxa"/>
            <w:noWrap/>
            <w:vAlign w:val="center"/>
          </w:tcPr>
          <w:p w14:paraId="6E951BA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高压电缆</w:t>
            </w:r>
          </w:p>
        </w:tc>
        <w:tc>
          <w:tcPr>
            <w:tcW w:w="8428" w:type="dxa"/>
            <w:noWrap/>
            <w:vAlign w:val="center"/>
          </w:tcPr>
          <w:p w14:paraId="729C3A1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10kV</w:t>
            </w:r>
          </w:p>
        </w:tc>
        <w:tc>
          <w:tcPr>
            <w:tcW w:w="1098" w:type="dxa"/>
            <w:noWrap/>
            <w:vAlign w:val="center"/>
          </w:tcPr>
          <w:p w14:paraId="1E8A359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条</w:t>
            </w:r>
          </w:p>
        </w:tc>
        <w:tc>
          <w:tcPr>
            <w:tcW w:w="1008" w:type="dxa"/>
            <w:noWrap/>
            <w:vAlign w:val="center"/>
          </w:tcPr>
          <w:p w14:paraId="13EE7B6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r>
    </w:tbl>
    <w:p w14:paraId="335CEB9C">
      <w:pPr>
        <w:spacing w:line="480" w:lineRule="auto"/>
        <w:jc w:val="center"/>
        <w:rPr>
          <w:rFonts w:hint="eastAsia" w:ascii="宋体" w:hAnsi="宋体" w:cs="宋体"/>
          <w:sz w:val="24"/>
          <w:szCs w:val="24"/>
          <w:highlight w:val="none"/>
        </w:rPr>
      </w:pPr>
    </w:p>
    <w:p w14:paraId="5F8B9A5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仙林校区10kV三号开闭所（临时）</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46B4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B3E46F9">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063667D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7FDA9D3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3A51234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7F523CC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1178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4C1FB8E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tcPr>
          <w:p w14:paraId="6763D8C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火灾报警系统</w:t>
            </w:r>
          </w:p>
        </w:tc>
        <w:tc>
          <w:tcPr>
            <w:tcW w:w="8100" w:type="dxa"/>
            <w:noWrap/>
          </w:tcPr>
          <w:p w14:paraId="415C629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海湾消防</w:t>
            </w:r>
          </w:p>
        </w:tc>
        <w:tc>
          <w:tcPr>
            <w:tcW w:w="1056" w:type="dxa"/>
            <w:noWrap/>
          </w:tcPr>
          <w:p w14:paraId="476BC55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noWrap/>
          </w:tcPr>
          <w:p w14:paraId="3CF92B0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52EBB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4C61F55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tcPr>
          <w:p w14:paraId="180109F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负控柜</w:t>
            </w:r>
          </w:p>
        </w:tc>
        <w:tc>
          <w:tcPr>
            <w:tcW w:w="8100" w:type="dxa"/>
            <w:noWrap/>
          </w:tcPr>
          <w:p w14:paraId="58FDFB9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宝基</w:t>
            </w:r>
          </w:p>
        </w:tc>
        <w:tc>
          <w:tcPr>
            <w:tcW w:w="1056" w:type="dxa"/>
            <w:noWrap/>
          </w:tcPr>
          <w:p w14:paraId="43777BA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tcPr>
          <w:p w14:paraId="4CED3BC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68ED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3A620F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tcPr>
          <w:p w14:paraId="2A0BEE9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后台系统</w:t>
            </w:r>
          </w:p>
        </w:tc>
        <w:tc>
          <w:tcPr>
            <w:tcW w:w="8100" w:type="dxa"/>
            <w:noWrap/>
          </w:tcPr>
          <w:p w14:paraId="3237BA5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珠海派诺</w:t>
            </w:r>
          </w:p>
        </w:tc>
        <w:tc>
          <w:tcPr>
            <w:tcW w:w="1056" w:type="dxa"/>
            <w:noWrap/>
          </w:tcPr>
          <w:p w14:paraId="6EFD32B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noWrap/>
          </w:tcPr>
          <w:p w14:paraId="29CC780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70C5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159FC1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tcPr>
          <w:p w14:paraId="56517CA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箱式开闭所</w:t>
            </w:r>
          </w:p>
        </w:tc>
        <w:tc>
          <w:tcPr>
            <w:tcW w:w="8100" w:type="dxa"/>
            <w:noWrap/>
          </w:tcPr>
          <w:p w14:paraId="72FE738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嘉隆电气：10KV 二进四出</w:t>
            </w:r>
          </w:p>
        </w:tc>
        <w:tc>
          <w:tcPr>
            <w:tcW w:w="1056" w:type="dxa"/>
            <w:noWrap/>
          </w:tcPr>
          <w:p w14:paraId="048CFBC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tcPr>
          <w:p w14:paraId="05066AE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r>
      <w:tr w14:paraId="0921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62C7EB3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tcPr>
          <w:p w14:paraId="3D5CDD7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直流屏</w:t>
            </w:r>
          </w:p>
        </w:tc>
        <w:tc>
          <w:tcPr>
            <w:tcW w:w="8100" w:type="dxa"/>
            <w:noWrap/>
          </w:tcPr>
          <w:p w14:paraId="28AA383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深科博业：DC220V</w:t>
            </w:r>
          </w:p>
        </w:tc>
        <w:tc>
          <w:tcPr>
            <w:tcW w:w="1056" w:type="dxa"/>
            <w:noWrap/>
          </w:tcPr>
          <w:p w14:paraId="332A935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tcPr>
          <w:p w14:paraId="04C05D1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4172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017E0C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156" w:type="dxa"/>
            <w:noWrap/>
            <w:vAlign w:val="center"/>
          </w:tcPr>
          <w:p w14:paraId="4CFD94C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1#、2#所用变</w:t>
            </w:r>
          </w:p>
        </w:tc>
        <w:tc>
          <w:tcPr>
            <w:tcW w:w="8100" w:type="dxa"/>
            <w:noWrap/>
            <w:vAlign w:val="center"/>
          </w:tcPr>
          <w:p w14:paraId="4B737A5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1.SCB13-15kVA/10/0.4kV</w:t>
            </w:r>
            <w:r>
              <w:rPr>
                <w:rFonts w:hint="eastAsia" w:ascii="宋体" w:hAnsi="宋体" w:cs="宋体"/>
                <w:sz w:val="24"/>
                <w:szCs w:val="24"/>
                <w:highlight w:val="none"/>
              </w:rPr>
              <w:br w:type="textWrapping"/>
            </w:r>
            <w:r>
              <w:rPr>
                <w:rFonts w:hint="eastAsia" w:ascii="宋体" w:hAnsi="宋体" w:cs="宋体"/>
                <w:sz w:val="24"/>
                <w:szCs w:val="24"/>
                <w:highlight w:val="none"/>
              </w:rPr>
              <w:t>2.含柜体、元器件及柜间连接母线</w:t>
            </w:r>
          </w:p>
        </w:tc>
        <w:tc>
          <w:tcPr>
            <w:tcW w:w="1056" w:type="dxa"/>
            <w:noWrap/>
            <w:vAlign w:val="center"/>
          </w:tcPr>
          <w:p w14:paraId="6C6FD04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15B6B3A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036C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2C4527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3156" w:type="dxa"/>
            <w:noWrap/>
            <w:vAlign w:val="center"/>
          </w:tcPr>
          <w:p w14:paraId="29F84BD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1#、2#计量柜</w:t>
            </w:r>
          </w:p>
        </w:tc>
        <w:tc>
          <w:tcPr>
            <w:tcW w:w="8100" w:type="dxa"/>
            <w:noWrap/>
            <w:vAlign w:val="center"/>
          </w:tcPr>
          <w:p w14:paraId="2689F29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1.1#、2#计量柜</w:t>
            </w:r>
            <w:r>
              <w:rPr>
                <w:rFonts w:hint="eastAsia" w:ascii="宋体" w:hAnsi="宋体" w:cs="宋体"/>
                <w:sz w:val="24"/>
                <w:szCs w:val="24"/>
                <w:highlight w:val="none"/>
              </w:rPr>
              <w:br w:type="textWrapping"/>
            </w:r>
            <w:r>
              <w:rPr>
                <w:rFonts w:hint="eastAsia" w:ascii="宋体" w:hAnsi="宋体" w:cs="宋体"/>
                <w:sz w:val="24"/>
                <w:szCs w:val="24"/>
                <w:highlight w:val="none"/>
              </w:rPr>
              <w:t>2.含柜体、元器件及柜间连接母线</w:t>
            </w:r>
          </w:p>
        </w:tc>
        <w:tc>
          <w:tcPr>
            <w:tcW w:w="1056" w:type="dxa"/>
            <w:noWrap/>
            <w:vAlign w:val="center"/>
          </w:tcPr>
          <w:p w14:paraId="75573F7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569CBD1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62331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B7F2FD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3156" w:type="dxa"/>
            <w:noWrap/>
            <w:vAlign w:val="center"/>
          </w:tcPr>
          <w:p w14:paraId="67BED37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1#、2#PT柜</w:t>
            </w:r>
          </w:p>
        </w:tc>
        <w:tc>
          <w:tcPr>
            <w:tcW w:w="8100" w:type="dxa"/>
            <w:noWrap/>
            <w:vAlign w:val="center"/>
          </w:tcPr>
          <w:p w14:paraId="4507709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1.1#、2#PT柜</w:t>
            </w:r>
            <w:r>
              <w:rPr>
                <w:rFonts w:hint="eastAsia" w:ascii="宋体" w:hAnsi="宋体" w:cs="宋体"/>
                <w:sz w:val="24"/>
                <w:szCs w:val="24"/>
                <w:highlight w:val="none"/>
              </w:rPr>
              <w:br w:type="textWrapping"/>
            </w:r>
            <w:r>
              <w:rPr>
                <w:rFonts w:hint="eastAsia" w:ascii="宋体" w:hAnsi="宋体" w:cs="宋体"/>
                <w:sz w:val="24"/>
                <w:szCs w:val="24"/>
                <w:highlight w:val="none"/>
              </w:rPr>
              <w:t>2.含柜体、元器件及柜间连接母线</w:t>
            </w:r>
          </w:p>
        </w:tc>
        <w:tc>
          <w:tcPr>
            <w:tcW w:w="1056" w:type="dxa"/>
            <w:noWrap/>
            <w:vAlign w:val="center"/>
          </w:tcPr>
          <w:p w14:paraId="1673B15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6C348DD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31AB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05DD729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3156" w:type="dxa"/>
            <w:noWrap/>
            <w:vAlign w:val="center"/>
          </w:tcPr>
          <w:p w14:paraId="4907242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1#、3#、4#、2#出线柜</w:t>
            </w:r>
          </w:p>
        </w:tc>
        <w:tc>
          <w:tcPr>
            <w:tcW w:w="8100" w:type="dxa"/>
            <w:noWrap/>
            <w:vAlign w:val="center"/>
          </w:tcPr>
          <w:p w14:paraId="49F40A2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1.1#、3#、4#、2#出线柜</w:t>
            </w:r>
            <w:r>
              <w:rPr>
                <w:rFonts w:hint="eastAsia" w:ascii="宋体" w:hAnsi="宋体" w:cs="宋体"/>
                <w:sz w:val="24"/>
                <w:szCs w:val="24"/>
                <w:highlight w:val="none"/>
              </w:rPr>
              <w:br w:type="textWrapping"/>
            </w:r>
            <w:r>
              <w:rPr>
                <w:rFonts w:hint="eastAsia" w:ascii="宋体" w:hAnsi="宋体" w:cs="宋体"/>
                <w:sz w:val="24"/>
                <w:szCs w:val="24"/>
                <w:highlight w:val="none"/>
              </w:rPr>
              <w:t>2.含柜体、元器件及柜间连接母线</w:t>
            </w:r>
          </w:p>
        </w:tc>
        <w:tc>
          <w:tcPr>
            <w:tcW w:w="1056" w:type="dxa"/>
            <w:noWrap/>
            <w:vAlign w:val="center"/>
          </w:tcPr>
          <w:p w14:paraId="3E5D999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54DBDBB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1E935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E515D1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10</w:t>
            </w:r>
          </w:p>
        </w:tc>
        <w:tc>
          <w:tcPr>
            <w:tcW w:w="3156" w:type="dxa"/>
            <w:noWrap/>
            <w:vAlign w:val="center"/>
          </w:tcPr>
          <w:p w14:paraId="5C142D1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1#、2#进线柜</w:t>
            </w:r>
          </w:p>
        </w:tc>
        <w:tc>
          <w:tcPr>
            <w:tcW w:w="8100" w:type="dxa"/>
            <w:noWrap/>
            <w:vAlign w:val="center"/>
          </w:tcPr>
          <w:p w14:paraId="67A0B6E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1.1#、2#进线柜</w:t>
            </w:r>
            <w:r>
              <w:rPr>
                <w:rFonts w:hint="eastAsia" w:ascii="宋体" w:hAnsi="宋体" w:cs="宋体"/>
                <w:sz w:val="24"/>
                <w:szCs w:val="24"/>
                <w:highlight w:val="none"/>
              </w:rPr>
              <w:br w:type="textWrapping"/>
            </w:r>
            <w:r>
              <w:rPr>
                <w:rFonts w:hint="eastAsia" w:ascii="宋体" w:hAnsi="宋体" w:cs="宋体"/>
                <w:sz w:val="24"/>
                <w:szCs w:val="24"/>
                <w:highlight w:val="none"/>
              </w:rPr>
              <w:t>2.含柜体、元器件及柜间连接母线</w:t>
            </w:r>
          </w:p>
        </w:tc>
        <w:tc>
          <w:tcPr>
            <w:tcW w:w="1056" w:type="dxa"/>
            <w:noWrap/>
            <w:vAlign w:val="center"/>
          </w:tcPr>
          <w:p w14:paraId="6868C9C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6C4DEA2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5DE8BD79">
      <w:pPr>
        <w:spacing w:line="480" w:lineRule="auto"/>
        <w:jc w:val="both"/>
        <w:rPr>
          <w:rFonts w:hint="eastAsia" w:ascii="宋体" w:hAnsi="宋体" w:cs="宋体"/>
          <w:sz w:val="24"/>
          <w:szCs w:val="24"/>
          <w:highlight w:val="none"/>
        </w:rPr>
      </w:pPr>
    </w:p>
    <w:p w14:paraId="17CCA44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仙林校区行政楼10kV变电所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04F2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47930A8">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0AB4ED0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08238ED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281D528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618A8B7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3B09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F70473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1770A8E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7944157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ABB：12kV</w:t>
            </w:r>
          </w:p>
        </w:tc>
        <w:tc>
          <w:tcPr>
            <w:tcW w:w="1056" w:type="dxa"/>
            <w:noWrap/>
            <w:vAlign w:val="center"/>
          </w:tcPr>
          <w:p w14:paraId="462CE90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7E54CD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r>
      <w:tr w14:paraId="3360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AA187A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3FD0CA4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752B770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5A57F6D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9D9E58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27845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77C4A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204C04B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2A227B0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长江电器：MZS</w:t>
            </w:r>
          </w:p>
        </w:tc>
        <w:tc>
          <w:tcPr>
            <w:tcW w:w="1056" w:type="dxa"/>
            <w:noWrap/>
            <w:vAlign w:val="center"/>
          </w:tcPr>
          <w:p w14:paraId="3EE527F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54D5945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10</w:t>
            </w:r>
          </w:p>
        </w:tc>
      </w:tr>
      <w:tr w14:paraId="4537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412177C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079DF64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0959344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254889E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502711F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03B4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A36AD6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57ED100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0B4ACDB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500kVA</w:t>
            </w:r>
          </w:p>
        </w:tc>
        <w:tc>
          <w:tcPr>
            <w:tcW w:w="1056" w:type="dxa"/>
            <w:noWrap/>
            <w:vAlign w:val="center"/>
          </w:tcPr>
          <w:p w14:paraId="00D3F97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485B02B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6DA6B177">
      <w:pPr>
        <w:spacing w:line="480" w:lineRule="auto"/>
        <w:jc w:val="center"/>
        <w:rPr>
          <w:rFonts w:hint="eastAsia" w:ascii="宋体" w:hAnsi="宋体" w:cs="宋体"/>
          <w:sz w:val="24"/>
          <w:szCs w:val="24"/>
          <w:highlight w:val="none"/>
        </w:rPr>
      </w:pPr>
    </w:p>
    <w:p w14:paraId="6B509DD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仙林校区1号教学楼10kV变电所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105DB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D289A6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736C07D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733514A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04D4349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3C894B3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6B82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B5C875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3102653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55B9CDD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常熟开关制造：12V</w:t>
            </w:r>
          </w:p>
        </w:tc>
        <w:tc>
          <w:tcPr>
            <w:tcW w:w="1056" w:type="dxa"/>
            <w:noWrap/>
            <w:vAlign w:val="center"/>
          </w:tcPr>
          <w:p w14:paraId="438BF5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1CDFBE0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FA2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8DD9B0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77FCF32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159D36D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常熟开关制造：12V</w:t>
            </w:r>
          </w:p>
        </w:tc>
        <w:tc>
          <w:tcPr>
            <w:tcW w:w="1056" w:type="dxa"/>
            <w:noWrap/>
            <w:vAlign w:val="center"/>
          </w:tcPr>
          <w:p w14:paraId="1F39132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539E5D2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6CE3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DE56A5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7DEF218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tcPr>
          <w:p w14:paraId="72D61B8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常熟开关制造：CGHL</w:t>
            </w:r>
          </w:p>
        </w:tc>
        <w:tc>
          <w:tcPr>
            <w:tcW w:w="1056" w:type="dxa"/>
            <w:noWrap/>
            <w:vAlign w:val="center"/>
          </w:tcPr>
          <w:p w14:paraId="3197B5C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C03E85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r>
      <w:tr w14:paraId="2D41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3514D9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5F61F60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24FA4D1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60E8EBD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2F478D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42F7E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0C9B1C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0C89852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70A87AF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630kVA</w:t>
            </w:r>
          </w:p>
        </w:tc>
        <w:tc>
          <w:tcPr>
            <w:tcW w:w="1056" w:type="dxa"/>
            <w:noWrap/>
            <w:vAlign w:val="center"/>
          </w:tcPr>
          <w:p w14:paraId="30CE255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471D515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114DC55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仙林校区2号教学楼10kV变电所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1617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54257DF">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302ED0F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2F28E06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66892CC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22C35A4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6CC10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56E3FD4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6DA96DA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79F06FD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南自通华：10V</w:t>
            </w:r>
          </w:p>
        </w:tc>
        <w:tc>
          <w:tcPr>
            <w:tcW w:w="1056" w:type="dxa"/>
            <w:noWrap/>
            <w:vAlign w:val="center"/>
          </w:tcPr>
          <w:p w14:paraId="64CFE71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C910F9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34331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BD4F59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0BC3DB6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576C755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南自通华：10V</w:t>
            </w:r>
          </w:p>
        </w:tc>
        <w:tc>
          <w:tcPr>
            <w:tcW w:w="1056" w:type="dxa"/>
            <w:noWrap/>
            <w:vAlign w:val="center"/>
          </w:tcPr>
          <w:p w14:paraId="784042A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7364345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1D2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2E2746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53299D5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tcPr>
          <w:p w14:paraId="54D507C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南自通华：MNS</w:t>
            </w:r>
          </w:p>
        </w:tc>
        <w:tc>
          <w:tcPr>
            <w:tcW w:w="1056" w:type="dxa"/>
            <w:noWrap/>
            <w:vAlign w:val="center"/>
          </w:tcPr>
          <w:p w14:paraId="22423D7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510E7AD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w:t>
            </w:r>
          </w:p>
        </w:tc>
      </w:tr>
      <w:tr w14:paraId="6F87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A5EBEB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1E9D5A9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3BE8F94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4054D01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44E128A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5F41F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555FF3D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50FA571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1336BE8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1250kVA</w:t>
            </w:r>
          </w:p>
        </w:tc>
        <w:tc>
          <w:tcPr>
            <w:tcW w:w="1056" w:type="dxa"/>
            <w:noWrap/>
            <w:vAlign w:val="center"/>
          </w:tcPr>
          <w:p w14:paraId="5120AD3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36281A4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609F250A">
      <w:pPr>
        <w:spacing w:line="480" w:lineRule="auto"/>
        <w:jc w:val="center"/>
        <w:rPr>
          <w:rFonts w:hint="eastAsia" w:ascii="宋体" w:hAnsi="宋体" w:cs="宋体"/>
          <w:sz w:val="24"/>
          <w:szCs w:val="24"/>
          <w:highlight w:val="none"/>
        </w:rPr>
      </w:pPr>
    </w:p>
    <w:p w14:paraId="4B3C831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仙林校区3号教学楼10kV变电所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0E0C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B1F381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03DE561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13AA220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681E8CC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1E2C642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315C9AAA">
        <w:tblPrEx>
          <w:tblCellMar>
            <w:top w:w="0" w:type="dxa"/>
            <w:left w:w="108" w:type="dxa"/>
            <w:bottom w:w="0" w:type="dxa"/>
            <w:right w:w="108" w:type="dxa"/>
          </w:tblCellMar>
        </w:tblPrEx>
        <w:trPr>
          <w:trHeight w:val="520" w:hRule="atLeast"/>
        </w:trPr>
        <w:tc>
          <w:tcPr>
            <w:tcW w:w="822" w:type="dxa"/>
            <w:noWrap/>
            <w:vAlign w:val="center"/>
          </w:tcPr>
          <w:p w14:paraId="5DB5C4C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742A7FF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442D066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南自通华：10V</w:t>
            </w:r>
          </w:p>
        </w:tc>
        <w:tc>
          <w:tcPr>
            <w:tcW w:w="1056" w:type="dxa"/>
            <w:noWrap/>
            <w:vAlign w:val="center"/>
          </w:tcPr>
          <w:p w14:paraId="0E2CF5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DE2958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2E586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8EEAE3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316336D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52B1E10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南自通华：10V</w:t>
            </w:r>
          </w:p>
        </w:tc>
        <w:tc>
          <w:tcPr>
            <w:tcW w:w="1056" w:type="dxa"/>
            <w:noWrap/>
            <w:vAlign w:val="center"/>
          </w:tcPr>
          <w:p w14:paraId="744E43C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47084E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12E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19D727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21C4940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tcPr>
          <w:p w14:paraId="551A9F0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南自通华：MNS</w:t>
            </w:r>
          </w:p>
        </w:tc>
        <w:tc>
          <w:tcPr>
            <w:tcW w:w="1056" w:type="dxa"/>
            <w:noWrap/>
            <w:vAlign w:val="center"/>
          </w:tcPr>
          <w:p w14:paraId="5B428A0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BB6D4A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w:t>
            </w:r>
          </w:p>
        </w:tc>
      </w:tr>
      <w:tr w14:paraId="70A01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AB6560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395F4EC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4AF970C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695CA63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7371CD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78DA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97C1AF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130A864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5804685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1250kVA</w:t>
            </w:r>
          </w:p>
        </w:tc>
        <w:tc>
          <w:tcPr>
            <w:tcW w:w="1056" w:type="dxa"/>
            <w:noWrap/>
            <w:vAlign w:val="center"/>
          </w:tcPr>
          <w:p w14:paraId="191229B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211636F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761A0F9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仙林校区4号教学楼10kV变电所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4DB24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2554252">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71F0A55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5C640AB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4E8053B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1AB3C16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63A56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716D8F3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5862FAB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1A292D9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南自通华：10V</w:t>
            </w:r>
          </w:p>
        </w:tc>
        <w:tc>
          <w:tcPr>
            <w:tcW w:w="1056" w:type="dxa"/>
            <w:noWrap/>
            <w:vAlign w:val="center"/>
          </w:tcPr>
          <w:p w14:paraId="4FC71E4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79F40F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4C49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52544A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5CA1FE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5291309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南自通华：10V</w:t>
            </w:r>
          </w:p>
        </w:tc>
        <w:tc>
          <w:tcPr>
            <w:tcW w:w="1056" w:type="dxa"/>
            <w:noWrap/>
            <w:vAlign w:val="center"/>
          </w:tcPr>
          <w:p w14:paraId="61FCDCF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D6D5CE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3489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A48249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36F26F2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tcPr>
          <w:p w14:paraId="2C144A3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南自通华：MNSH</w:t>
            </w:r>
          </w:p>
        </w:tc>
        <w:tc>
          <w:tcPr>
            <w:tcW w:w="1056" w:type="dxa"/>
            <w:noWrap/>
            <w:vAlign w:val="center"/>
          </w:tcPr>
          <w:p w14:paraId="4940ACC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2E08A1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w:t>
            </w:r>
          </w:p>
        </w:tc>
      </w:tr>
      <w:tr w14:paraId="4A9B7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13395C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3A9DC6B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471571D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6E2B230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667CE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6A811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5F120CE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14EC018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587E06A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1250kVA</w:t>
            </w:r>
          </w:p>
        </w:tc>
        <w:tc>
          <w:tcPr>
            <w:tcW w:w="1056" w:type="dxa"/>
            <w:noWrap/>
            <w:vAlign w:val="center"/>
          </w:tcPr>
          <w:p w14:paraId="1A19EE2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7FC0BA8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0B4F0289">
      <w:pPr>
        <w:spacing w:line="480" w:lineRule="auto"/>
        <w:jc w:val="center"/>
        <w:rPr>
          <w:rFonts w:hint="eastAsia" w:ascii="宋体" w:hAnsi="宋体" w:cs="宋体"/>
          <w:sz w:val="24"/>
          <w:szCs w:val="24"/>
          <w:highlight w:val="none"/>
        </w:rPr>
      </w:pPr>
    </w:p>
    <w:p w14:paraId="78D0406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仙林校区5号教学楼10kV变电所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63F41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4692EE5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06329A7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042BE45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0562E9F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7CE087A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012F0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7DACE1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1D9B55B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6F9BFBE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常熟开关制造：12V</w:t>
            </w:r>
          </w:p>
        </w:tc>
        <w:tc>
          <w:tcPr>
            <w:tcW w:w="1056" w:type="dxa"/>
            <w:noWrap/>
            <w:vAlign w:val="center"/>
          </w:tcPr>
          <w:p w14:paraId="28AE884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1884F65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3AA6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E38501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3807F4A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323B732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常熟开关制造：12V</w:t>
            </w:r>
          </w:p>
        </w:tc>
        <w:tc>
          <w:tcPr>
            <w:tcW w:w="1056" w:type="dxa"/>
            <w:noWrap/>
            <w:vAlign w:val="center"/>
          </w:tcPr>
          <w:p w14:paraId="5713594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1B2C781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2E50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2230C2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7A0D10D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出线柜</w:t>
            </w:r>
          </w:p>
        </w:tc>
        <w:tc>
          <w:tcPr>
            <w:tcW w:w="8100" w:type="dxa"/>
            <w:noWrap/>
          </w:tcPr>
          <w:p w14:paraId="47E8CB5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常熟开关制造：CGHL</w:t>
            </w:r>
          </w:p>
        </w:tc>
        <w:tc>
          <w:tcPr>
            <w:tcW w:w="1056" w:type="dxa"/>
            <w:noWrap/>
            <w:vAlign w:val="center"/>
          </w:tcPr>
          <w:p w14:paraId="1F4F561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0F732F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r>
      <w:tr w14:paraId="745A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F9C990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334EF04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1CDE2F1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4D33446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CDB08C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64F4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8BA36B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62E38C1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6A8F4FD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1250kVA</w:t>
            </w:r>
          </w:p>
        </w:tc>
        <w:tc>
          <w:tcPr>
            <w:tcW w:w="1056" w:type="dxa"/>
            <w:noWrap/>
            <w:vAlign w:val="center"/>
          </w:tcPr>
          <w:p w14:paraId="1934FAF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14A4948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1C1A111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仙林校区梅苑（一食堂）10kV变电所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0CFB4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6976F9D">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42E95FC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4EE8535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6BD3A92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19F0E9D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1B08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5846057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562671B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79B4108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7034C66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048069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2404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8AE900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6DFCA6A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6B9A835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048B023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472797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3D0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66E63F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57EF667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698B293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长江电器：MZS</w:t>
            </w:r>
          </w:p>
        </w:tc>
        <w:tc>
          <w:tcPr>
            <w:tcW w:w="1056" w:type="dxa"/>
            <w:noWrap/>
            <w:vAlign w:val="center"/>
          </w:tcPr>
          <w:p w14:paraId="50C5ED8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5022A1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14</w:t>
            </w:r>
          </w:p>
        </w:tc>
      </w:tr>
      <w:tr w14:paraId="62B3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169D29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11E95EC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2E45124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09CFEED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BE30A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50EA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00C7C4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104BA2D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4757588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1600kVA</w:t>
            </w:r>
          </w:p>
        </w:tc>
        <w:tc>
          <w:tcPr>
            <w:tcW w:w="1056" w:type="dxa"/>
            <w:noWrap/>
            <w:vAlign w:val="center"/>
          </w:tcPr>
          <w:p w14:paraId="581D99E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07D8D55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3807355E">
      <w:pPr>
        <w:spacing w:line="480" w:lineRule="auto"/>
        <w:jc w:val="center"/>
        <w:rPr>
          <w:rFonts w:hint="eastAsia" w:ascii="宋体" w:hAnsi="宋体" w:cs="宋体"/>
          <w:sz w:val="24"/>
          <w:szCs w:val="24"/>
          <w:highlight w:val="none"/>
        </w:rPr>
      </w:pPr>
    </w:p>
    <w:p w14:paraId="7FEAEC6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仙林校区二食堂10kV变电所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0F1E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C336251">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523FFA5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1CE94E4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4A86AC2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373A097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452E6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2213695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1EFB350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3FC5A90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2C8980E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8A92BB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32D61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F19562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165E432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62BB88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6C66D90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47D681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6BA2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E2DE98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5B029FE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018A238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长江电器：MZS</w:t>
            </w:r>
          </w:p>
        </w:tc>
        <w:tc>
          <w:tcPr>
            <w:tcW w:w="1056" w:type="dxa"/>
            <w:noWrap/>
            <w:vAlign w:val="center"/>
          </w:tcPr>
          <w:p w14:paraId="33711E1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1ED3BBD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18</w:t>
            </w:r>
          </w:p>
        </w:tc>
      </w:tr>
      <w:tr w14:paraId="647A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5FF1EA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4EB81BC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758C7F8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5D18F8F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780D9D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4394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62A7C71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4BA562E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3315A79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1600kVA</w:t>
            </w:r>
          </w:p>
        </w:tc>
        <w:tc>
          <w:tcPr>
            <w:tcW w:w="1056" w:type="dxa"/>
            <w:noWrap/>
            <w:vAlign w:val="center"/>
          </w:tcPr>
          <w:p w14:paraId="3FB748D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106BE1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48866A4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仙林校区图书馆10kV变电所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020C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CC85BD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38BB8DE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6656740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2461A49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160BDFE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4DC7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0854C62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3CF0F25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7B5EC7F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SM6：12V</w:t>
            </w:r>
          </w:p>
        </w:tc>
        <w:tc>
          <w:tcPr>
            <w:tcW w:w="1056" w:type="dxa"/>
            <w:noWrap/>
            <w:vAlign w:val="center"/>
          </w:tcPr>
          <w:p w14:paraId="64CA831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6DF666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554B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02FB45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08CF128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1E0B607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正泰电器</w:t>
            </w:r>
          </w:p>
        </w:tc>
        <w:tc>
          <w:tcPr>
            <w:tcW w:w="1056" w:type="dxa"/>
            <w:noWrap/>
            <w:vAlign w:val="center"/>
          </w:tcPr>
          <w:p w14:paraId="487CD60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1D3086D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C38A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79E819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11B2BD1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tcPr>
          <w:p w14:paraId="3E81A09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正泰电器：NGC3</w:t>
            </w:r>
          </w:p>
        </w:tc>
        <w:tc>
          <w:tcPr>
            <w:tcW w:w="1056" w:type="dxa"/>
            <w:noWrap/>
            <w:vAlign w:val="center"/>
          </w:tcPr>
          <w:p w14:paraId="7E92E28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F61A19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16</w:t>
            </w:r>
          </w:p>
        </w:tc>
      </w:tr>
      <w:tr w14:paraId="4897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CC9AF2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30FDEC9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0873C94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7E4EFC2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1A6BE96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652A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616C899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66856C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40B4F15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1250kVA</w:t>
            </w:r>
          </w:p>
        </w:tc>
        <w:tc>
          <w:tcPr>
            <w:tcW w:w="1056" w:type="dxa"/>
            <w:noWrap/>
            <w:vAlign w:val="center"/>
          </w:tcPr>
          <w:p w14:paraId="2C550AC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27227D7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72F2E6A2">
      <w:pPr>
        <w:spacing w:line="480" w:lineRule="auto"/>
        <w:jc w:val="center"/>
        <w:rPr>
          <w:rFonts w:hint="eastAsia" w:ascii="宋体" w:hAnsi="宋体" w:cs="宋体"/>
          <w:sz w:val="24"/>
          <w:szCs w:val="24"/>
          <w:highlight w:val="none"/>
        </w:rPr>
      </w:pPr>
    </w:p>
    <w:p w14:paraId="460A71A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仙林校区三食堂10kV变电所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6F199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A6A0C7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044A943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066F828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48C9A9F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410AD8D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40627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3E7149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599C672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48DCE81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南自通华：12kV</w:t>
            </w:r>
          </w:p>
        </w:tc>
        <w:tc>
          <w:tcPr>
            <w:tcW w:w="1056" w:type="dxa"/>
            <w:noWrap/>
            <w:vAlign w:val="center"/>
          </w:tcPr>
          <w:p w14:paraId="2C49FCF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557B78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C4E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EB0066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46A425F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5327EEE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南自通华：12kV</w:t>
            </w:r>
          </w:p>
        </w:tc>
        <w:tc>
          <w:tcPr>
            <w:tcW w:w="1056" w:type="dxa"/>
            <w:noWrap/>
            <w:vAlign w:val="center"/>
          </w:tcPr>
          <w:p w14:paraId="1F6680E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1F01476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23222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D0BD3F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4000629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7D4428B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南自通华：MNS</w:t>
            </w:r>
          </w:p>
        </w:tc>
        <w:tc>
          <w:tcPr>
            <w:tcW w:w="1056" w:type="dxa"/>
            <w:noWrap/>
            <w:vAlign w:val="center"/>
          </w:tcPr>
          <w:p w14:paraId="2878965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86B193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14</w:t>
            </w:r>
          </w:p>
        </w:tc>
      </w:tr>
      <w:tr w14:paraId="3731D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0FB622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473E6E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7F26D01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5CEECC2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599CC0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351B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E23444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49B2813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2D1232B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2000kVA</w:t>
            </w:r>
          </w:p>
        </w:tc>
        <w:tc>
          <w:tcPr>
            <w:tcW w:w="1056" w:type="dxa"/>
            <w:noWrap/>
            <w:vAlign w:val="center"/>
          </w:tcPr>
          <w:p w14:paraId="3040AD4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31C3CCD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289FEF3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仙林校区柳苑10kV变电所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3641F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485A8C5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6E74F25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082830A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376A76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139BAE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3B8B5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7D1CDEA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06B3BC4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59B0708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618F8E2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C02F34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13C9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C96B63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45824EE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137DD19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7FD1593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18BC72B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0E6C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8719A2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3699D5F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0A2E41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长江电器：MZS</w:t>
            </w:r>
          </w:p>
        </w:tc>
        <w:tc>
          <w:tcPr>
            <w:tcW w:w="1056" w:type="dxa"/>
            <w:noWrap/>
            <w:vAlign w:val="center"/>
          </w:tcPr>
          <w:p w14:paraId="4D8DE3A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5A3598E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7A62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10DAC8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5715EE9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13275D7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624DB3E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4408247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64166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100ECA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752A562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16497D5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1250kVA</w:t>
            </w:r>
          </w:p>
        </w:tc>
        <w:tc>
          <w:tcPr>
            <w:tcW w:w="1056" w:type="dxa"/>
            <w:noWrap/>
            <w:vAlign w:val="center"/>
          </w:tcPr>
          <w:p w14:paraId="010C8DE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3473353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bl>
    <w:p w14:paraId="73B674DA">
      <w:pPr>
        <w:spacing w:line="480" w:lineRule="auto"/>
        <w:jc w:val="center"/>
        <w:rPr>
          <w:rFonts w:hint="eastAsia" w:ascii="宋体" w:hAnsi="宋体" w:cs="宋体"/>
          <w:sz w:val="24"/>
          <w:szCs w:val="24"/>
          <w:highlight w:val="none"/>
        </w:rPr>
      </w:pPr>
    </w:p>
    <w:p w14:paraId="71CA041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仙林校区桂苑10kV变电所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763D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A0D873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2805F65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2884D0F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1D2E2D7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6D4FE92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22F2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068956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0A4372C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4185E84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2292FFD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002281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AAF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89577F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123368F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1CEDF77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40B0C79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DABF1B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3836E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9D5376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21BFEAE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2866665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长江电器：MZS</w:t>
            </w:r>
          </w:p>
        </w:tc>
        <w:tc>
          <w:tcPr>
            <w:tcW w:w="1056" w:type="dxa"/>
            <w:noWrap/>
            <w:vAlign w:val="center"/>
          </w:tcPr>
          <w:p w14:paraId="7FDADEC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010D9B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w:t>
            </w:r>
          </w:p>
        </w:tc>
      </w:tr>
      <w:tr w14:paraId="7098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5C1D89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2A8B927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50BC7EE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3C30750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0C4197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166B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0AB376E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084FEC7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78EAA1C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1250kVA</w:t>
            </w:r>
          </w:p>
        </w:tc>
        <w:tc>
          <w:tcPr>
            <w:tcW w:w="1056" w:type="dxa"/>
            <w:noWrap/>
            <w:vAlign w:val="center"/>
          </w:tcPr>
          <w:p w14:paraId="47A8352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6EEEFAE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6DBF10B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仙林校区风雨球场（老体育馆）10kV变电所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2F65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4AF323F2">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2C761B2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79689A8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6FE42B4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18A2CAA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68DD6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01FAA70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69443AA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369EE92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680A9B5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708407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EFFE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7145BE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2B4F649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7F91B6D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26038DB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7D8E59B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6E882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4593204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025B635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5705D80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长江电器：MZS</w:t>
            </w:r>
          </w:p>
        </w:tc>
        <w:tc>
          <w:tcPr>
            <w:tcW w:w="1056" w:type="dxa"/>
            <w:noWrap/>
            <w:vAlign w:val="center"/>
          </w:tcPr>
          <w:p w14:paraId="4D17387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7D5566D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r>
      <w:tr w14:paraId="423A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44DCB44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7083A3C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129DCDD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387D11E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4E20BF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3D2A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DA2EBF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786680C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315D132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500kVA</w:t>
            </w:r>
          </w:p>
        </w:tc>
        <w:tc>
          <w:tcPr>
            <w:tcW w:w="1056" w:type="dxa"/>
            <w:noWrap/>
            <w:vAlign w:val="center"/>
          </w:tcPr>
          <w:p w14:paraId="5CE7A75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40F3FA8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bl>
    <w:p w14:paraId="4E0568CD">
      <w:pPr>
        <w:spacing w:line="480" w:lineRule="auto"/>
        <w:jc w:val="center"/>
        <w:rPr>
          <w:rFonts w:hint="eastAsia" w:ascii="宋体" w:hAnsi="宋体" w:cs="宋体"/>
          <w:sz w:val="24"/>
          <w:szCs w:val="24"/>
          <w:highlight w:val="none"/>
        </w:rPr>
      </w:pPr>
    </w:p>
    <w:p w14:paraId="2AB33CB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仙林校区学科楼10kV变电所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2AA2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6699065">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40B6D21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6CF69AE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7BE0880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0F31389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36B19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02AC3B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5FD49DE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1C67322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12kV,630A天津ABB</w:t>
            </w:r>
          </w:p>
        </w:tc>
        <w:tc>
          <w:tcPr>
            <w:tcW w:w="1056" w:type="dxa"/>
            <w:noWrap/>
            <w:vAlign w:val="center"/>
          </w:tcPr>
          <w:p w14:paraId="19061E1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7DDFC58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r>
      <w:tr w14:paraId="52A8D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537B76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354EADD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54D3716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正泰</w:t>
            </w:r>
          </w:p>
        </w:tc>
        <w:tc>
          <w:tcPr>
            <w:tcW w:w="1056" w:type="dxa"/>
            <w:noWrap/>
            <w:vAlign w:val="center"/>
          </w:tcPr>
          <w:p w14:paraId="29C2BD7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7E34073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48A7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D8ECF4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1261E8C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24FD2B3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施耐德总开和出线开关</w:t>
            </w:r>
          </w:p>
        </w:tc>
        <w:tc>
          <w:tcPr>
            <w:tcW w:w="1056" w:type="dxa"/>
            <w:noWrap/>
            <w:vAlign w:val="center"/>
          </w:tcPr>
          <w:p w14:paraId="7025522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404664E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34</w:t>
            </w:r>
          </w:p>
        </w:tc>
      </w:tr>
      <w:tr w14:paraId="30605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377AC4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6510EC7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294D85C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四套无功补偿装置</w:t>
            </w:r>
          </w:p>
        </w:tc>
        <w:tc>
          <w:tcPr>
            <w:tcW w:w="1056" w:type="dxa"/>
            <w:noWrap/>
            <w:vAlign w:val="center"/>
          </w:tcPr>
          <w:p w14:paraId="4C61A45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DA0FB6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r>
      <w:tr w14:paraId="2F4B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7D3BD56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55681C4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0FA8795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SCB10-1250/10</w:t>
            </w:r>
          </w:p>
        </w:tc>
        <w:tc>
          <w:tcPr>
            <w:tcW w:w="1056" w:type="dxa"/>
            <w:noWrap/>
            <w:vAlign w:val="center"/>
          </w:tcPr>
          <w:p w14:paraId="6AE1E99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01A25EE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bl>
    <w:p w14:paraId="50AC781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仙林校区公租房（青教三期）10kV变电所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24523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D8EE4B1">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2838FA5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045214D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59F142A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36E72AB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43F6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63ADCD6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085A188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72156EF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12kV,630A天津ABB</w:t>
            </w:r>
          </w:p>
        </w:tc>
        <w:tc>
          <w:tcPr>
            <w:tcW w:w="1056" w:type="dxa"/>
            <w:noWrap/>
            <w:vAlign w:val="center"/>
          </w:tcPr>
          <w:p w14:paraId="1E77EEA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45189FE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3B123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347E6A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6BF7E32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3E93046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海南金盘</w:t>
            </w:r>
          </w:p>
        </w:tc>
        <w:tc>
          <w:tcPr>
            <w:tcW w:w="1056" w:type="dxa"/>
            <w:noWrap/>
            <w:vAlign w:val="center"/>
          </w:tcPr>
          <w:p w14:paraId="1DAB8A7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EDAAEF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8C6C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57DB8A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146E129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239549B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施耐德总开和出线开关</w:t>
            </w:r>
          </w:p>
        </w:tc>
        <w:tc>
          <w:tcPr>
            <w:tcW w:w="1056" w:type="dxa"/>
            <w:noWrap/>
            <w:vAlign w:val="center"/>
          </w:tcPr>
          <w:p w14:paraId="79531CF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42F729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20</w:t>
            </w:r>
          </w:p>
        </w:tc>
      </w:tr>
      <w:tr w14:paraId="78D6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B187F2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7EA57EE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208F8CD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两套180kVAR</w:t>
            </w:r>
          </w:p>
        </w:tc>
        <w:tc>
          <w:tcPr>
            <w:tcW w:w="1056" w:type="dxa"/>
            <w:noWrap/>
            <w:vAlign w:val="center"/>
          </w:tcPr>
          <w:p w14:paraId="4BE92C9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50FAE92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2FA54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5A7AF6A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0062476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093987B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SCB10-1250/10</w:t>
            </w:r>
          </w:p>
        </w:tc>
        <w:tc>
          <w:tcPr>
            <w:tcW w:w="1056" w:type="dxa"/>
            <w:noWrap/>
            <w:vAlign w:val="center"/>
          </w:tcPr>
          <w:p w14:paraId="0DD0895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1C97AC0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639349FD">
      <w:pPr>
        <w:spacing w:line="480" w:lineRule="auto"/>
        <w:ind w:firstLine="0" w:firstLineChars="0"/>
        <w:rPr>
          <w:rFonts w:hint="eastAsia" w:ascii="宋体" w:hAnsi="宋体" w:cs="宋体"/>
          <w:sz w:val="24"/>
          <w:szCs w:val="24"/>
          <w:highlight w:val="none"/>
        </w:rPr>
      </w:pPr>
    </w:p>
    <w:p w14:paraId="02AC56E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仙林校区樱苑10kV变电所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6F27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2E7AFFB">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0344933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2288A34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3012A3A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1C14F74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69C1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45B7BAC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tcBorders>
              <w:top w:val="single" w:color="auto" w:sz="4" w:space="0"/>
              <w:left w:val="single" w:color="auto" w:sz="4" w:space="0"/>
              <w:bottom w:val="single" w:color="auto" w:sz="4" w:space="0"/>
              <w:right w:val="single" w:color="auto" w:sz="4" w:space="0"/>
            </w:tcBorders>
            <w:noWrap/>
          </w:tcPr>
          <w:p w14:paraId="4CFA805D">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母线槽</w:t>
            </w:r>
          </w:p>
        </w:tc>
        <w:tc>
          <w:tcPr>
            <w:tcW w:w="8100" w:type="dxa"/>
            <w:tcBorders>
              <w:top w:val="single" w:color="auto" w:sz="4" w:space="0"/>
              <w:left w:val="nil"/>
              <w:bottom w:val="single" w:color="auto" w:sz="4" w:space="0"/>
              <w:right w:val="single" w:color="auto" w:sz="4" w:space="0"/>
            </w:tcBorders>
            <w:noWrap/>
          </w:tcPr>
          <w:p w14:paraId="15373174">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镇江佳皓：3200A</w:t>
            </w:r>
          </w:p>
        </w:tc>
        <w:tc>
          <w:tcPr>
            <w:tcW w:w="1056" w:type="dxa"/>
            <w:tcBorders>
              <w:top w:val="single" w:color="auto" w:sz="4" w:space="0"/>
              <w:left w:val="nil"/>
              <w:bottom w:val="single" w:color="auto" w:sz="4" w:space="0"/>
              <w:right w:val="single" w:color="auto" w:sz="4" w:space="0"/>
            </w:tcBorders>
            <w:noWrap/>
          </w:tcPr>
          <w:p w14:paraId="2A40AA0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m</w:t>
            </w:r>
          </w:p>
        </w:tc>
        <w:tc>
          <w:tcPr>
            <w:tcW w:w="969" w:type="dxa"/>
            <w:tcBorders>
              <w:top w:val="single" w:color="auto" w:sz="4" w:space="0"/>
              <w:left w:val="nil"/>
              <w:bottom w:val="single" w:color="auto" w:sz="4" w:space="0"/>
              <w:right w:val="single" w:color="auto" w:sz="4" w:space="0"/>
            </w:tcBorders>
            <w:noWrap/>
          </w:tcPr>
          <w:p w14:paraId="00F56E0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22.2</w:t>
            </w:r>
          </w:p>
        </w:tc>
      </w:tr>
      <w:tr w14:paraId="540D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D53A06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tcBorders>
              <w:top w:val="nil"/>
              <w:left w:val="single" w:color="auto" w:sz="4" w:space="0"/>
              <w:bottom w:val="single" w:color="auto" w:sz="4" w:space="0"/>
              <w:right w:val="single" w:color="auto" w:sz="4" w:space="0"/>
            </w:tcBorders>
            <w:noWrap/>
          </w:tcPr>
          <w:p w14:paraId="3856133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nil"/>
              <w:left w:val="nil"/>
              <w:bottom w:val="single" w:color="auto" w:sz="4" w:space="0"/>
              <w:right w:val="single" w:color="auto" w:sz="4" w:space="0"/>
            </w:tcBorders>
            <w:noWrap/>
          </w:tcPr>
          <w:p w14:paraId="17C0EBE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亚派电气：电容补偿柜</w:t>
            </w:r>
          </w:p>
        </w:tc>
        <w:tc>
          <w:tcPr>
            <w:tcW w:w="1056" w:type="dxa"/>
            <w:tcBorders>
              <w:top w:val="nil"/>
              <w:left w:val="nil"/>
              <w:bottom w:val="single" w:color="auto" w:sz="4" w:space="0"/>
              <w:right w:val="single" w:color="auto" w:sz="4" w:space="0"/>
            </w:tcBorders>
            <w:noWrap/>
          </w:tcPr>
          <w:p w14:paraId="26ED96B2">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tcPr>
          <w:p w14:paraId="337F5188">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489BF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739F46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tcBorders>
              <w:top w:val="nil"/>
              <w:left w:val="single" w:color="auto" w:sz="4" w:space="0"/>
              <w:bottom w:val="single" w:color="auto" w:sz="4" w:space="0"/>
              <w:right w:val="single" w:color="auto" w:sz="4" w:space="0"/>
            </w:tcBorders>
            <w:noWrap/>
          </w:tcPr>
          <w:p w14:paraId="226D131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后台系统</w:t>
            </w:r>
          </w:p>
        </w:tc>
        <w:tc>
          <w:tcPr>
            <w:tcW w:w="8100" w:type="dxa"/>
            <w:tcBorders>
              <w:top w:val="nil"/>
              <w:left w:val="nil"/>
              <w:bottom w:val="single" w:color="auto" w:sz="4" w:space="0"/>
              <w:right w:val="single" w:color="auto" w:sz="4" w:space="0"/>
            </w:tcBorders>
            <w:noWrap/>
          </w:tcPr>
          <w:p w14:paraId="49A639C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汉光</w:t>
            </w:r>
          </w:p>
        </w:tc>
        <w:tc>
          <w:tcPr>
            <w:tcW w:w="1056" w:type="dxa"/>
            <w:tcBorders>
              <w:top w:val="nil"/>
              <w:left w:val="nil"/>
              <w:bottom w:val="single" w:color="auto" w:sz="4" w:space="0"/>
              <w:right w:val="single" w:color="auto" w:sz="4" w:space="0"/>
            </w:tcBorders>
            <w:noWrap/>
          </w:tcPr>
          <w:p w14:paraId="513EF12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tcBorders>
              <w:top w:val="nil"/>
              <w:left w:val="nil"/>
              <w:bottom w:val="single" w:color="auto" w:sz="4" w:space="0"/>
              <w:right w:val="single" w:color="auto" w:sz="4" w:space="0"/>
            </w:tcBorders>
            <w:noWrap/>
          </w:tcPr>
          <w:p w14:paraId="09BC7233">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7AE07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B0EA86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tcBorders>
              <w:top w:val="nil"/>
              <w:left w:val="single" w:color="auto" w:sz="4" w:space="0"/>
              <w:bottom w:val="single" w:color="auto" w:sz="4" w:space="0"/>
              <w:right w:val="single" w:color="auto" w:sz="4" w:space="0"/>
            </w:tcBorders>
            <w:noWrap/>
          </w:tcPr>
          <w:p w14:paraId="28FC7F9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nil"/>
              <w:left w:val="nil"/>
              <w:bottom w:val="single" w:color="auto" w:sz="4" w:space="0"/>
              <w:right w:val="single" w:color="auto" w:sz="4" w:space="0"/>
            </w:tcBorders>
            <w:noWrap/>
          </w:tcPr>
          <w:p w14:paraId="5BFC4884">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嘉隆电气：MNS</w:t>
            </w:r>
          </w:p>
        </w:tc>
        <w:tc>
          <w:tcPr>
            <w:tcW w:w="1056" w:type="dxa"/>
            <w:tcBorders>
              <w:top w:val="nil"/>
              <w:left w:val="nil"/>
              <w:bottom w:val="single" w:color="auto" w:sz="4" w:space="0"/>
              <w:right w:val="single" w:color="auto" w:sz="4" w:space="0"/>
            </w:tcBorders>
            <w:noWrap/>
          </w:tcPr>
          <w:p w14:paraId="6326776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tcPr>
          <w:p w14:paraId="680C4B4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11</w:t>
            </w:r>
          </w:p>
        </w:tc>
      </w:tr>
      <w:tr w14:paraId="1A0E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bottom w:val="single" w:color="auto" w:sz="4" w:space="0"/>
            </w:tcBorders>
            <w:noWrap/>
            <w:vAlign w:val="center"/>
          </w:tcPr>
          <w:p w14:paraId="31CD090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tcBorders>
              <w:top w:val="nil"/>
              <w:left w:val="single" w:color="auto" w:sz="4" w:space="0"/>
              <w:bottom w:val="single" w:color="auto" w:sz="4" w:space="0"/>
              <w:right w:val="single" w:color="auto" w:sz="4" w:space="0"/>
            </w:tcBorders>
            <w:noWrap/>
          </w:tcPr>
          <w:p w14:paraId="1499A82D">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母线槽</w:t>
            </w:r>
          </w:p>
        </w:tc>
        <w:tc>
          <w:tcPr>
            <w:tcW w:w="8100" w:type="dxa"/>
            <w:tcBorders>
              <w:top w:val="nil"/>
              <w:left w:val="nil"/>
              <w:bottom w:val="single" w:color="auto" w:sz="4" w:space="0"/>
              <w:right w:val="single" w:color="auto" w:sz="4" w:space="0"/>
            </w:tcBorders>
            <w:noWrap/>
          </w:tcPr>
          <w:p w14:paraId="58BBB86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镇江佳皓：3200A</w:t>
            </w:r>
          </w:p>
        </w:tc>
        <w:tc>
          <w:tcPr>
            <w:tcW w:w="1056" w:type="dxa"/>
            <w:tcBorders>
              <w:top w:val="nil"/>
              <w:left w:val="nil"/>
              <w:bottom w:val="single" w:color="auto" w:sz="4" w:space="0"/>
              <w:right w:val="single" w:color="auto" w:sz="4" w:space="0"/>
            </w:tcBorders>
            <w:noWrap/>
          </w:tcPr>
          <w:p w14:paraId="48626AD5">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m</w:t>
            </w:r>
          </w:p>
        </w:tc>
        <w:tc>
          <w:tcPr>
            <w:tcW w:w="969" w:type="dxa"/>
            <w:tcBorders>
              <w:top w:val="nil"/>
              <w:left w:val="nil"/>
              <w:bottom w:val="single" w:color="auto" w:sz="4" w:space="0"/>
              <w:right w:val="single" w:color="auto" w:sz="4" w:space="0"/>
            </w:tcBorders>
            <w:noWrap/>
          </w:tcPr>
          <w:p w14:paraId="26DB2F73">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6</w:t>
            </w:r>
          </w:p>
        </w:tc>
      </w:tr>
      <w:tr w14:paraId="273F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top w:val="single" w:color="auto" w:sz="4" w:space="0"/>
              <w:left w:val="single" w:color="auto" w:sz="4" w:space="0"/>
              <w:bottom w:val="single" w:color="auto" w:sz="4" w:space="0"/>
              <w:right w:val="single" w:color="auto" w:sz="4" w:space="0"/>
            </w:tcBorders>
            <w:noWrap/>
            <w:vAlign w:val="center"/>
          </w:tcPr>
          <w:p w14:paraId="10B9D34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156" w:type="dxa"/>
            <w:tcBorders>
              <w:top w:val="single" w:color="auto" w:sz="4" w:space="0"/>
              <w:left w:val="single" w:color="auto" w:sz="4" w:space="0"/>
              <w:bottom w:val="single" w:color="auto" w:sz="4" w:space="0"/>
              <w:right w:val="single" w:color="auto" w:sz="4" w:space="0"/>
            </w:tcBorders>
            <w:noWrap/>
          </w:tcPr>
          <w:p w14:paraId="258DA1A2">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tcBorders>
              <w:top w:val="single" w:color="auto" w:sz="4" w:space="0"/>
              <w:left w:val="single" w:color="auto" w:sz="4" w:space="0"/>
              <w:bottom w:val="single" w:color="auto" w:sz="4" w:space="0"/>
              <w:right w:val="single" w:color="auto" w:sz="4" w:space="0"/>
            </w:tcBorders>
            <w:noWrap/>
            <w:vAlign w:val="center"/>
          </w:tcPr>
          <w:p w14:paraId="32395FA4">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江苏华鹏：SCB13-1250/10</w:t>
            </w:r>
          </w:p>
        </w:tc>
        <w:tc>
          <w:tcPr>
            <w:tcW w:w="1056" w:type="dxa"/>
            <w:tcBorders>
              <w:top w:val="single" w:color="auto" w:sz="4" w:space="0"/>
              <w:left w:val="single" w:color="auto" w:sz="4" w:space="0"/>
              <w:bottom w:val="single" w:color="auto" w:sz="4" w:space="0"/>
              <w:right w:val="single" w:color="auto" w:sz="4" w:space="0"/>
            </w:tcBorders>
            <w:noWrap/>
          </w:tcPr>
          <w:p w14:paraId="720B675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single" w:color="auto" w:sz="4" w:space="0"/>
              <w:left w:val="single" w:color="auto" w:sz="4" w:space="0"/>
              <w:bottom w:val="single" w:color="auto" w:sz="4" w:space="0"/>
              <w:right w:val="single" w:color="auto" w:sz="4" w:space="0"/>
            </w:tcBorders>
            <w:noWrap/>
          </w:tcPr>
          <w:p w14:paraId="6C35EDA9">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868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top w:val="single" w:color="auto" w:sz="4" w:space="0"/>
              <w:bottom w:val="single" w:color="auto" w:sz="4" w:space="0"/>
            </w:tcBorders>
            <w:noWrap/>
            <w:vAlign w:val="center"/>
          </w:tcPr>
          <w:p w14:paraId="093BC19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3156" w:type="dxa"/>
            <w:tcBorders>
              <w:top w:val="single" w:color="auto" w:sz="4" w:space="0"/>
              <w:left w:val="single" w:color="auto" w:sz="4" w:space="0"/>
              <w:bottom w:val="single" w:color="auto" w:sz="4" w:space="0"/>
              <w:right w:val="single" w:color="auto" w:sz="4" w:space="0"/>
            </w:tcBorders>
            <w:noWrap/>
          </w:tcPr>
          <w:p w14:paraId="4D28E67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环网柜</w:t>
            </w:r>
          </w:p>
        </w:tc>
        <w:tc>
          <w:tcPr>
            <w:tcW w:w="8100" w:type="dxa"/>
            <w:tcBorders>
              <w:top w:val="single" w:color="auto" w:sz="4" w:space="0"/>
              <w:left w:val="nil"/>
              <w:bottom w:val="single" w:color="auto" w:sz="4" w:space="0"/>
              <w:right w:val="single" w:color="auto" w:sz="4" w:space="0"/>
            </w:tcBorders>
            <w:noWrap/>
          </w:tcPr>
          <w:p w14:paraId="4CA7EEC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嘉隆电气：Uniswitch</w:t>
            </w:r>
          </w:p>
        </w:tc>
        <w:tc>
          <w:tcPr>
            <w:tcW w:w="1056" w:type="dxa"/>
            <w:tcBorders>
              <w:top w:val="single" w:color="auto" w:sz="4" w:space="0"/>
              <w:left w:val="nil"/>
              <w:bottom w:val="single" w:color="auto" w:sz="4" w:space="0"/>
              <w:right w:val="single" w:color="auto" w:sz="4" w:space="0"/>
            </w:tcBorders>
            <w:noWrap/>
          </w:tcPr>
          <w:p w14:paraId="1F32642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single" w:color="auto" w:sz="4" w:space="0"/>
              <w:left w:val="nil"/>
              <w:bottom w:val="single" w:color="auto" w:sz="4" w:space="0"/>
              <w:right w:val="single" w:color="auto" w:sz="4" w:space="0"/>
            </w:tcBorders>
            <w:noWrap/>
          </w:tcPr>
          <w:p w14:paraId="7B36AA3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05200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bottom w:val="single" w:color="auto" w:sz="4" w:space="0"/>
            </w:tcBorders>
            <w:noWrap/>
            <w:vAlign w:val="center"/>
          </w:tcPr>
          <w:p w14:paraId="6B8A893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3156" w:type="dxa"/>
            <w:tcBorders>
              <w:top w:val="nil"/>
              <w:left w:val="single" w:color="auto" w:sz="4" w:space="0"/>
              <w:bottom w:val="single" w:color="auto" w:sz="4" w:space="0"/>
              <w:right w:val="single" w:color="auto" w:sz="4" w:space="0"/>
            </w:tcBorders>
            <w:noWrap/>
          </w:tcPr>
          <w:p w14:paraId="02A401DD">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母线槽</w:t>
            </w:r>
          </w:p>
        </w:tc>
        <w:tc>
          <w:tcPr>
            <w:tcW w:w="8100" w:type="dxa"/>
            <w:tcBorders>
              <w:top w:val="nil"/>
              <w:left w:val="nil"/>
              <w:bottom w:val="single" w:color="auto" w:sz="4" w:space="0"/>
              <w:right w:val="single" w:color="auto" w:sz="4" w:space="0"/>
            </w:tcBorders>
            <w:noWrap/>
          </w:tcPr>
          <w:p w14:paraId="4FB28F39">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镇江佳皓</w:t>
            </w:r>
          </w:p>
        </w:tc>
        <w:tc>
          <w:tcPr>
            <w:tcW w:w="1056" w:type="dxa"/>
            <w:tcBorders>
              <w:top w:val="nil"/>
              <w:left w:val="nil"/>
              <w:bottom w:val="single" w:color="auto" w:sz="4" w:space="0"/>
              <w:right w:val="single" w:color="auto" w:sz="4" w:space="0"/>
            </w:tcBorders>
            <w:noWrap/>
          </w:tcPr>
          <w:p w14:paraId="5EBE310B">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段</w:t>
            </w:r>
          </w:p>
        </w:tc>
        <w:tc>
          <w:tcPr>
            <w:tcW w:w="969" w:type="dxa"/>
            <w:tcBorders>
              <w:top w:val="nil"/>
              <w:left w:val="nil"/>
              <w:bottom w:val="single" w:color="auto" w:sz="4" w:space="0"/>
              <w:right w:val="single" w:color="auto" w:sz="4" w:space="0"/>
            </w:tcBorders>
            <w:noWrap/>
          </w:tcPr>
          <w:p w14:paraId="4788729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6</w:t>
            </w:r>
          </w:p>
        </w:tc>
      </w:tr>
      <w:tr w14:paraId="19AB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bottom w:val="single" w:color="auto" w:sz="4" w:space="0"/>
            </w:tcBorders>
            <w:noWrap/>
            <w:vAlign w:val="center"/>
          </w:tcPr>
          <w:p w14:paraId="7E718C5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3156" w:type="dxa"/>
            <w:tcBorders>
              <w:top w:val="nil"/>
              <w:left w:val="single" w:color="auto" w:sz="4" w:space="0"/>
              <w:bottom w:val="single" w:color="auto" w:sz="4" w:space="0"/>
              <w:right w:val="single" w:color="auto" w:sz="4" w:space="0"/>
            </w:tcBorders>
            <w:noWrap/>
          </w:tcPr>
          <w:p w14:paraId="323BFC33">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母线槽</w:t>
            </w:r>
          </w:p>
        </w:tc>
        <w:tc>
          <w:tcPr>
            <w:tcW w:w="8100" w:type="dxa"/>
            <w:tcBorders>
              <w:top w:val="nil"/>
              <w:left w:val="nil"/>
              <w:bottom w:val="single" w:color="auto" w:sz="4" w:space="0"/>
              <w:right w:val="single" w:color="auto" w:sz="4" w:space="0"/>
            </w:tcBorders>
            <w:noWrap/>
          </w:tcPr>
          <w:p w14:paraId="1F95EC7F">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镇江佳皓：3200A</w:t>
            </w:r>
          </w:p>
        </w:tc>
        <w:tc>
          <w:tcPr>
            <w:tcW w:w="1056" w:type="dxa"/>
            <w:tcBorders>
              <w:top w:val="nil"/>
              <w:left w:val="nil"/>
              <w:bottom w:val="single" w:color="auto" w:sz="4" w:space="0"/>
              <w:right w:val="single" w:color="auto" w:sz="4" w:space="0"/>
            </w:tcBorders>
            <w:noWrap/>
          </w:tcPr>
          <w:p w14:paraId="2E86838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tcPr>
          <w:p w14:paraId="37E1D8A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F91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bottom w:val="single" w:color="auto" w:sz="4" w:space="0"/>
            </w:tcBorders>
            <w:noWrap/>
            <w:vAlign w:val="center"/>
          </w:tcPr>
          <w:p w14:paraId="5E2654A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10</w:t>
            </w:r>
          </w:p>
        </w:tc>
        <w:tc>
          <w:tcPr>
            <w:tcW w:w="3156" w:type="dxa"/>
            <w:tcBorders>
              <w:top w:val="nil"/>
              <w:left w:val="single" w:color="auto" w:sz="4" w:space="0"/>
              <w:bottom w:val="single" w:color="auto" w:sz="4" w:space="0"/>
              <w:right w:val="single" w:color="auto" w:sz="4" w:space="0"/>
            </w:tcBorders>
            <w:noWrap/>
          </w:tcPr>
          <w:p w14:paraId="78FE0F34">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nil"/>
              <w:left w:val="nil"/>
              <w:bottom w:val="single" w:color="auto" w:sz="4" w:space="0"/>
              <w:right w:val="single" w:color="auto" w:sz="4" w:space="0"/>
            </w:tcBorders>
            <w:noWrap/>
          </w:tcPr>
          <w:p w14:paraId="14656444">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亚派电气：有源滤波柜</w:t>
            </w:r>
          </w:p>
        </w:tc>
        <w:tc>
          <w:tcPr>
            <w:tcW w:w="1056" w:type="dxa"/>
            <w:tcBorders>
              <w:top w:val="nil"/>
              <w:left w:val="nil"/>
              <w:bottom w:val="single" w:color="auto" w:sz="4" w:space="0"/>
              <w:right w:val="single" w:color="auto" w:sz="4" w:space="0"/>
            </w:tcBorders>
            <w:noWrap/>
          </w:tcPr>
          <w:p w14:paraId="798DBC3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tcPr>
          <w:p w14:paraId="403EF69F">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4FA5E5EC">
      <w:pPr>
        <w:spacing w:line="480" w:lineRule="auto"/>
        <w:jc w:val="center"/>
        <w:rPr>
          <w:rFonts w:hint="eastAsia" w:ascii="宋体" w:hAnsi="宋体" w:cs="宋体"/>
          <w:sz w:val="24"/>
          <w:szCs w:val="24"/>
          <w:highlight w:val="none"/>
        </w:rPr>
      </w:pPr>
    </w:p>
    <w:p w14:paraId="512B9B5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仙林校区材料学科楼10kV变电所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0187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2C73779">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7EAC1B6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69EFC3E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3870A57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4013425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20200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1577C5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tcBorders>
              <w:top w:val="single" w:color="auto" w:sz="4" w:space="0"/>
              <w:left w:val="single" w:color="auto" w:sz="4" w:space="0"/>
              <w:bottom w:val="single" w:color="auto" w:sz="4" w:space="0"/>
              <w:right w:val="single" w:color="auto" w:sz="4" w:space="0"/>
            </w:tcBorders>
            <w:noWrap/>
          </w:tcPr>
          <w:p w14:paraId="64352DE5">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中置柜</w:t>
            </w:r>
          </w:p>
        </w:tc>
        <w:tc>
          <w:tcPr>
            <w:tcW w:w="8100" w:type="dxa"/>
            <w:tcBorders>
              <w:top w:val="single" w:color="auto" w:sz="4" w:space="0"/>
              <w:left w:val="nil"/>
              <w:bottom w:val="single" w:color="auto" w:sz="4" w:space="0"/>
              <w:right w:val="single" w:color="auto" w:sz="4" w:space="0"/>
            </w:tcBorders>
            <w:noWrap/>
          </w:tcPr>
          <w:p w14:paraId="20FE281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ABB：630A</w:t>
            </w:r>
          </w:p>
        </w:tc>
        <w:tc>
          <w:tcPr>
            <w:tcW w:w="1056" w:type="dxa"/>
            <w:tcBorders>
              <w:top w:val="single" w:color="auto" w:sz="4" w:space="0"/>
              <w:left w:val="nil"/>
              <w:bottom w:val="single" w:color="auto" w:sz="4" w:space="0"/>
              <w:right w:val="single" w:color="auto" w:sz="4" w:space="0"/>
            </w:tcBorders>
            <w:noWrap/>
          </w:tcPr>
          <w:p w14:paraId="37D1BEF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single" w:color="auto" w:sz="4" w:space="0"/>
              <w:left w:val="nil"/>
              <w:bottom w:val="single" w:color="auto" w:sz="4" w:space="0"/>
              <w:right w:val="single" w:color="auto" w:sz="4" w:space="0"/>
            </w:tcBorders>
            <w:noWrap/>
          </w:tcPr>
          <w:p w14:paraId="246B15F0">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ADA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D5DDA0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tcBorders>
              <w:top w:val="nil"/>
              <w:left w:val="single" w:color="auto" w:sz="4" w:space="0"/>
              <w:bottom w:val="single" w:color="auto" w:sz="4" w:space="0"/>
              <w:right w:val="single" w:color="auto" w:sz="4" w:space="0"/>
            </w:tcBorders>
            <w:noWrap/>
          </w:tcPr>
          <w:p w14:paraId="3E476761">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中置柜</w:t>
            </w:r>
          </w:p>
        </w:tc>
        <w:tc>
          <w:tcPr>
            <w:tcW w:w="8100" w:type="dxa"/>
            <w:tcBorders>
              <w:top w:val="nil"/>
              <w:left w:val="nil"/>
              <w:bottom w:val="single" w:color="auto" w:sz="4" w:space="0"/>
              <w:right w:val="single" w:color="auto" w:sz="4" w:space="0"/>
            </w:tcBorders>
            <w:noWrap/>
          </w:tcPr>
          <w:p w14:paraId="5385ED0F">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ABB：630A</w:t>
            </w:r>
          </w:p>
        </w:tc>
        <w:tc>
          <w:tcPr>
            <w:tcW w:w="1056" w:type="dxa"/>
            <w:tcBorders>
              <w:top w:val="nil"/>
              <w:left w:val="nil"/>
              <w:bottom w:val="single" w:color="auto" w:sz="4" w:space="0"/>
              <w:right w:val="single" w:color="auto" w:sz="4" w:space="0"/>
            </w:tcBorders>
            <w:noWrap/>
          </w:tcPr>
          <w:p w14:paraId="14A1D59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tcPr>
          <w:p w14:paraId="449EAC2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3C485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7A2FB0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tcBorders>
              <w:top w:val="nil"/>
              <w:left w:val="single" w:color="auto" w:sz="4" w:space="0"/>
              <w:bottom w:val="single" w:color="auto" w:sz="4" w:space="0"/>
              <w:right w:val="single" w:color="auto" w:sz="4" w:space="0"/>
            </w:tcBorders>
            <w:noWrap/>
          </w:tcPr>
          <w:p w14:paraId="7D408EFB">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中置柜</w:t>
            </w:r>
          </w:p>
        </w:tc>
        <w:tc>
          <w:tcPr>
            <w:tcW w:w="8100" w:type="dxa"/>
            <w:tcBorders>
              <w:top w:val="nil"/>
              <w:left w:val="nil"/>
              <w:bottom w:val="single" w:color="auto" w:sz="4" w:space="0"/>
              <w:right w:val="single" w:color="auto" w:sz="4" w:space="0"/>
            </w:tcBorders>
            <w:noWrap/>
          </w:tcPr>
          <w:p w14:paraId="2E927739">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ABB：630A</w:t>
            </w:r>
          </w:p>
        </w:tc>
        <w:tc>
          <w:tcPr>
            <w:tcW w:w="1056" w:type="dxa"/>
            <w:tcBorders>
              <w:top w:val="nil"/>
              <w:left w:val="nil"/>
              <w:bottom w:val="single" w:color="auto" w:sz="4" w:space="0"/>
              <w:right w:val="single" w:color="auto" w:sz="4" w:space="0"/>
            </w:tcBorders>
            <w:noWrap/>
          </w:tcPr>
          <w:p w14:paraId="6345168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tcPr>
          <w:p w14:paraId="09DF3F7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65BE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9B44B7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tcBorders>
              <w:top w:val="nil"/>
              <w:left w:val="single" w:color="auto" w:sz="4" w:space="0"/>
              <w:bottom w:val="single" w:color="auto" w:sz="4" w:space="0"/>
              <w:right w:val="single" w:color="auto" w:sz="4" w:space="0"/>
            </w:tcBorders>
            <w:noWrap/>
          </w:tcPr>
          <w:p w14:paraId="6E0F0DD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tcBorders>
              <w:top w:val="nil"/>
              <w:left w:val="nil"/>
              <w:bottom w:val="single" w:color="auto" w:sz="4" w:space="0"/>
              <w:right w:val="single" w:color="auto" w:sz="4" w:space="0"/>
            </w:tcBorders>
            <w:noWrap/>
          </w:tcPr>
          <w:p w14:paraId="5DCFE193">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 xml:space="preserve">华鹏电气：1600KVA/10KV </w:t>
            </w:r>
          </w:p>
        </w:tc>
        <w:tc>
          <w:tcPr>
            <w:tcW w:w="1056" w:type="dxa"/>
            <w:tcBorders>
              <w:top w:val="nil"/>
              <w:left w:val="nil"/>
              <w:bottom w:val="single" w:color="auto" w:sz="4" w:space="0"/>
              <w:right w:val="single" w:color="auto" w:sz="4" w:space="0"/>
            </w:tcBorders>
            <w:noWrap/>
          </w:tcPr>
          <w:p w14:paraId="0438906F">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tcPr>
          <w:p w14:paraId="25993A23">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4C2B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521AEC8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tcBorders>
              <w:top w:val="nil"/>
              <w:left w:val="single" w:color="auto" w:sz="4" w:space="0"/>
              <w:bottom w:val="single" w:color="auto" w:sz="4" w:space="0"/>
              <w:right w:val="single" w:color="auto" w:sz="4" w:space="0"/>
            </w:tcBorders>
            <w:noWrap/>
          </w:tcPr>
          <w:p w14:paraId="27DEE0D1">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nil"/>
              <w:left w:val="nil"/>
              <w:bottom w:val="single" w:color="auto" w:sz="4" w:space="0"/>
              <w:right w:val="single" w:color="auto" w:sz="4" w:space="0"/>
            </w:tcBorders>
            <w:noWrap/>
          </w:tcPr>
          <w:p w14:paraId="613C981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嘉隆电气：MNS</w:t>
            </w:r>
          </w:p>
        </w:tc>
        <w:tc>
          <w:tcPr>
            <w:tcW w:w="1056" w:type="dxa"/>
            <w:tcBorders>
              <w:top w:val="nil"/>
              <w:left w:val="nil"/>
              <w:bottom w:val="single" w:color="auto" w:sz="4" w:space="0"/>
              <w:right w:val="single" w:color="auto" w:sz="4" w:space="0"/>
            </w:tcBorders>
            <w:noWrap/>
          </w:tcPr>
          <w:p w14:paraId="35E5D359">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tcPr>
          <w:p w14:paraId="36612390">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17</w:t>
            </w:r>
          </w:p>
        </w:tc>
      </w:tr>
      <w:tr w14:paraId="6F23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21E48AB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156" w:type="dxa"/>
            <w:tcBorders>
              <w:top w:val="nil"/>
              <w:left w:val="single" w:color="auto" w:sz="4" w:space="0"/>
              <w:bottom w:val="single" w:color="auto" w:sz="4" w:space="0"/>
              <w:right w:val="single" w:color="auto" w:sz="4" w:space="0"/>
            </w:tcBorders>
            <w:noWrap/>
          </w:tcPr>
          <w:p w14:paraId="230587F1">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nil"/>
              <w:left w:val="nil"/>
              <w:bottom w:val="single" w:color="auto" w:sz="4" w:space="0"/>
              <w:right w:val="single" w:color="auto" w:sz="4" w:space="0"/>
            </w:tcBorders>
            <w:noWrap/>
          </w:tcPr>
          <w:p w14:paraId="5ED82560">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蒂森克洛德：电容补偿柜</w:t>
            </w:r>
          </w:p>
        </w:tc>
        <w:tc>
          <w:tcPr>
            <w:tcW w:w="1056" w:type="dxa"/>
            <w:tcBorders>
              <w:top w:val="nil"/>
              <w:left w:val="nil"/>
              <w:bottom w:val="single" w:color="auto" w:sz="4" w:space="0"/>
              <w:right w:val="single" w:color="auto" w:sz="4" w:space="0"/>
            </w:tcBorders>
            <w:noWrap/>
          </w:tcPr>
          <w:p w14:paraId="04DF6A2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tcBorders>
              <w:top w:val="nil"/>
              <w:left w:val="nil"/>
              <w:bottom w:val="single" w:color="auto" w:sz="4" w:space="0"/>
              <w:right w:val="single" w:color="auto" w:sz="4" w:space="0"/>
            </w:tcBorders>
            <w:noWrap/>
          </w:tcPr>
          <w:p w14:paraId="6F7512BD">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D813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bottom w:val="single" w:color="auto" w:sz="4" w:space="0"/>
            </w:tcBorders>
            <w:noWrap/>
            <w:vAlign w:val="center"/>
          </w:tcPr>
          <w:p w14:paraId="18DD5A9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3156" w:type="dxa"/>
            <w:tcBorders>
              <w:top w:val="nil"/>
              <w:left w:val="single" w:color="auto" w:sz="4" w:space="0"/>
              <w:bottom w:val="single" w:color="auto" w:sz="4" w:space="0"/>
              <w:right w:val="single" w:color="auto" w:sz="4" w:space="0"/>
            </w:tcBorders>
            <w:noWrap/>
          </w:tcPr>
          <w:p w14:paraId="42DA8523">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母线槽</w:t>
            </w:r>
          </w:p>
        </w:tc>
        <w:tc>
          <w:tcPr>
            <w:tcW w:w="8100" w:type="dxa"/>
            <w:tcBorders>
              <w:top w:val="nil"/>
              <w:left w:val="nil"/>
              <w:bottom w:val="single" w:color="auto" w:sz="4" w:space="0"/>
              <w:right w:val="single" w:color="auto" w:sz="4" w:space="0"/>
            </w:tcBorders>
            <w:noWrap/>
          </w:tcPr>
          <w:p w14:paraId="406B0701">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镇江佳皓：3200A</w:t>
            </w:r>
          </w:p>
        </w:tc>
        <w:tc>
          <w:tcPr>
            <w:tcW w:w="1056" w:type="dxa"/>
            <w:tcBorders>
              <w:top w:val="nil"/>
              <w:left w:val="nil"/>
              <w:bottom w:val="single" w:color="auto" w:sz="4" w:space="0"/>
              <w:right w:val="single" w:color="auto" w:sz="4" w:space="0"/>
            </w:tcBorders>
            <w:noWrap/>
          </w:tcPr>
          <w:p w14:paraId="0AAEC052">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tcBorders>
              <w:top w:val="nil"/>
              <w:left w:val="nil"/>
              <w:bottom w:val="single" w:color="auto" w:sz="4" w:space="0"/>
              <w:right w:val="single" w:color="auto" w:sz="4" w:space="0"/>
            </w:tcBorders>
            <w:noWrap/>
          </w:tcPr>
          <w:p w14:paraId="3990084F">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68FB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top w:val="single" w:color="auto" w:sz="4" w:space="0"/>
              <w:left w:val="single" w:color="auto" w:sz="4" w:space="0"/>
              <w:bottom w:val="single" w:color="auto" w:sz="4" w:space="0"/>
              <w:right w:val="single" w:color="auto" w:sz="4" w:space="0"/>
            </w:tcBorders>
            <w:noWrap/>
            <w:vAlign w:val="center"/>
          </w:tcPr>
          <w:p w14:paraId="37CF684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3156" w:type="dxa"/>
            <w:tcBorders>
              <w:top w:val="single" w:color="auto" w:sz="4" w:space="0"/>
              <w:left w:val="single" w:color="auto" w:sz="4" w:space="0"/>
              <w:bottom w:val="single" w:color="auto" w:sz="4" w:space="0"/>
              <w:right w:val="single" w:color="auto" w:sz="4" w:space="0"/>
            </w:tcBorders>
            <w:noWrap/>
          </w:tcPr>
          <w:p w14:paraId="71ADE838">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后台系统</w:t>
            </w:r>
          </w:p>
        </w:tc>
        <w:tc>
          <w:tcPr>
            <w:tcW w:w="8100" w:type="dxa"/>
            <w:tcBorders>
              <w:top w:val="single" w:color="auto" w:sz="4" w:space="0"/>
              <w:left w:val="single" w:color="auto" w:sz="4" w:space="0"/>
              <w:bottom w:val="single" w:color="auto" w:sz="4" w:space="0"/>
              <w:right w:val="single" w:color="auto" w:sz="4" w:space="0"/>
            </w:tcBorders>
            <w:noWrap/>
          </w:tcPr>
          <w:p w14:paraId="278493E2">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珠海派诺</w:t>
            </w:r>
          </w:p>
        </w:tc>
        <w:tc>
          <w:tcPr>
            <w:tcW w:w="1056" w:type="dxa"/>
            <w:tcBorders>
              <w:top w:val="single" w:color="auto" w:sz="4" w:space="0"/>
              <w:left w:val="single" w:color="auto" w:sz="4" w:space="0"/>
              <w:bottom w:val="single" w:color="auto" w:sz="4" w:space="0"/>
              <w:right w:val="single" w:color="auto" w:sz="4" w:space="0"/>
            </w:tcBorders>
            <w:noWrap/>
          </w:tcPr>
          <w:p w14:paraId="35680F2E">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tcBorders>
              <w:top w:val="single" w:color="auto" w:sz="4" w:space="0"/>
              <w:left w:val="single" w:color="auto" w:sz="4" w:space="0"/>
              <w:bottom w:val="single" w:color="auto" w:sz="4" w:space="0"/>
              <w:right w:val="single" w:color="auto" w:sz="4" w:space="0"/>
            </w:tcBorders>
            <w:noWrap/>
          </w:tcPr>
          <w:p w14:paraId="2E3CCF42">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0132C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top w:val="single" w:color="auto" w:sz="4" w:space="0"/>
              <w:left w:val="single" w:color="auto" w:sz="4" w:space="0"/>
              <w:bottom w:val="single" w:color="auto" w:sz="4" w:space="0"/>
              <w:right w:val="single" w:color="auto" w:sz="4" w:space="0"/>
            </w:tcBorders>
            <w:noWrap/>
            <w:vAlign w:val="center"/>
          </w:tcPr>
          <w:p w14:paraId="6B46110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3156" w:type="dxa"/>
            <w:tcBorders>
              <w:top w:val="single" w:color="auto" w:sz="4" w:space="0"/>
              <w:left w:val="single" w:color="auto" w:sz="4" w:space="0"/>
              <w:bottom w:val="single" w:color="auto" w:sz="4" w:space="0"/>
              <w:right w:val="single" w:color="auto" w:sz="4" w:space="0"/>
            </w:tcBorders>
            <w:noWrap/>
          </w:tcPr>
          <w:p w14:paraId="52B9C6D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single" w:color="auto" w:sz="4" w:space="0"/>
              <w:left w:val="single" w:color="auto" w:sz="4" w:space="0"/>
              <w:bottom w:val="single" w:color="auto" w:sz="4" w:space="0"/>
              <w:right w:val="single" w:color="auto" w:sz="4" w:space="0"/>
            </w:tcBorders>
            <w:noWrap/>
          </w:tcPr>
          <w:p w14:paraId="7000584D">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蒂森克洛德：有源滤波柜</w:t>
            </w:r>
          </w:p>
        </w:tc>
        <w:tc>
          <w:tcPr>
            <w:tcW w:w="1056" w:type="dxa"/>
            <w:tcBorders>
              <w:top w:val="single" w:color="auto" w:sz="4" w:space="0"/>
              <w:left w:val="single" w:color="auto" w:sz="4" w:space="0"/>
              <w:bottom w:val="single" w:color="auto" w:sz="4" w:space="0"/>
              <w:right w:val="single" w:color="auto" w:sz="4" w:space="0"/>
            </w:tcBorders>
            <w:noWrap/>
          </w:tcPr>
          <w:p w14:paraId="30354B51">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single" w:color="auto" w:sz="4" w:space="0"/>
              <w:left w:val="single" w:color="auto" w:sz="4" w:space="0"/>
              <w:bottom w:val="single" w:color="auto" w:sz="4" w:space="0"/>
              <w:right w:val="single" w:color="auto" w:sz="4" w:space="0"/>
            </w:tcBorders>
            <w:noWrap/>
          </w:tcPr>
          <w:p w14:paraId="7165A05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4D9C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top w:val="single" w:color="auto" w:sz="4" w:space="0"/>
              <w:left w:val="single" w:color="auto" w:sz="4" w:space="0"/>
              <w:bottom w:val="single" w:color="auto" w:sz="4" w:space="0"/>
              <w:right w:val="single" w:color="auto" w:sz="4" w:space="0"/>
            </w:tcBorders>
            <w:noWrap/>
            <w:vAlign w:val="center"/>
          </w:tcPr>
          <w:p w14:paraId="12E51E1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10</w:t>
            </w:r>
          </w:p>
        </w:tc>
        <w:tc>
          <w:tcPr>
            <w:tcW w:w="3156" w:type="dxa"/>
            <w:tcBorders>
              <w:top w:val="single" w:color="auto" w:sz="4" w:space="0"/>
              <w:left w:val="single" w:color="auto" w:sz="4" w:space="0"/>
              <w:bottom w:val="single" w:color="auto" w:sz="4" w:space="0"/>
              <w:right w:val="single" w:color="auto" w:sz="4" w:space="0"/>
            </w:tcBorders>
            <w:noWrap/>
          </w:tcPr>
          <w:p w14:paraId="14BEB4F0">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直流屏</w:t>
            </w:r>
          </w:p>
        </w:tc>
        <w:tc>
          <w:tcPr>
            <w:tcW w:w="8100" w:type="dxa"/>
            <w:tcBorders>
              <w:top w:val="single" w:color="auto" w:sz="4" w:space="0"/>
              <w:left w:val="single" w:color="auto" w:sz="4" w:space="0"/>
              <w:bottom w:val="single" w:color="auto" w:sz="4" w:space="0"/>
              <w:right w:val="single" w:color="auto" w:sz="4" w:space="0"/>
            </w:tcBorders>
            <w:noWrap/>
          </w:tcPr>
          <w:p w14:paraId="48DD5F39">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深科博业：DC220V</w:t>
            </w:r>
          </w:p>
        </w:tc>
        <w:tc>
          <w:tcPr>
            <w:tcW w:w="1056" w:type="dxa"/>
            <w:tcBorders>
              <w:top w:val="single" w:color="auto" w:sz="4" w:space="0"/>
              <w:left w:val="single" w:color="auto" w:sz="4" w:space="0"/>
              <w:bottom w:val="single" w:color="auto" w:sz="4" w:space="0"/>
              <w:right w:val="single" w:color="auto" w:sz="4" w:space="0"/>
            </w:tcBorders>
            <w:noWrap/>
          </w:tcPr>
          <w:p w14:paraId="58831443">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single" w:color="auto" w:sz="4" w:space="0"/>
              <w:left w:val="single" w:color="auto" w:sz="4" w:space="0"/>
              <w:bottom w:val="single" w:color="auto" w:sz="4" w:space="0"/>
              <w:right w:val="single" w:color="auto" w:sz="4" w:space="0"/>
            </w:tcBorders>
            <w:noWrap/>
          </w:tcPr>
          <w:p w14:paraId="0F6A31E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1</w:t>
            </w:r>
          </w:p>
        </w:tc>
      </w:tr>
    </w:tbl>
    <w:p w14:paraId="083FEC26">
      <w:pPr>
        <w:spacing w:line="480" w:lineRule="auto"/>
        <w:jc w:val="center"/>
        <w:rPr>
          <w:rFonts w:hint="eastAsia" w:ascii="宋体" w:hAnsi="宋体" w:cs="宋体"/>
          <w:sz w:val="24"/>
          <w:szCs w:val="24"/>
          <w:highlight w:val="none"/>
        </w:rPr>
      </w:pPr>
    </w:p>
    <w:p w14:paraId="52C8EAC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仙林校区新体育馆10kV变电所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6535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60F2B61">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79780B4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7875BAF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36BB6C0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2FDCD7F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1BCA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5D909A2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tcBorders>
              <w:top w:val="single" w:color="auto" w:sz="4" w:space="0"/>
              <w:left w:val="single" w:color="auto" w:sz="4" w:space="0"/>
              <w:bottom w:val="single" w:color="auto" w:sz="4" w:space="0"/>
              <w:right w:val="single" w:color="auto" w:sz="4" w:space="0"/>
            </w:tcBorders>
            <w:noWrap/>
            <w:vAlign w:val="center"/>
          </w:tcPr>
          <w:p w14:paraId="0827C09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环网柜</w:t>
            </w:r>
          </w:p>
        </w:tc>
        <w:tc>
          <w:tcPr>
            <w:tcW w:w="8100" w:type="dxa"/>
            <w:tcBorders>
              <w:top w:val="single" w:color="auto" w:sz="4" w:space="0"/>
              <w:left w:val="nil"/>
              <w:bottom w:val="single" w:color="auto" w:sz="4" w:space="0"/>
              <w:right w:val="single" w:color="auto" w:sz="4" w:space="0"/>
            </w:tcBorders>
            <w:noWrap/>
            <w:vAlign w:val="center"/>
          </w:tcPr>
          <w:p w14:paraId="6274F7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ABB 630A</w:t>
            </w:r>
          </w:p>
        </w:tc>
        <w:tc>
          <w:tcPr>
            <w:tcW w:w="1056" w:type="dxa"/>
            <w:tcBorders>
              <w:top w:val="single" w:color="auto" w:sz="4" w:space="0"/>
              <w:left w:val="nil"/>
              <w:bottom w:val="single" w:color="auto" w:sz="4" w:space="0"/>
              <w:right w:val="single" w:color="auto" w:sz="4" w:space="0"/>
            </w:tcBorders>
            <w:noWrap/>
            <w:vAlign w:val="center"/>
          </w:tcPr>
          <w:p w14:paraId="3DC06A1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single" w:color="auto" w:sz="4" w:space="0"/>
              <w:left w:val="nil"/>
              <w:bottom w:val="single" w:color="auto" w:sz="4" w:space="0"/>
              <w:right w:val="single" w:color="auto" w:sz="4" w:space="0"/>
            </w:tcBorders>
            <w:noWrap/>
            <w:vAlign w:val="center"/>
          </w:tcPr>
          <w:p w14:paraId="276C260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50A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AD9B26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tcBorders>
              <w:top w:val="nil"/>
              <w:left w:val="single" w:color="auto" w:sz="4" w:space="0"/>
              <w:bottom w:val="single" w:color="auto" w:sz="4" w:space="0"/>
              <w:right w:val="single" w:color="auto" w:sz="4" w:space="0"/>
            </w:tcBorders>
            <w:noWrap/>
            <w:vAlign w:val="center"/>
          </w:tcPr>
          <w:p w14:paraId="61F4C0D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环网柜</w:t>
            </w:r>
          </w:p>
        </w:tc>
        <w:tc>
          <w:tcPr>
            <w:tcW w:w="8100" w:type="dxa"/>
            <w:tcBorders>
              <w:top w:val="nil"/>
              <w:left w:val="nil"/>
              <w:bottom w:val="single" w:color="auto" w:sz="4" w:space="0"/>
              <w:right w:val="single" w:color="auto" w:sz="4" w:space="0"/>
            </w:tcBorders>
            <w:noWrap/>
            <w:vAlign w:val="center"/>
          </w:tcPr>
          <w:p w14:paraId="742B789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ABB125A</w:t>
            </w:r>
          </w:p>
        </w:tc>
        <w:tc>
          <w:tcPr>
            <w:tcW w:w="1056" w:type="dxa"/>
            <w:tcBorders>
              <w:top w:val="nil"/>
              <w:left w:val="nil"/>
              <w:bottom w:val="single" w:color="auto" w:sz="4" w:space="0"/>
              <w:right w:val="single" w:color="auto" w:sz="4" w:space="0"/>
            </w:tcBorders>
            <w:noWrap/>
            <w:vAlign w:val="center"/>
          </w:tcPr>
          <w:p w14:paraId="0F1D7AC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vAlign w:val="center"/>
          </w:tcPr>
          <w:p w14:paraId="7997FC8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A5ED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2A4140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tcBorders>
              <w:top w:val="nil"/>
              <w:left w:val="single" w:color="auto" w:sz="4" w:space="0"/>
              <w:bottom w:val="single" w:color="auto" w:sz="4" w:space="0"/>
              <w:right w:val="single" w:color="auto" w:sz="4" w:space="0"/>
            </w:tcBorders>
            <w:noWrap/>
            <w:vAlign w:val="center"/>
          </w:tcPr>
          <w:p w14:paraId="3E4E378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nil"/>
              <w:left w:val="nil"/>
              <w:bottom w:val="single" w:color="auto" w:sz="4" w:space="0"/>
              <w:right w:val="single" w:color="auto" w:sz="4" w:space="0"/>
            </w:tcBorders>
            <w:noWrap/>
          </w:tcPr>
          <w:p w14:paraId="2F18B76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嘉隆电气：MNS</w:t>
            </w:r>
          </w:p>
        </w:tc>
        <w:tc>
          <w:tcPr>
            <w:tcW w:w="1056" w:type="dxa"/>
            <w:tcBorders>
              <w:top w:val="nil"/>
              <w:left w:val="nil"/>
              <w:bottom w:val="single" w:color="auto" w:sz="4" w:space="0"/>
              <w:right w:val="single" w:color="auto" w:sz="4" w:space="0"/>
            </w:tcBorders>
            <w:noWrap/>
            <w:vAlign w:val="center"/>
          </w:tcPr>
          <w:p w14:paraId="4634D47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vAlign w:val="center"/>
          </w:tcPr>
          <w:p w14:paraId="3799142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r>
      <w:tr w14:paraId="554AB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4CEA65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tcBorders>
              <w:top w:val="nil"/>
              <w:left w:val="single" w:color="auto" w:sz="4" w:space="0"/>
              <w:bottom w:val="single" w:color="auto" w:sz="4" w:space="0"/>
              <w:right w:val="single" w:color="auto" w:sz="4" w:space="0"/>
            </w:tcBorders>
            <w:noWrap/>
            <w:vAlign w:val="center"/>
          </w:tcPr>
          <w:p w14:paraId="63555D8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nil"/>
              <w:left w:val="nil"/>
              <w:bottom w:val="single" w:color="auto" w:sz="4" w:space="0"/>
              <w:right w:val="single" w:color="auto" w:sz="4" w:space="0"/>
            </w:tcBorders>
            <w:noWrap/>
            <w:vAlign w:val="center"/>
          </w:tcPr>
          <w:p w14:paraId="34E1E0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电容昂顿 270kVA</w:t>
            </w:r>
          </w:p>
        </w:tc>
        <w:tc>
          <w:tcPr>
            <w:tcW w:w="1056" w:type="dxa"/>
            <w:tcBorders>
              <w:top w:val="nil"/>
              <w:left w:val="nil"/>
              <w:bottom w:val="single" w:color="auto" w:sz="4" w:space="0"/>
              <w:right w:val="single" w:color="auto" w:sz="4" w:space="0"/>
            </w:tcBorders>
            <w:noWrap/>
            <w:vAlign w:val="center"/>
          </w:tcPr>
          <w:p w14:paraId="725E975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tcBorders>
              <w:top w:val="nil"/>
              <w:left w:val="nil"/>
              <w:bottom w:val="single" w:color="auto" w:sz="4" w:space="0"/>
              <w:right w:val="single" w:color="auto" w:sz="4" w:space="0"/>
            </w:tcBorders>
            <w:noWrap/>
            <w:vAlign w:val="center"/>
          </w:tcPr>
          <w:p w14:paraId="44D94FD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6D35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3A5A4E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tcBorders>
              <w:top w:val="nil"/>
              <w:left w:val="single" w:color="auto" w:sz="4" w:space="0"/>
              <w:bottom w:val="single" w:color="auto" w:sz="4" w:space="0"/>
              <w:right w:val="single" w:color="auto" w:sz="4" w:space="0"/>
            </w:tcBorders>
            <w:noWrap/>
            <w:vAlign w:val="center"/>
          </w:tcPr>
          <w:p w14:paraId="6DEDE95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低压柜</w:t>
            </w:r>
          </w:p>
        </w:tc>
        <w:tc>
          <w:tcPr>
            <w:tcW w:w="8100" w:type="dxa"/>
            <w:tcBorders>
              <w:top w:val="nil"/>
              <w:left w:val="nil"/>
              <w:bottom w:val="single" w:color="auto" w:sz="4" w:space="0"/>
              <w:right w:val="single" w:color="auto" w:sz="4" w:space="0"/>
            </w:tcBorders>
            <w:noWrap/>
            <w:vAlign w:val="center"/>
          </w:tcPr>
          <w:p w14:paraId="22912C7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有源昂顿 100A</w:t>
            </w:r>
          </w:p>
        </w:tc>
        <w:tc>
          <w:tcPr>
            <w:tcW w:w="1056" w:type="dxa"/>
            <w:tcBorders>
              <w:top w:val="nil"/>
              <w:left w:val="nil"/>
              <w:bottom w:val="single" w:color="auto" w:sz="4" w:space="0"/>
              <w:right w:val="single" w:color="auto" w:sz="4" w:space="0"/>
            </w:tcBorders>
            <w:noWrap/>
            <w:vAlign w:val="center"/>
          </w:tcPr>
          <w:p w14:paraId="2E90D9E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vAlign w:val="center"/>
          </w:tcPr>
          <w:p w14:paraId="245D010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00EB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4435D19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156" w:type="dxa"/>
            <w:tcBorders>
              <w:top w:val="nil"/>
              <w:left w:val="single" w:color="auto" w:sz="4" w:space="0"/>
              <w:bottom w:val="single" w:color="auto" w:sz="4" w:space="0"/>
              <w:right w:val="single" w:color="auto" w:sz="4" w:space="0"/>
            </w:tcBorders>
            <w:noWrap/>
            <w:vAlign w:val="center"/>
          </w:tcPr>
          <w:p w14:paraId="05CF2A0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tcBorders>
              <w:top w:val="nil"/>
              <w:left w:val="nil"/>
              <w:bottom w:val="single" w:color="auto" w:sz="4" w:space="0"/>
              <w:right w:val="single" w:color="auto" w:sz="4" w:space="0"/>
            </w:tcBorders>
            <w:noWrap/>
            <w:vAlign w:val="center"/>
          </w:tcPr>
          <w:p w14:paraId="2116D78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江苏华鹏  SCB13-800</w:t>
            </w:r>
          </w:p>
        </w:tc>
        <w:tc>
          <w:tcPr>
            <w:tcW w:w="1056" w:type="dxa"/>
            <w:tcBorders>
              <w:top w:val="nil"/>
              <w:left w:val="nil"/>
              <w:bottom w:val="single" w:color="auto" w:sz="4" w:space="0"/>
              <w:right w:val="single" w:color="auto" w:sz="4" w:space="0"/>
            </w:tcBorders>
            <w:noWrap/>
            <w:vAlign w:val="center"/>
          </w:tcPr>
          <w:p w14:paraId="3DAE787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tcBorders>
              <w:top w:val="nil"/>
              <w:left w:val="nil"/>
              <w:bottom w:val="single" w:color="auto" w:sz="4" w:space="0"/>
              <w:right w:val="single" w:color="auto" w:sz="4" w:space="0"/>
            </w:tcBorders>
            <w:noWrap/>
            <w:vAlign w:val="center"/>
          </w:tcPr>
          <w:p w14:paraId="0104788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B33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bottom w:val="single" w:color="auto" w:sz="4" w:space="0"/>
            </w:tcBorders>
            <w:noWrap/>
            <w:vAlign w:val="center"/>
          </w:tcPr>
          <w:p w14:paraId="5AB3035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3156" w:type="dxa"/>
            <w:tcBorders>
              <w:top w:val="nil"/>
              <w:left w:val="single" w:color="auto" w:sz="4" w:space="0"/>
              <w:bottom w:val="single" w:color="auto" w:sz="4" w:space="0"/>
              <w:right w:val="single" w:color="auto" w:sz="4" w:space="0"/>
            </w:tcBorders>
            <w:noWrap/>
          </w:tcPr>
          <w:p w14:paraId="300F4CB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母线槽</w:t>
            </w:r>
          </w:p>
        </w:tc>
        <w:tc>
          <w:tcPr>
            <w:tcW w:w="8100" w:type="dxa"/>
            <w:tcBorders>
              <w:top w:val="nil"/>
              <w:left w:val="nil"/>
              <w:bottom w:val="single" w:color="auto" w:sz="4" w:space="0"/>
              <w:right w:val="single" w:color="auto" w:sz="4" w:space="0"/>
            </w:tcBorders>
            <w:noWrap/>
            <w:vAlign w:val="center"/>
          </w:tcPr>
          <w:p w14:paraId="237828D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 xml:space="preserve"> 南京嘉隆</w:t>
            </w:r>
          </w:p>
        </w:tc>
        <w:tc>
          <w:tcPr>
            <w:tcW w:w="1056" w:type="dxa"/>
            <w:tcBorders>
              <w:top w:val="nil"/>
              <w:left w:val="nil"/>
              <w:bottom w:val="single" w:color="auto" w:sz="4" w:space="0"/>
              <w:right w:val="single" w:color="auto" w:sz="4" w:space="0"/>
            </w:tcBorders>
            <w:noWrap/>
            <w:vAlign w:val="center"/>
          </w:tcPr>
          <w:p w14:paraId="32EECF6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米</w:t>
            </w:r>
          </w:p>
        </w:tc>
        <w:tc>
          <w:tcPr>
            <w:tcW w:w="969" w:type="dxa"/>
            <w:tcBorders>
              <w:top w:val="nil"/>
              <w:left w:val="nil"/>
              <w:bottom w:val="single" w:color="auto" w:sz="4" w:space="0"/>
              <w:right w:val="single" w:color="auto" w:sz="4" w:space="0"/>
            </w:tcBorders>
            <w:noWrap/>
            <w:vAlign w:val="center"/>
          </w:tcPr>
          <w:p w14:paraId="7ED6909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5.3</w:t>
            </w:r>
          </w:p>
        </w:tc>
      </w:tr>
      <w:tr w14:paraId="7C3A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tcBorders>
              <w:top w:val="single" w:color="auto" w:sz="4" w:space="0"/>
              <w:left w:val="single" w:color="auto" w:sz="4" w:space="0"/>
              <w:bottom w:val="single" w:color="auto" w:sz="4" w:space="0"/>
              <w:right w:val="single" w:color="auto" w:sz="4" w:space="0"/>
            </w:tcBorders>
            <w:noWrap/>
            <w:vAlign w:val="center"/>
          </w:tcPr>
          <w:p w14:paraId="07A9C8B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3156" w:type="dxa"/>
            <w:tcBorders>
              <w:top w:val="nil"/>
              <w:left w:val="single" w:color="auto" w:sz="4" w:space="0"/>
              <w:bottom w:val="single" w:color="auto" w:sz="4" w:space="0"/>
              <w:right w:val="single" w:color="auto" w:sz="4" w:space="0"/>
            </w:tcBorders>
            <w:noWrap/>
          </w:tcPr>
          <w:p w14:paraId="17E645F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后台系统</w:t>
            </w:r>
          </w:p>
        </w:tc>
        <w:tc>
          <w:tcPr>
            <w:tcW w:w="8100" w:type="dxa"/>
            <w:tcBorders>
              <w:top w:val="nil"/>
              <w:left w:val="nil"/>
              <w:bottom w:val="single" w:color="auto" w:sz="4" w:space="0"/>
              <w:right w:val="single" w:color="auto" w:sz="4" w:space="0"/>
            </w:tcBorders>
            <w:noWrap/>
            <w:vAlign w:val="center"/>
          </w:tcPr>
          <w:p w14:paraId="6177C40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 xml:space="preserve">珠海派诺 </w:t>
            </w:r>
          </w:p>
        </w:tc>
        <w:tc>
          <w:tcPr>
            <w:tcW w:w="1056" w:type="dxa"/>
            <w:tcBorders>
              <w:top w:val="nil"/>
              <w:left w:val="nil"/>
              <w:bottom w:val="single" w:color="auto" w:sz="4" w:space="0"/>
              <w:right w:val="single" w:color="auto" w:sz="4" w:space="0"/>
            </w:tcBorders>
            <w:noWrap/>
            <w:vAlign w:val="center"/>
          </w:tcPr>
          <w:p w14:paraId="5B02CDE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tcBorders>
              <w:top w:val="nil"/>
              <w:left w:val="nil"/>
              <w:bottom w:val="single" w:color="auto" w:sz="4" w:space="0"/>
              <w:right w:val="single" w:color="auto" w:sz="4" w:space="0"/>
            </w:tcBorders>
            <w:noWrap/>
            <w:vAlign w:val="center"/>
          </w:tcPr>
          <w:p w14:paraId="4F0F0AB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bl>
    <w:p w14:paraId="7F6BD0BB">
      <w:pPr>
        <w:spacing w:line="480" w:lineRule="auto"/>
        <w:jc w:val="center"/>
        <w:rPr>
          <w:rFonts w:hint="eastAsia" w:ascii="宋体" w:hAnsi="宋体" w:cs="宋体"/>
          <w:sz w:val="24"/>
          <w:szCs w:val="24"/>
          <w:highlight w:val="none"/>
        </w:rPr>
      </w:pPr>
    </w:p>
    <w:p w14:paraId="4B713C4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青年教师公寓10kV箱式变电所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7D2FD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F51BC3C">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3385A2B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341005C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1FD7345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3D9220F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0029D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D85B0C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2202177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一期箱变</w:t>
            </w:r>
          </w:p>
        </w:tc>
        <w:tc>
          <w:tcPr>
            <w:tcW w:w="8100" w:type="dxa"/>
            <w:noWrap/>
            <w:vAlign w:val="center"/>
          </w:tcPr>
          <w:p w14:paraId="1AFDE36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630kVA</w:t>
            </w:r>
          </w:p>
        </w:tc>
        <w:tc>
          <w:tcPr>
            <w:tcW w:w="1056" w:type="dxa"/>
            <w:noWrap/>
            <w:vAlign w:val="center"/>
          </w:tcPr>
          <w:p w14:paraId="6E5DD57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组</w:t>
            </w:r>
          </w:p>
        </w:tc>
        <w:tc>
          <w:tcPr>
            <w:tcW w:w="969" w:type="dxa"/>
            <w:noWrap/>
            <w:vAlign w:val="center"/>
          </w:tcPr>
          <w:p w14:paraId="41058CD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5CC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876E13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1E7F001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二期箱变</w:t>
            </w:r>
          </w:p>
        </w:tc>
        <w:tc>
          <w:tcPr>
            <w:tcW w:w="8100" w:type="dxa"/>
            <w:noWrap/>
            <w:vAlign w:val="center"/>
          </w:tcPr>
          <w:p w14:paraId="16D6F72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400kVA</w:t>
            </w:r>
          </w:p>
        </w:tc>
        <w:tc>
          <w:tcPr>
            <w:tcW w:w="1056" w:type="dxa"/>
            <w:noWrap/>
            <w:vAlign w:val="center"/>
          </w:tcPr>
          <w:p w14:paraId="7DE8056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组</w:t>
            </w:r>
          </w:p>
        </w:tc>
        <w:tc>
          <w:tcPr>
            <w:tcW w:w="969" w:type="dxa"/>
            <w:noWrap/>
            <w:vAlign w:val="center"/>
          </w:tcPr>
          <w:p w14:paraId="47FFD1D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619279CA">
      <w:pPr>
        <w:spacing w:line="480" w:lineRule="auto"/>
        <w:jc w:val="center"/>
        <w:rPr>
          <w:rFonts w:hint="eastAsia" w:ascii="宋体" w:hAnsi="宋体" w:cs="宋体"/>
          <w:sz w:val="24"/>
          <w:szCs w:val="24"/>
          <w:highlight w:val="none"/>
        </w:rPr>
      </w:pPr>
    </w:p>
    <w:p w14:paraId="26A063A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三牌楼校区10kV开闭所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6229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3C6B664">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6FBE330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52DA8D7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1ED7CD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512566E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4F0EC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73574B2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0EB5559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直流系统</w:t>
            </w:r>
          </w:p>
        </w:tc>
        <w:tc>
          <w:tcPr>
            <w:tcW w:w="8100" w:type="dxa"/>
            <w:noWrap/>
            <w:vAlign w:val="center"/>
          </w:tcPr>
          <w:p w14:paraId="47B5085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直流屏：DC220伏40AH（直流充电馈线屏1面、电池屏一面）</w:t>
            </w:r>
          </w:p>
        </w:tc>
        <w:tc>
          <w:tcPr>
            <w:tcW w:w="1056" w:type="dxa"/>
            <w:noWrap/>
            <w:vAlign w:val="center"/>
          </w:tcPr>
          <w:p w14:paraId="402062E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noWrap/>
            <w:vAlign w:val="center"/>
          </w:tcPr>
          <w:p w14:paraId="49EF535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58BE1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30DA2F8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11F7CC6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高压开关柜</w:t>
            </w:r>
          </w:p>
        </w:tc>
        <w:tc>
          <w:tcPr>
            <w:tcW w:w="8100" w:type="dxa"/>
            <w:noWrap/>
            <w:vAlign w:val="center"/>
          </w:tcPr>
          <w:p w14:paraId="0313268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长江电器：KYN28-12</w:t>
            </w:r>
          </w:p>
        </w:tc>
        <w:tc>
          <w:tcPr>
            <w:tcW w:w="1056" w:type="dxa"/>
            <w:noWrap/>
            <w:vAlign w:val="center"/>
          </w:tcPr>
          <w:p w14:paraId="26C8C20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E793B0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14</w:t>
            </w:r>
          </w:p>
        </w:tc>
      </w:tr>
      <w:tr w14:paraId="5D31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A29D81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368CA79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断路器</w:t>
            </w:r>
          </w:p>
        </w:tc>
        <w:tc>
          <w:tcPr>
            <w:tcW w:w="8100" w:type="dxa"/>
            <w:noWrap/>
            <w:vAlign w:val="center"/>
          </w:tcPr>
          <w:p w14:paraId="30080D9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ABB公司:12kV</w:t>
            </w:r>
          </w:p>
        </w:tc>
        <w:tc>
          <w:tcPr>
            <w:tcW w:w="1056" w:type="dxa"/>
            <w:noWrap/>
            <w:vAlign w:val="center"/>
          </w:tcPr>
          <w:p w14:paraId="01B318D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6B69203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r>
      <w:tr w14:paraId="4ABE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21BBA8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59BE39F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避雷器</w:t>
            </w:r>
          </w:p>
        </w:tc>
        <w:tc>
          <w:tcPr>
            <w:tcW w:w="8100" w:type="dxa"/>
            <w:noWrap/>
            <w:vAlign w:val="center"/>
          </w:tcPr>
          <w:p w14:paraId="23ED0EA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氧化锌</w:t>
            </w:r>
          </w:p>
        </w:tc>
        <w:tc>
          <w:tcPr>
            <w:tcW w:w="1056" w:type="dxa"/>
            <w:noWrap/>
            <w:vAlign w:val="center"/>
          </w:tcPr>
          <w:p w14:paraId="08230E7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只</w:t>
            </w:r>
          </w:p>
        </w:tc>
        <w:tc>
          <w:tcPr>
            <w:tcW w:w="969" w:type="dxa"/>
            <w:noWrap/>
            <w:vAlign w:val="center"/>
          </w:tcPr>
          <w:p w14:paraId="02B4659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30</w:t>
            </w:r>
          </w:p>
        </w:tc>
      </w:tr>
      <w:tr w14:paraId="2B16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2" w:type="dxa"/>
            <w:noWrap/>
            <w:vAlign w:val="center"/>
          </w:tcPr>
          <w:p w14:paraId="36D2DE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64BC445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保护装置</w:t>
            </w:r>
          </w:p>
        </w:tc>
        <w:tc>
          <w:tcPr>
            <w:tcW w:w="8100" w:type="dxa"/>
            <w:noWrap/>
            <w:vAlign w:val="center"/>
          </w:tcPr>
          <w:p w14:paraId="373CCF0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ABB：SPAJ140C系列</w:t>
            </w:r>
          </w:p>
        </w:tc>
        <w:tc>
          <w:tcPr>
            <w:tcW w:w="1056" w:type="dxa"/>
            <w:noWrap/>
            <w:vAlign w:val="center"/>
          </w:tcPr>
          <w:p w14:paraId="78D66FE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08C573A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r>
      <w:tr w14:paraId="55459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34A723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156" w:type="dxa"/>
            <w:noWrap/>
            <w:vAlign w:val="center"/>
          </w:tcPr>
          <w:p w14:paraId="68CB085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高压电缆</w:t>
            </w:r>
          </w:p>
        </w:tc>
        <w:tc>
          <w:tcPr>
            <w:tcW w:w="8100" w:type="dxa"/>
            <w:noWrap/>
            <w:vAlign w:val="center"/>
          </w:tcPr>
          <w:p w14:paraId="6C54646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10kV</w:t>
            </w:r>
          </w:p>
        </w:tc>
        <w:tc>
          <w:tcPr>
            <w:tcW w:w="1056" w:type="dxa"/>
            <w:noWrap/>
            <w:vAlign w:val="center"/>
          </w:tcPr>
          <w:p w14:paraId="492148D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条</w:t>
            </w:r>
          </w:p>
        </w:tc>
        <w:tc>
          <w:tcPr>
            <w:tcW w:w="969" w:type="dxa"/>
            <w:noWrap/>
            <w:vAlign w:val="center"/>
          </w:tcPr>
          <w:p w14:paraId="0ADD205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r>
    </w:tbl>
    <w:p w14:paraId="46E40F15">
      <w:pPr>
        <w:spacing w:line="480" w:lineRule="auto"/>
        <w:jc w:val="center"/>
        <w:rPr>
          <w:rFonts w:hint="eastAsia" w:ascii="宋体" w:hAnsi="宋体" w:cs="宋体"/>
          <w:sz w:val="24"/>
          <w:szCs w:val="24"/>
          <w:highlight w:val="none"/>
        </w:rPr>
      </w:pPr>
    </w:p>
    <w:p w14:paraId="02DC7A4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三牌楼校区10kV图科楼变电所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1107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8" w:hRule="atLeast"/>
        </w:trPr>
        <w:tc>
          <w:tcPr>
            <w:tcW w:w="822" w:type="dxa"/>
            <w:noWrap/>
            <w:vAlign w:val="center"/>
          </w:tcPr>
          <w:p w14:paraId="64A29A2B">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2E6F2F3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3225E32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078068F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778D87D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1A6F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7E7F456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28689B4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直流系统</w:t>
            </w:r>
          </w:p>
        </w:tc>
        <w:tc>
          <w:tcPr>
            <w:tcW w:w="8100" w:type="dxa"/>
            <w:noWrap/>
            <w:vAlign w:val="center"/>
          </w:tcPr>
          <w:p w14:paraId="4FC7AA5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220V</w:t>
            </w:r>
          </w:p>
        </w:tc>
        <w:tc>
          <w:tcPr>
            <w:tcW w:w="1056" w:type="dxa"/>
            <w:noWrap/>
            <w:vAlign w:val="center"/>
          </w:tcPr>
          <w:p w14:paraId="082EE2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套</w:t>
            </w:r>
          </w:p>
        </w:tc>
        <w:tc>
          <w:tcPr>
            <w:tcW w:w="969" w:type="dxa"/>
            <w:noWrap/>
            <w:vAlign w:val="center"/>
          </w:tcPr>
          <w:p w14:paraId="12C2A74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5E1C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26E681D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0195168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高压开关柜</w:t>
            </w:r>
          </w:p>
        </w:tc>
        <w:tc>
          <w:tcPr>
            <w:tcW w:w="8100" w:type="dxa"/>
            <w:noWrap/>
            <w:vAlign w:val="center"/>
          </w:tcPr>
          <w:p w14:paraId="4FC46A2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南京汇沪</w:t>
            </w:r>
          </w:p>
        </w:tc>
        <w:tc>
          <w:tcPr>
            <w:tcW w:w="1056" w:type="dxa"/>
            <w:noWrap/>
            <w:vAlign w:val="center"/>
          </w:tcPr>
          <w:p w14:paraId="25351FA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47F033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A1A6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9DACD1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7D3698A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断路器</w:t>
            </w:r>
          </w:p>
        </w:tc>
        <w:tc>
          <w:tcPr>
            <w:tcW w:w="8100" w:type="dxa"/>
            <w:noWrap/>
            <w:vAlign w:val="center"/>
          </w:tcPr>
          <w:p w14:paraId="377376C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ABB VD4/Z</w:t>
            </w:r>
          </w:p>
        </w:tc>
        <w:tc>
          <w:tcPr>
            <w:tcW w:w="1056" w:type="dxa"/>
            <w:noWrap/>
            <w:vAlign w:val="center"/>
          </w:tcPr>
          <w:p w14:paraId="07AF72D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3D5F3DB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BC8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B5C0F2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3AC5EE6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避雷器</w:t>
            </w:r>
          </w:p>
        </w:tc>
        <w:tc>
          <w:tcPr>
            <w:tcW w:w="8100" w:type="dxa"/>
            <w:noWrap/>
            <w:vAlign w:val="center"/>
          </w:tcPr>
          <w:p w14:paraId="3B81AB0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氧化锌避雷器</w:t>
            </w:r>
          </w:p>
        </w:tc>
        <w:tc>
          <w:tcPr>
            <w:tcW w:w="1056" w:type="dxa"/>
            <w:noWrap/>
            <w:vAlign w:val="center"/>
          </w:tcPr>
          <w:p w14:paraId="0D7E8F0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只</w:t>
            </w:r>
          </w:p>
        </w:tc>
        <w:tc>
          <w:tcPr>
            <w:tcW w:w="969" w:type="dxa"/>
            <w:noWrap/>
            <w:vAlign w:val="center"/>
          </w:tcPr>
          <w:p w14:paraId="6950A72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r>
      <w:tr w14:paraId="1E76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2" w:type="dxa"/>
            <w:noWrap/>
            <w:vAlign w:val="center"/>
          </w:tcPr>
          <w:p w14:paraId="2AADCBD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79E8FCB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保护装置</w:t>
            </w:r>
          </w:p>
        </w:tc>
        <w:tc>
          <w:tcPr>
            <w:tcW w:w="8100" w:type="dxa"/>
            <w:noWrap/>
            <w:vAlign w:val="center"/>
          </w:tcPr>
          <w:p w14:paraId="1F0C905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微机保护测控装置</w:t>
            </w:r>
          </w:p>
        </w:tc>
        <w:tc>
          <w:tcPr>
            <w:tcW w:w="1056" w:type="dxa"/>
            <w:noWrap/>
            <w:vAlign w:val="center"/>
          </w:tcPr>
          <w:p w14:paraId="7665593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1CAD9D7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7F360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275F518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3156" w:type="dxa"/>
            <w:noWrap/>
            <w:vAlign w:val="center"/>
          </w:tcPr>
          <w:p w14:paraId="19FC264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高压电缆</w:t>
            </w:r>
          </w:p>
        </w:tc>
        <w:tc>
          <w:tcPr>
            <w:tcW w:w="8100" w:type="dxa"/>
            <w:noWrap/>
            <w:vAlign w:val="center"/>
          </w:tcPr>
          <w:p w14:paraId="093B5C1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YJV22-8.7/10kV-3*150</w:t>
            </w:r>
          </w:p>
        </w:tc>
        <w:tc>
          <w:tcPr>
            <w:tcW w:w="1056" w:type="dxa"/>
            <w:noWrap/>
            <w:vAlign w:val="center"/>
          </w:tcPr>
          <w:p w14:paraId="2480933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条</w:t>
            </w:r>
          </w:p>
        </w:tc>
        <w:tc>
          <w:tcPr>
            <w:tcW w:w="969" w:type="dxa"/>
            <w:noWrap/>
            <w:vAlign w:val="center"/>
          </w:tcPr>
          <w:p w14:paraId="02A288B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0BAF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99F0AB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3156" w:type="dxa"/>
            <w:noWrap/>
            <w:vAlign w:val="center"/>
          </w:tcPr>
          <w:p w14:paraId="60CF66A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60AB083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施耐德总开和出线开关</w:t>
            </w:r>
          </w:p>
        </w:tc>
        <w:tc>
          <w:tcPr>
            <w:tcW w:w="1056" w:type="dxa"/>
            <w:noWrap/>
            <w:vAlign w:val="center"/>
          </w:tcPr>
          <w:p w14:paraId="463A400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7A66687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18</w:t>
            </w:r>
          </w:p>
        </w:tc>
      </w:tr>
      <w:tr w14:paraId="4CD1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D2E7B8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3156" w:type="dxa"/>
            <w:noWrap/>
            <w:vAlign w:val="center"/>
          </w:tcPr>
          <w:p w14:paraId="226C056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0525114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两套有源滤波加混合动态消谐补充装置</w:t>
            </w:r>
          </w:p>
        </w:tc>
        <w:tc>
          <w:tcPr>
            <w:tcW w:w="1056" w:type="dxa"/>
            <w:noWrap/>
            <w:vAlign w:val="center"/>
          </w:tcPr>
          <w:p w14:paraId="19C2B94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C8EE06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r>
      <w:tr w14:paraId="048B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7C8568E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3156" w:type="dxa"/>
            <w:noWrap/>
            <w:vAlign w:val="center"/>
          </w:tcPr>
          <w:p w14:paraId="5A15BE8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38604B0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SCB10-1600/10</w:t>
            </w:r>
          </w:p>
        </w:tc>
        <w:tc>
          <w:tcPr>
            <w:tcW w:w="1056" w:type="dxa"/>
            <w:noWrap/>
            <w:vAlign w:val="center"/>
          </w:tcPr>
          <w:p w14:paraId="3715705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1DE25FC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1FE8CF29">
      <w:pPr>
        <w:spacing w:line="480" w:lineRule="auto"/>
        <w:jc w:val="center"/>
        <w:rPr>
          <w:rFonts w:hint="eastAsia" w:ascii="宋体" w:hAnsi="宋体" w:cs="宋体"/>
          <w:sz w:val="24"/>
          <w:szCs w:val="24"/>
          <w:highlight w:val="none"/>
        </w:rPr>
      </w:pPr>
    </w:p>
    <w:p w14:paraId="5B27049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三牌楼校区宾馆驿园10kV变电所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4E4A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2C5A916">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0CBB285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7C93A12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1243D3F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3584BCE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3D4C8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67EA165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15F5FC8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6F6C51D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苏中开关厂：10kV</w:t>
            </w:r>
          </w:p>
        </w:tc>
        <w:tc>
          <w:tcPr>
            <w:tcW w:w="1056" w:type="dxa"/>
            <w:noWrap/>
            <w:vAlign w:val="center"/>
          </w:tcPr>
          <w:p w14:paraId="2BDF73B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D93A30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99F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4A4D829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7139FE7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5FEB336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苏中开关厂：10kV</w:t>
            </w:r>
          </w:p>
        </w:tc>
        <w:tc>
          <w:tcPr>
            <w:tcW w:w="1056" w:type="dxa"/>
            <w:noWrap/>
            <w:vAlign w:val="center"/>
          </w:tcPr>
          <w:p w14:paraId="067C1F1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D73C6A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7CCCE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428DAA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28D982B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0862BF2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靖江开关厂：GCL-0.4</w:t>
            </w:r>
          </w:p>
        </w:tc>
        <w:tc>
          <w:tcPr>
            <w:tcW w:w="1056" w:type="dxa"/>
            <w:noWrap/>
            <w:vAlign w:val="center"/>
          </w:tcPr>
          <w:p w14:paraId="25FF1E3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4670343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r>
      <w:tr w14:paraId="5DD1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1885436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2AA9FC1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5135A00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靖江开关厂：GCL-0.4</w:t>
            </w:r>
          </w:p>
        </w:tc>
        <w:tc>
          <w:tcPr>
            <w:tcW w:w="1056" w:type="dxa"/>
            <w:noWrap/>
            <w:vAlign w:val="center"/>
          </w:tcPr>
          <w:p w14:paraId="6F9E66E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6A221D1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r w14:paraId="53F34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504F89B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262EC5D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4D22157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630kVA</w:t>
            </w:r>
          </w:p>
        </w:tc>
        <w:tc>
          <w:tcPr>
            <w:tcW w:w="1056" w:type="dxa"/>
            <w:noWrap/>
            <w:vAlign w:val="center"/>
          </w:tcPr>
          <w:p w14:paraId="0A6BE66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5C6843E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r>
    </w:tbl>
    <w:p w14:paraId="1AF5C304">
      <w:pPr>
        <w:spacing w:line="480" w:lineRule="auto"/>
        <w:jc w:val="center"/>
        <w:rPr>
          <w:rFonts w:hint="eastAsia" w:ascii="宋体" w:hAnsi="宋体" w:cs="宋体"/>
          <w:sz w:val="24"/>
          <w:szCs w:val="24"/>
          <w:highlight w:val="none"/>
        </w:rPr>
      </w:pPr>
    </w:p>
    <w:p w14:paraId="69131F8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三牌楼校区科研楼10kV变电所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5E55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42ACCCD0">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53BD2AF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2B4EEDE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3EA27BA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457E8D4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3A7C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790F4EC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56E03E7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高压负荷开关柜</w:t>
            </w:r>
          </w:p>
        </w:tc>
        <w:tc>
          <w:tcPr>
            <w:tcW w:w="8100" w:type="dxa"/>
            <w:noWrap/>
            <w:vAlign w:val="center"/>
          </w:tcPr>
          <w:p w14:paraId="1F67472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3B7F614E">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3DF0409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5A54A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0F331B4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747739D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变压器柜</w:t>
            </w:r>
          </w:p>
        </w:tc>
        <w:tc>
          <w:tcPr>
            <w:tcW w:w="8100" w:type="dxa"/>
            <w:noWrap/>
            <w:vAlign w:val="center"/>
          </w:tcPr>
          <w:p w14:paraId="3E2DA7F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长江电器：10kV</w:t>
            </w:r>
          </w:p>
        </w:tc>
        <w:tc>
          <w:tcPr>
            <w:tcW w:w="1056" w:type="dxa"/>
            <w:noWrap/>
            <w:vAlign w:val="center"/>
          </w:tcPr>
          <w:p w14:paraId="62F1456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D093A6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179F1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77E3FD1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1A8487A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37DB2E5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镇江默勒：ID</w:t>
            </w:r>
          </w:p>
        </w:tc>
        <w:tc>
          <w:tcPr>
            <w:tcW w:w="1056" w:type="dxa"/>
            <w:noWrap/>
            <w:vAlign w:val="center"/>
          </w:tcPr>
          <w:p w14:paraId="400C7C0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413CF10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w:t>
            </w:r>
          </w:p>
        </w:tc>
      </w:tr>
      <w:tr w14:paraId="781F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30B649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0A173CC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4BA27BFF">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昌盛电气：SVS</w:t>
            </w:r>
          </w:p>
        </w:tc>
        <w:tc>
          <w:tcPr>
            <w:tcW w:w="1056" w:type="dxa"/>
            <w:noWrap/>
            <w:vAlign w:val="center"/>
          </w:tcPr>
          <w:p w14:paraId="54175E5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7BBDC51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3FCB0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4BA59EF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59FAAB3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3D7280F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1250kVA</w:t>
            </w:r>
          </w:p>
        </w:tc>
        <w:tc>
          <w:tcPr>
            <w:tcW w:w="1056" w:type="dxa"/>
            <w:noWrap/>
            <w:vAlign w:val="center"/>
          </w:tcPr>
          <w:p w14:paraId="02B928B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1BE7314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5E8C9FE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锁金村校区10kV变电所</w:t>
      </w:r>
    </w:p>
    <w:tbl>
      <w:tblPr>
        <w:tblStyle w:val="43"/>
        <w:tblpPr w:leftFromText="180" w:rightFromText="180" w:vertAnchor="text" w:horzAnchor="margin" w:tblpXSpec="center"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3156"/>
        <w:gridCol w:w="8100"/>
        <w:gridCol w:w="1056"/>
        <w:gridCol w:w="969"/>
      </w:tblGrid>
      <w:tr w14:paraId="1AD4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A63517A">
            <w:pPr>
              <w:spacing w:line="480" w:lineRule="auto"/>
              <w:ind w:left="-2285" w:leftChars="-1088" w:firstLine="1958" w:firstLineChars="816"/>
              <w:jc w:val="center"/>
              <w:rPr>
                <w:rFonts w:hint="eastAsia" w:ascii="宋体" w:hAnsi="宋体" w:cs="宋体"/>
                <w:sz w:val="24"/>
                <w:szCs w:val="24"/>
                <w:highlight w:val="none"/>
              </w:rPr>
            </w:pPr>
            <w:r>
              <w:rPr>
                <w:rFonts w:hint="eastAsia" w:ascii="宋体" w:hAnsi="宋体" w:cs="宋体"/>
                <w:sz w:val="24"/>
                <w:szCs w:val="24"/>
                <w:highlight w:val="none"/>
              </w:rPr>
              <w:t>序列</w:t>
            </w:r>
          </w:p>
        </w:tc>
        <w:tc>
          <w:tcPr>
            <w:tcW w:w="3156" w:type="dxa"/>
            <w:noWrap/>
            <w:vAlign w:val="center"/>
          </w:tcPr>
          <w:p w14:paraId="69652A13">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设备名称</w:t>
            </w:r>
          </w:p>
        </w:tc>
        <w:tc>
          <w:tcPr>
            <w:tcW w:w="8100" w:type="dxa"/>
            <w:noWrap/>
            <w:vAlign w:val="center"/>
          </w:tcPr>
          <w:p w14:paraId="6993DD1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参数</w:t>
            </w:r>
          </w:p>
        </w:tc>
        <w:tc>
          <w:tcPr>
            <w:tcW w:w="1056" w:type="dxa"/>
            <w:noWrap/>
            <w:vAlign w:val="center"/>
          </w:tcPr>
          <w:p w14:paraId="02CF17B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9" w:type="dxa"/>
            <w:noWrap/>
            <w:vAlign w:val="center"/>
          </w:tcPr>
          <w:p w14:paraId="1883E3C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数量</w:t>
            </w:r>
          </w:p>
        </w:tc>
      </w:tr>
      <w:tr w14:paraId="4947B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1B64A2E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156" w:type="dxa"/>
            <w:noWrap/>
            <w:vAlign w:val="center"/>
          </w:tcPr>
          <w:p w14:paraId="6DFD4EC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高压负荷开关</w:t>
            </w:r>
          </w:p>
        </w:tc>
        <w:tc>
          <w:tcPr>
            <w:tcW w:w="8100" w:type="dxa"/>
            <w:noWrap/>
            <w:vAlign w:val="center"/>
          </w:tcPr>
          <w:p w14:paraId="38C8FEC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西门子12kV,隔离柜、进线柜、计量柜</w:t>
            </w:r>
          </w:p>
        </w:tc>
        <w:tc>
          <w:tcPr>
            <w:tcW w:w="1056" w:type="dxa"/>
            <w:noWrap/>
            <w:vAlign w:val="center"/>
          </w:tcPr>
          <w:p w14:paraId="7F129A0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4791430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r>
      <w:tr w14:paraId="0469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67ADE7E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3156" w:type="dxa"/>
            <w:noWrap/>
            <w:vAlign w:val="center"/>
          </w:tcPr>
          <w:p w14:paraId="029A7B1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变压器遮网</w:t>
            </w:r>
          </w:p>
        </w:tc>
        <w:tc>
          <w:tcPr>
            <w:tcW w:w="8100" w:type="dxa"/>
            <w:noWrap/>
            <w:vAlign w:val="center"/>
          </w:tcPr>
          <w:p w14:paraId="622AEA9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w:t>
            </w:r>
          </w:p>
        </w:tc>
        <w:tc>
          <w:tcPr>
            <w:tcW w:w="1056" w:type="dxa"/>
            <w:noWrap/>
            <w:vAlign w:val="center"/>
          </w:tcPr>
          <w:p w14:paraId="7F45B2B6">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1CA34D1">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r w14:paraId="2962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EFD55A5">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3156" w:type="dxa"/>
            <w:noWrap/>
            <w:vAlign w:val="center"/>
          </w:tcPr>
          <w:p w14:paraId="5F4E062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低压开关柜</w:t>
            </w:r>
          </w:p>
        </w:tc>
        <w:tc>
          <w:tcPr>
            <w:tcW w:w="8100" w:type="dxa"/>
            <w:noWrap/>
            <w:vAlign w:val="center"/>
          </w:tcPr>
          <w:p w14:paraId="6A19392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施耐德和国产</w:t>
            </w:r>
          </w:p>
        </w:tc>
        <w:tc>
          <w:tcPr>
            <w:tcW w:w="1056" w:type="dxa"/>
            <w:noWrap/>
            <w:vAlign w:val="center"/>
          </w:tcPr>
          <w:p w14:paraId="0A71607A">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02C58648">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14</w:t>
            </w:r>
          </w:p>
        </w:tc>
      </w:tr>
      <w:tr w14:paraId="3735F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22" w:type="dxa"/>
            <w:noWrap/>
            <w:vAlign w:val="center"/>
          </w:tcPr>
          <w:p w14:paraId="373E455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3156" w:type="dxa"/>
            <w:noWrap/>
            <w:vAlign w:val="center"/>
          </w:tcPr>
          <w:p w14:paraId="36773F0B">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电容器柜</w:t>
            </w:r>
          </w:p>
        </w:tc>
        <w:tc>
          <w:tcPr>
            <w:tcW w:w="8100" w:type="dxa"/>
            <w:noWrap/>
            <w:vAlign w:val="center"/>
          </w:tcPr>
          <w:p w14:paraId="64B8A574">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两套375kVAR</w:t>
            </w:r>
          </w:p>
        </w:tc>
        <w:tc>
          <w:tcPr>
            <w:tcW w:w="1056" w:type="dxa"/>
            <w:noWrap/>
            <w:vAlign w:val="center"/>
          </w:tcPr>
          <w:p w14:paraId="1576A442">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面</w:t>
            </w:r>
          </w:p>
        </w:tc>
        <w:tc>
          <w:tcPr>
            <w:tcW w:w="969" w:type="dxa"/>
            <w:noWrap/>
            <w:vAlign w:val="center"/>
          </w:tcPr>
          <w:p w14:paraId="2D58CE1C">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4</w:t>
            </w:r>
          </w:p>
        </w:tc>
      </w:tr>
      <w:tr w14:paraId="31F94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2" w:type="dxa"/>
            <w:noWrap/>
            <w:vAlign w:val="center"/>
          </w:tcPr>
          <w:p w14:paraId="5CF6B469">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3156" w:type="dxa"/>
            <w:noWrap/>
            <w:vAlign w:val="center"/>
          </w:tcPr>
          <w:p w14:paraId="7815B0F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变压器</w:t>
            </w:r>
          </w:p>
        </w:tc>
        <w:tc>
          <w:tcPr>
            <w:tcW w:w="8100" w:type="dxa"/>
            <w:noWrap/>
            <w:vAlign w:val="center"/>
          </w:tcPr>
          <w:p w14:paraId="17185150">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SCB10-1250/10</w:t>
            </w:r>
          </w:p>
        </w:tc>
        <w:tc>
          <w:tcPr>
            <w:tcW w:w="1056" w:type="dxa"/>
            <w:noWrap/>
            <w:vAlign w:val="center"/>
          </w:tcPr>
          <w:p w14:paraId="512BEDED">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台</w:t>
            </w:r>
          </w:p>
        </w:tc>
        <w:tc>
          <w:tcPr>
            <w:tcW w:w="969" w:type="dxa"/>
            <w:noWrap/>
            <w:vAlign w:val="center"/>
          </w:tcPr>
          <w:p w14:paraId="57165027">
            <w:pPr>
              <w:spacing w:line="48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r>
    </w:tbl>
    <w:p w14:paraId="5DCA904C">
      <w:pPr>
        <w:spacing w:line="480" w:lineRule="auto"/>
        <w:ind w:firstLine="600" w:firstLineChars="250"/>
        <w:rPr>
          <w:rFonts w:hint="eastAsia" w:ascii="宋体" w:hAnsi="宋体" w:cs="宋体"/>
          <w:sz w:val="24"/>
          <w:szCs w:val="24"/>
          <w:highlight w:val="none"/>
        </w:rPr>
      </w:pPr>
    </w:p>
    <w:p w14:paraId="5D76555D">
      <w:pPr>
        <w:pStyle w:val="255"/>
        <w:rPr>
          <w:rFonts w:hint="eastAsia" w:ascii="宋体" w:hAnsi="宋体" w:cs="宋体"/>
          <w:sz w:val="24"/>
          <w:szCs w:val="24"/>
          <w:highlight w:val="none"/>
        </w:rPr>
        <w:sectPr>
          <w:headerReference r:id="rId7" w:type="first"/>
          <w:footerReference r:id="rId10" w:type="first"/>
          <w:headerReference r:id="rId5" w:type="default"/>
          <w:footerReference r:id="rId8" w:type="default"/>
          <w:headerReference r:id="rId6" w:type="even"/>
          <w:footerReference r:id="rId9" w:type="even"/>
          <w:pgSz w:w="16838" w:h="11906" w:orient="landscape"/>
          <w:pgMar w:top="1800" w:right="1440" w:bottom="1800" w:left="1440" w:header="851" w:footer="992" w:gutter="0"/>
          <w:cols w:space="720" w:num="1"/>
          <w:docGrid w:type="lines" w:linePitch="312" w:charSpace="0"/>
        </w:sectPr>
      </w:pPr>
    </w:p>
    <w:p w14:paraId="4FA2BBAE">
      <w:pPr>
        <w:pStyle w:val="5"/>
        <w:pageBreakBefore/>
        <w:widowControl/>
        <w:tabs>
          <w:tab w:val="left" w:pos="0"/>
        </w:tabs>
        <w:spacing w:before="0" w:after="0" w:line="560" w:lineRule="exact"/>
        <w:rPr>
          <w:rFonts w:hint="eastAsia" w:eastAsia="宋体"/>
          <w:color w:val="000000"/>
          <w:szCs w:val="24"/>
          <w:highlight w:val="none"/>
          <w:lang w:eastAsia="zh-CN"/>
        </w:rPr>
      </w:pPr>
      <w:r>
        <w:rPr>
          <w:rFonts w:hint="eastAsia"/>
          <w:color w:val="000000"/>
          <w:szCs w:val="24"/>
          <w:highlight w:val="none"/>
        </w:rPr>
        <w:t xml:space="preserve">附件2   </w:t>
      </w:r>
      <w:r>
        <w:rPr>
          <w:rFonts w:hint="eastAsia"/>
          <w:szCs w:val="24"/>
          <w:highlight w:val="none"/>
        </w:rPr>
        <w:t>单项</w:t>
      </w:r>
      <w:r>
        <w:rPr>
          <w:rFonts w:hint="eastAsia"/>
          <w:szCs w:val="24"/>
          <w:highlight w:val="none"/>
          <w:lang w:val="en-US" w:eastAsia="zh-CN"/>
        </w:rPr>
        <w:t>500</w:t>
      </w:r>
      <w:r>
        <w:rPr>
          <w:rFonts w:hint="eastAsia"/>
          <w:szCs w:val="24"/>
          <w:highlight w:val="none"/>
        </w:rPr>
        <w:t>元以下的设备零件</w:t>
      </w:r>
      <w:r>
        <w:rPr>
          <w:rFonts w:hint="eastAsia"/>
          <w:color w:val="000000"/>
          <w:szCs w:val="24"/>
          <w:highlight w:val="none"/>
        </w:rPr>
        <w:t xml:space="preserve"> </w:t>
      </w:r>
      <w:r>
        <w:rPr>
          <w:rFonts w:hint="eastAsia"/>
          <w:color w:val="000000"/>
          <w:szCs w:val="24"/>
          <w:highlight w:val="none"/>
          <w:lang w:eastAsia="zh-CN"/>
        </w:rPr>
        <w:t>（</w:t>
      </w:r>
      <w:r>
        <w:rPr>
          <w:rFonts w:hint="eastAsia"/>
          <w:color w:val="000000"/>
          <w:szCs w:val="24"/>
          <w:highlight w:val="none"/>
          <w:lang w:val="en-US" w:eastAsia="zh-CN"/>
        </w:rPr>
        <w:t>包括但不限于</w:t>
      </w:r>
      <w:r>
        <w:rPr>
          <w:rFonts w:hint="eastAsia"/>
          <w:color w:val="000000"/>
          <w:szCs w:val="24"/>
          <w:highlight w:val="none"/>
          <w:lang w:eastAsia="zh-CN"/>
        </w:rPr>
        <w:t>）</w:t>
      </w:r>
    </w:p>
    <w:tbl>
      <w:tblPr>
        <w:tblStyle w:val="43"/>
        <w:tblW w:w="9000" w:type="dxa"/>
        <w:jc w:val="center"/>
        <w:tblLayout w:type="autofit"/>
        <w:tblCellMar>
          <w:top w:w="0" w:type="dxa"/>
          <w:left w:w="108" w:type="dxa"/>
          <w:bottom w:w="0" w:type="dxa"/>
          <w:right w:w="108" w:type="dxa"/>
        </w:tblCellMar>
      </w:tblPr>
      <w:tblGrid>
        <w:gridCol w:w="698"/>
        <w:gridCol w:w="2587"/>
        <w:gridCol w:w="3638"/>
        <w:gridCol w:w="1378"/>
        <w:gridCol w:w="699"/>
        <w:tblGridChange w:id="0">
          <w:tblGrid>
            <w:gridCol w:w="192"/>
            <w:gridCol w:w="150"/>
            <w:gridCol w:w="356"/>
            <w:gridCol w:w="301"/>
            <w:gridCol w:w="41"/>
            <w:gridCol w:w="2243"/>
            <w:gridCol w:w="2"/>
            <w:gridCol w:w="342"/>
            <w:gridCol w:w="3296"/>
            <w:gridCol w:w="1378"/>
            <w:gridCol w:w="699"/>
          </w:tblGrid>
        </w:tblGridChange>
      </w:tblGrid>
      <w:tr w14:paraId="24588C9B">
        <w:tblPrEx>
          <w:tblCellMar>
            <w:top w:w="0" w:type="dxa"/>
            <w:left w:w="108" w:type="dxa"/>
            <w:bottom w:w="0" w:type="dxa"/>
            <w:right w:w="108" w:type="dxa"/>
          </w:tblCellMar>
        </w:tblPrEx>
        <w:trPr>
          <w:trHeight w:val="408" w:hRule="atLeast"/>
          <w:jc w:val="center"/>
        </w:trPr>
        <w:tc>
          <w:tcPr>
            <w:tcW w:w="9000" w:type="dxa"/>
            <w:gridSpan w:val="5"/>
            <w:tcBorders>
              <w:top w:val="single" w:color="000000" w:sz="4" w:space="0"/>
              <w:left w:val="single" w:color="000000" w:sz="4" w:space="0"/>
              <w:bottom w:val="single" w:color="000000" w:sz="4" w:space="0"/>
              <w:right w:val="single" w:color="000000" w:sz="4" w:space="0"/>
            </w:tcBorders>
            <w:noWrap/>
            <w:vAlign w:val="bottom"/>
          </w:tcPr>
          <w:p w14:paraId="5AAF5CB3">
            <w:pPr>
              <w:widowControl/>
              <w:jc w:val="center"/>
              <w:textAlignment w:val="bottom"/>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500</w:t>
            </w:r>
            <w:r>
              <w:rPr>
                <w:rFonts w:hint="eastAsia" w:ascii="宋体" w:hAnsi="宋体" w:cs="宋体"/>
                <w:b/>
                <w:bCs/>
                <w:color w:val="000000"/>
                <w:sz w:val="24"/>
                <w:szCs w:val="24"/>
                <w:highlight w:val="none"/>
              </w:rPr>
              <w:t>元以下元器件清单</w:t>
            </w:r>
          </w:p>
        </w:tc>
      </w:tr>
      <w:tr w14:paraId="7CB542D0">
        <w:tblPrEx>
          <w:tblCellMar>
            <w:top w:w="0" w:type="dxa"/>
            <w:left w:w="108" w:type="dxa"/>
            <w:bottom w:w="0" w:type="dxa"/>
            <w:right w:w="108" w:type="dxa"/>
          </w:tblCellMar>
        </w:tblPrEx>
        <w:trPr>
          <w:trHeight w:val="42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A7FEEA">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序号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384D64">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产品名称</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B9723F">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型号  规格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44A031">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单位</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A67820">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备注</w:t>
            </w:r>
          </w:p>
        </w:tc>
      </w:tr>
      <w:tr w14:paraId="2F594AAC">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5AF71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3FE512B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小型断路器-直流</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291A012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2P</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236A0DC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48A62A">
            <w:pPr>
              <w:rPr>
                <w:rFonts w:hint="eastAsia" w:ascii="宋体" w:hAnsi="宋体" w:cs="宋体"/>
                <w:color w:val="000000"/>
                <w:sz w:val="24"/>
                <w:szCs w:val="24"/>
                <w:highlight w:val="none"/>
              </w:rPr>
            </w:pPr>
          </w:p>
        </w:tc>
      </w:tr>
      <w:tr w14:paraId="00395ADE">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E8695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325E4F7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小型断路器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32DF805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3P</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5F7FE22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C02308">
            <w:pPr>
              <w:rPr>
                <w:rFonts w:hint="eastAsia" w:ascii="宋体" w:hAnsi="宋体" w:cs="宋体"/>
                <w:color w:val="000000"/>
                <w:sz w:val="24"/>
                <w:szCs w:val="24"/>
                <w:highlight w:val="none"/>
              </w:rPr>
            </w:pPr>
          </w:p>
        </w:tc>
      </w:tr>
      <w:tr w14:paraId="29D63094">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ED266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5D3A8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信号灯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B5C852">
            <w:pPr>
              <w:rPr>
                <w:rFonts w:hint="eastAsia" w:ascii="宋体" w:hAnsi="宋体" w:cs="宋体"/>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49EA9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619130">
            <w:pPr>
              <w:rPr>
                <w:rFonts w:hint="eastAsia" w:ascii="宋体" w:hAnsi="宋体" w:cs="宋体"/>
                <w:color w:val="000000"/>
                <w:sz w:val="24"/>
                <w:szCs w:val="24"/>
                <w:highlight w:val="none"/>
              </w:rPr>
            </w:pPr>
          </w:p>
        </w:tc>
      </w:tr>
      <w:tr w14:paraId="1B246F98">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ACB2A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99B20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控制按钮</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1BCCE3">
            <w:pPr>
              <w:rPr>
                <w:rFonts w:hint="eastAsia" w:ascii="宋体" w:hAnsi="宋体" w:cs="宋体"/>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AE0A2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F85332">
            <w:pPr>
              <w:rPr>
                <w:rFonts w:hint="eastAsia" w:ascii="宋体" w:hAnsi="宋体" w:cs="宋体"/>
                <w:color w:val="000000"/>
                <w:sz w:val="24"/>
                <w:szCs w:val="24"/>
                <w:highlight w:val="none"/>
              </w:rPr>
            </w:pPr>
          </w:p>
        </w:tc>
      </w:tr>
      <w:tr w14:paraId="3D0E4371">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958A2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9F643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熔断器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FB33C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160A及以下</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E0249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A3B61A">
            <w:pPr>
              <w:rPr>
                <w:rFonts w:hint="eastAsia" w:ascii="宋体" w:hAnsi="宋体" w:cs="宋体"/>
                <w:color w:val="000000"/>
                <w:sz w:val="24"/>
                <w:szCs w:val="24"/>
                <w:highlight w:val="none"/>
              </w:rPr>
            </w:pPr>
          </w:p>
        </w:tc>
      </w:tr>
      <w:tr w14:paraId="055E5023">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F15C7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31F3CE">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熔断器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BBA915">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6A</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41CC9B">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9CDA94">
            <w:pPr>
              <w:rPr>
                <w:rFonts w:hint="eastAsia" w:ascii="宋体" w:hAnsi="宋体" w:cs="宋体"/>
                <w:color w:val="000000"/>
                <w:sz w:val="24"/>
                <w:szCs w:val="24"/>
                <w:highlight w:val="none"/>
              </w:rPr>
            </w:pPr>
          </w:p>
        </w:tc>
      </w:tr>
      <w:tr w14:paraId="1DCE6982">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27FB7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0BEE6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34D20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75/5 30孔 1匝 及以下</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7C9A2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4B32A6">
            <w:pPr>
              <w:rPr>
                <w:rFonts w:hint="eastAsia" w:ascii="宋体" w:hAnsi="宋体" w:cs="宋体"/>
                <w:color w:val="000000"/>
                <w:sz w:val="24"/>
                <w:szCs w:val="24"/>
                <w:highlight w:val="none"/>
              </w:rPr>
            </w:pPr>
          </w:p>
        </w:tc>
      </w:tr>
      <w:tr w14:paraId="6B5DA79B">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9DEB18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81A03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336C4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200  250/5 30孔 1匝</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D2291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9F4FFA">
            <w:pPr>
              <w:rPr>
                <w:rFonts w:hint="eastAsia" w:ascii="宋体" w:hAnsi="宋体" w:cs="宋体"/>
                <w:color w:val="000000"/>
                <w:sz w:val="24"/>
                <w:szCs w:val="24"/>
                <w:highlight w:val="none"/>
              </w:rPr>
            </w:pPr>
          </w:p>
        </w:tc>
      </w:tr>
      <w:tr w14:paraId="2CABF0F8">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60A40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8BAA1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2DEC0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100/5  150/5 30孔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5A86A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D3F00A">
            <w:pPr>
              <w:rPr>
                <w:rFonts w:hint="eastAsia" w:ascii="宋体" w:hAnsi="宋体" w:cs="宋体"/>
                <w:color w:val="000000"/>
                <w:sz w:val="24"/>
                <w:szCs w:val="24"/>
                <w:highlight w:val="none"/>
              </w:rPr>
            </w:pPr>
          </w:p>
        </w:tc>
      </w:tr>
      <w:tr w14:paraId="046AE999">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EEDFF6">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B39AB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04DBF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300/5 30孔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75B166">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56C0D7">
            <w:pPr>
              <w:rPr>
                <w:rFonts w:hint="eastAsia" w:ascii="宋体" w:hAnsi="宋体" w:cs="宋体"/>
                <w:color w:val="000000"/>
                <w:sz w:val="24"/>
                <w:szCs w:val="24"/>
                <w:highlight w:val="none"/>
              </w:rPr>
            </w:pPr>
          </w:p>
        </w:tc>
      </w:tr>
      <w:tr w14:paraId="317B1C07">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D4ECD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08A37B">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FD35B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400/5 30孔 或40孔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3AF80E">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C1E584">
            <w:pPr>
              <w:rPr>
                <w:rFonts w:hint="eastAsia" w:ascii="宋体" w:hAnsi="宋体" w:cs="宋体"/>
                <w:color w:val="000000"/>
                <w:sz w:val="24"/>
                <w:szCs w:val="24"/>
                <w:highlight w:val="none"/>
              </w:rPr>
            </w:pPr>
          </w:p>
        </w:tc>
      </w:tr>
      <w:tr w14:paraId="0954F83F">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32358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7F2FD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F50CF5">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500/5 30孔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B3159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55B94A">
            <w:pPr>
              <w:rPr>
                <w:rFonts w:hint="eastAsia" w:ascii="宋体" w:hAnsi="宋体" w:cs="宋体"/>
                <w:color w:val="000000"/>
                <w:sz w:val="24"/>
                <w:szCs w:val="24"/>
                <w:highlight w:val="none"/>
              </w:rPr>
            </w:pPr>
          </w:p>
        </w:tc>
      </w:tr>
      <w:tr w14:paraId="36A3A83C">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3B2E0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36497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01E97B">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600/5 40孔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343DC5">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E6CD08">
            <w:pPr>
              <w:rPr>
                <w:rFonts w:hint="eastAsia" w:ascii="宋体" w:hAnsi="宋体" w:cs="宋体"/>
                <w:color w:val="000000"/>
                <w:sz w:val="24"/>
                <w:szCs w:val="24"/>
                <w:highlight w:val="none"/>
              </w:rPr>
            </w:pPr>
          </w:p>
        </w:tc>
      </w:tr>
      <w:tr w14:paraId="601DA2A2">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B4F64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61E29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34A596">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800/5 60孔 或50孔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922AF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645EDA">
            <w:pPr>
              <w:rPr>
                <w:rFonts w:hint="eastAsia" w:ascii="宋体" w:hAnsi="宋体" w:cs="宋体"/>
                <w:color w:val="000000"/>
                <w:sz w:val="24"/>
                <w:szCs w:val="24"/>
                <w:highlight w:val="none"/>
              </w:rPr>
            </w:pPr>
          </w:p>
        </w:tc>
      </w:tr>
      <w:tr w14:paraId="4CA8311D">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CC4D66">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D861A3">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A46B75">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1000/5 60或80孔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085E2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CA3E47">
            <w:pPr>
              <w:rPr>
                <w:rFonts w:hint="eastAsia" w:ascii="宋体" w:hAnsi="宋体" w:cs="宋体"/>
                <w:color w:val="000000"/>
                <w:sz w:val="24"/>
                <w:szCs w:val="24"/>
                <w:highlight w:val="none"/>
              </w:rPr>
            </w:pPr>
          </w:p>
        </w:tc>
      </w:tr>
      <w:tr w14:paraId="3762CA8C">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81AA62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4D6BC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5B6FD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1500/5 80孔 双</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06097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CCEBC0">
            <w:pPr>
              <w:rPr>
                <w:rFonts w:hint="eastAsia" w:ascii="宋体" w:hAnsi="宋体" w:cs="宋体"/>
                <w:color w:val="000000"/>
                <w:sz w:val="24"/>
                <w:szCs w:val="24"/>
                <w:highlight w:val="none"/>
              </w:rPr>
            </w:pPr>
          </w:p>
        </w:tc>
      </w:tr>
      <w:tr w14:paraId="631C4A73">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926D9B3">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CA9BB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E87E2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2000/5 100或80孔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4911E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BA4753">
            <w:pPr>
              <w:rPr>
                <w:rFonts w:hint="eastAsia" w:ascii="宋体" w:hAnsi="宋体" w:cs="宋体"/>
                <w:color w:val="000000"/>
                <w:sz w:val="24"/>
                <w:szCs w:val="24"/>
                <w:highlight w:val="none"/>
              </w:rPr>
            </w:pPr>
          </w:p>
        </w:tc>
      </w:tr>
      <w:tr w14:paraId="600960C1">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D2015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ACEF2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ECF596">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2500/5 双拼孔 80*10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F743C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957049">
            <w:pPr>
              <w:rPr>
                <w:rFonts w:hint="eastAsia" w:ascii="宋体" w:hAnsi="宋体" w:cs="宋体"/>
                <w:color w:val="000000"/>
                <w:sz w:val="24"/>
                <w:szCs w:val="24"/>
                <w:highlight w:val="none"/>
              </w:rPr>
            </w:pPr>
          </w:p>
        </w:tc>
      </w:tr>
      <w:tr w14:paraId="2E99BA2F">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76DA5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94C1D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电流互感器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7CC09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3000/5  双孔 125*10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420B35">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80BE7A">
            <w:pPr>
              <w:rPr>
                <w:rFonts w:hint="eastAsia" w:ascii="宋体" w:hAnsi="宋体" w:cs="宋体"/>
                <w:color w:val="000000"/>
                <w:sz w:val="24"/>
                <w:szCs w:val="24"/>
                <w:highlight w:val="none"/>
              </w:rPr>
            </w:pPr>
          </w:p>
        </w:tc>
      </w:tr>
      <w:tr w14:paraId="53B82B6F">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FFA14C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D4FA5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熔芯-刀熔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7F2E23">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32A  40A  50A  63A 及以下</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A9A2F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20F360">
            <w:pPr>
              <w:rPr>
                <w:rFonts w:hint="eastAsia" w:ascii="宋体" w:hAnsi="宋体" w:cs="宋体"/>
                <w:color w:val="000000"/>
                <w:sz w:val="24"/>
                <w:szCs w:val="24"/>
                <w:highlight w:val="none"/>
              </w:rPr>
            </w:pPr>
          </w:p>
        </w:tc>
      </w:tr>
      <w:tr w14:paraId="2D16E3D0">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17605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BB08B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熔芯-刀熔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A706D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100A，125A</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FBF825">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E3A826">
            <w:pPr>
              <w:rPr>
                <w:rFonts w:hint="eastAsia" w:ascii="宋体" w:hAnsi="宋体" w:cs="宋体"/>
                <w:color w:val="000000"/>
                <w:sz w:val="24"/>
                <w:szCs w:val="24"/>
                <w:highlight w:val="none"/>
              </w:rPr>
            </w:pPr>
          </w:p>
        </w:tc>
      </w:tr>
      <w:tr w14:paraId="1F640A5A">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1E86E3">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52C8EE">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熔芯-刀熔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82056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160A，200A  250A</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EE3D6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DDE084">
            <w:pPr>
              <w:rPr>
                <w:rFonts w:hint="eastAsia" w:ascii="宋体" w:hAnsi="宋体" w:cs="宋体"/>
                <w:color w:val="000000"/>
                <w:sz w:val="24"/>
                <w:szCs w:val="24"/>
                <w:highlight w:val="none"/>
              </w:rPr>
            </w:pPr>
          </w:p>
        </w:tc>
      </w:tr>
      <w:tr w14:paraId="33F4CB3F">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659F1B">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36CBF3">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熔芯-刀熔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723BB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315A  400A</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B4911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741C2E">
            <w:pPr>
              <w:rPr>
                <w:rFonts w:hint="eastAsia" w:ascii="宋体" w:hAnsi="宋体" w:cs="宋体"/>
                <w:color w:val="000000"/>
                <w:sz w:val="24"/>
                <w:szCs w:val="24"/>
                <w:highlight w:val="none"/>
              </w:rPr>
            </w:pPr>
          </w:p>
        </w:tc>
      </w:tr>
      <w:tr w14:paraId="2D5A36C6">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D47DE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FAF6F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熔芯-刀熔</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E30CD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500A   630A</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35D00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964D10">
            <w:pPr>
              <w:rPr>
                <w:rFonts w:hint="eastAsia" w:ascii="宋体" w:hAnsi="宋体" w:cs="宋体"/>
                <w:color w:val="000000"/>
                <w:sz w:val="24"/>
                <w:szCs w:val="24"/>
                <w:highlight w:val="none"/>
              </w:rPr>
            </w:pPr>
          </w:p>
        </w:tc>
      </w:tr>
      <w:tr w14:paraId="17801458">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697EE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5FEBA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中间继电器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162C9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25A 及以下的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0F64B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8DB29B">
            <w:pPr>
              <w:rPr>
                <w:rFonts w:hint="eastAsia" w:ascii="宋体" w:hAnsi="宋体" w:cs="宋体"/>
                <w:color w:val="000000"/>
                <w:sz w:val="24"/>
                <w:szCs w:val="24"/>
                <w:highlight w:val="none"/>
              </w:rPr>
            </w:pPr>
          </w:p>
        </w:tc>
      </w:tr>
      <w:tr w14:paraId="139E79B8">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FA9399">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26</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566C683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共补电容</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6C57790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BKMJ（KY）0.44-30-3T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2FBA311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6D532C3">
            <w:pPr>
              <w:rPr>
                <w:rFonts w:hint="eastAsia" w:ascii="宋体" w:hAnsi="宋体" w:cs="宋体"/>
                <w:color w:val="000000"/>
                <w:sz w:val="24"/>
                <w:szCs w:val="24"/>
                <w:highlight w:val="none"/>
              </w:rPr>
            </w:pPr>
          </w:p>
        </w:tc>
      </w:tr>
      <w:tr w14:paraId="72FD64CC">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82D82F">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27</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427B173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分补电容</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0F4457F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BKMJ（KY）0.26-30-YoT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7CA890F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7255E40">
            <w:pPr>
              <w:rPr>
                <w:rFonts w:hint="eastAsia" w:ascii="宋体" w:hAnsi="宋体" w:cs="宋体"/>
                <w:color w:val="000000"/>
                <w:sz w:val="24"/>
                <w:szCs w:val="24"/>
                <w:highlight w:val="none"/>
              </w:rPr>
            </w:pPr>
          </w:p>
        </w:tc>
      </w:tr>
      <w:tr w14:paraId="2CF26D55">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74FFB3">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28</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20736B1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日光灯管</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73435C5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583603C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根</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38CA17A">
            <w:pPr>
              <w:rPr>
                <w:rFonts w:hint="eastAsia" w:ascii="宋体" w:hAnsi="宋体" w:cs="宋体"/>
                <w:color w:val="000000"/>
                <w:sz w:val="24"/>
                <w:szCs w:val="24"/>
                <w:highlight w:val="none"/>
              </w:rPr>
            </w:pPr>
          </w:p>
        </w:tc>
      </w:tr>
      <w:tr w14:paraId="38757B7F">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1127B5">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29</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321A634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应急照明灯</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00058E33">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338615FE">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7FCD8E0">
            <w:pPr>
              <w:rPr>
                <w:rFonts w:hint="eastAsia" w:ascii="宋体" w:hAnsi="宋体" w:cs="宋体"/>
                <w:color w:val="000000"/>
                <w:sz w:val="24"/>
                <w:szCs w:val="24"/>
                <w:highlight w:val="none"/>
              </w:rPr>
            </w:pPr>
          </w:p>
        </w:tc>
      </w:tr>
      <w:tr w14:paraId="793C4343">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7FC713">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en-US" w:eastAsia="zh-CN"/>
              </w:rPr>
              <w:t>0</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7EE744CE">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操作把手</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5AFAD63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18478A06">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D1B6B04">
            <w:pPr>
              <w:rPr>
                <w:rFonts w:hint="eastAsia" w:ascii="宋体" w:hAnsi="宋体" w:cs="宋体"/>
                <w:color w:val="000000"/>
                <w:sz w:val="24"/>
                <w:szCs w:val="24"/>
                <w:highlight w:val="none"/>
              </w:rPr>
            </w:pPr>
          </w:p>
        </w:tc>
      </w:tr>
      <w:tr w14:paraId="0AAD0636">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A785D7">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en-US" w:eastAsia="zh-CN"/>
              </w:rPr>
              <w:t>1</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183119E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高压熔管</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2FFAFA9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XRNP1-12kV</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7EDAA673">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根</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756E4B4">
            <w:pPr>
              <w:rPr>
                <w:rFonts w:hint="eastAsia" w:ascii="宋体" w:hAnsi="宋体" w:cs="宋体"/>
                <w:color w:val="000000"/>
                <w:sz w:val="24"/>
                <w:szCs w:val="24"/>
                <w:highlight w:val="none"/>
              </w:rPr>
            </w:pPr>
          </w:p>
        </w:tc>
      </w:tr>
      <w:tr w14:paraId="7C10C497">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1DA417">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en-US" w:eastAsia="zh-CN"/>
              </w:rPr>
              <w:t>2</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4729658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低压熔丝</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0810A9A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7B06F0A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D2733C0">
            <w:pPr>
              <w:rPr>
                <w:rFonts w:hint="eastAsia" w:ascii="宋体" w:hAnsi="宋体" w:cs="宋体"/>
                <w:color w:val="000000"/>
                <w:sz w:val="24"/>
                <w:szCs w:val="24"/>
                <w:highlight w:val="none"/>
              </w:rPr>
            </w:pPr>
          </w:p>
        </w:tc>
      </w:tr>
      <w:tr w14:paraId="4C9C8CA2">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3F0D4D">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en-US" w:eastAsia="zh-CN"/>
              </w:rPr>
              <w:t>3</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66E3087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电容柜熔丝</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69BF3CF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RS711BC</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3C25913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5902D90">
            <w:pPr>
              <w:rPr>
                <w:rFonts w:hint="eastAsia" w:ascii="宋体" w:hAnsi="宋体" w:cs="宋体"/>
                <w:color w:val="000000"/>
                <w:sz w:val="24"/>
                <w:szCs w:val="24"/>
                <w:highlight w:val="none"/>
              </w:rPr>
            </w:pPr>
          </w:p>
        </w:tc>
      </w:tr>
      <w:tr w14:paraId="120B7E53">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D6734F">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en-US" w:eastAsia="zh-CN"/>
              </w:rPr>
              <w:t>4</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7F39F3E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失压脱扣器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0FFBD36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DW45</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46F73DC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E4A8222">
            <w:pPr>
              <w:rPr>
                <w:rFonts w:hint="eastAsia" w:ascii="宋体" w:hAnsi="宋体" w:cs="宋体"/>
                <w:color w:val="000000"/>
                <w:sz w:val="24"/>
                <w:szCs w:val="24"/>
                <w:highlight w:val="none"/>
              </w:rPr>
            </w:pPr>
          </w:p>
        </w:tc>
      </w:tr>
      <w:tr w14:paraId="3AD3AA87">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9433B1">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en-US" w:eastAsia="zh-CN"/>
              </w:rPr>
              <w:t>5</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1CF0941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指针式仪表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6B6B0AF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07E3Y</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7B4FF49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6DAD587">
            <w:pPr>
              <w:rPr>
                <w:rFonts w:hint="eastAsia" w:ascii="宋体" w:hAnsi="宋体" w:cs="宋体"/>
                <w:color w:val="000000"/>
                <w:sz w:val="24"/>
                <w:szCs w:val="24"/>
                <w:highlight w:val="none"/>
              </w:rPr>
            </w:pPr>
          </w:p>
        </w:tc>
      </w:tr>
      <w:tr w14:paraId="4E7FA44B">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03C830">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36</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21D09FE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微型断路器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3462BC8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不限</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0FC413B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E2C0ABA">
            <w:pPr>
              <w:rPr>
                <w:rFonts w:hint="eastAsia" w:ascii="宋体" w:hAnsi="宋体" w:cs="宋体"/>
                <w:color w:val="000000"/>
                <w:sz w:val="24"/>
                <w:szCs w:val="24"/>
                <w:highlight w:val="none"/>
              </w:rPr>
            </w:pPr>
          </w:p>
        </w:tc>
      </w:tr>
      <w:tr w14:paraId="15447AE2">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C6B1CE">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37</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013E7E46">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温湿度控制器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7D3A1A0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AB-WK-H(TH)</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38739EC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869B13A">
            <w:pPr>
              <w:rPr>
                <w:rFonts w:hint="eastAsia" w:ascii="宋体" w:hAnsi="宋体" w:cs="宋体"/>
                <w:color w:val="000000"/>
                <w:sz w:val="24"/>
                <w:szCs w:val="24"/>
                <w:highlight w:val="none"/>
              </w:rPr>
            </w:pPr>
          </w:p>
        </w:tc>
      </w:tr>
      <w:tr w14:paraId="6CAE4876">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8A9CD50">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38</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23C3D3E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辅助触点</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130DE66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100</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26028DC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根</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437A218">
            <w:pPr>
              <w:rPr>
                <w:rFonts w:hint="eastAsia" w:ascii="宋体" w:hAnsi="宋体" w:cs="宋体"/>
                <w:color w:val="000000"/>
                <w:sz w:val="24"/>
                <w:szCs w:val="24"/>
                <w:highlight w:val="none"/>
              </w:rPr>
            </w:pPr>
          </w:p>
        </w:tc>
      </w:tr>
      <w:tr w14:paraId="5129A43B">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60D6AC">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39</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289967C7">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分励脱扣器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2F84179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100</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4E7E6EE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F878831">
            <w:pPr>
              <w:rPr>
                <w:rFonts w:hint="eastAsia" w:ascii="宋体" w:hAnsi="宋体" w:cs="宋体"/>
                <w:color w:val="000000"/>
                <w:sz w:val="24"/>
                <w:szCs w:val="24"/>
                <w:highlight w:val="none"/>
              </w:rPr>
            </w:pPr>
          </w:p>
        </w:tc>
      </w:tr>
      <w:tr w14:paraId="645E9030">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FEE240">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40</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0630639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热缩套管</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49379D0B">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50</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6E3CF2C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根</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15D4958">
            <w:pPr>
              <w:rPr>
                <w:rFonts w:hint="eastAsia" w:ascii="宋体" w:hAnsi="宋体" w:cs="宋体"/>
                <w:color w:val="000000"/>
                <w:sz w:val="24"/>
                <w:szCs w:val="24"/>
                <w:highlight w:val="none"/>
              </w:rPr>
            </w:pPr>
          </w:p>
        </w:tc>
      </w:tr>
      <w:tr w14:paraId="103521D6">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5E7BE7">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en-US" w:eastAsia="zh-CN"/>
              </w:rPr>
              <w:t>1</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43CFE9E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分合闸按钮</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1AD133B6">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LA39-A(1)11</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4546125E">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D5C1ECE">
            <w:pPr>
              <w:rPr>
                <w:rFonts w:hint="eastAsia" w:ascii="宋体" w:hAnsi="宋体" w:cs="宋体"/>
                <w:color w:val="000000"/>
                <w:sz w:val="24"/>
                <w:szCs w:val="24"/>
                <w:highlight w:val="none"/>
              </w:rPr>
            </w:pPr>
          </w:p>
        </w:tc>
      </w:tr>
      <w:tr w14:paraId="44B6A210">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EB4164">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en-US" w:eastAsia="zh-CN"/>
              </w:rPr>
              <w:t>2</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772B5E5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电容柜排风扇</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2045750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配套</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5AC31D8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台</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60DA0EB">
            <w:pPr>
              <w:rPr>
                <w:rFonts w:hint="eastAsia" w:ascii="宋体" w:hAnsi="宋体" w:cs="宋体"/>
                <w:color w:val="000000"/>
                <w:sz w:val="24"/>
                <w:szCs w:val="24"/>
                <w:highlight w:val="none"/>
              </w:rPr>
            </w:pPr>
          </w:p>
        </w:tc>
      </w:tr>
      <w:tr w14:paraId="1A335D0A">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2AB8FC7">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en-US" w:eastAsia="zh-CN"/>
              </w:rPr>
              <w:t>3</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637FC715">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桥架跨接线</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70A281B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263999B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米</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35442E6">
            <w:pPr>
              <w:rPr>
                <w:rFonts w:hint="eastAsia" w:ascii="宋体" w:hAnsi="宋体" w:cs="宋体"/>
                <w:color w:val="000000"/>
                <w:sz w:val="24"/>
                <w:szCs w:val="24"/>
                <w:highlight w:val="none"/>
              </w:rPr>
            </w:pPr>
          </w:p>
        </w:tc>
      </w:tr>
      <w:tr w14:paraId="4A64E3F0">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E893D7">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en-US" w:eastAsia="zh-CN"/>
              </w:rPr>
              <w:t>4</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3ACFA27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二次端子排</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7E59404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2A9F581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8E44B71">
            <w:pPr>
              <w:rPr>
                <w:rFonts w:hint="eastAsia" w:ascii="宋体" w:hAnsi="宋体" w:cs="宋体"/>
                <w:color w:val="000000"/>
                <w:sz w:val="24"/>
                <w:szCs w:val="24"/>
                <w:highlight w:val="none"/>
              </w:rPr>
            </w:pPr>
          </w:p>
        </w:tc>
      </w:tr>
      <w:tr w14:paraId="5944A141">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BD74CF3">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45</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59098129">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电磁锁</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574DAB11">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33711382">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E5AA752">
            <w:pPr>
              <w:rPr>
                <w:rFonts w:hint="eastAsia" w:ascii="宋体" w:hAnsi="宋体" w:cs="宋体"/>
                <w:color w:val="000000"/>
                <w:sz w:val="24"/>
                <w:szCs w:val="24"/>
                <w:highlight w:val="none"/>
              </w:rPr>
            </w:pPr>
          </w:p>
        </w:tc>
      </w:tr>
      <w:tr w14:paraId="5069102D">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C61551">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46</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34C4D93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电流表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36FBC4E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6AL3-A</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225D1A1F">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38D5AFB">
            <w:pPr>
              <w:rPr>
                <w:rFonts w:hint="eastAsia" w:ascii="宋体" w:hAnsi="宋体" w:cs="宋体"/>
                <w:color w:val="000000"/>
                <w:sz w:val="24"/>
                <w:szCs w:val="24"/>
                <w:highlight w:val="none"/>
              </w:rPr>
            </w:pPr>
          </w:p>
        </w:tc>
      </w:tr>
      <w:tr w14:paraId="09193D2A">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2E968C">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47</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1E6603E4">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电压表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0AE1975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6AL2-V</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1440B260">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54981F9">
            <w:pPr>
              <w:rPr>
                <w:rFonts w:hint="eastAsia" w:ascii="宋体" w:hAnsi="宋体" w:cs="宋体"/>
                <w:color w:val="000000"/>
                <w:sz w:val="24"/>
                <w:szCs w:val="24"/>
                <w:highlight w:val="none"/>
              </w:rPr>
            </w:pPr>
          </w:p>
        </w:tc>
      </w:tr>
      <w:tr w14:paraId="74608538">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EFDBF1">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48</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61AF5385">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功率因素表</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04F35228">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6SL2-cos</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4FF5082C">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F328B7C">
            <w:pPr>
              <w:rPr>
                <w:rFonts w:hint="eastAsia" w:ascii="宋体" w:hAnsi="宋体" w:cs="宋体"/>
                <w:color w:val="000000"/>
                <w:sz w:val="24"/>
                <w:szCs w:val="24"/>
                <w:highlight w:val="none"/>
              </w:rPr>
            </w:pPr>
          </w:p>
        </w:tc>
      </w:tr>
      <w:tr w14:paraId="64860C40">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D12311">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49</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2F5FB28A">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防鼠配套</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010AB526">
            <w:pPr>
              <w:widowControl/>
              <w:jc w:val="center"/>
              <w:textAlignment w:val="center"/>
              <w:rPr>
                <w:rFonts w:hint="eastAsia" w:ascii="宋体" w:hAnsi="宋体" w:cs="宋体"/>
                <w:color w:val="000000"/>
                <w:sz w:val="24"/>
                <w:szCs w:val="24"/>
                <w:highlight w:val="none"/>
              </w:rPr>
            </w:pP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28CAD0BD">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F40EC07">
            <w:pPr>
              <w:rPr>
                <w:rFonts w:hint="eastAsia" w:ascii="宋体" w:hAnsi="宋体" w:cs="宋体"/>
                <w:color w:val="000000"/>
                <w:sz w:val="24"/>
                <w:szCs w:val="24"/>
                <w:highlight w:val="none"/>
              </w:rPr>
            </w:pPr>
          </w:p>
        </w:tc>
      </w:tr>
      <w:tr w14:paraId="55D2ADEF">
        <w:tblPrEx>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00F1BD">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50</w:t>
            </w:r>
          </w:p>
        </w:tc>
        <w:tc>
          <w:tcPr>
            <w:tcW w:w="2587" w:type="dxa"/>
            <w:tcBorders>
              <w:top w:val="single" w:color="000000" w:sz="4" w:space="0"/>
              <w:left w:val="single" w:color="000000" w:sz="4" w:space="0"/>
              <w:bottom w:val="single" w:color="000000" w:sz="4" w:space="0"/>
              <w:right w:val="single" w:color="000000" w:sz="4" w:space="0"/>
            </w:tcBorders>
            <w:noWrap/>
            <w:vAlign w:val="center"/>
          </w:tcPr>
          <w:p w14:paraId="63B24B4A">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其他</w:t>
            </w:r>
          </w:p>
        </w:tc>
        <w:tc>
          <w:tcPr>
            <w:tcW w:w="3638" w:type="dxa"/>
            <w:tcBorders>
              <w:top w:val="single" w:color="000000" w:sz="4" w:space="0"/>
              <w:left w:val="single" w:color="000000" w:sz="4" w:space="0"/>
              <w:bottom w:val="single" w:color="000000" w:sz="4" w:space="0"/>
              <w:right w:val="single" w:color="000000" w:sz="4" w:space="0"/>
            </w:tcBorders>
            <w:noWrap/>
            <w:vAlign w:val="center"/>
          </w:tcPr>
          <w:p w14:paraId="2A68ECEA">
            <w:pPr>
              <w:widowControl/>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351007E6">
            <w:pPr>
              <w:widowControl/>
              <w:jc w:val="center"/>
              <w:textAlignment w:val="center"/>
              <w:rPr>
                <w:rFonts w:hint="eastAsia" w:ascii="宋体" w:hAnsi="宋体" w:cs="宋体"/>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9B879C0">
            <w:pPr>
              <w:rPr>
                <w:rFonts w:hint="eastAsia" w:ascii="宋体" w:hAnsi="宋体" w:cs="宋体"/>
                <w:color w:val="000000"/>
                <w:sz w:val="24"/>
                <w:szCs w:val="24"/>
                <w:highlight w:val="none"/>
              </w:rPr>
            </w:pPr>
          </w:p>
        </w:tc>
      </w:tr>
    </w:tbl>
    <w:p w14:paraId="63CEDEC1">
      <w:pPr>
        <w:pStyle w:val="270"/>
        <w:adjustRightInd w:val="0"/>
        <w:snapToGrid w:val="0"/>
        <w:spacing w:line="360" w:lineRule="auto"/>
        <w:rPr>
          <w:rFonts w:hint="eastAsia" w:ascii="宋体" w:hAnsi="宋体" w:cs="宋体"/>
          <w:kern w:val="0"/>
          <w:szCs w:val="21"/>
          <w:highlight w:val="none"/>
        </w:rPr>
      </w:pPr>
    </w:p>
    <w:p w14:paraId="65C5AE2F">
      <w:pPr>
        <w:pStyle w:val="270"/>
        <w:adjustRightInd w:val="0"/>
        <w:snapToGrid w:val="0"/>
        <w:spacing w:line="360" w:lineRule="auto"/>
        <w:rPr>
          <w:rFonts w:hint="eastAsia" w:ascii="宋体" w:hAnsi="宋体"/>
          <w:highlight w:val="none"/>
        </w:rPr>
      </w:pPr>
    </w:p>
    <w:p w14:paraId="6C4D3B81">
      <w:pPr>
        <w:autoSpaceDE w:val="0"/>
        <w:autoSpaceDN w:val="0"/>
        <w:adjustRightInd w:val="0"/>
        <w:snapToGrid w:val="0"/>
        <w:spacing w:line="360" w:lineRule="auto"/>
        <w:ind w:firstLine="420" w:firstLineChars="200"/>
        <w:jc w:val="center"/>
        <w:rPr>
          <w:color w:val="000000" w:themeColor="text1"/>
          <w:highlight w:val="none"/>
          <w14:textFill>
            <w14:solidFill>
              <w14:schemeClr w14:val="tx1"/>
            </w14:solidFill>
          </w14:textFill>
        </w:rPr>
      </w:pPr>
      <w:r>
        <w:rPr>
          <w:rFonts w:ascii="宋体" w:hAnsi="宋体"/>
          <w:highlight w:val="none"/>
        </w:rPr>
        <w:br w:type="page"/>
      </w:r>
    </w:p>
    <w:p w14:paraId="3A6C3783">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404BDF56">
      <w:pPr>
        <w:pStyle w:val="19"/>
        <w:ind w:firstLine="480"/>
        <w:rPr>
          <w:color w:val="000000" w:themeColor="text1"/>
          <w:highlight w:val="none"/>
          <w14:textFill>
            <w14:solidFill>
              <w14:schemeClr w14:val="tx1"/>
            </w14:solidFill>
          </w14:textFill>
        </w:rPr>
      </w:pPr>
      <w:bookmarkStart w:id="8" w:name="_Toc513029243"/>
      <w:bookmarkStart w:id="9" w:name="_Toc16938559"/>
      <w:bookmarkStart w:id="10" w:name="_Toc20823315"/>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8"/>
    <w:bookmarkEnd w:id="9"/>
    <w:bookmarkEnd w:id="10"/>
    <w:p w14:paraId="14E38734">
      <w:pPr>
        <w:widowControl/>
        <w:snapToGrid w:val="0"/>
        <w:spacing w:before="19"/>
        <w:ind w:left="-358" w:leftChars="-255" w:right="-334" w:rightChars="-159" w:hanging="177" w:hangingChars="49"/>
        <w:jc w:val="center"/>
        <w:rPr>
          <w:rFonts w:ascii="仿宋_GB2312" w:eastAsia="仿宋_GB2312"/>
          <w:b/>
          <w:sz w:val="36"/>
          <w:highlight w:val="none"/>
        </w:rPr>
      </w:pPr>
      <w:bookmarkStart w:id="11" w:name="_Hlt16619369"/>
      <w:bookmarkEnd w:id="11"/>
      <w:r>
        <w:rPr>
          <w:rFonts w:hint="eastAsia" w:ascii="仿宋_GB2312" w:eastAsia="仿宋_GB2312"/>
          <w:b/>
          <w:sz w:val="36"/>
          <w:highlight w:val="none"/>
        </w:rPr>
        <w:t>南京邮电大学配电房维保服务合同</w:t>
      </w:r>
    </w:p>
    <w:p w14:paraId="5F12F38C">
      <w:pPr>
        <w:wordWrap w:val="0"/>
        <w:spacing w:line="360" w:lineRule="auto"/>
        <w:rPr>
          <w:rFonts w:hint="eastAsia" w:ascii="宋体" w:hAnsi="宋体" w:cs="宋体"/>
          <w:sz w:val="24"/>
          <w:szCs w:val="24"/>
          <w:highlight w:val="none"/>
        </w:rPr>
      </w:pPr>
      <w:r>
        <w:rPr>
          <w:rFonts w:hint="eastAsia" w:ascii="宋体" w:hAnsi="宋体" w:cs="宋体"/>
          <w:sz w:val="24"/>
          <w:szCs w:val="24"/>
          <w:highlight w:val="none"/>
        </w:rPr>
        <w:t>甲方：南京邮电大学                             签订地点：南京邮电大学</w:t>
      </w:r>
    </w:p>
    <w:p w14:paraId="1200A888">
      <w:pPr>
        <w:widowControl/>
        <w:snapToGrid w:val="0"/>
        <w:spacing w:before="19"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                                          </w:t>
      </w:r>
    </w:p>
    <w:p w14:paraId="1F6C6028">
      <w:pPr>
        <w:widowControl/>
        <w:spacing w:line="360" w:lineRule="auto"/>
        <w:jc w:val="left"/>
        <w:rPr>
          <w:rFonts w:hint="eastAsia" w:ascii="宋体" w:hAnsi="宋体" w:cs="宋体"/>
          <w:sz w:val="24"/>
          <w:szCs w:val="24"/>
          <w:highlight w:val="none"/>
        </w:rPr>
      </w:pPr>
      <w:r>
        <w:rPr>
          <w:rFonts w:hint="eastAsia" w:ascii="宋体" w:hAnsi="宋体" w:cs="宋体"/>
          <w:color w:val="000000"/>
          <w:sz w:val="24"/>
          <w:szCs w:val="24"/>
          <w:highlight w:val="none"/>
        </w:rPr>
        <w:t xml:space="preserve">一、合同标的 </w:t>
      </w:r>
    </w:p>
    <w:p w14:paraId="535C1046">
      <w:pPr>
        <w:widowControl/>
        <w:spacing w:line="360" w:lineRule="auto"/>
        <w:jc w:val="left"/>
        <w:rPr>
          <w:rFonts w:hint="eastAsia" w:ascii="宋体" w:hAnsi="宋体" w:cs="宋体"/>
          <w:sz w:val="24"/>
          <w:szCs w:val="24"/>
          <w:highlight w:val="none"/>
        </w:rPr>
      </w:pPr>
      <w:r>
        <w:rPr>
          <w:rFonts w:hint="eastAsia" w:ascii="宋体" w:hAnsi="宋体" w:cs="宋体"/>
          <w:color w:val="000000"/>
          <w:sz w:val="24"/>
          <w:szCs w:val="24"/>
          <w:highlight w:val="none"/>
        </w:rPr>
        <w:t xml:space="preserve">（一）乙方根据甲方需求提供下列服务（项目名称）： </w:t>
      </w:r>
    </w:p>
    <w:p w14:paraId="5E648957">
      <w:pPr>
        <w:widowControl/>
        <w:spacing w:line="360" w:lineRule="auto"/>
        <w:jc w:val="left"/>
        <w:rPr>
          <w:rFonts w:hint="eastAsia" w:ascii="宋体" w:hAnsi="宋体" w:cs="宋体"/>
          <w:sz w:val="24"/>
          <w:szCs w:val="24"/>
          <w:highlight w:val="none"/>
        </w:rPr>
      </w:pPr>
      <w:r>
        <w:rPr>
          <w:rFonts w:hint="eastAsia" w:ascii="宋体" w:hAnsi="宋体" w:cs="宋体"/>
          <w:color w:val="000000"/>
          <w:sz w:val="24"/>
          <w:szCs w:val="24"/>
          <w:highlight w:val="none"/>
        </w:rPr>
        <w:t xml:space="preserve">（二）项目内容： </w:t>
      </w:r>
    </w:p>
    <w:p w14:paraId="26B50741">
      <w:pPr>
        <w:widowControl/>
        <w:spacing w:line="360" w:lineRule="auto"/>
        <w:jc w:val="left"/>
        <w:rPr>
          <w:rFonts w:hint="eastAsia" w:ascii="宋体" w:hAnsi="宋体" w:cs="宋体"/>
          <w:sz w:val="24"/>
          <w:szCs w:val="24"/>
          <w:highlight w:val="none"/>
        </w:rPr>
      </w:pPr>
      <w:r>
        <w:rPr>
          <w:rFonts w:hint="eastAsia" w:ascii="宋体" w:hAnsi="宋体" w:cs="宋体"/>
          <w:color w:val="000000"/>
          <w:sz w:val="24"/>
          <w:szCs w:val="24"/>
          <w:highlight w:val="none"/>
        </w:rPr>
        <w:t xml:space="preserve">（三）合同履行期限：服务期 1年， </w:t>
      </w:r>
    </w:p>
    <w:p w14:paraId="2D0F4C50">
      <w:pPr>
        <w:widowControl/>
        <w:spacing w:line="360" w:lineRule="auto"/>
        <w:jc w:val="left"/>
        <w:rPr>
          <w:rFonts w:hint="eastAsia" w:ascii="宋体" w:hAnsi="宋体" w:cs="宋体"/>
          <w:sz w:val="24"/>
          <w:szCs w:val="24"/>
          <w:highlight w:val="none"/>
        </w:rPr>
      </w:pPr>
      <w:r>
        <w:rPr>
          <w:rFonts w:hint="eastAsia" w:ascii="宋体" w:hAnsi="宋体" w:cs="宋体"/>
          <w:color w:val="000000"/>
          <w:sz w:val="24"/>
          <w:szCs w:val="24"/>
          <w:highlight w:val="none"/>
        </w:rPr>
        <w:t xml:space="preserve">二、合同总价款 </w:t>
      </w:r>
    </w:p>
    <w:p w14:paraId="0B1BAD0A">
      <w:pPr>
        <w:widowControl/>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合同价为：人民币（大写） 整(¥ )；</w:t>
      </w:r>
    </w:p>
    <w:p w14:paraId="3BCA4B25">
      <w:pPr>
        <w:widowControl/>
        <w:spacing w:line="360" w:lineRule="auto"/>
        <w:jc w:val="left"/>
        <w:rPr>
          <w:rFonts w:hint="eastAsia" w:ascii="宋体" w:hAnsi="宋体" w:cs="宋体"/>
          <w:sz w:val="24"/>
          <w:szCs w:val="24"/>
          <w:highlight w:val="none"/>
        </w:rPr>
      </w:pPr>
      <w:r>
        <w:rPr>
          <w:rFonts w:hint="eastAsia" w:ascii="宋体" w:hAnsi="宋体" w:cs="宋体"/>
          <w:color w:val="000000"/>
          <w:sz w:val="24"/>
          <w:szCs w:val="24"/>
          <w:highlight w:val="none"/>
        </w:rPr>
        <w:t xml:space="preserve">本合同总价款是完成本项目所发生的所有含税费用、支付给员工的工资和国家强制缴纳的各种社会保 障资金，以及甲方认为需要的其他费用等。 本合同执行期间合同总价款不变。 </w:t>
      </w:r>
    </w:p>
    <w:p w14:paraId="1FA6B4D3">
      <w:pPr>
        <w:snapToGrid w:val="0"/>
        <w:spacing w:line="360" w:lineRule="auto"/>
        <w:rPr>
          <w:rFonts w:hint="eastAsia" w:ascii="宋体" w:hAnsi="宋体" w:cs="宋体"/>
          <w:b/>
          <w:sz w:val="24"/>
          <w:szCs w:val="24"/>
          <w:highlight w:val="none"/>
        </w:rPr>
      </w:pPr>
      <w:r>
        <w:rPr>
          <w:rFonts w:hint="eastAsia" w:ascii="宋体" w:hAnsi="宋体" w:cs="宋体"/>
          <w:b/>
          <w:sz w:val="24"/>
          <w:szCs w:val="24"/>
          <w:highlight w:val="none"/>
        </w:rPr>
        <w:t>三、服务内容</w:t>
      </w:r>
    </w:p>
    <w:p w14:paraId="3C876F7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1、服务期限：本项目服务期限：</w:t>
      </w:r>
      <w:r>
        <w:rPr>
          <w:rFonts w:hint="eastAsia" w:ascii="宋体" w:hAnsi="宋体" w:cs="宋体"/>
          <w:sz w:val="24"/>
          <w:szCs w:val="24"/>
          <w:highlight w:val="none"/>
          <w:u w:val="single"/>
        </w:rPr>
        <w:t xml:space="preserve">  年  月   日至    年  月  日</w:t>
      </w:r>
      <w:r>
        <w:rPr>
          <w:rFonts w:hint="eastAsia" w:ascii="宋体" w:hAnsi="宋体" w:cs="宋体"/>
          <w:sz w:val="24"/>
          <w:szCs w:val="24"/>
          <w:highlight w:val="none"/>
        </w:rPr>
        <w:t>。如果任何一方需要终止或中止本合同；应提前</w:t>
      </w:r>
      <w:r>
        <w:rPr>
          <w:rFonts w:hint="eastAsia" w:ascii="宋体" w:hAnsi="宋体" w:cs="宋体"/>
          <w:sz w:val="24"/>
          <w:szCs w:val="24"/>
          <w:highlight w:val="none"/>
          <w:u w:val="single"/>
        </w:rPr>
        <w:t>15</w:t>
      </w:r>
      <w:r>
        <w:rPr>
          <w:rFonts w:hint="eastAsia" w:ascii="宋体" w:hAnsi="宋体" w:cs="宋体"/>
          <w:sz w:val="24"/>
          <w:szCs w:val="24"/>
          <w:highlight w:val="none"/>
        </w:rPr>
        <w:t>天书面通知对方。</w:t>
      </w:r>
    </w:p>
    <w:p w14:paraId="6127DF8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2、乙方所提供的服务必须与采购文件和承诺相一致。</w:t>
      </w:r>
    </w:p>
    <w:p w14:paraId="41E54DF0">
      <w:pPr>
        <w:snapToGrid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3、如果乙方在工作中因自身过错而发生任何错误或遗漏，乙方应无条件更正，而不得向甲方另外收取服务费，并就因此而对甲方造成的损失承担赔偿责任。</w:t>
      </w:r>
    </w:p>
    <w:p w14:paraId="6D8910C1">
      <w:pPr>
        <w:snapToGrid w:val="0"/>
        <w:spacing w:line="360" w:lineRule="auto"/>
        <w:ind w:firstLine="480"/>
        <w:rPr>
          <w:rFonts w:hint="eastAsia" w:ascii="宋体" w:hAnsi="宋体" w:cs="宋体"/>
          <w:b/>
          <w:sz w:val="24"/>
          <w:szCs w:val="24"/>
          <w:highlight w:val="none"/>
        </w:rPr>
      </w:pPr>
      <w:r>
        <w:rPr>
          <w:rFonts w:hint="eastAsia" w:ascii="宋体" w:hAnsi="宋体" w:cs="宋体"/>
          <w:b/>
          <w:sz w:val="24"/>
          <w:szCs w:val="24"/>
          <w:highlight w:val="none"/>
        </w:rPr>
        <w:t>第二条 服务费及支付方式</w:t>
      </w:r>
    </w:p>
    <w:p w14:paraId="7D414421">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rPr>
        <w:t>1、</w:t>
      </w:r>
      <w:r>
        <w:rPr>
          <w:rFonts w:hint="eastAsia" w:ascii="宋体" w:hAnsi="宋体" w:cs="宋体"/>
          <w:b/>
          <w:sz w:val="24"/>
          <w:szCs w:val="24"/>
          <w:highlight w:val="none"/>
        </w:rPr>
        <w:t>服务费：</w:t>
      </w:r>
      <w:r>
        <w:rPr>
          <w:rFonts w:hint="eastAsia" w:ascii="宋体" w:hAnsi="宋体" w:cs="宋体"/>
          <w:sz w:val="24"/>
          <w:szCs w:val="24"/>
          <w:highlight w:val="none"/>
        </w:rPr>
        <w:t>本项目服务费合计金额为人民币</w:t>
      </w:r>
      <w:r>
        <w:rPr>
          <w:rFonts w:hint="eastAsia" w:ascii="宋体" w:hAnsi="宋体" w:cs="宋体"/>
          <w:sz w:val="24"/>
          <w:szCs w:val="24"/>
          <w:highlight w:val="none"/>
          <w:u w:val="single"/>
        </w:rPr>
        <w:t>（大写）：元整；（小写）：元整。</w:t>
      </w:r>
    </w:p>
    <w:p w14:paraId="0A09FB9D">
      <w:pPr>
        <w:spacing w:line="360" w:lineRule="auto"/>
        <w:ind w:firstLine="560"/>
        <w:rPr>
          <w:rFonts w:hint="eastAsia" w:ascii="宋体" w:hAnsi="宋体" w:cs="宋体"/>
          <w:sz w:val="24"/>
          <w:szCs w:val="24"/>
          <w:highlight w:val="none"/>
          <w:u w:val="single"/>
        </w:rPr>
      </w:pPr>
      <w:r>
        <w:rPr>
          <w:rFonts w:hint="eastAsia" w:ascii="宋体" w:hAnsi="宋体" w:cs="宋体"/>
          <w:sz w:val="24"/>
          <w:szCs w:val="24"/>
          <w:highlight w:val="none"/>
        </w:rPr>
        <w:t>服务费具体的付款方式：</w:t>
      </w:r>
      <w:r>
        <w:rPr>
          <w:rFonts w:hint="eastAsia" w:ascii="宋体" w:hAnsi="宋体" w:cs="宋体"/>
          <w:sz w:val="24"/>
          <w:szCs w:val="24"/>
          <w:highlight w:val="none"/>
          <w:u w:val="single"/>
        </w:rPr>
        <w:t>详见采购需求</w:t>
      </w:r>
    </w:p>
    <w:p w14:paraId="2AF8A556">
      <w:pPr>
        <w:snapToGrid w:val="0"/>
        <w:spacing w:line="360" w:lineRule="auto"/>
        <w:ind w:left="-61" w:leftChars="-29" w:firstLine="588"/>
        <w:rPr>
          <w:rFonts w:hint="eastAsia" w:ascii="宋体" w:hAnsi="宋体" w:cs="宋体"/>
          <w:b/>
          <w:sz w:val="24"/>
          <w:szCs w:val="24"/>
          <w:highlight w:val="none"/>
        </w:rPr>
      </w:pPr>
      <w:bookmarkStart w:id="12" w:name="_Hlk66364726"/>
      <w:r>
        <w:rPr>
          <w:rFonts w:hint="eastAsia" w:ascii="宋体" w:hAnsi="宋体" w:cs="宋体"/>
          <w:b/>
          <w:sz w:val="24"/>
          <w:szCs w:val="24"/>
          <w:highlight w:val="none"/>
        </w:rPr>
        <w:t>第三条 履约保证金</w:t>
      </w:r>
    </w:p>
    <w:bookmarkEnd w:id="12"/>
    <w:p w14:paraId="1534BFA9">
      <w:pPr>
        <w:snapToGrid w:val="0"/>
        <w:spacing w:line="360" w:lineRule="auto"/>
        <w:ind w:left="-61" w:leftChars="-29" w:firstLine="588" w:firstLineChars="245"/>
        <w:rPr>
          <w:rFonts w:hint="eastAsia" w:ascii="宋体" w:hAnsi="宋体" w:cs="宋体"/>
          <w:sz w:val="24"/>
          <w:szCs w:val="24"/>
          <w:highlight w:val="none"/>
        </w:rPr>
      </w:pPr>
      <w:bookmarkStart w:id="13" w:name="_Hlk57985297"/>
      <w:r>
        <w:rPr>
          <w:rFonts w:hint="eastAsia" w:ascii="宋体" w:hAnsi="宋体" w:cs="宋体"/>
          <w:sz w:val="24"/>
          <w:szCs w:val="24"/>
          <w:highlight w:val="none"/>
        </w:rPr>
        <w:t>乙方在签订合同之前，向甲方缴纳合同金额的10%为履约保证金，</w:t>
      </w:r>
      <w:bookmarkEnd w:id="13"/>
      <w:r>
        <w:rPr>
          <w:rFonts w:hint="eastAsia" w:ascii="宋体" w:hAnsi="宋体" w:cs="宋体"/>
          <w:sz w:val="24"/>
          <w:szCs w:val="24"/>
          <w:highlight w:val="none"/>
        </w:rPr>
        <w:t>待服务期满后无息返还。</w:t>
      </w:r>
    </w:p>
    <w:p w14:paraId="189CD168">
      <w:pPr>
        <w:snapToGrid w:val="0"/>
        <w:spacing w:line="360" w:lineRule="auto"/>
        <w:ind w:left="-61" w:leftChars="-29" w:firstLine="588"/>
        <w:rPr>
          <w:rFonts w:hint="eastAsia" w:ascii="宋体" w:hAnsi="宋体" w:cs="宋体"/>
          <w:b/>
          <w:sz w:val="24"/>
          <w:szCs w:val="24"/>
          <w:highlight w:val="none"/>
        </w:rPr>
      </w:pPr>
      <w:r>
        <w:rPr>
          <w:rFonts w:hint="eastAsia" w:ascii="宋体" w:hAnsi="宋体" w:cs="宋体"/>
          <w:b/>
          <w:sz w:val="24"/>
          <w:szCs w:val="24"/>
          <w:highlight w:val="none"/>
        </w:rPr>
        <w:t>第四条 甲方的权利和义务</w:t>
      </w:r>
    </w:p>
    <w:p w14:paraId="55224856">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1、负责检查、监督乙方履行合同情况以及停送电票的签发；</w:t>
      </w:r>
    </w:p>
    <w:p w14:paraId="57E58962">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2、有权依据合同对乙方的违约行为进行经济处罚，如情节严重的，可单方面终止合同；</w:t>
      </w:r>
    </w:p>
    <w:p w14:paraId="556953DC">
      <w:pPr>
        <w:snapToGrid w:val="0"/>
        <w:spacing w:line="360" w:lineRule="auto"/>
        <w:ind w:left="-61" w:leftChars="-29" w:firstLine="590" w:firstLineChars="245"/>
        <w:rPr>
          <w:rFonts w:hint="eastAsia" w:ascii="宋体" w:hAnsi="宋体" w:cs="宋体"/>
          <w:b/>
          <w:sz w:val="24"/>
          <w:szCs w:val="24"/>
          <w:highlight w:val="none"/>
        </w:rPr>
      </w:pPr>
      <w:r>
        <w:rPr>
          <w:rFonts w:hint="eastAsia" w:ascii="宋体" w:hAnsi="宋体" w:cs="宋体"/>
          <w:b/>
          <w:sz w:val="24"/>
          <w:szCs w:val="24"/>
          <w:highlight w:val="none"/>
        </w:rPr>
        <w:t>第五条 乙方的权利和义务</w:t>
      </w:r>
    </w:p>
    <w:p w14:paraId="458353BB">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 xml:space="preserve">1、乙方须根据甲方本项目招标范围内的供配电运行情况，负责检查设施设备的隐患、缺陷，并予以消除和维护的方案及预算清单，确保服务期内运行安全稳定。 </w:t>
      </w:r>
    </w:p>
    <w:p w14:paraId="2E5C152D">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2、乙方保证严格按委托方提出的管理要求，合法自主管理，自觉遵守法律法规，并接受委托方的监督考核。</w:t>
      </w:r>
    </w:p>
    <w:p w14:paraId="56544E9E">
      <w:pPr>
        <w:widowControl/>
        <w:snapToGrid w:val="0"/>
        <w:spacing w:line="360" w:lineRule="auto"/>
        <w:ind w:left="-61" w:leftChars="-29" w:firstLine="588" w:firstLineChars="245"/>
        <w:jc w:val="left"/>
        <w:rPr>
          <w:rFonts w:hint="eastAsia" w:ascii="宋体" w:hAnsi="宋体" w:cs="宋体"/>
          <w:sz w:val="24"/>
          <w:szCs w:val="24"/>
          <w:highlight w:val="none"/>
        </w:rPr>
      </w:pPr>
      <w:r>
        <w:rPr>
          <w:rFonts w:hint="eastAsia" w:ascii="宋体" w:hAnsi="宋体" w:cs="宋体"/>
          <w:sz w:val="24"/>
          <w:szCs w:val="24"/>
          <w:highlight w:val="none"/>
        </w:rPr>
        <w:t>3、乙方的项目经理_____和现场负责人_____负责</w:t>
      </w:r>
      <w:r>
        <w:rPr>
          <w:rFonts w:hint="eastAsia" w:ascii="宋体" w:hAnsi="宋体" w:cs="宋体"/>
          <w:color w:val="000000"/>
          <w:sz w:val="24"/>
          <w:szCs w:val="24"/>
          <w:highlight w:val="none"/>
        </w:rPr>
        <w:t>现场勘查、项目安排，提交巡检报告和消缺建议书等，并负责管理乙方现场工作人员，保证项目质量、安全、进度等。</w:t>
      </w:r>
    </w:p>
    <w:p w14:paraId="74A4984E">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color w:val="000000"/>
          <w:sz w:val="24"/>
          <w:szCs w:val="24"/>
          <w:highlight w:val="none"/>
        </w:rPr>
        <w:t xml:space="preserve">4.乙方无正当理由撤换项目现场负责人的违约责任：甲方有权解除合同，追究违约责任，并报监管部 门备案。如有特殊原因确需更换，乙方应向甲方提出书面申请，甲方同意后方可更换。 </w:t>
      </w:r>
    </w:p>
    <w:p w14:paraId="13CA7455">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5、乙方停、送电工作必须听从甲方管理人员的统一调度，凭停、送电票进行操作，不得擅自停、送电（特殊情况除外）；</w:t>
      </w:r>
    </w:p>
    <w:p w14:paraId="0E8CF092">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6、乙方必须做好安全生产工作，严格遵守各项规章制度，因乙方失职或其它原因导致工作中发生的一切安全责任事故和财产损失，均由乙方负责并进行相应的赔偿；</w:t>
      </w:r>
    </w:p>
    <w:p w14:paraId="00547333">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7、乙方人员必须遵守学校规章制度和外来务工人员的管理规定，严禁一切违规事件发生；</w:t>
      </w:r>
    </w:p>
    <w:p w14:paraId="4C3A5D55">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8、依据合同接受甲方的监督、检查、协调，对甲方提出的问题及时进行整改；</w:t>
      </w:r>
    </w:p>
    <w:p w14:paraId="325F1DBC">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9、自备日常维修、检测工具，以保证工作的正常进行；</w:t>
      </w:r>
    </w:p>
    <w:p w14:paraId="0F7BACCB">
      <w:pPr>
        <w:snapToGrid w:val="0"/>
        <w:spacing w:line="360" w:lineRule="auto"/>
        <w:ind w:left="-61" w:leftChars="-29" w:firstLine="588" w:firstLineChars="245"/>
        <w:rPr>
          <w:rFonts w:hint="eastAsia" w:ascii="宋体" w:hAnsi="宋体" w:cs="宋体"/>
          <w:sz w:val="24"/>
          <w:szCs w:val="24"/>
          <w:highlight w:val="none"/>
        </w:rPr>
      </w:pPr>
      <w:r>
        <w:rPr>
          <w:rFonts w:hint="eastAsia" w:ascii="宋体" w:hAnsi="宋体" w:cs="宋体"/>
          <w:sz w:val="24"/>
          <w:szCs w:val="24"/>
          <w:highlight w:val="none"/>
        </w:rPr>
        <w:t>10、全年实行每日24小时应急服务（包括法定的节假日），至少保证两名技术全面、精湛的维修电工负责日常维修等工作。</w:t>
      </w:r>
    </w:p>
    <w:p w14:paraId="4449A24A">
      <w:pPr>
        <w:snapToGrid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第六条 合同的变更、终止与转让</w:t>
      </w:r>
    </w:p>
    <w:p w14:paraId="785FBC88">
      <w:pPr>
        <w:snapToGrid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1、本合同一经签订，甲乙双方不得擅自变更、中止或终止。</w:t>
      </w:r>
    </w:p>
    <w:p w14:paraId="49178B2C">
      <w:pPr>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2、乙方不得擅自转让其应履行的合同义务。</w:t>
      </w:r>
    </w:p>
    <w:p w14:paraId="2FFACF77">
      <w:pPr>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3、双方除非事先得到对方的书面同意或本合同另有约定，任何一方不得将本合同项下的任何权利、义务、责任转让给任何第三方。</w:t>
      </w:r>
    </w:p>
    <w:p w14:paraId="613030E3">
      <w:pPr>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4、乙方逾期未完成约定义务超过</w:t>
      </w:r>
      <w:r>
        <w:rPr>
          <w:rFonts w:hint="eastAsia" w:ascii="宋体" w:hAnsi="宋体" w:cs="宋体"/>
          <w:sz w:val="24"/>
          <w:szCs w:val="24"/>
          <w:highlight w:val="none"/>
          <w:u w:val="single"/>
        </w:rPr>
        <w:t>7个工作日</w:t>
      </w:r>
      <w:r>
        <w:rPr>
          <w:rFonts w:hint="eastAsia" w:ascii="宋体" w:hAnsi="宋体" w:cs="宋体"/>
          <w:sz w:val="24"/>
          <w:szCs w:val="24"/>
          <w:highlight w:val="none"/>
        </w:rPr>
        <w:t>，甲方有权单方解除本合同。</w:t>
      </w:r>
    </w:p>
    <w:p w14:paraId="2A3E9177">
      <w:pPr>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5、乙方履行本合同约定义务时，未达到甲方要求，半年度考核“不合格”者，修改或整改超过</w:t>
      </w:r>
      <w:r>
        <w:rPr>
          <w:rFonts w:hint="eastAsia" w:ascii="宋体" w:hAnsi="宋体" w:cs="宋体"/>
          <w:sz w:val="24"/>
          <w:szCs w:val="24"/>
          <w:highlight w:val="none"/>
          <w:u w:val="single"/>
        </w:rPr>
        <w:t>3次</w:t>
      </w:r>
      <w:r>
        <w:rPr>
          <w:rFonts w:hint="eastAsia" w:ascii="宋体" w:hAnsi="宋体" w:cs="宋体"/>
          <w:sz w:val="24"/>
          <w:szCs w:val="24"/>
          <w:highlight w:val="none"/>
        </w:rPr>
        <w:t>，仍然无法达到甲方要求，甲方有权单方解除本合同。</w:t>
      </w:r>
    </w:p>
    <w:p w14:paraId="7F1E1232">
      <w:pPr>
        <w:snapToGrid w:val="0"/>
        <w:spacing w:line="360" w:lineRule="auto"/>
        <w:ind w:left="560"/>
        <w:rPr>
          <w:rFonts w:hint="eastAsia" w:ascii="宋体" w:hAnsi="宋体" w:cs="宋体"/>
          <w:b/>
          <w:sz w:val="24"/>
          <w:szCs w:val="24"/>
          <w:highlight w:val="none"/>
        </w:rPr>
      </w:pPr>
      <w:r>
        <w:rPr>
          <w:rFonts w:hint="eastAsia" w:ascii="宋体" w:hAnsi="宋体" w:cs="宋体"/>
          <w:b/>
          <w:sz w:val="24"/>
          <w:szCs w:val="24"/>
          <w:highlight w:val="none"/>
        </w:rPr>
        <w:t>第七条 违约责任</w:t>
      </w:r>
    </w:p>
    <w:p w14:paraId="54AB342B">
      <w:pPr>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 </w:t>
      </w:r>
    </w:p>
    <w:p w14:paraId="3B487228">
      <w:pPr>
        <w:snapToGrid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2、乙方如果未按本合同约定的服务内容和方式履行合同项下义务，则甲方可以采取必要的补救措施，由此产生的风险和费用将由乙方承担。同时，甲方有权决定是否继续履行合同。如果</w:t>
      </w:r>
      <w:r>
        <w:rPr>
          <w:rFonts w:hint="eastAsia" w:ascii="宋体" w:hAnsi="宋体" w:cs="宋体"/>
          <w:color w:val="FF0000"/>
          <w:sz w:val="24"/>
          <w:szCs w:val="24"/>
          <w:highlight w:val="none"/>
        </w:rPr>
        <w:t>甲方</w:t>
      </w:r>
      <w:r>
        <w:rPr>
          <w:rFonts w:hint="eastAsia" w:ascii="宋体" w:hAnsi="宋体" w:cs="宋体"/>
          <w:sz w:val="24"/>
          <w:szCs w:val="24"/>
          <w:highlight w:val="none"/>
        </w:rPr>
        <w:t>解除合同，则乙方应承担由此而给甲方造成的损失。</w:t>
      </w:r>
    </w:p>
    <w:p w14:paraId="2D4E9483">
      <w:pPr>
        <w:snapToGrid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3、乙方逾期完成服务的，乙方应按本合同约定服务费总金额每日</w:t>
      </w:r>
      <w:r>
        <w:rPr>
          <w:rFonts w:hint="eastAsia" w:ascii="宋体" w:hAnsi="宋体" w:cs="宋体"/>
          <w:sz w:val="24"/>
          <w:szCs w:val="24"/>
          <w:highlight w:val="none"/>
          <w:u w:val="single"/>
        </w:rPr>
        <w:t>1‰</w:t>
      </w:r>
      <w:r>
        <w:rPr>
          <w:rFonts w:hint="eastAsia" w:ascii="宋体" w:hAnsi="宋体" w:cs="宋体"/>
          <w:sz w:val="24"/>
          <w:szCs w:val="24"/>
          <w:highlight w:val="none"/>
        </w:rPr>
        <w:t>比例向甲方支付违约金，由甲方从待付款中扣除；逾期超过约定日期</w:t>
      </w:r>
      <w:r>
        <w:rPr>
          <w:rFonts w:hint="eastAsia" w:ascii="宋体" w:hAnsi="宋体" w:cs="宋体"/>
          <w:sz w:val="24"/>
          <w:szCs w:val="24"/>
          <w:highlight w:val="none"/>
          <w:u w:val="single"/>
        </w:rPr>
        <w:t>7个工作日</w:t>
      </w:r>
      <w:r>
        <w:rPr>
          <w:rFonts w:hint="eastAsia" w:ascii="宋体" w:hAnsi="宋体" w:cs="宋体"/>
          <w:sz w:val="24"/>
          <w:szCs w:val="24"/>
          <w:highlight w:val="none"/>
        </w:rPr>
        <w:t>不能完成服务的，甲方可解除本合同。</w:t>
      </w:r>
    </w:p>
    <w:p w14:paraId="2FF5D63C">
      <w:pPr>
        <w:snapToGrid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4、乙方因逾期完成相应服务或因其他违约行为导致甲方解除合同的，则不予退回履约保证金，如造成甲方损失超过违约金的，超出部分由乙方继续承担赔偿责任。</w:t>
      </w:r>
    </w:p>
    <w:p w14:paraId="282D7269">
      <w:pPr>
        <w:snapToGrid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第八条 争议处理</w:t>
      </w:r>
    </w:p>
    <w:p w14:paraId="0D2C3EE4">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甲乙双方如对本合同约定条款的理解存在歧义或在本合同履行过程中发生争议，双方应友好协商解决，协商不能解决的，任何一方均可向甲方所在地人民法院提起诉讼。</w:t>
      </w:r>
    </w:p>
    <w:p w14:paraId="5E47DB87">
      <w:pPr>
        <w:snapToGrid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第九条 不可抗力</w:t>
      </w:r>
    </w:p>
    <w:p w14:paraId="084FD652">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不可抗力”是指所有超出本合同双方控制范围的事件，该事件应不可预见，或虽然可以预见，但通过合理努力无法阻止或避免其发生，且这类事件发生于本合同签字之后，并且阻止任何一方全部或部分履行本合同。</w:t>
      </w:r>
    </w:p>
    <w:p w14:paraId="1977A344">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p>
    <w:p w14:paraId="745F5287">
      <w:pPr>
        <w:snapToGrid w:val="0"/>
        <w:spacing w:line="360" w:lineRule="auto"/>
        <w:ind w:firstLine="482" w:firstLineChars="200"/>
        <w:rPr>
          <w:rFonts w:hint="eastAsia" w:ascii="宋体" w:hAnsi="宋体" w:cs="宋体"/>
          <w:sz w:val="24"/>
          <w:szCs w:val="24"/>
          <w:highlight w:val="none"/>
        </w:rPr>
      </w:pPr>
      <w:r>
        <w:rPr>
          <w:rFonts w:hint="eastAsia" w:ascii="宋体" w:hAnsi="宋体" w:cs="宋体"/>
          <w:b/>
          <w:sz w:val="24"/>
          <w:szCs w:val="24"/>
          <w:highlight w:val="none"/>
        </w:rPr>
        <w:t>第十条 其他</w:t>
      </w:r>
    </w:p>
    <w:p w14:paraId="76717AFC">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1、本合同未尽事宜，由甲乙双方负责人协商后达成书面补充协议，补充协议具备与本合同同等法律效力。</w:t>
      </w:r>
    </w:p>
    <w:p w14:paraId="6FA478E5">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2、对本合同内容的任何修改和变更需要用书面形式，并经双方签字盖章后生效。</w:t>
      </w:r>
    </w:p>
    <w:p w14:paraId="4FD0CB8F">
      <w:pPr>
        <w:snapToGrid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第十一条 签订本合同依据</w:t>
      </w:r>
    </w:p>
    <w:p w14:paraId="08163E97">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1、甲方发出的采购文件、中标（成交）通知书；</w:t>
      </w:r>
    </w:p>
    <w:p w14:paraId="57C84C03">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2、乙方提供的投标（响应）文件；</w:t>
      </w:r>
    </w:p>
    <w:p w14:paraId="2F06ACFB">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3、投标承诺书。</w:t>
      </w:r>
    </w:p>
    <w:p w14:paraId="4EE43BC7">
      <w:pPr>
        <w:snapToGrid w:val="0"/>
        <w:spacing w:line="360" w:lineRule="auto"/>
        <w:ind w:firstLine="482" w:firstLineChars="200"/>
        <w:rPr>
          <w:rFonts w:hint="eastAsia" w:ascii="宋体" w:hAnsi="宋体" w:cs="宋体"/>
          <w:sz w:val="24"/>
          <w:szCs w:val="24"/>
          <w:highlight w:val="none"/>
        </w:rPr>
      </w:pPr>
      <w:r>
        <w:rPr>
          <w:rFonts w:hint="eastAsia" w:ascii="宋体" w:hAnsi="宋体" w:cs="宋体"/>
          <w:b/>
          <w:sz w:val="24"/>
          <w:szCs w:val="24"/>
          <w:highlight w:val="none"/>
        </w:rPr>
        <w:t>第十二条　</w:t>
      </w:r>
      <w:r>
        <w:rPr>
          <w:rFonts w:hint="eastAsia" w:ascii="宋体" w:hAnsi="宋体" w:cs="宋体"/>
          <w:sz w:val="24"/>
          <w:szCs w:val="24"/>
          <w:highlight w:val="none"/>
        </w:rPr>
        <w:t>本合同一式</w:t>
      </w:r>
      <w:r>
        <w:rPr>
          <w:rFonts w:hint="eastAsia" w:ascii="宋体" w:hAnsi="宋体" w:cs="宋体"/>
          <w:sz w:val="24"/>
          <w:szCs w:val="24"/>
          <w:highlight w:val="none"/>
          <w:u w:val="single"/>
        </w:rPr>
        <w:t xml:space="preserve"> 陆 </w:t>
      </w:r>
      <w:r>
        <w:rPr>
          <w:rFonts w:hint="eastAsia" w:ascii="宋体" w:hAnsi="宋体" w:cs="宋体"/>
          <w:sz w:val="24"/>
          <w:szCs w:val="24"/>
          <w:highlight w:val="none"/>
        </w:rPr>
        <w:t>份，甲方</w:t>
      </w:r>
      <w:r>
        <w:rPr>
          <w:rFonts w:hint="eastAsia" w:ascii="宋体" w:hAnsi="宋体" w:cs="宋体"/>
          <w:sz w:val="24"/>
          <w:szCs w:val="24"/>
          <w:highlight w:val="none"/>
          <w:u w:val="single"/>
        </w:rPr>
        <w:t>肆</w:t>
      </w:r>
      <w:r>
        <w:rPr>
          <w:rFonts w:hint="eastAsia" w:ascii="宋体" w:hAnsi="宋体" w:cs="宋体"/>
          <w:sz w:val="24"/>
          <w:szCs w:val="24"/>
          <w:highlight w:val="none"/>
        </w:rPr>
        <w:t>份，乙方</w:t>
      </w:r>
      <w:r>
        <w:rPr>
          <w:rFonts w:hint="eastAsia" w:ascii="宋体" w:hAnsi="宋体" w:cs="宋体"/>
          <w:sz w:val="24"/>
          <w:szCs w:val="24"/>
          <w:highlight w:val="none"/>
          <w:u w:val="single"/>
        </w:rPr>
        <w:t xml:space="preserve"> 贰 </w:t>
      </w:r>
      <w:r>
        <w:rPr>
          <w:rFonts w:hint="eastAsia" w:ascii="宋体" w:hAnsi="宋体" w:cs="宋体"/>
          <w:sz w:val="24"/>
          <w:szCs w:val="24"/>
          <w:highlight w:val="none"/>
        </w:rPr>
        <w:t>份。（如有需要可另增加）</w:t>
      </w:r>
    </w:p>
    <w:p w14:paraId="5CB5B4DF">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本合同自甲乙双方签字盖章后生效。</w:t>
      </w:r>
    </w:p>
    <w:tbl>
      <w:tblPr>
        <w:tblStyle w:val="43"/>
        <w:tblW w:w="9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20E9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61" w:hRule="atLeast"/>
        </w:trPr>
        <w:tc>
          <w:tcPr>
            <w:tcW w:w="4516" w:type="dxa"/>
            <w:noWrap/>
            <w:vAlign w:val="center"/>
          </w:tcPr>
          <w:p w14:paraId="01273FDD">
            <w:pPr>
              <w:spacing w:line="360" w:lineRule="auto"/>
              <w:rPr>
                <w:szCs w:val="21"/>
                <w:highlight w:val="none"/>
              </w:rPr>
            </w:pPr>
            <w:r>
              <w:rPr>
                <w:szCs w:val="21"/>
                <w:highlight w:val="none"/>
              </w:rPr>
              <w:t>甲方（公章）</w:t>
            </w:r>
          </w:p>
          <w:p w14:paraId="71B94BAE">
            <w:pPr>
              <w:spacing w:line="360" w:lineRule="auto"/>
              <w:ind w:firstLine="560"/>
              <w:rPr>
                <w:szCs w:val="21"/>
                <w:highlight w:val="none"/>
              </w:rPr>
            </w:pPr>
          </w:p>
          <w:p w14:paraId="7626D43C">
            <w:pPr>
              <w:spacing w:line="360" w:lineRule="auto"/>
              <w:ind w:firstLine="525" w:firstLineChars="250"/>
              <w:rPr>
                <w:szCs w:val="21"/>
                <w:highlight w:val="none"/>
              </w:rPr>
            </w:pPr>
            <w:r>
              <w:rPr>
                <w:szCs w:val="21"/>
                <w:highlight w:val="none"/>
              </w:rPr>
              <w:t>年 月 日</w:t>
            </w:r>
          </w:p>
        </w:tc>
        <w:tc>
          <w:tcPr>
            <w:tcW w:w="4517" w:type="dxa"/>
            <w:noWrap/>
            <w:vAlign w:val="center"/>
          </w:tcPr>
          <w:p w14:paraId="5BF2221B">
            <w:pPr>
              <w:spacing w:line="360" w:lineRule="auto"/>
              <w:rPr>
                <w:szCs w:val="21"/>
                <w:highlight w:val="none"/>
              </w:rPr>
            </w:pPr>
            <w:r>
              <w:rPr>
                <w:szCs w:val="21"/>
                <w:highlight w:val="none"/>
              </w:rPr>
              <w:t>乙方（公章）</w:t>
            </w:r>
          </w:p>
          <w:p w14:paraId="63B19313">
            <w:pPr>
              <w:spacing w:line="360" w:lineRule="auto"/>
              <w:ind w:firstLine="560"/>
              <w:rPr>
                <w:szCs w:val="21"/>
                <w:highlight w:val="none"/>
              </w:rPr>
            </w:pPr>
          </w:p>
          <w:p w14:paraId="5BB5C66C">
            <w:pPr>
              <w:spacing w:line="360" w:lineRule="auto"/>
              <w:ind w:firstLine="525" w:firstLineChars="250"/>
              <w:rPr>
                <w:szCs w:val="21"/>
                <w:highlight w:val="none"/>
              </w:rPr>
            </w:pPr>
            <w:r>
              <w:rPr>
                <w:szCs w:val="21"/>
                <w:highlight w:val="none"/>
              </w:rPr>
              <w:t>年 月 日</w:t>
            </w:r>
          </w:p>
        </w:tc>
      </w:tr>
      <w:tr w14:paraId="06B2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atLeast"/>
        </w:trPr>
        <w:tc>
          <w:tcPr>
            <w:tcW w:w="4516" w:type="dxa"/>
            <w:noWrap/>
            <w:vAlign w:val="center"/>
          </w:tcPr>
          <w:p w14:paraId="39A155F1">
            <w:pPr>
              <w:spacing w:line="360" w:lineRule="auto"/>
              <w:rPr>
                <w:szCs w:val="21"/>
                <w:highlight w:val="none"/>
              </w:rPr>
            </w:pPr>
            <w:r>
              <w:rPr>
                <w:szCs w:val="21"/>
                <w:highlight w:val="none"/>
              </w:rPr>
              <w:t>单位地址：</w:t>
            </w:r>
          </w:p>
        </w:tc>
        <w:tc>
          <w:tcPr>
            <w:tcW w:w="4517" w:type="dxa"/>
            <w:noWrap/>
            <w:vAlign w:val="center"/>
          </w:tcPr>
          <w:p w14:paraId="6787D3FD">
            <w:pPr>
              <w:spacing w:line="360" w:lineRule="auto"/>
              <w:rPr>
                <w:szCs w:val="21"/>
                <w:highlight w:val="none"/>
              </w:rPr>
            </w:pPr>
            <w:r>
              <w:rPr>
                <w:szCs w:val="21"/>
                <w:highlight w:val="none"/>
              </w:rPr>
              <w:t>单位地址：</w:t>
            </w:r>
          </w:p>
        </w:tc>
      </w:tr>
      <w:tr w14:paraId="0BB95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27" w:hRule="atLeast"/>
        </w:trPr>
        <w:tc>
          <w:tcPr>
            <w:tcW w:w="4516" w:type="dxa"/>
            <w:noWrap/>
            <w:vAlign w:val="center"/>
          </w:tcPr>
          <w:p w14:paraId="4179C4DD">
            <w:pPr>
              <w:spacing w:before="120" w:beforeLines="50" w:line="360" w:lineRule="auto"/>
              <w:rPr>
                <w:szCs w:val="21"/>
                <w:highlight w:val="none"/>
              </w:rPr>
            </w:pPr>
            <w:r>
              <w:rPr>
                <w:szCs w:val="21"/>
                <w:highlight w:val="none"/>
              </w:rPr>
              <w:t>法定代表人（或委托代理人）</w:t>
            </w:r>
          </w:p>
          <w:p w14:paraId="7A5B6EC3">
            <w:pPr>
              <w:spacing w:line="360" w:lineRule="auto"/>
              <w:rPr>
                <w:szCs w:val="21"/>
                <w:highlight w:val="none"/>
              </w:rPr>
            </w:pPr>
            <w:r>
              <w:rPr>
                <w:szCs w:val="21"/>
                <w:highlight w:val="none"/>
              </w:rPr>
              <w:t>（签字）：</w:t>
            </w:r>
          </w:p>
        </w:tc>
        <w:tc>
          <w:tcPr>
            <w:tcW w:w="4517" w:type="dxa"/>
            <w:noWrap/>
            <w:vAlign w:val="center"/>
          </w:tcPr>
          <w:p w14:paraId="3328D906">
            <w:pPr>
              <w:spacing w:before="120" w:beforeLines="50" w:line="360" w:lineRule="auto"/>
              <w:rPr>
                <w:szCs w:val="21"/>
                <w:highlight w:val="none"/>
              </w:rPr>
            </w:pPr>
            <w:r>
              <w:rPr>
                <w:szCs w:val="21"/>
                <w:highlight w:val="none"/>
              </w:rPr>
              <w:t>法定代表人（或委托代理人）</w:t>
            </w:r>
          </w:p>
          <w:p w14:paraId="0A21FD87">
            <w:pPr>
              <w:spacing w:line="360" w:lineRule="auto"/>
              <w:rPr>
                <w:szCs w:val="21"/>
                <w:highlight w:val="none"/>
              </w:rPr>
            </w:pPr>
            <w:r>
              <w:rPr>
                <w:szCs w:val="21"/>
                <w:highlight w:val="none"/>
              </w:rPr>
              <w:t>（签字）：</w:t>
            </w:r>
          </w:p>
        </w:tc>
      </w:tr>
    </w:tbl>
    <w:p w14:paraId="5CC33967">
      <w:pPr>
        <w:pStyle w:val="261"/>
        <w:rPr>
          <w:color w:val="000000" w:themeColor="text1"/>
          <w:highlight w:val="none"/>
          <w14:textFill>
            <w14:solidFill>
              <w14:schemeClr w14:val="tx1"/>
            </w14:solidFill>
          </w14:textFill>
        </w:rPr>
      </w:pPr>
      <w:r>
        <w:rPr>
          <w:b/>
          <w:szCs w:val="21"/>
          <w:highlight w:val="none"/>
        </w:rPr>
        <w:br w:type="page"/>
      </w:r>
    </w:p>
    <w:p w14:paraId="63892912">
      <w:pPr>
        <w:rPr>
          <w:highlight w:val="none"/>
        </w:rPr>
      </w:pPr>
    </w:p>
    <w:p w14:paraId="54FDE407">
      <w:pPr>
        <w:pStyle w:val="2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19441214">
      <w:pPr>
        <w:jc w:val="center"/>
        <w:rPr>
          <w:rFonts w:hint="eastAsia" w:ascii="宋体" w:hAnsi="宋体"/>
          <w:b/>
          <w:color w:val="000000" w:themeColor="text1"/>
          <w:sz w:val="72"/>
          <w:highlight w:val="none"/>
          <w14:textFill>
            <w14:solidFill>
              <w14:schemeClr w14:val="tx1"/>
            </w14:solidFill>
          </w14:textFill>
        </w:rPr>
      </w:pPr>
    </w:p>
    <w:p w14:paraId="20FC28F9">
      <w:pPr>
        <w:jc w:val="center"/>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507F619F">
      <w:pPr>
        <w:ind w:firstLine="2472" w:firstLineChars="1026"/>
        <w:rPr>
          <w:rFonts w:hint="eastAsia" w:ascii="宋体" w:hAnsi="宋体"/>
          <w:b/>
          <w:color w:val="000000" w:themeColor="text1"/>
          <w:sz w:val="24"/>
          <w:highlight w:val="none"/>
          <w14:textFill>
            <w14:solidFill>
              <w14:schemeClr w14:val="tx1"/>
            </w14:solidFill>
          </w14:textFill>
        </w:rPr>
      </w:pPr>
    </w:p>
    <w:p w14:paraId="2F831679">
      <w:pPr>
        <w:jc w:val="center"/>
        <w:rPr>
          <w:rFonts w:hint="eastAsia" w:ascii="宋体" w:hAnsi="宋体"/>
          <w:b/>
          <w:color w:val="000000" w:themeColor="text1"/>
          <w:sz w:val="24"/>
          <w:highlight w:val="none"/>
          <w14:textFill>
            <w14:solidFill>
              <w14:schemeClr w14:val="tx1"/>
            </w14:solidFill>
          </w14:textFill>
        </w:rPr>
      </w:pPr>
    </w:p>
    <w:p w14:paraId="22DFB881">
      <w:pPr>
        <w:jc w:val="center"/>
        <w:rPr>
          <w:rFonts w:hint="eastAsia" w:ascii="宋体" w:hAnsi="宋体"/>
          <w:b/>
          <w:color w:val="000000" w:themeColor="text1"/>
          <w:sz w:val="24"/>
          <w:highlight w:val="none"/>
          <w14:textFill>
            <w14:solidFill>
              <w14:schemeClr w14:val="tx1"/>
            </w14:solidFill>
          </w14:textFill>
        </w:rPr>
      </w:pPr>
    </w:p>
    <w:p w14:paraId="60CC38CF">
      <w:pPr>
        <w:jc w:val="center"/>
        <w:rPr>
          <w:rFonts w:hint="eastAsia" w:ascii="宋体" w:hAnsi="宋体"/>
          <w:b/>
          <w:color w:val="000000" w:themeColor="text1"/>
          <w:sz w:val="24"/>
          <w:highlight w:val="none"/>
          <w14:textFill>
            <w14:solidFill>
              <w14:schemeClr w14:val="tx1"/>
            </w14:solidFill>
          </w14:textFill>
        </w:rPr>
      </w:pPr>
    </w:p>
    <w:p w14:paraId="226180B8">
      <w:pPr>
        <w:spacing w:before="480" w:beforeLines="200"/>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6A43F9E1">
      <w:pPr>
        <w:jc w:val="center"/>
        <w:rPr>
          <w:rFonts w:hint="eastAsia" w:ascii="宋体" w:hAnsi="宋体"/>
          <w:b/>
          <w:color w:val="000000" w:themeColor="text1"/>
          <w:sz w:val="24"/>
          <w:highlight w:val="none"/>
          <w14:textFill>
            <w14:solidFill>
              <w14:schemeClr w14:val="tx1"/>
            </w14:solidFill>
          </w14:textFill>
        </w:rPr>
      </w:pPr>
    </w:p>
    <w:p w14:paraId="0A7C713D">
      <w:pPr>
        <w:jc w:val="center"/>
        <w:rPr>
          <w:rFonts w:hint="eastAsia" w:ascii="宋体" w:hAnsi="宋体"/>
          <w:b/>
          <w:color w:val="000000" w:themeColor="text1"/>
          <w:sz w:val="24"/>
          <w:highlight w:val="none"/>
          <w14:textFill>
            <w14:solidFill>
              <w14:schemeClr w14:val="tx1"/>
            </w14:solidFill>
          </w14:textFill>
        </w:rPr>
      </w:pPr>
    </w:p>
    <w:p w14:paraId="0B7EEF56">
      <w:pPr>
        <w:jc w:val="center"/>
        <w:rPr>
          <w:rFonts w:hint="eastAsia" w:ascii="宋体" w:hAnsi="宋体"/>
          <w:b/>
          <w:color w:val="000000" w:themeColor="text1"/>
          <w:sz w:val="24"/>
          <w:highlight w:val="none"/>
          <w14:textFill>
            <w14:solidFill>
              <w14:schemeClr w14:val="tx1"/>
            </w14:solidFill>
          </w14:textFill>
        </w:rPr>
      </w:pPr>
    </w:p>
    <w:p w14:paraId="77D2CD63">
      <w:pPr>
        <w:jc w:val="center"/>
        <w:rPr>
          <w:rFonts w:hint="eastAsia" w:ascii="宋体" w:hAnsi="宋体"/>
          <w:b/>
          <w:color w:val="000000" w:themeColor="text1"/>
          <w:sz w:val="24"/>
          <w:highlight w:val="none"/>
          <w14:textFill>
            <w14:solidFill>
              <w14:schemeClr w14:val="tx1"/>
            </w14:solidFill>
          </w14:textFill>
        </w:rPr>
      </w:pPr>
    </w:p>
    <w:p w14:paraId="639A252A">
      <w:pPr>
        <w:jc w:val="center"/>
        <w:rPr>
          <w:rFonts w:hint="eastAsia" w:ascii="宋体" w:hAnsi="宋体"/>
          <w:b/>
          <w:color w:val="000000" w:themeColor="text1"/>
          <w:sz w:val="24"/>
          <w:highlight w:val="none"/>
          <w14:textFill>
            <w14:solidFill>
              <w14:schemeClr w14:val="tx1"/>
            </w14:solidFill>
          </w14:textFill>
        </w:rPr>
      </w:pPr>
    </w:p>
    <w:p w14:paraId="2223CD33">
      <w:pPr>
        <w:jc w:val="center"/>
        <w:rPr>
          <w:rFonts w:hint="eastAsia" w:ascii="宋体" w:hAnsi="宋体"/>
          <w:b/>
          <w:color w:val="000000" w:themeColor="text1"/>
          <w:sz w:val="24"/>
          <w:highlight w:val="none"/>
          <w14:textFill>
            <w14:solidFill>
              <w14:schemeClr w14:val="tx1"/>
            </w14:solidFill>
          </w14:textFill>
        </w:rPr>
      </w:pPr>
    </w:p>
    <w:p w14:paraId="23B30A2B">
      <w:pPr>
        <w:jc w:val="center"/>
        <w:rPr>
          <w:rFonts w:hint="eastAsia" w:ascii="宋体" w:hAnsi="宋体"/>
          <w:b/>
          <w:color w:val="000000" w:themeColor="text1"/>
          <w:sz w:val="24"/>
          <w:highlight w:val="none"/>
          <w14:textFill>
            <w14:solidFill>
              <w14:schemeClr w14:val="tx1"/>
            </w14:solidFill>
          </w14:textFill>
        </w:rPr>
      </w:pPr>
    </w:p>
    <w:p w14:paraId="7DA06C3B">
      <w:pPr>
        <w:ind w:firstLine="843" w:firstLineChars="300"/>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项目编号：</w:t>
      </w:r>
    </w:p>
    <w:p w14:paraId="53BCFC42">
      <w:pPr>
        <w:ind w:firstLine="843" w:firstLineChars="300"/>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项目名称：</w:t>
      </w:r>
    </w:p>
    <w:p w14:paraId="743798DA">
      <w:pPr>
        <w:rPr>
          <w:rFonts w:hint="eastAsia" w:ascii="宋体" w:hAnsi="宋体"/>
          <w:b/>
          <w:color w:val="000000" w:themeColor="text1"/>
          <w:sz w:val="28"/>
          <w:szCs w:val="28"/>
          <w:highlight w:val="none"/>
          <w14:textFill>
            <w14:solidFill>
              <w14:schemeClr w14:val="tx1"/>
            </w14:solidFill>
          </w14:textFill>
        </w:rPr>
      </w:pPr>
    </w:p>
    <w:p w14:paraId="665011B7">
      <w:pPr>
        <w:rPr>
          <w:rFonts w:hint="eastAsia" w:ascii="宋体" w:hAnsi="宋体"/>
          <w:b/>
          <w:color w:val="000000" w:themeColor="text1"/>
          <w:sz w:val="28"/>
          <w:szCs w:val="28"/>
          <w:highlight w:val="none"/>
          <w14:textFill>
            <w14:solidFill>
              <w14:schemeClr w14:val="tx1"/>
            </w14:solidFill>
          </w14:textFill>
        </w:rPr>
      </w:pPr>
    </w:p>
    <w:p w14:paraId="48357C0C">
      <w:pPr>
        <w:rPr>
          <w:rFonts w:hint="eastAsia" w:ascii="宋体" w:hAnsi="宋体"/>
          <w:b/>
          <w:color w:val="000000" w:themeColor="text1"/>
          <w:sz w:val="28"/>
          <w:szCs w:val="28"/>
          <w:highlight w:val="none"/>
          <w14:textFill>
            <w14:solidFill>
              <w14:schemeClr w14:val="tx1"/>
            </w14:solidFill>
          </w14:textFill>
        </w:rPr>
      </w:pPr>
    </w:p>
    <w:p w14:paraId="68D89251">
      <w:pPr>
        <w:rPr>
          <w:rFonts w:hint="eastAsia" w:ascii="宋体" w:hAnsi="宋体"/>
          <w:b/>
          <w:color w:val="000000" w:themeColor="text1"/>
          <w:sz w:val="28"/>
          <w:szCs w:val="28"/>
          <w:highlight w:val="none"/>
          <w14:textFill>
            <w14:solidFill>
              <w14:schemeClr w14:val="tx1"/>
            </w14:solidFill>
          </w14:textFill>
        </w:rPr>
      </w:pPr>
    </w:p>
    <w:p w14:paraId="2AE8074E">
      <w:pPr>
        <w:rPr>
          <w:rFonts w:hint="eastAsia" w:ascii="宋体" w:hAnsi="宋体"/>
          <w:b/>
          <w:color w:val="000000" w:themeColor="text1"/>
          <w:sz w:val="28"/>
          <w:szCs w:val="28"/>
          <w:highlight w:val="none"/>
          <w14:textFill>
            <w14:solidFill>
              <w14:schemeClr w14:val="tx1"/>
            </w14:solidFill>
          </w14:textFill>
        </w:rPr>
      </w:pPr>
    </w:p>
    <w:p w14:paraId="6A005C7A">
      <w:pPr>
        <w:rPr>
          <w:rFonts w:hint="eastAsia" w:ascii="宋体" w:hAnsi="宋体"/>
          <w:b/>
          <w:color w:val="000000" w:themeColor="text1"/>
          <w:sz w:val="28"/>
          <w:szCs w:val="28"/>
          <w:highlight w:val="none"/>
          <w14:textFill>
            <w14:solidFill>
              <w14:schemeClr w14:val="tx1"/>
            </w14:solidFill>
          </w14:textFill>
        </w:rPr>
      </w:pPr>
    </w:p>
    <w:p w14:paraId="21923B99">
      <w:pPr>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p>
    <w:p w14:paraId="2371FAB9">
      <w:pP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p>
    <w:p w14:paraId="15FC75F1">
      <w:pPr>
        <w:jc w:val="center"/>
        <w:rPr>
          <w:rFonts w:hint="eastAsia" w:ascii="宋体" w:hAnsi="宋体"/>
          <w:b/>
          <w:bCs/>
          <w:color w:val="000000" w:themeColor="text1"/>
          <w:sz w:val="24"/>
          <w:highlight w:val="none"/>
          <w14:textFill>
            <w14:solidFill>
              <w14:schemeClr w14:val="tx1"/>
            </w14:solidFill>
          </w14:textFill>
        </w:rPr>
      </w:pPr>
    </w:p>
    <w:p w14:paraId="68717A47">
      <w:pPr>
        <w:jc w:val="center"/>
        <w:rPr>
          <w:rFonts w:hint="eastAsia"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4"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56176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5C87077">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62D12198">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7723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70E07672">
            <w:pPr>
              <w:rPr>
                <w:rFonts w:hint="eastAsia" w:ascii="宋体" w:hAnsi="宋体"/>
                <w:b/>
                <w:color w:val="000000" w:themeColor="text1"/>
                <w:highlight w:val="none"/>
                <w14:textFill>
                  <w14:solidFill>
                    <w14:schemeClr w14:val="tx1"/>
                  </w14:solidFill>
                </w14:textFill>
              </w:rPr>
            </w:pPr>
          </w:p>
        </w:tc>
        <w:tc>
          <w:tcPr>
            <w:tcW w:w="1783" w:type="pct"/>
          </w:tcPr>
          <w:p w14:paraId="52E82DF4">
            <w:pPr>
              <w:rPr>
                <w:rFonts w:hint="eastAsia" w:ascii="宋体" w:hAnsi="宋体"/>
                <w:b/>
                <w:color w:val="000000" w:themeColor="text1"/>
                <w:highlight w:val="none"/>
                <w14:textFill>
                  <w14:solidFill>
                    <w14:schemeClr w14:val="tx1"/>
                  </w14:solidFill>
                </w14:textFill>
              </w:rPr>
            </w:pPr>
          </w:p>
        </w:tc>
      </w:tr>
      <w:tr w14:paraId="13D66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242130A7">
            <w:pPr>
              <w:rPr>
                <w:rFonts w:hint="eastAsia" w:ascii="宋体" w:hAnsi="宋体"/>
                <w:b/>
                <w:color w:val="000000" w:themeColor="text1"/>
                <w:highlight w:val="none"/>
                <w14:textFill>
                  <w14:solidFill>
                    <w14:schemeClr w14:val="tx1"/>
                  </w14:solidFill>
                </w14:textFill>
              </w:rPr>
            </w:pPr>
          </w:p>
        </w:tc>
      </w:tr>
      <w:tr w14:paraId="700B1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0B5AC1AC">
            <w:pPr>
              <w:rPr>
                <w:rFonts w:hint="eastAsia" w:ascii="宋体" w:hAnsi="宋体"/>
                <w:b/>
                <w:color w:val="000000" w:themeColor="text1"/>
                <w:highlight w:val="none"/>
                <w14:textFill>
                  <w14:solidFill>
                    <w14:schemeClr w14:val="tx1"/>
                  </w14:solidFill>
                </w14:textFill>
              </w:rPr>
            </w:pPr>
          </w:p>
        </w:tc>
        <w:tc>
          <w:tcPr>
            <w:tcW w:w="1783" w:type="pct"/>
          </w:tcPr>
          <w:p w14:paraId="39FEC72A">
            <w:pPr>
              <w:rPr>
                <w:rFonts w:hint="eastAsia" w:ascii="宋体" w:hAnsi="宋体"/>
                <w:b/>
                <w:color w:val="000000" w:themeColor="text1"/>
                <w:highlight w:val="none"/>
                <w14:textFill>
                  <w14:solidFill>
                    <w14:schemeClr w14:val="tx1"/>
                  </w14:solidFill>
                </w14:textFill>
              </w:rPr>
            </w:pPr>
          </w:p>
        </w:tc>
      </w:tr>
      <w:tr w14:paraId="7BB34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26B74677">
            <w:pPr>
              <w:rPr>
                <w:rFonts w:hint="eastAsia" w:ascii="宋体" w:hAnsi="宋体"/>
                <w:b/>
                <w:color w:val="000000" w:themeColor="text1"/>
                <w:highlight w:val="none"/>
                <w14:textFill>
                  <w14:solidFill>
                    <w14:schemeClr w14:val="tx1"/>
                  </w14:solidFill>
                </w14:textFill>
              </w:rPr>
            </w:pPr>
          </w:p>
        </w:tc>
        <w:tc>
          <w:tcPr>
            <w:tcW w:w="1783" w:type="pct"/>
          </w:tcPr>
          <w:p w14:paraId="06275823">
            <w:pPr>
              <w:rPr>
                <w:rFonts w:hint="eastAsia" w:ascii="宋体" w:hAnsi="宋体"/>
                <w:b/>
                <w:color w:val="000000" w:themeColor="text1"/>
                <w:highlight w:val="none"/>
                <w14:textFill>
                  <w14:solidFill>
                    <w14:schemeClr w14:val="tx1"/>
                  </w14:solidFill>
                </w14:textFill>
              </w:rPr>
            </w:pPr>
          </w:p>
        </w:tc>
      </w:tr>
      <w:tr w14:paraId="6FDE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C4095B5">
            <w:pPr>
              <w:rPr>
                <w:rFonts w:hint="eastAsia" w:ascii="宋体" w:hAnsi="宋体"/>
                <w:b/>
                <w:color w:val="000000" w:themeColor="text1"/>
                <w:highlight w:val="none"/>
                <w14:textFill>
                  <w14:solidFill>
                    <w14:schemeClr w14:val="tx1"/>
                  </w14:solidFill>
                </w14:textFill>
              </w:rPr>
            </w:pPr>
          </w:p>
        </w:tc>
        <w:tc>
          <w:tcPr>
            <w:tcW w:w="1783" w:type="pct"/>
          </w:tcPr>
          <w:p w14:paraId="1FF62432">
            <w:pPr>
              <w:rPr>
                <w:rFonts w:hint="eastAsia" w:ascii="宋体" w:hAnsi="宋体"/>
                <w:b/>
                <w:color w:val="000000" w:themeColor="text1"/>
                <w:highlight w:val="none"/>
                <w14:textFill>
                  <w14:solidFill>
                    <w14:schemeClr w14:val="tx1"/>
                  </w14:solidFill>
                </w14:textFill>
              </w:rPr>
            </w:pPr>
          </w:p>
        </w:tc>
      </w:tr>
      <w:tr w14:paraId="3BDF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5C6D22D">
            <w:pPr>
              <w:rPr>
                <w:rFonts w:hint="eastAsia" w:ascii="宋体" w:hAnsi="宋体"/>
                <w:b/>
                <w:color w:val="000000" w:themeColor="text1"/>
                <w:highlight w:val="none"/>
                <w14:textFill>
                  <w14:solidFill>
                    <w14:schemeClr w14:val="tx1"/>
                  </w14:solidFill>
                </w14:textFill>
              </w:rPr>
            </w:pPr>
          </w:p>
        </w:tc>
        <w:tc>
          <w:tcPr>
            <w:tcW w:w="1783" w:type="pct"/>
          </w:tcPr>
          <w:p w14:paraId="46336F6E">
            <w:pPr>
              <w:rPr>
                <w:rFonts w:hint="eastAsia" w:ascii="宋体" w:hAnsi="宋体"/>
                <w:b/>
                <w:color w:val="000000" w:themeColor="text1"/>
                <w:highlight w:val="none"/>
                <w14:textFill>
                  <w14:solidFill>
                    <w14:schemeClr w14:val="tx1"/>
                  </w14:solidFill>
                </w14:textFill>
              </w:rPr>
            </w:pPr>
          </w:p>
        </w:tc>
      </w:tr>
      <w:tr w14:paraId="7862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74BC2E4E">
            <w:pPr>
              <w:rPr>
                <w:rFonts w:hint="eastAsia" w:ascii="宋体" w:hAnsi="宋体"/>
                <w:b/>
                <w:color w:val="000000" w:themeColor="text1"/>
                <w:highlight w:val="none"/>
                <w14:textFill>
                  <w14:solidFill>
                    <w14:schemeClr w14:val="tx1"/>
                  </w14:solidFill>
                </w14:textFill>
              </w:rPr>
            </w:pPr>
          </w:p>
        </w:tc>
        <w:tc>
          <w:tcPr>
            <w:tcW w:w="1783" w:type="pct"/>
          </w:tcPr>
          <w:p w14:paraId="65A396FA">
            <w:pPr>
              <w:rPr>
                <w:rFonts w:hint="eastAsia" w:ascii="宋体" w:hAnsi="宋体"/>
                <w:b/>
                <w:color w:val="000000" w:themeColor="text1"/>
                <w:highlight w:val="none"/>
                <w14:textFill>
                  <w14:solidFill>
                    <w14:schemeClr w14:val="tx1"/>
                  </w14:solidFill>
                </w14:textFill>
              </w:rPr>
            </w:pPr>
          </w:p>
        </w:tc>
      </w:tr>
      <w:tr w14:paraId="4C31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060278B4">
            <w:pPr>
              <w:rPr>
                <w:rFonts w:hint="eastAsia" w:ascii="宋体" w:hAnsi="宋体"/>
                <w:b/>
                <w:color w:val="000000" w:themeColor="text1"/>
                <w:highlight w:val="none"/>
                <w14:textFill>
                  <w14:solidFill>
                    <w14:schemeClr w14:val="tx1"/>
                  </w14:solidFill>
                </w14:textFill>
              </w:rPr>
            </w:pPr>
          </w:p>
        </w:tc>
      </w:tr>
      <w:tr w14:paraId="3A25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52BF9B75">
            <w:pPr>
              <w:rPr>
                <w:rFonts w:hint="eastAsia" w:ascii="宋体" w:hAnsi="宋体"/>
                <w:b/>
                <w:color w:val="000000" w:themeColor="text1"/>
                <w:highlight w:val="none"/>
                <w14:textFill>
                  <w14:solidFill>
                    <w14:schemeClr w14:val="tx1"/>
                  </w14:solidFill>
                </w14:textFill>
              </w:rPr>
            </w:pPr>
          </w:p>
        </w:tc>
        <w:tc>
          <w:tcPr>
            <w:tcW w:w="1783" w:type="pct"/>
          </w:tcPr>
          <w:p w14:paraId="39042264">
            <w:pPr>
              <w:rPr>
                <w:rFonts w:hint="eastAsia" w:ascii="宋体" w:hAnsi="宋体"/>
                <w:b/>
                <w:color w:val="000000" w:themeColor="text1"/>
                <w:highlight w:val="none"/>
                <w14:textFill>
                  <w14:solidFill>
                    <w14:schemeClr w14:val="tx1"/>
                  </w14:solidFill>
                </w14:textFill>
              </w:rPr>
            </w:pPr>
          </w:p>
        </w:tc>
      </w:tr>
      <w:tr w14:paraId="25D4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1201A73D">
            <w:pPr>
              <w:rPr>
                <w:rFonts w:hint="eastAsia" w:ascii="宋体" w:hAnsi="宋体"/>
                <w:b/>
                <w:color w:val="000000" w:themeColor="text1"/>
                <w:highlight w:val="none"/>
                <w14:textFill>
                  <w14:solidFill>
                    <w14:schemeClr w14:val="tx1"/>
                  </w14:solidFill>
                </w14:textFill>
              </w:rPr>
            </w:pPr>
          </w:p>
        </w:tc>
        <w:tc>
          <w:tcPr>
            <w:tcW w:w="1783" w:type="pct"/>
          </w:tcPr>
          <w:p w14:paraId="6C41FF17">
            <w:pPr>
              <w:rPr>
                <w:rFonts w:hint="eastAsia" w:ascii="宋体" w:hAnsi="宋体"/>
                <w:b/>
                <w:color w:val="000000" w:themeColor="text1"/>
                <w:highlight w:val="none"/>
                <w14:textFill>
                  <w14:solidFill>
                    <w14:schemeClr w14:val="tx1"/>
                  </w14:solidFill>
                </w14:textFill>
              </w:rPr>
            </w:pPr>
          </w:p>
        </w:tc>
      </w:tr>
      <w:tr w14:paraId="75B3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C9DA996">
            <w:pPr>
              <w:rPr>
                <w:rFonts w:hint="eastAsia" w:ascii="宋体" w:hAnsi="宋体"/>
                <w:b/>
                <w:color w:val="000000" w:themeColor="text1"/>
                <w:highlight w:val="none"/>
                <w14:textFill>
                  <w14:solidFill>
                    <w14:schemeClr w14:val="tx1"/>
                  </w14:solidFill>
                </w14:textFill>
              </w:rPr>
            </w:pPr>
          </w:p>
        </w:tc>
        <w:tc>
          <w:tcPr>
            <w:tcW w:w="1783" w:type="pct"/>
          </w:tcPr>
          <w:p w14:paraId="785F35E5">
            <w:pPr>
              <w:rPr>
                <w:rFonts w:hint="eastAsia" w:ascii="宋体" w:hAnsi="宋体"/>
                <w:b/>
                <w:color w:val="000000" w:themeColor="text1"/>
                <w:highlight w:val="none"/>
                <w14:textFill>
                  <w14:solidFill>
                    <w14:schemeClr w14:val="tx1"/>
                  </w14:solidFill>
                </w14:textFill>
              </w:rPr>
            </w:pPr>
          </w:p>
        </w:tc>
      </w:tr>
      <w:tr w14:paraId="39F5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40B546CC">
            <w:pPr>
              <w:rPr>
                <w:rFonts w:hint="eastAsia" w:ascii="宋体" w:hAnsi="宋体"/>
                <w:b/>
                <w:color w:val="000000" w:themeColor="text1"/>
                <w:highlight w:val="none"/>
                <w14:textFill>
                  <w14:solidFill>
                    <w14:schemeClr w14:val="tx1"/>
                  </w14:solidFill>
                </w14:textFill>
              </w:rPr>
            </w:pPr>
          </w:p>
        </w:tc>
        <w:tc>
          <w:tcPr>
            <w:tcW w:w="1783" w:type="pct"/>
          </w:tcPr>
          <w:p w14:paraId="2FB63E9C">
            <w:pPr>
              <w:rPr>
                <w:rFonts w:hint="eastAsia" w:ascii="宋体" w:hAnsi="宋体"/>
                <w:b/>
                <w:color w:val="000000" w:themeColor="text1"/>
                <w:highlight w:val="none"/>
                <w14:textFill>
                  <w14:solidFill>
                    <w14:schemeClr w14:val="tx1"/>
                  </w14:solidFill>
                </w14:textFill>
              </w:rPr>
            </w:pPr>
          </w:p>
        </w:tc>
      </w:tr>
      <w:tr w14:paraId="6F53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46BBF592">
            <w:pPr>
              <w:rPr>
                <w:rFonts w:hint="eastAsia" w:ascii="宋体" w:hAnsi="宋体"/>
                <w:b/>
                <w:color w:val="000000" w:themeColor="text1"/>
                <w:highlight w:val="none"/>
                <w14:textFill>
                  <w14:solidFill>
                    <w14:schemeClr w14:val="tx1"/>
                  </w14:solidFill>
                </w14:textFill>
              </w:rPr>
            </w:pPr>
          </w:p>
        </w:tc>
        <w:tc>
          <w:tcPr>
            <w:tcW w:w="1783" w:type="pct"/>
          </w:tcPr>
          <w:p w14:paraId="246D7732">
            <w:pPr>
              <w:rPr>
                <w:rFonts w:hint="eastAsia" w:ascii="宋体" w:hAnsi="宋体"/>
                <w:b/>
                <w:color w:val="000000" w:themeColor="text1"/>
                <w:highlight w:val="none"/>
                <w14:textFill>
                  <w14:solidFill>
                    <w14:schemeClr w14:val="tx1"/>
                  </w14:solidFill>
                </w14:textFill>
              </w:rPr>
            </w:pPr>
          </w:p>
        </w:tc>
      </w:tr>
      <w:tr w14:paraId="14DC8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74F904DA">
            <w:pPr>
              <w:rPr>
                <w:rFonts w:hint="eastAsia" w:ascii="宋体" w:hAnsi="宋体"/>
                <w:b/>
                <w:color w:val="000000" w:themeColor="text1"/>
                <w:highlight w:val="none"/>
                <w14:textFill>
                  <w14:solidFill>
                    <w14:schemeClr w14:val="tx1"/>
                  </w14:solidFill>
                </w14:textFill>
              </w:rPr>
            </w:pPr>
          </w:p>
        </w:tc>
      </w:tr>
      <w:tr w14:paraId="2251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30729C0B">
            <w:pPr>
              <w:rPr>
                <w:rFonts w:hint="eastAsia" w:ascii="宋体" w:hAnsi="宋体"/>
                <w:b/>
                <w:color w:val="000000" w:themeColor="text1"/>
                <w:highlight w:val="none"/>
                <w14:textFill>
                  <w14:solidFill>
                    <w14:schemeClr w14:val="tx1"/>
                  </w14:solidFill>
                </w14:textFill>
              </w:rPr>
            </w:pPr>
          </w:p>
        </w:tc>
        <w:tc>
          <w:tcPr>
            <w:tcW w:w="1783" w:type="pct"/>
          </w:tcPr>
          <w:p w14:paraId="030344C5">
            <w:pPr>
              <w:rPr>
                <w:rFonts w:hint="eastAsia" w:ascii="宋体" w:hAnsi="宋体"/>
                <w:b/>
                <w:color w:val="000000" w:themeColor="text1"/>
                <w:highlight w:val="none"/>
                <w14:textFill>
                  <w14:solidFill>
                    <w14:schemeClr w14:val="tx1"/>
                  </w14:solidFill>
                </w14:textFill>
              </w:rPr>
            </w:pPr>
          </w:p>
        </w:tc>
      </w:tr>
      <w:tr w14:paraId="7A32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A7764A8">
            <w:pPr>
              <w:rPr>
                <w:rFonts w:hint="eastAsia" w:ascii="宋体" w:hAnsi="宋体"/>
                <w:b/>
                <w:color w:val="000000" w:themeColor="text1"/>
                <w:highlight w:val="none"/>
                <w14:textFill>
                  <w14:solidFill>
                    <w14:schemeClr w14:val="tx1"/>
                  </w14:solidFill>
                </w14:textFill>
              </w:rPr>
            </w:pPr>
          </w:p>
        </w:tc>
        <w:tc>
          <w:tcPr>
            <w:tcW w:w="1783" w:type="pct"/>
          </w:tcPr>
          <w:p w14:paraId="5DC9ABDD">
            <w:pPr>
              <w:rPr>
                <w:rFonts w:hint="eastAsia" w:ascii="宋体" w:hAnsi="宋体"/>
                <w:b/>
                <w:color w:val="000000" w:themeColor="text1"/>
                <w:highlight w:val="none"/>
                <w14:textFill>
                  <w14:solidFill>
                    <w14:schemeClr w14:val="tx1"/>
                  </w14:solidFill>
                </w14:textFill>
              </w:rPr>
            </w:pPr>
          </w:p>
        </w:tc>
      </w:tr>
      <w:tr w14:paraId="0CB7A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B964906">
            <w:pPr>
              <w:rPr>
                <w:rFonts w:hint="eastAsia" w:ascii="宋体" w:hAnsi="宋体"/>
                <w:b/>
                <w:color w:val="000000" w:themeColor="text1"/>
                <w:highlight w:val="none"/>
                <w14:textFill>
                  <w14:solidFill>
                    <w14:schemeClr w14:val="tx1"/>
                  </w14:solidFill>
                </w14:textFill>
              </w:rPr>
            </w:pPr>
          </w:p>
        </w:tc>
        <w:tc>
          <w:tcPr>
            <w:tcW w:w="1783" w:type="pct"/>
          </w:tcPr>
          <w:p w14:paraId="01E14F84">
            <w:pPr>
              <w:rPr>
                <w:rFonts w:hint="eastAsia" w:ascii="宋体" w:hAnsi="宋体"/>
                <w:b/>
                <w:color w:val="000000" w:themeColor="text1"/>
                <w:highlight w:val="none"/>
                <w14:textFill>
                  <w14:solidFill>
                    <w14:schemeClr w14:val="tx1"/>
                  </w14:solidFill>
                </w14:textFill>
              </w:rPr>
            </w:pPr>
          </w:p>
        </w:tc>
      </w:tr>
      <w:tr w14:paraId="0645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317258E7">
            <w:pPr>
              <w:rPr>
                <w:rFonts w:hint="eastAsia" w:ascii="宋体" w:hAnsi="宋体"/>
                <w:b/>
                <w:color w:val="000000" w:themeColor="text1"/>
                <w:highlight w:val="none"/>
                <w14:textFill>
                  <w14:solidFill>
                    <w14:schemeClr w14:val="tx1"/>
                  </w14:solidFill>
                </w14:textFill>
              </w:rPr>
            </w:pPr>
          </w:p>
        </w:tc>
      </w:tr>
      <w:tr w14:paraId="2AC08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072DC568">
            <w:pPr>
              <w:rPr>
                <w:rFonts w:hint="eastAsia" w:ascii="宋体" w:hAnsi="宋体"/>
                <w:b/>
                <w:color w:val="000000" w:themeColor="text1"/>
                <w:highlight w:val="none"/>
                <w14:textFill>
                  <w14:solidFill>
                    <w14:schemeClr w14:val="tx1"/>
                  </w14:solidFill>
                </w14:textFill>
              </w:rPr>
            </w:pPr>
          </w:p>
        </w:tc>
        <w:tc>
          <w:tcPr>
            <w:tcW w:w="1783" w:type="pct"/>
          </w:tcPr>
          <w:p w14:paraId="4E158E1E">
            <w:pPr>
              <w:rPr>
                <w:rFonts w:hint="eastAsia" w:ascii="宋体" w:hAnsi="宋体"/>
                <w:b/>
                <w:color w:val="000000" w:themeColor="text1"/>
                <w:highlight w:val="none"/>
                <w14:textFill>
                  <w14:solidFill>
                    <w14:schemeClr w14:val="tx1"/>
                  </w14:solidFill>
                </w14:textFill>
              </w:rPr>
            </w:pPr>
          </w:p>
        </w:tc>
      </w:tr>
      <w:tr w14:paraId="0F8C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0179E641">
            <w:pPr>
              <w:rPr>
                <w:rFonts w:hint="eastAsia" w:ascii="宋体" w:hAnsi="宋体"/>
                <w:b/>
                <w:color w:val="000000" w:themeColor="text1"/>
                <w:highlight w:val="none"/>
                <w14:textFill>
                  <w14:solidFill>
                    <w14:schemeClr w14:val="tx1"/>
                  </w14:solidFill>
                </w14:textFill>
              </w:rPr>
            </w:pPr>
          </w:p>
        </w:tc>
        <w:tc>
          <w:tcPr>
            <w:tcW w:w="1783" w:type="pct"/>
          </w:tcPr>
          <w:p w14:paraId="4E13747A">
            <w:pPr>
              <w:rPr>
                <w:rFonts w:hint="eastAsia" w:ascii="宋体" w:hAnsi="宋体"/>
                <w:b/>
                <w:color w:val="000000" w:themeColor="text1"/>
                <w:highlight w:val="none"/>
                <w14:textFill>
                  <w14:solidFill>
                    <w14:schemeClr w14:val="tx1"/>
                  </w14:solidFill>
                </w14:textFill>
              </w:rPr>
            </w:pPr>
          </w:p>
        </w:tc>
      </w:tr>
    </w:tbl>
    <w:p w14:paraId="3D9B35E9">
      <w:pPr>
        <w:rPr>
          <w:rFonts w:hint="eastAsia" w:ascii="宋体" w:hAnsi="宋体"/>
          <w:color w:val="000000" w:themeColor="text1"/>
          <w:highlight w:val="none"/>
          <w14:textFill>
            <w14:solidFill>
              <w14:schemeClr w14:val="tx1"/>
            </w14:solidFill>
          </w14:textFill>
        </w:rPr>
      </w:pPr>
    </w:p>
    <w:p w14:paraId="156C50A1">
      <w:pPr>
        <w:jc w:val="center"/>
        <w:rPr>
          <w:rFonts w:hint="eastAsia"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5" w:name="_Toc489655320"/>
    </w:p>
    <w:p w14:paraId="6CEF798C">
      <w:pPr>
        <w:pStyle w:val="2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4"/>
      <w:bookmarkEnd w:id="15"/>
      <w:r>
        <w:rPr>
          <w:color w:val="000000" w:themeColor="text1"/>
          <w:highlight w:val="none"/>
          <w14:textFill>
            <w14:solidFill>
              <w14:schemeClr w14:val="tx1"/>
            </w14:solidFill>
          </w14:textFill>
        </w:rPr>
        <w:t>及相关证明材料格式、附件</w:t>
      </w:r>
    </w:p>
    <w:p w14:paraId="7ADAD66E">
      <w:pPr>
        <w:rPr>
          <w:rFonts w:hint="eastAsia" w:ascii="宋体" w:hAnsi="宋体"/>
          <w:color w:val="000000" w:themeColor="text1"/>
          <w:sz w:val="28"/>
          <w:szCs w:val="28"/>
          <w:highlight w:val="none"/>
          <w14:textFill>
            <w14:solidFill>
              <w14:schemeClr w14:val="tx1"/>
            </w14:solidFill>
          </w14:textFill>
        </w:rPr>
      </w:pPr>
    </w:p>
    <w:p w14:paraId="693A6189">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w:t>
      </w:r>
    </w:p>
    <w:p w14:paraId="1D01BD62">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w:t>
      </w:r>
    </w:p>
    <w:p w14:paraId="58D802C6">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40F853C2">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44D27017">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五、分项报价表</w:t>
      </w:r>
    </w:p>
    <w:p w14:paraId="3564A5BE">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六、技术条款偏离表</w:t>
      </w:r>
    </w:p>
    <w:p w14:paraId="490EC41A">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七、商务条款偏离表</w:t>
      </w:r>
    </w:p>
    <w:p w14:paraId="2B8DA539">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八、服务方案</w:t>
      </w:r>
    </w:p>
    <w:p w14:paraId="62C5DBAE">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九、响应需要的其他证明文件及材料（若有）</w:t>
      </w:r>
    </w:p>
    <w:p w14:paraId="2762F984">
      <w:pPr>
        <w:spacing w:line="360" w:lineRule="auto"/>
        <w:rPr>
          <w:rFonts w:hint="eastAsia" w:ascii="宋体" w:hAnsi="宋体"/>
          <w:color w:val="000000" w:themeColor="text1"/>
          <w:sz w:val="28"/>
          <w:szCs w:val="28"/>
          <w:highlight w:val="none"/>
          <w14:textFill>
            <w14:solidFill>
              <w14:schemeClr w14:val="tx1"/>
            </w14:solidFill>
          </w14:textFill>
        </w:rPr>
      </w:pPr>
    </w:p>
    <w:p w14:paraId="03718307">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p>
    <w:p w14:paraId="7AFFFED3">
      <w:pPr>
        <w:rPr>
          <w:rFonts w:hint="eastAsia"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2BA66065">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目录一、响应申请及声明格式</w:t>
      </w:r>
    </w:p>
    <w:p w14:paraId="3027E80F">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59354926">
      <w:pPr>
        <w:pStyle w:val="19"/>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777EDAFC">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根据贵方（项目编号：）响应邀请，正式授权下述签字人（姓名和职务）代表供应商（供应商名称），提交响应文件。</w:t>
      </w:r>
    </w:p>
    <w:p w14:paraId="2DB8D433">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1771ED84">
      <w:pPr>
        <w:pStyle w:val="19"/>
        <w:numPr>
          <w:ilvl w:val="0"/>
          <w:numId w:val="59"/>
        </w:numPr>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289A2752">
      <w:pPr>
        <w:pStyle w:val="19"/>
        <w:numPr>
          <w:ilvl w:val="0"/>
          <w:numId w:val="59"/>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3ACF815A">
      <w:pPr>
        <w:pStyle w:val="19"/>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13310CB4">
      <w:pPr>
        <w:pStyle w:val="19"/>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日期起遵循本响应文件，并在规定的响应有效期期满之前均具有约束力。</w:t>
      </w:r>
    </w:p>
    <w:p w14:paraId="1A1BA995">
      <w:pPr>
        <w:pStyle w:val="19"/>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5E6BF44A">
      <w:pPr>
        <w:pStyle w:val="19"/>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4F4AB1B">
      <w:pPr>
        <w:pStyle w:val="19"/>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060586FB">
      <w:pPr>
        <w:pStyle w:val="1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378BAEDD">
      <w:pPr>
        <w:pStyle w:val="1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1FDBB0F0">
      <w:pPr>
        <w:pStyle w:val="19"/>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2CEE9D77">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3E91D87D">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64677654">
      <w:pPr>
        <w:autoSpaceDE w:val="0"/>
        <w:autoSpaceDN w:val="0"/>
        <w:adjustRightInd w:val="0"/>
        <w:spacing w:line="360" w:lineRule="auto"/>
        <w:ind w:firstLine="420"/>
        <w:rPr>
          <w:rFonts w:ascii="Times New Roman" w:hAnsi="Times New Roman"/>
          <w:color w:val="000000" w:themeColor="text1"/>
          <w:sz w:val="24"/>
          <w:szCs w:val="21"/>
          <w:highlight w:val="none"/>
          <w:u w:val="singl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供应商授权代表姓名（签字）：</w:t>
      </w:r>
    </w:p>
    <w:p w14:paraId="7740ADD5">
      <w:pPr>
        <w:autoSpaceDE w:val="0"/>
        <w:autoSpaceDN w:val="0"/>
        <w:adjustRightInd w:val="0"/>
        <w:spacing w:line="360" w:lineRule="auto"/>
        <w:ind w:firstLine="420"/>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497372F7">
      <w:pPr>
        <w:autoSpaceDE w:val="0"/>
        <w:autoSpaceDN w:val="0"/>
        <w:adjustRightInd w:val="0"/>
        <w:spacing w:line="360" w:lineRule="auto"/>
        <w:ind w:firstLine="420"/>
        <w:rPr>
          <w:rFonts w:ascii="Times New Roman" w:hAnsi="Times New Roman"/>
          <w:b/>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日期：年月日</w:t>
      </w:r>
    </w:p>
    <w:p w14:paraId="571F97EE">
      <w:pPr>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38347E8B">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目录二、法定代表人授权书格式</w:t>
      </w:r>
    </w:p>
    <w:p w14:paraId="1E935B46">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5263D28F">
      <w:pPr>
        <w:pStyle w:val="19"/>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6E824986">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的（供应商名称）法定代表人（法定代表人姓名、职务）代表本公司授权在下面签字的（供应商代表姓名、职务）为本公司的合法代理人，就贵方组织的，（项目编号）进行响应，以本公司名义处理一切与之有关的事务。</w:t>
      </w:r>
    </w:p>
    <w:p w14:paraId="3B2A6E82">
      <w:pPr>
        <w:pStyle w:val="19"/>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700376F2">
      <w:pPr>
        <w:adjustRightInd w:val="0"/>
        <w:spacing w:line="360" w:lineRule="auto"/>
        <w:ind w:firstLine="408"/>
        <w:jc w:val="left"/>
        <w:rPr>
          <w:rFonts w:hint="eastAsia" w:ascii="宋体" w:hAnsi="宋体" w:cs="宋体"/>
          <w:color w:val="000000" w:themeColor="text1"/>
          <w:szCs w:val="21"/>
          <w:highlight w:val="none"/>
          <w:lang w:val="zh-CN"/>
          <w14:textFill>
            <w14:solidFill>
              <w14:schemeClr w14:val="tx1"/>
            </w14:solidFill>
          </w14:textFill>
        </w:rPr>
      </w:pPr>
    </w:p>
    <w:p w14:paraId="1DF32330">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0ACB6624">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授权委托人（签字）：</w:t>
      </w:r>
    </w:p>
    <w:p w14:paraId="1F0BCEE7">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1D464DA3">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7E9F56DF">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7E2A00C7">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530E72F0">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6314D34D">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7CA4FB7B">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1E0CD081">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3B9D4E85">
      <w:pP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0F2CF3FD">
      <w:pPr>
        <w:pStyle w:val="19"/>
        <w:ind w:firstLine="482"/>
        <w:rPr>
          <w:rFonts w:hint="eastAsia"/>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一览表格式</w:t>
      </w:r>
    </w:p>
    <w:p w14:paraId="63668283">
      <w:pPr>
        <w:pStyle w:val="262"/>
        <w:outlineLvl w:val="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w:t>
      </w:r>
    </w:p>
    <w:p w14:paraId="653813BF">
      <w:pPr>
        <w:pStyle w:val="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一览表放置于响应文件首页）</w:t>
      </w:r>
    </w:p>
    <w:p w14:paraId="00983739">
      <w:pPr>
        <w:pStyle w:val="18"/>
        <w:rPr>
          <w:b/>
          <w:bCs/>
          <w:color w:val="000000" w:themeColor="text1"/>
          <w:highlight w:val="none"/>
          <w14:textFill>
            <w14:solidFill>
              <w14:schemeClr w14:val="tx1"/>
            </w14:solidFill>
          </w14:textFill>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1869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7D73B773">
            <w:pPr>
              <w:pStyle w:val="18"/>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项目名称</w:t>
            </w:r>
          </w:p>
        </w:tc>
        <w:tc>
          <w:tcPr>
            <w:tcW w:w="3172" w:type="dxa"/>
            <w:vAlign w:val="center"/>
          </w:tcPr>
          <w:p w14:paraId="7233EFB6">
            <w:pPr>
              <w:pStyle w:val="18"/>
              <w:rPr>
                <w:rFonts w:hint="eastAsia" w:asciiTheme="minorEastAsia" w:hAnsiTheme="minorEastAsia" w:eastAsiaTheme="minorEastAsia" w:cstheme="minorEastAsia"/>
                <w:b/>
                <w:bCs/>
                <w:color w:val="000000" w:themeColor="text1"/>
                <w:highlight w:val="none"/>
                <w14:textFill>
                  <w14:solidFill>
                    <w14:schemeClr w14:val="tx1"/>
                  </w14:solidFill>
                </w14:textFill>
              </w:rPr>
            </w:pPr>
          </w:p>
        </w:tc>
        <w:tc>
          <w:tcPr>
            <w:tcW w:w="1178" w:type="dxa"/>
            <w:vAlign w:val="center"/>
          </w:tcPr>
          <w:p w14:paraId="6F973ED0">
            <w:pPr>
              <w:pStyle w:val="18"/>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项目编号</w:t>
            </w:r>
          </w:p>
        </w:tc>
        <w:tc>
          <w:tcPr>
            <w:tcW w:w="3664" w:type="dxa"/>
            <w:vAlign w:val="center"/>
          </w:tcPr>
          <w:p w14:paraId="205C7951">
            <w:pPr>
              <w:pStyle w:val="18"/>
              <w:rPr>
                <w:rFonts w:hint="eastAsia" w:asciiTheme="minorEastAsia" w:hAnsiTheme="minorEastAsia" w:eastAsiaTheme="minorEastAsia" w:cstheme="minorEastAsia"/>
                <w:b/>
                <w:bCs/>
                <w:color w:val="000000" w:themeColor="text1"/>
                <w:highlight w:val="none"/>
                <w14:textFill>
                  <w14:solidFill>
                    <w14:schemeClr w14:val="tx1"/>
                  </w14:solidFill>
                </w14:textFill>
              </w:rPr>
            </w:pPr>
          </w:p>
        </w:tc>
      </w:tr>
      <w:tr w14:paraId="2F6A1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5CAC053">
            <w:pPr>
              <w:pStyle w:val="18"/>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响应总价</w:t>
            </w:r>
          </w:p>
        </w:tc>
        <w:tc>
          <w:tcPr>
            <w:tcW w:w="8014" w:type="dxa"/>
            <w:gridSpan w:val="3"/>
            <w:vAlign w:val="center"/>
          </w:tcPr>
          <w:p w14:paraId="4B16A8F9">
            <w:pPr>
              <w:pStyle w:val="18"/>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大写：人民币                        </w:t>
            </w:r>
          </w:p>
          <w:p w14:paraId="2B403829">
            <w:pPr>
              <w:pStyle w:val="18"/>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小写：人民币                        </w:t>
            </w:r>
            <w:r>
              <w:rPr>
                <w:rFonts w:hint="eastAsia" w:ascii="宋体" w:hAnsi="宋体" w:cs="宋体"/>
                <w:b/>
                <w:sz w:val="24"/>
                <w:highlight w:val="none"/>
              </w:rPr>
              <w:t>元</w:t>
            </w:r>
          </w:p>
        </w:tc>
      </w:tr>
      <w:tr w14:paraId="2078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AB44CE8">
            <w:pPr>
              <w:jc w:val="center"/>
              <w:rPr>
                <w:rFonts w:hint="eastAsia" w:ascii="宋体" w:hAnsi="宋体" w:cs="仿宋_GB2312"/>
                <w:b/>
                <w:szCs w:val="21"/>
                <w:highlight w:val="none"/>
              </w:rPr>
            </w:pPr>
            <w:r>
              <w:rPr>
                <w:rFonts w:hint="eastAsia" w:ascii="宋体" w:hAnsi="宋体"/>
                <w:b/>
                <w:szCs w:val="21"/>
                <w:highlight w:val="none"/>
              </w:rPr>
              <w:t>服务期</w:t>
            </w:r>
          </w:p>
        </w:tc>
        <w:tc>
          <w:tcPr>
            <w:tcW w:w="8014" w:type="dxa"/>
            <w:gridSpan w:val="3"/>
            <w:vAlign w:val="center"/>
          </w:tcPr>
          <w:p w14:paraId="74A25D14">
            <w:pPr>
              <w:jc w:val="center"/>
              <w:rPr>
                <w:rFonts w:hint="eastAsia" w:ascii="宋体" w:hAnsi="宋体"/>
                <w:b/>
                <w:bCs/>
                <w:szCs w:val="21"/>
                <w:highlight w:val="none"/>
              </w:rPr>
            </w:pPr>
          </w:p>
        </w:tc>
      </w:tr>
      <w:tr w14:paraId="574D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B94D863">
            <w:pPr>
              <w:jc w:val="center"/>
              <w:rPr>
                <w:rFonts w:hint="eastAsia" w:ascii="宋体" w:hAnsi="宋体"/>
                <w:b/>
                <w:szCs w:val="21"/>
                <w:highlight w:val="none"/>
              </w:rPr>
            </w:pPr>
            <w:r>
              <w:rPr>
                <w:rFonts w:hint="eastAsia" w:ascii="宋体" w:hAnsi="宋体"/>
                <w:b/>
                <w:szCs w:val="21"/>
                <w:highlight w:val="none"/>
              </w:rPr>
              <w:t>备注</w:t>
            </w:r>
          </w:p>
        </w:tc>
        <w:tc>
          <w:tcPr>
            <w:tcW w:w="8014" w:type="dxa"/>
            <w:gridSpan w:val="3"/>
            <w:vAlign w:val="center"/>
          </w:tcPr>
          <w:p w14:paraId="4897F93E">
            <w:pPr>
              <w:jc w:val="center"/>
              <w:rPr>
                <w:rFonts w:hint="eastAsia" w:ascii="宋体" w:hAnsi="宋体"/>
                <w:b/>
                <w:bCs/>
                <w:szCs w:val="21"/>
                <w:highlight w:val="none"/>
              </w:rPr>
            </w:pPr>
          </w:p>
        </w:tc>
      </w:tr>
    </w:tbl>
    <w:p w14:paraId="566606F3">
      <w:pPr>
        <w:pStyle w:val="18"/>
        <w:rPr>
          <w:b/>
          <w:bCs/>
          <w:color w:val="000000" w:themeColor="text1"/>
          <w:highlight w:val="none"/>
          <w14:textFill>
            <w14:solidFill>
              <w14:schemeClr w14:val="tx1"/>
            </w14:solidFill>
          </w14:textFill>
        </w:rPr>
      </w:pPr>
    </w:p>
    <w:p w14:paraId="0E10E939">
      <w:pPr>
        <w:pStyle w:val="18"/>
        <w:rPr>
          <w:b/>
          <w:bCs/>
          <w:color w:val="000000" w:themeColor="text1"/>
          <w:highlight w:val="none"/>
          <w14:textFill>
            <w14:solidFill>
              <w14:schemeClr w14:val="tx1"/>
            </w14:solidFill>
          </w14:textFill>
        </w:rPr>
      </w:pPr>
    </w:p>
    <w:p w14:paraId="293ADC8A">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453B8B48">
      <w:pPr>
        <w:widowControl/>
        <w:spacing w:line="360" w:lineRule="auto"/>
        <w:jc w:val="left"/>
        <w:rPr>
          <w:rFonts w:ascii="Times New Roman" w:hAnsi="Times New Roman"/>
          <w:color w:val="000000" w:themeColor="text1"/>
          <w:sz w:val="24"/>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62322207">
      <w:pPr>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6495ABFA">
      <w:pPr>
        <w:pStyle w:val="262"/>
        <w:jc w:val="both"/>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目录四、资格证明文件</w:t>
      </w:r>
    </w:p>
    <w:p w14:paraId="00648FA6">
      <w:pPr>
        <w:pStyle w:val="262"/>
        <w:outlineLvl w:val="9"/>
        <w:rPr>
          <w:rFonts w:hint="eastAsia"/>
          <w:color w:val="000000" w:themeColor="text1"/>
          <w:highlight w:val="none"/>
          <w14:textFill>
            <w14:solidFill>
              <w14:schemeClr w14:val="tx1"/>
            </w14:solidFill>
          </w14:textFill>
        </w:rPr>
      </w:pPr>
      <w:bookmarkStart w:id="16" w:name="_Toc489655335"/>
      <w:r>
        <w:rPr>
          <w:color w:val="000000" w:themeColor="text1"/>
          <w:highlight w:val="none"/>
          <w14:textFill>
            <w14:solidFill>
              <w14:schemeClr w14:val="tx1"/>
            </w14:solidFill>
          </w14:textFill>
        </w:rPr>
        <w:t>资格证明文件</w:t>
      </w:r>
      <w:bookmarkEnd w:id="16"/>
    </w:p>
    <w:p w14:paraId="110F96E6">
      <w:pPr>
        <w:pStyle w:val="19"/>
        <w:numPr>
          <w:ilvl w:val="0"/>
          <w:numId w:val="60"/>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r>
        <w:rPr>
          <w:rFonts w:hint="eastAsia"/>
          <w:b/>
          <w:color w:val="000000" w:themeColor="text1"/>
          <w:highlight w:val="none"/>
          <w14:textFill>
            <w14:solidFill>
              <w14:schemeClr w14:val="tx1"/>
            </w14:solidFill>
          </w14:textFill>
        </w:rPr>
        <w:t>（可提供承诺函）</w:t>
      </w:r>
    </w:p>
    <w:p w14:paraId="381D8099">
      <w:pPr>
        <w:pStyle w:val="19"/>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w:t>
      </w:r>
    </w:p>
    <w:p w14:paraId="2340A558">
      <w:pPr>
        <w:pStyle w:val="19"/>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w:t>
      </w:r>
    </w:p>
    <w:p w14:paraId="25FA6401">
      <w:pPr>
        <w:pStyle w:val="19"/>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w:t>
      </w:r>
    </w:p>
    <w:p w14:paraId="24EA5BD0">
      <w:pPr>
        <w:pStyle w:val="19"/>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w:t>
      </w:r>
    </w:p>
    <w:p w14:paraId="290E3DBF">
      <w:pPr>
        <w:pStyle w:val="19"/>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w:t>
      </w:r>
    </w:p>
    <w:p w14:paraId="223D3686">
      <w:pPr>
        <w:pStyle w:val="19"/>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0A22262A">
      <w:pPr>
        <w:pStyle w:val="19"/>
        <w:numPr>
          <w:ilvl w:val="0"/>
          <w:numId w:val="60"/>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本项目的特定资格要求：</w:t>
      </w:r>
    </w:p>
    <w:p w14:paraId="74D83DC8">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（1）供应商具有《承装（修、试）电力设施许可证》三级（含）以上资质（提供证书复印件加盖公章）；</w:t>
      </w:r>
    </w:p>
    <w:p w14:paraId="6CA2659C">
      <w:pPr>
        <w:pStyle w:val="19"/>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（2）供应商具有有效期内的安全生产许可证（提供有效期内的证书复印件加盖供应商公章）；</w:t>
      </w:r>
    </w:p>
    <w:p w14:paraId="2FF8B1F4">
      <w:pPr>
        <w:pStyle w:val="19"/>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（3）拟派项目</w:t>
      </w:r>
      <w:r>
        <w:rPr>
          <w:rFonts w:hint="eastAsia"/>
          <w:color w:val="000000" w:themeColor="text1"/>
          <w:highlight w:val="none"/>
          <w:lang w:eastAsia="zh-CN"/>
          <w14:textFill>
            <w14:solidFill>
              <w14:schemeClr w14:val="tx1"/>
            </w14:solidFill>
          </w14:textFill>
        </w:rPr>
        <w:t>经理</w:t>
      </w:r>
      <w:r>
        <w:rPr>
          <w:rFonts w:hint="eastAsia"/>
          <w:color w:val="000000" w:themeColor="text1"/>
          <w:highlight w:val="none"/>
          <w14:textFill>
            <w14:solidFill>
              <w14:schemeClr w14:val="tx1"/>
            </w14:solidFill>
          </w14:textFill>
        </w:rPr>
        <w:t>须具有机电工程专业注册建造师二级及以上，且具备有效的安全B证（提供有效期内的证书复印件加盖公章）；</w:t>
      </w:r>
    </w:p>
    <w:p w14:paraId="286E628D">
      <w:pPr>
        <w:pStyle w:val="19"/>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拟派所有服务人员须具有国家职能部门颁发的高压电工进网作业证资格证书（提供有效期内的证书复印件加盖供应商公章）</w:t>
      </w:r>
      <w:r>
        <w:rPr>
          <w:rFonts w:hint="eastAsia"/>
          <w:color w:val="000000" w:themeColor="text1"/>
          <w:highlight w:val="none"/>
          <w:lang w:val="en-US" w:eastAsia="zh-CN"/>
          <w14:textFill>
            <w14:solidFill>
              <w14:schemeClr w14:val="tx1"/>
            </w14:solidFill>
          </w14:textFill>
        </w:rPr>
        <w:t>；</w:t>
      </w:r>
    </w:p>
    <w:p w14:paraId="4A1A88B2">
      <w:pPr>
        <w:pStyle w:val="19"/>
        <w:numPr>
          <w:ilvl w:val="0"/>
          <w:numId w:val="60"/>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拒绝下述供应商参加本次响应：</w:t>
      </w:r>
    </w:p>
    <w:p w14:paraId="0E68C60C">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4B2043DC">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741DAC25">
      <w:pPr>
        <w:pStyle w:val="19"/>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14:paraId="494D43D1">
      <w:pPr>
        <w:pStyle w:val="19"/>
        <w:ind w:firstLine="0" w:firstLineChars="0"/>
        <w:rPr>
          <w:b/>
          <w:color w:val="000000" w:themeColor="text1"/>
          <w:highlight w:val="none"/>
          <w14:textFill>
            <w14:solidFill>
              <w14:schemeClr w14:val="tx1"/>
            </w14:solidFill>
          </w14:textFill>
        </w:rPr>
      </w:pPr>
    </w:p>
    <w:p w14:paraId="678C9A5B">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r>
        <w:rPr>
          <w:b/>
          <w:color w:val="000000" w:themeColor="text1"/>
          <w:highlight w:val="none"/>
          <w14:textFill>
            <w14:solidFill>
              <w14:schemeClr w14:val="tx1"/>
            </w14:solidFill>
          </w14:textFill>
        </w:rPr>
        <w:t>目录五、分项报价表格式</w:t>
      </w:r>
    </w:p>
    <w:p w14:paraId="665B05D9">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分项报价表</w:t>
      </w:r>
    </w:p>
    <w:tbl>
      <w:tblPr>
        <w:tblStyle w:val="4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036E8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3BE5CBEC">
            <w:pPr>
              <w:wordWrap w:val="0"/>
              <w:spacing w:line="273"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序号</w:t>
            </w:r>
          </w:p>
        </w:tc>
        <w:tc>
          <w:tcPr>
            <w:tcW w:w="2059" w:type="pct"/>
            <w:tcMar>
              <w:top w:w="20" w:type="dxa"/>
              <w:left w:w="20" w:type="dxa"/>
              <w:bottom w:w="20" w:type="dxa"/>
              <w:right w:w="20" w:type="dxa"/>
            </w:tcMar>
            <w:vAlign w:val="center"/>
          </w:tcPr>
          <w:p w14:paraId="50B0B636">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服务内容</w:t>
            </w:r>
          </w:p>
        </w:tc>
        <w:tc>
          <w:tcPr>
            <w:tcW w:w="601" w:type="pct"/>
            <w:tcMar>
              <w:top w:w="20" w:type="dxa"/>
              <w:left w:w="20" w:type="dxa"/>
              <w:bottom w:w="20" w:type="dxa"/>
              <w:right w:w="20" w:type="dxa"/>
            </w:tcMar>
            <w:vAlign w:val="center"/>
          </w:tcPr>
          <w:p w14:paraId="365680A4">
            <w:pPr>
              <w:widowControl/>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报价单位</w:t>
            </w:r>
          </w:p>
        </w:tc>
        <w:tc>
          <w:tcPr>
            <w:tcW w:w="511" w:type="pct"/>
            <w:tcMar>
              <w:top w:w="20" w:type="dxa"/>
              <w:left w:w="20" w:type="dxa"/>
              <w:bottom w:w="20" w:type="dxa"/>
              <w:right w:w="20" w:type="dxa"/>
            </w:tcMar>
            <w:vAlign w:val="center"/>
          </w:tcPr>
          <w:p w14:paraId="34B0F82B">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数量</w:t>
            </w:r>
          </w:p>
        </w:tc>
        <w:tc>
          <w:tcPr>
            <w:tcW w:w="654" w:type="pct"/>
            <w:tcMar>
              <w:top w:w="20" w:type="dxa"/>
              <w:left w:w="20" w:type="dxa"/>
              <w:bottom w:w="20" w:type="dxa"/>
              <w:right w:w="20" w:type="dxa"/>
            </w:tcMar>
            <w:vAlign w:val="center"/>
          </w:tcPr>
          <w:p w14:paraId="1615C6E8">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单价</w:t>
            </w:r>
          </w:p>
        </w:tc>
        <w:tc>
          <w:tcPr>
            <w:tcW w:w="629" w:type="pct"/>
            <w:tcMar>
              <w:top w:w="20" w:type="dxa"/>
              <w:left w:w="20" w:type="dxa"/>
              <w:bottom w:w="20" w:type="dxa"/>
              <w:right w:w="20" w:type="dxa"/>
            </w:tcMar>
            <w:vAlign w:val="center"/>
          </w:tcPr>
          <w:p w14:paraId="13C5284B">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合计</w:t>
            </w:r>
          </w:p>
          <w:p w14:paraId="7A9EA94C">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（元）</w:t>
            </w:r>
          </w:p>
        </w:tc>
        <w:tc>
          <w:tcPr>
            <w:tcW w:w="334" w:type="pct"/>
            <w:tcMar>
              <w:top w:w="20" w:type="dxa"/>
              <w:left w:w="20" w:type="dxa"/>
              <w:bottom w:w="20" w:type="dxa"/>
              <w:right w:w="20" w:type="dxa"/>
            </w:tcMar>
            <w:vAlign w:val="center"/>
          </w:tcPr>
          <w:p w14:paraId="683E4C74">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备注</w:t>
            </w:r>
          </w:p>
        </w:tc>
      </w:tr>
      <w:tr w14:paraId="0016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0D3FB03A">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2059" w:type="pct"/>
            <w:tcMar>
              <w:top w:w="20" w:type="dxa"/>
              <w:left w:w="20" w:type="dxa"/>
              <w:bottom w:w="20" w:type="dxa"/>
              <w:right w:w="20" w:type="dxa"/>
            </w:tcMar>
            <w:vAlign w:val="center"/>
          </w:tcPr>
          <w:p w14:paraId="13CB2623">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3BFCC97C">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73BB6F31">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481F9784">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72739BCF">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764051C5">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67D76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9DD6123">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p>
        </w:tc>
        <w:tc>
          <w:tcPr>
            <w:tcW w:w="2059" w:type="pct"/>
            <w:tcMar>
              <w:top w:w="20" w:type="dxa"/>
              <w:left w:w="20" w:type="dxa"/>
              <w:bottom w:w="20" w:type="dxa"/>
              <w:right w:w="20" w:type="dxa"/>
            </w:tcMar>
            <w:vAlign w:val="center"/>
          </w:tcPr>
          <w:p w14:paraId="1A5D8673">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4FC93F1D">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3DEF36BC">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48473C6E">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5AE0F80B">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42EFA379">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0F77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511B29DE">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p>
        </w:tc>
        <w:tc>
          <w:tcPr>
            <w:tcW w:w="2059" w:type="pct"/>
            <w:tcMar>
              <w:top w:w="20" w:type="dxa"/>
              <w:left w:w="20" w:type="dxa"/>
              <w:bottom w:w="20" w:type="dxa"/>
              <w:right w:w="20" w:type="dxa"/>
            </w:tcMar>
            <w:vAlign w:val="center"/>
          </w:tcPr>
          <w:p w14:paraId="28D004F1">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1D54F2A3">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2B89BA8E">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327FF46E">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42DBA60B">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51CDC7CA">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2358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3DFDA6E">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w:t>
            </w:r>
          </w:p>
        </w:tc>
        <w:tc>
          <w:tcPr>
            <w:tcW w:w="2059" w:type="pct"/>
            <w:tcMar>
              <w:top w:w="20" w:type="dxa"/>
              <w:left w:w="20" w:type="dxa"/>
              <w:bottom w:w="20" w:type="dxa"/>
              <w:right w:w="20" w:type="dxa"/>
            </w:tcMar>
            <w:vAlign w:val="center"/>
          </w:tcPr>
          <w:p w14:paraId="50377E36">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02D0159E">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3CFF535A">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771B8D0A">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05B5F05E">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77DFA1E8">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2600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61B0ABC">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w:t>
            </w:r>
          </w:p>
        </w:tc>
        <w:tc>
          <w:tcPr>
            <w:tcW w:w="2059" w:type="pct"/>
            <w:tcMar>
              <w:top w:w="20" w:type="dxa"/>
              <w:left w:w="20" w:type="dxa"/>
              <w:bottom w:w="20" w:type="dxa"/>
              <w:right w:w="20" w:type="dxa"/>
            </w:tcMar>
            <w:vAlign w:val="center"/>
          </w:tcPr>
          <w:p w14:paraId="07F70B07">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20C2E7B7">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18E9622D">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39D95178">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318A99A2">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42711152">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6BCF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065A33A8">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总计（元）</w:t>
            </w:r>
          </w:p>
        </w:tc>
        <w:tc>
          <w:tcPr>
            <w:tcW w:w="629" w:type="pct"/>
            <w:tcMar>
              <w:top w:w="20" w:type="dxa"/>
              <w:left w:w="20" w:type="dxa"/>
              <w:bottom w:w="20" w:type="dxa"/>
              <w:right w:w="20" w:type="dxa"/>
            </w:tcMar>
            <w:vAlign w:val="center"/>
          </w:tcPr>
          <w:p w14:paraId="07E03764">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02E6E48E">
            <w:pPr>
              <w:wordWrap w:val="0"/>
              <w:spacing w:line="234" w:lineRule="exact"/>
              <w:jc w:val="righ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bl>
    <w:p w14:paraId="5286339E">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p>
    <w:p w14:paraId="3C29818D">
      <w:pPr>
        <w:adjustRightInd w:val="0"/>
        <w:spacing w:line="360" w:lineRule="auto"/>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注：1、行数不够可自行增加。</w:t>
      </w:r>
    </w:p>
    <w:p w14:paraId="74F0877F">
      <w:pPr>
        <w:adjustRightInd w:val="0"/>
        <w:spacing w:line="360" w:lineRule="auto"/>
        <w:jc w:val="left"/>
        <w:rPr>
          <w:rFonts w:ascii="Times New Roman" w:hAnsi="Times New Roman"/>
          <w:color w:val="000000" w:themeColor="text1"/>
          <w:sz w:val="24"/>
          <w:szCs w:val="21"/>
          <w:highlight w:val="none"/>
          <w14:textFill>
            <w14:solidFill>
              <w14:schemeClr w14:val="tx1"/>
            </w14:solidFill>
          </w14:textFill>
        </w:rPr>
      </w:pPr>
    </w:p>
    <w:p w14:paraId="41054AEF">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57303085">
      <w:pP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3519E89D">
      <w:pPr>
        <w:rPr>
          <w:rFonts w:hint="eastAsia" w:ascii="宋体" w:hAnsi="宋体" w:cs="宋体"/>
          <w:b/>
          <w:color w:val="000000" w:themeColor="text1"/>
          <w:szCs w:val="21"/>
          <w:highlight w:val="none"/>
          <w:lang w:val="zh-CN"/>
          <w14:textFill>
            <w14:solidFill>
              <w14:schemeClr w14:val="tx1"/>
            </w14:solidFill>
          </w14:textFill>
        </w:rPr>
      </w:pPr>
    </w:p>
    <w:p w14:paraId="1086CA94">
      <w:pPr>
        <w:rPr>
          <w:rFonts w:hint="eastAsia" w:ascii="宋体" w:hAnsi="宋体" w:cs="宋体"/>
          <w:b/>
          <w:color w:val="000000" w:themeColor="text1"/>
          <w:szCs w:val="21"/>
          <w:highlight w:val="none"/>
          <w:lang w:val="zh-CN"/>
          <w14:textFill>
            <w14:solidFill>
              <w14:schemeClr w14:val="tx1"/>
            </w14:solidFill>
          </w14:textFill>
        </w:rPr>
      </w:pPr>
    </w:p>
    <w:p w14:paraId="49A15457">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目录六、技术条款偏离表格式</w:t>
      </w:r>
    </w:p>
    <w:p w14:paraId="22BA024F">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3"/>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68A15E0D">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2E2745CA">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9" w:type="pct"/>
            <w:gridSpan w:val="2"/>
            <w:tcBorders>
              <w:top w:val="nil"/>
              <w:left w:val="nil"/>
              <w:bottom w:val="single" w:color="auto" w:sz="6" w:space="0"/>
              <w:right w:val="nil"/>
            </w:tcBorders>
            <w:vAlign w:val="center"/>
          </w:tcPr>
          <w:p w14:paraId="6B0D134E">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72B7367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AFB3255">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43FB301C">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806D2CC">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DA0D771">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4FD035B8">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0F1773E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7EE5E2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3A88EF5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5549DDF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325266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33EC40A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64FB0A3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6F7743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43F69F3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5E27B08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E337E6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2F103A6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4C01B73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8814FE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6248B9F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2DDEBD9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39F5F1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3D93791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0BEA8D3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4A4513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5A8C39C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528E543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C5D6D5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6097327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379F1F3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AFFC87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6407BAA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6D53D72C">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533F71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57F89E3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19A55B6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64775C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2BBC1C2C">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7221EFF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AB505E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794F894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bl>
    <w:p w14:paraId="2E2CCD82">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1C18E79C">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5805B579">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38C4BB49">
      <w:pPr>
        <w:pStyle w:val="19"/>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62EEC647">
      <w:pPr>
        <w:pStyle w:val="19"/>
        <w:widowControl/>
        <w:numPr>
          <w:ilvl w:val="0"/>
          <w:numId w:val="6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3D5026A0">
      <w:pPr>
        <w:pStyle w:val="19"/>
        <w:widowControl/>
        <w:numPr>
          <w:ilvl w:val="0"/>
          <w:numId w:val="6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0A729171">
      <w:pPr>
        <w:pStyle w:val="19"/>
        <w:widowControl/>
        <w:numPr>
          <w:ilvl w:val="0"/>
          <w:numId w:val="6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3DF812BA">
      <w:pP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0F1BF3C1">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目录七、商务条款偏离表格式</w:t>
      </w:r>
    </w:p>
    <w:p w14:paraId="25F12850">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431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34BF4F83">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0D98634F">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25CB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830E8E6">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517CCB7D">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4C2D81B8">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5D140EF5">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p>
        </w:tc>
        <w:tc>
          <w:tcPr>
            <w:tcW w:w="709" w:type="pct"/>
            <w:vAlign w:val="center"/>
          </w:tcPr>
          <w:p w14:paraId="3C7BD04D">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2F25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F1B820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5041E84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58D19B1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6EFE591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6C86301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04CA4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EFDFA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32FF993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77A57C0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099909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2F38D3F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10DCE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708842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03DBF60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0911955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7081D9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113674C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63DA1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33EB9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611DB01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59BA443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A07237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6098591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1A1EB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3F64A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68A9F7E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508D3C0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83926F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67A7A3E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1894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190260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47317CD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0557B53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9C5626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5E4381E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0F6F4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9D638F">
            <w:pPr>
              <w:jc w:val="center"/>
              <w:rPr>
                <w:rFonts w:hint="eastAsia" w:ascii="宋体" w:hAnsi="宋体" w:cs="Arial"/>
                <w:color w:val="000000" w:themeColor="text1"/>
                <w:szCs w:val="21"/>
                <w:highlight w:val="none"/>
                <w14:textFill>
                  <w14:solidFill>
                    <w14:schemeClr w14:val="tx1"/>
                  </w14:solidFill>
                </w14:textFill>
              </w:rPr>
            </w:pPr>
          </w:p>
        </w:tc>
        <w:tc>
          <w:tcPr>
            <w:tcW w:w="974" w:type="pct"/>
            <w:vAlign w:val="center"/>
          </w:tcPr>
          <w:p w14:paraId="751556E5">
            <w:pPr>
              <w:jc w:val="center"/>
              <w:rPr>
                <w:rFonts w:hint="eastAsia" w:ascii="宋体" w:hAnsi="宋体" w:cs="Arial"/>
                <w:color w:val="000000" w:themeColor="text1"/>
                <w:szCs w:val="21"/>
                <w:highlight w:val="none"/>
                <w14:textFill>
                  <w14:solidFill>
                    <w14:schemeClr w14:val="tx1"/>
                  </w14:solidFill>
                </w14:textFill>
              </w:rPr>
            </w:pPr>
          </w:p>
        </w:tc>
        <w:tc>
          <w:tcPr>
            <w:tcW w:w="1515" w:type="pct"/>
            <w:vAlign w:val="center"/>
          </w:tcPr>
          <w:p w14:paraId="78A0548B">
            <w:pPr>
              <w:jc w:val="center"/>
              <w:rPr>
                <w:rFonts w:hint="eastAsia" w:ascii="宋体" w:hAnsi="宋体" w:cs="Arial"/>
                <w:color w:val="000000" w:themeColor="text1"/>
                <w:szCs w:val="21"/>
                <w:highlight w:val="none"/>
                <w14:textFill>
                  <w14:solidFill>
                    <w14:schemeClr w14:val="tx1"/>
                  </w14:solidFill>
                </w14:textFill>
              </w:rPr>
            </w:pPr>
          </w:p>
        </w:tc>
        <w:tc>
          <w:tcPr>
            <w:tcW w:w="1364" w:type="pct"/>
            <w:gridSpan w:val="2"/>
            <w:vAlign w:val="center"/>
          </w:tcPr>
          <w:p w14:paraId="22F3283B">
            <w:pPr>
              <w:jc w:val="center"/>
              <w:rPr>
                <w:rFonts w:hint="eastAsia" w:ascii="宋体" w:hAnsi="宋体" w:cs="Arial"/>
                <w:color w:val="000000" w:themeColor="text1"/>
                <w:szCs w:val="21"/>
                <w:highlight w:val="none"/>
                <w14:textFill>
                  <w14:solidFill>
                    <w14:schemeClr w14:val="tx1"/>
                  </w14:solidFill>
                </w14:textFill>
              </w:rPr>
            </w:pPr>
          </w:p>
        </w:tc>
        <w:tc>
          <w:tcPr>
            <w:tcW w:w="709" w:type="pct"/>
            <w:vAlign w:val="center"/>
          </w:tcPr>
          <w:p w14:paraId="4FB457AC">
            <w:pPr>
              <w:jc w:val="center"/>
              <w:rPr>
                <w:rFonts w:hint="eastAsia" w:ascii="宋体" w:hAnsi="宋体" w:cs="Arial"/>
                <w:color w:val="000000" w:themeColor="text1"/>
                <w:szCs w:val="21"/>
                <w:highlight w:val="none"/>
                <w14:textFill>
                  <w14:solidFill>
                    <w14:schemeClr w14:val="tx1"/>
                  </w14:solidFill>
                </w14:textFill>
              </w:rPr>
            </w:pPr>
          </w:p>
        </w:tc>
      </w:tr>
    </w:tbl>
    <w:p w14:paraId="45F71D32">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514243C4">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6AAFCF27">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4BF82908">
      <w:pPr>
        <w:pStyle w:val="19"/>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05095386">
      <w:pPr>
        <w:pStyle w:val="19"/>
        <w:widowControl/>
        <w:numPr>
          <w:ilvl w:val="0"/>
          <w:numId w:val="6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0A38C25C">
      <w:pPr>
        <w:pStyle w:val="19"/>
        <w:widowControl/>
        <w:numPr>
          <w:ilvl w:val="0"/>
          <w:numId w:val="6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45AD5F9E">
      <w:pPr>
        <w:pStyle w:val="19"/>
        <w:widowControl/>
        <w:numPr>
          <w:ilvl w:val="0"/>
          <w:numId w:val="6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4FEA3AD2">
      <w:pP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3A769F78">
      <w:pPr>
        <w:pStyle w:val="19"/>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目录八、服务方案或承诺</w:t>
      </w:r>
    </w:p>
    <w:p w14:paraId="55D8EFD1">
      <w:pPr>
        <w:spacing w:line="240" w:lineRule="atLeast"/>
        <w:rPr>
          <w:rFonts w:hint="eastAsia" w:ascii="宋体" w:hAnsi="宋体"/>
          <w:b/>
          <w:color w:val="000000" w:themeColor="text1"/>
          <w:highlight w:val="none"/>
          <w14:textFill>
            <w14:solidFill>
              <w14:schemeClr w14:val="tx1"/>
            </w14:solidFill>
          </w14:textFill>
        </w:rPr>
      </w:pPr>
    </w:p>
    <w:p w14:paraId="14319656">
      <w:pPr>
        <w:pStyle w:val="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服务方案或承诺</w:t>
      </w:r>
    </w:p>
    <w:p w14:paraId="6A3B7D8E">
      <w:pPr>
        <w:spacing w:line="240" w:lineRule="atLeast"/>
        <w:rPr>
          <w:rFonts w:hint="eastAsia" w:ascii="宋体" w:hAnsi="宋体" w:cs="宋体"/>
          <w:color w:val="000000" w:themeColor="text1"/>
          <w:sz w:val="36"/>
          <w:szCs w:val="36"/>
          <w:highlight w:val="none"/>
          <w:lang w:val="zh-CN"/>
          <w14:textFill>
            <w14:solidFill>
              <w14:schemeClr w14:val="tx1"/>
            </w14:solidFill>
          </w14:textFill>
        </w:rPr>
      </w:pPr>
    </w:p>
    <w:p w14:paraId="6822057F">
      <w:pPr>
        <w:spacing w:line="240" w:lineRule="atLeast"/>
        <w:rPr>
          <w:rFonts w:hint="eastAsia" w:ascii="宋体" w:hAnsi="宋体" w:cs="宋体"/>
          <w:color w:val="000000" w:themeColor="text1"/>
          <w:sz w:val="36"/>
          <w:szCs w:val="36"/>
          <w:highlight w:val="none"/>
          <w14:textFill>
            <w14:solidFill>
              <w14:schemeClr w14:val="tx1"/>
            </w14:solidFill>
          </w14:textFill>
        </w:rPr>
      </w:pPr>
    </w:p>
    <w:p w14:paraId="6A532CE7">
      <w:pPr>
        <w:spacing w:line="240" w:lineRule="atLeast"/>
        <w:rPr>
          <w:rFonts w:hint="eastAsia" w:ascii="宋体" w:hAnsi="宋体" w:cs="宋体"/>
          <w:color w:val="000000" w:themeColor="text1"/>
          <w:sz w:val="36"/>
          <w:szCs w:val="36"/>
          <w:highlight w:val="none"/>
          <w14:textFill>
            <w14:solidFill>
              <w14:schemeClr w14:val="tx1"/>
            </w14:solidFill>
          </w14:textFill>
        </w:rPr>
      </w:pPr>
    </w:p>
    <w:p w14:paraId="62519D01">
      <w:pPr>
        <w:pStyle w:val="2"/>
        <w:ind w:firstLine="720"/>
        <w:rPr>
          <w:rFonts w:hint="eastAsia" w:cs="宋体"/>
          <w:color w:val="000000" w:themeColor="text1"/>
          <w:sz w:val="36"/>
          <w:szCs w:val="36"/>
          <w:highlight w:val="none"/>
          <w14:textFill>
            <w14:solidFill>
              <w14:schemeClr w14:val="tx1"/>
            </w14:solidFill>
          </w14:textFill>
        </w:rPr>
      </w:pPr>
    </w:p>
    <w:p w14:paraId="7B910DE1">
      <w:pPr>
        <w:widowControl/>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2921D566">
      <w:pPr>
        <w:rPr>
          <w:color w:val="000000" w:themeColor="text1"/>
          <w:highlight w:val="none"/>
          <w14:textFill>
            <w14:solidFill>
              <w14:schemeClr w14:val="tx1"/>
            </w14:solidFill>
          </w14:textFill>
        </w:rPr>
      </w:pPr>
    </w:p>
    <w:p w14:paraId="6E34ACA8">
      <w:pPr>
        <w:pStyle w:val="19"/>
        <w:widowControl w:val="0"/>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目录九、拟投入本项目人员一览表</w:t>
      </w:r>
    </w:p>
    <w:p w14:paraId="3631FBA0">
      <w:pPr>
        <w:widowControl/>
        <w:adjustRightInd w:val="0"/>
        <w:spacing w:line="440" w:lineRule="exact"/>
        <w:rPr>
          <w:rFonts w:hint="eastAsia" w:ascii="宋体" w:hAnsi="宋体"/>
          <w:b/>
          <w:bCs/>
          <w:color w:val="000000" w:themeColor="text1"/>
          <w:sz w:val="24"/>
          <w:highlight w:val="none"/>
          <w14:textFill>
            <w14:solidFill>
              <w14:schemeClr w14:val="tx1"/>
            </w14:solidFill>
          </w14:textFill>
        </w:rPr>
      </w:pPr>
    </w:p>
    <w:p w14:paraId="5B66483F">
      <w:pPr>
        <w:pStyle w:val="262"/>
        <w:widowControl/>
        <w:outlineLvl w:val="9"/>
        <w:rPr>
          <w:color w:val="000000" w:themeColor="text1"/>
          <w:highlight w:val="none"/>
          <w14:textFill>
            <w14:solidFill>
              <w14:schemeClr w14:val="tx1"/>
            </w14:solidFill>
          </w14:textFill>
        </w:rPr>
      </w:pPr>
      <w:bookmarkStart w:id="17" w:name="_Toc32681"/>
      <w:bookmarkStart w:id="18" w:name="_Toc14092"/>
      <w:r>
        <w:rPr>
          <w:color w:val="000000" w:themeColor="text1"/>
          <w:highlight w:val="none"/>
          <w14:textFill>
            <w14:solidFill>
              <w14:schemeClr w14:val="tx1"/>
            </w14:solidFill>
          </w14:textFill>
        </w:rPr>
        <w:t>拟投入本项目人员一览表</w:t>
      </w:r>
      <w:bookmarkEnd w:id="17"/>
      <w:bookmarkEnd w:id="18"/>
    </w:p>
    <w:p w14:paraId="499C2208">
      <w:pPr>
        <w:widowControl/>
        <w:adjustRightInd w:val="0"/>
        <w:spacing w:line="440" w:lineRule="exact"/>
        <w:jc w:val="center"/>
        <w:rPr>
          <w:rFonts w:hint="eastAsia" w:ascii="宋体" w:hAnsi="宋体"/>
          <w:b/>
          <w:bCs/>
          <w:color w:val="000000" w:themeColor="text1"/>
          <w:szCs w:val="21"/>
          <w:highlight w:val="none"/>
          <w14:textFill>
            <w14:solidFill>
              <w14:schemeClr w14:val="tx1"/>
            </w14:solidFill>
          </w14:textFill>
        </w:rPr>
      </w:pPr>
    </w:p>
    <w:p w14:paraId="380B5894">
      <w:pPr>
        <w:widowControl/>
        <w:adjustRightInd w:val="0"/>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                                 项目编号：</w:t>
      </w:r>
    </w:p>
    <w:tbl>
      <w:tblPr>
        <w:tblStyle w:val="43"/>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D14FA1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2171822">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530" w:type="pct"/>
            <w:tcBorders>
              <w:top w:val="single" w:color="000000" w:sz="4" w:space="0"/>
              <w:left w:val="nil"/>
              <w:bottom w:val="single" w:color="000000" w:sz="4" w:space="0"/>
              <w:right w:val="single" w:color="000000" w:sz="4" w:space="0"/>
            </w:tcBorders>
            <w:vAlign w:val="center"/>
          </w:tcPr>
          <w:p w14:paraId="118EDA8A">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390" w:type="pct"/>
            <w:tcBorders>
              <w:top w:val="single" w:color="000000" w:sz="4" w:space="0"/>
              <w:left w:val="nil"/>
              <w:bottom w:val="single" w:color="000000" w:sz="4" w:space="0"/>
              <w:right w:val="single" w:color="000000" w:sz="4" w:space="0"/>
            </w:tcBorders>
            <w:vAlign w:val="center"/>
          </w:tcPr>
          <w:p w14:paraId="4B8066EF">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性别</w:t>
            </w:r>
          </w:p>
        </w:tc>
        <w:tc>
          <w:tcPr>
            <w:tcW w:w="418" w:type="pct"/>
            <w:tcBorders>
              <w:top w:val="single" w:color="000000" w:sz="4" w:space="0"/>
              <w:left w:val="nil"/>
              <w:bottom w:val="single" w:color="000000" w:sz="4" w:space="0"/>
              <w:right w:val="single" w:color="000000" w:sz="4" w:space="0"/>
            </w:tcBorders>
            <w:vAlign w:val="center"/>
          </w:tcPr>
          <w:p w14:paraId="3E58066A">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年龄</w:t>
            </w:r>
          </w:p>
        </w:tc>
        <w:tc>
          <w:tcPr>
            <w:tcW w:w="671" w:type="pct"/>
            <w:tcBorders>
              <w:top w:val="single" w:color="000000" w:sz="4" w:space="0"/>
              <w:left w:val="nil"/>
              <w:bottom w:val="single" w:color="000000" w:sz="4" w:space="0"/>
              <w:right w:val="single" w:color="000000" w:sz="4" w:space="0"/>
            </w:tcBorders>
            <w:vAlign w:val="center"/>
          </w:tcPr>
          <w:p w14:paraId="15821278">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w:t>
            </w:r>
          </w:p>
        </w:tc>
        <w:tc>
          <w:tcPr>
            <w:tcW w:w="549" w:type="pct"/>
            <w:tcBorders>
              <w:top w:val="single" w:color="000000" w:sz="4" w:space="0"/>
              <w:left w:val="nil"/>
              <w:bottom w:val="single" w:color="000000" w:sz="4" w:space="0"/>
              <w:right w:val="single" w:color="000000" w:sz="4" w:space="0"/>
            </w:tcBorders>
            <w:vAlign w:val="center"/>
          </w:tcPr>
          <w:p w14:paraId="079B4C50">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学历</w:t>
            </w:r>
          </w:p>
        </w:tc>
        <w:tc>
          <w:tcPr>
            <w:tcW w:w="603" w:type="pct"/>
            <w:tcBorders>
              <w:top w:val="single" w:color="000000" w:sz="4" w:space="0"/>
              <w:left w:val="nil"/>
              <w:bottom w:val="single" w:color="000000" w:sz="4" w:space="0"/>
              <w:right w:val="single" w:color="000000" w:sz="4" w:space="0"/>
            </w:tcBorders>
            <w:vAlign w:val="center"/>
          </w:tcPr>
          <w:p w14:paraId="50B55AB9">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执业资格/相关证书</w:t>
            </w:r>
          </w:p>
        </w:tc>
        <w:tc>
          <w:tcPr>
            <w:tcW w:w="520" w:type="pct"/>
            <w:tcBorders>
              <w:top w:val="single" w:color="000000" w:sz="4" w:space="0"/>
              <w:left w:val="nil"/>
              <w:bottom w:val="single" w:color="000000" w:sz="4" w:space="0"/>
              <w:right w:val="single" w:color="000000" w:sz="4" w:space="0"/>
            </w:tcBorders>
            <w:vAlign w:val="center"/>
          </w:tcPr>
          <w:p w14:paraId="0546EA4B">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技术职称</w:t>
            </w:r>
          </w:p>
        </w:tc>
        <w:tc>
          <w:tcPr>
            <w:tcW w:w="501" w:type="pct"/>
            <w:tcBorders>
              <w:top w:val="single" w:color="000000" w:sz="4" w:space="0"/>
              <w:left w:val="nil"/>
              <w:bottom w:val="single" w:color="000000" w:sz="4" w:space="0"/>
              <w:right w:val="single" w:color="000000" w:sz="4" w:space="0"/>
            </w:tcBorders>
            <w:vAlign w:val="center"/>
          </w:tcPr>
          <w:p w14:paraId="79BF42CE">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工作经历</w:t>
            </w:r>
          </w:p>
        </w:tc>
        <w:tc>
          <w:tcPr>
            <w:tcW w:w="502" w:type="pct"/>
            <w:tcBorders>
              <w:top w:val="single" w:color="000000" w:sz="4" w:space="0"/>
              <w:left w:val="nil"/>
              <w:bottom w:val="single" w:color="000000" w:sz="4" w:space="0"/>
              <w:right w:val="single" w:color="000000" w:sz="4" w:space="0"/>
            </w:tcBorders>
            <w:vAlign w:val="center"/>
          </w:tcPr>
          <w:p w14:paraId="59F0FE9D">
            <w:pPr>
              <w:widowControl/>
              <w:adjustRightInd w:val="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15F5177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0EA40F9">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2E15F98">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3B2042B9">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39D44A0A">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2AF41E15">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A6B7203">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377FBB1">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2872F140">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47BCB4A4">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35A84D81">
            <w:pPr>
              <w:widowControl/>
              <w:adjustRightInd w:val="0"/>
              <w:rPr>
                <w:rFonts w:hint="eastAsia" w:ascii="宋体" w:hAnsi="宋体" w:cs="宋体"/>
                <w:color w:val="000000" w:themeColor="text1"/>
                <w:szCs w:val="21"/>
                <w:highlight w:val="none"/>
                <w14:textFill>
                  <w14:solidFill>
                    <w14:schemeClr w14:val="tx1"/>
                  </w14:solidFill>
                </w14:textFill>
              </w:rPr>
            </w:pPr>
          </w:p>
        </w:tc>
      </w:tr>
      <w:tr w14:paraId="2736478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B57CA0A">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D50EB59">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72140F6">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1B92DCF7">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6CFC84FC">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41D2C12">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2BD961E">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52E13C21">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7DEC45E5">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27E5530D">
            <w:pPr>
              <w:widowControl/>
              <w:adjustRightInd w:val="0"/>
              <w:rPr>
                <w:rFonts w:hint="eastAsia" w:ascii="宋体" w:hAnsi="宋体" w:cs="宋体"/>
                <w:color w:val="000000" w:themeColor="text1"/>
                <w:szCs w:val="21"/>
                <w:highlight w:val="none"/>
                <w14:textFill>
                  <w14:solidFill>
                    <w14:schemeClr w14:val="tx1"/>
                  </w14:solidFill>
                </w14:textFill>
              </w:rPr>
            </w:pPr>
          </w:p>
        </w:tc>
      </w:tr>
      <w:tr w14:paraId="090DF67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C8B3051">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33E67B73">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0676D4F9">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28F0B746">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7D9A7C32">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46BAD670">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0C905326">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30F4B7AB">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1CA1196D">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0DE8218F">
            <w:pPr>
              <w:widowControl/>
              <w:adjustRightInd w:val="0"/>
              <w:rPr>
                <w:rFonts w:hint="eastAsia" w:ascii="宋体" w:hAnsi="宋体" w:cs="宋体"/>
                <w:color w:val="000000" w:themeColor="text1"/>
                <w:szCs w:val="21"/>
                <w:highlight w:val="none"/>
                <w14:textFill>
                  <w14:solidFill>
                    <w14:schemeClr w14:val="tx1"/>
                  </w14:solidFill>
                </w14:textFill>
              </w:rPr>
            </w:pPr>
          </w:p>
        </w:tc>
      </w:tr>
      <w:tr w14:paraId="7DE4668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63CA8C8">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11C2D27">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8B71ACB">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333BE72F">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2B40BC4A">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28A6AAC2">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F256FA4">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7F65A0FB">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11130D05">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71C3F052">
            <w:pPr>
              <w:widowControl/>
              <w:adjustRightInd w:val="0"/>
              <w:rPr>
                <w:rFonts w:hint="eastAsia" w:ascii="宋体" w:hAnsi="宋体" w:cs="宋体"/>
                <w:color w:val="000000" w:themeColor="text1"/>
                <w:szCs w:val="21"/>
                <w:highlight w:val="none"/>
                <w14:textFill>
                  <w14:solidFill>
                    <w14:schemeClr w14:val="tx1"/>
                  </w14:solidFill>
                </w14:textFill>
              </w:rPr>
            </w:pPr>
          </w:p>
        </w:tc>
      </w:tr>
      <w:tr w14:paraId="56BE9E4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FBF4DBC">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786D5038">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274B12F1">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41601E52">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62DD621E">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362B76A8">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6EAE9258">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64A09FAD">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3636AC18">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262843AE">
            <w:pPr>
              <w:widowControl/>
              <w:adjustRightInd w:val="0"/>
              <w:rPr>
                <w:rFonts w:hint="eastAsia" w:ascii="宋体" w:hAnsi="宋体" w:cs="宋体"/>
                <w:color w:val="000000" w:themeColor="text1"/>
                <w:szCs w:val="21"/>
                <w:highlight w:val="none"/>
                <w14:textFill>
                  <w14:solidFill>
                    <w14:schemeClr w14:val="tx1"/>
                  </w14:solidFill>
                </w14:textFill>
              </w:rPr>
            </w:pPr>
          </w:p>
        </w:tc>
      </w:tr>
      <w:tr w14:paraId="2A84C46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3811431">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75464D84">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1A2EB39">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3BA784DF">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457B72DA">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CF74616">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482FD8C4">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58983533">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3D2D8DE3">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3E042217">
            <w:pPr>
              <w:widowControl/>
              <w:adjustRightInd w:val="0"/>
              <w:rPr>
                <w:rFonts w:hint="eastAsia" w:ascii="宋体" w:hAnsi="宋体" w:cs="宋体"/>
                <w:color w:val="000000" w:themeColor="text1"/>
                <w:szCs w:val="21"/>
                <w:highlight w:val="none"/>
                <w14:textFill>
                  <w14:solidFill>
                    <w14:schemeClr w14:val="tx1"/>
                  </w14:solidFill>
                </w14:textFill>
              </w:rPr>
            </w:pPr>
          </w:p>
        </w:tc>
      </w:tr>
      <w:tr w14:paraId="0291657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FF3D3BE">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B231A69">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0EAAAF85">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00155B16">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612C1310">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7BA4904F">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E111537">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47A080AE">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4DA92475">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45A548CB">
            <w:pPr>
              <w:widowControl/>
              <w:adjustRightInd w:val="0"/>
              <w:rPr>
                <w:rFonts w:hint="eastAsia" w:ascii="宋体" w:hAnsi="宋体" w:cs="宋体"/>
                <w:color w:val="000000" w:themeColor="text1"/>
                <w:szCs w:val="21"/>
                <w:highlight w:val="none"/>
                <w14:textFill>
                  <w14:solidFill>
                    <w14:schemeClr w14:val="tx1"/>
                  </w14:solidFill>
                </w14:textFill>
              </w:rPr>
            </w:pPr>
          </w:p>
        </w:tc>
      </w:tr>
      <w:tr w14:paraId="293EA41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9BE318F">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BFE7FF1">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AD57512">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7696AD46">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3229CD24">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18B73AC">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4D80D452">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70769903">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3DCAF01C">
            <w:pPr>
              <w:widowControl/>
              <w:adjustRightInd w:val="0"/>
              <w:rPr>
                <w:rFonts w:hint="eastAsia"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7D833257">
            <w:pPr>
              <w:widowControl/>
              <w:adjustRightInd w:val="0"/>
              <w:rPr>
                <w:rFonts w:hint="eastAsia" w:ascii="宋体" w:hAnsi="宋体" w:cs="宋体"/>
                <w:color w:val="000000" w:themeColor="text1"/>
                <w:szCs w:val="21"/>
                <w:highlight w:val="none"/>
                <w14:textFill>
                  <w14:solidFill>
                    <w14:schemeClr w14:val="tx1"/>
                  </w14:solidFill>
                </w14:textFill>
              </w:rPr>
            </w:pPr>
          </w:p>
        </w:tc>
      </w:tr>
    </w:tbl>
    <w:p w14:paraId="474A4094">
      <w:pPr>
        <w:widowControl/>
        <w:adjustRightInd w:val="0"/>
        <w:spacing w:line="440" w:lineRule="exac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供应商名称：</w:t>
      </w:r>
      <w:r>
        <w:rPr>
          <w:rFonts w:hint="eastAsia" w:ascii="Times New Roman" w:hAnsi="Times New Roman"/>
          <w:color w:val="000000" w:themeColor="text1"/>
          <w:sz w:val="24"/>
          <w:szCs w:val="21"/>
          <w:highlight w:val="none"/>
          <w:u w:val="single"/>
          <w14:textFill>
            <w14:solidFill>
              <w14:schemeClr w14:val="tx1"/>
            </w14:solidFill>
          </w14:textFill>
        </w:rPr>
        <w:t>                  </w:t>
      </w:r>
      <w:r>
        <w:rPr>
          <w:rFonts w:hint="eastAsia" w:ascii="Times New Roman" w:hAnsi="Times New Roman"/>
          <w:color w:val="000000" w:themeColor="text1"/>
          <w:sz w:val="24"/>
          <w:szCs w:val="21"/>
          <w:highlight w:val="none"/>
          <w14:textFill>
            <w14:solidFill>
              <w14:schemeClr w14:val="tx1"/>
            </w14:solidFill>
          </w14:textFill>
        </w:rPr>
        <w:t>（公章）</w:t>
      </w:r>
    </w:p>
    <w:p w14:paraId="2BFCA964">
      <w:pPr>
        <w:pStyle w:val="23"/>
        <w:rPr>
          <w:color w:val="000000" w:themeColor="text1"/>
          <w:szCs w:val="21"/>
          <w:highlight w:val="none"/>
          <w14:textFill>
            <w14:solidFill>
              <w14:schemeClr w14:val="tx1"/>
            </w14:solidFill>
          </w14:textFill>
        </w:rPr>
      </w:pPr>
    </w:p>
    <w:p w14:paraId="7A4A7A3F">
      <w:pPr>
        <w:pStyle w:val="19"/>
        <w:widowControl/>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说明：如果行数不够，请自行增加。</w:t>
      </w:r>
    </w:p>
    <w:p w14:paraId="770A8354">
      <w:pPr>
        <w:spacing w:line="240" w:lineRule="atLeast"/>
        <w:rPr>
          <w:rFonts w:hint="eastAsia" w:ascii="宋体" w:hAnsi="宋体"/>
          <w:b/>
          <w:color w:val="000000" w:themeColor="text1"/>
          <w:highlight w:val="none"/>
          <w14:textFill>
            <w14:solidFill>
              <w14:schemeClr w14:val="tx1"/>
            </w14:solidFill>
          </w14:textFill>
        </w:rPr>
      </w:pPr>
    </w:p>
    <w:p w14:paraId="48DEDB9B">
      <w:pP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2BB3A35F">
      <w:pPr>
        <w:pStyle w:val="19"/>
        <w:ind w:firstLine="482"/>
        <w:rPr>
          <w:rFonts w:hint="eastAsia"/>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目录十、响应需要的其他证明文件及材料</w:t>
      </w:r>
    </w:p>
    <w:p w14:paraId="21C2FEDB">
      <w:pPr>
        <w:widowControl/>
        <w:adjustRightInd w:val="0"/>
        <w:spacing w:line="440" w:lineRule="exact"/>
        <w:rPr>
          <w:rFonts w:hint="eastAsia" w:ascii="宋体" w:hAnsi="宋体"/>
          <w:b/>
          <w:bCs/>
          <w:color w:val="000000" w:themeColor="text1"/>
          <w:sz w:val="24"/>
          <w:highlight w:val="none"/>
          <w14:textFill>
            <w14:solidFill>
              <w14:schemeClr w14:val="tx1"/>
            </w14:solidFill>
          </w14:textFill>
        </w:rPr>
      </w:pPr>
    </w:p>
    <w:p w14:paraId="430B1D98">
      <w:pPr>
        <w:widowControl/>
        <w:adjustRightInd w:val="0"/>
        <w:spacing w:line="440" w:lineRule="exact"/>
        <w:rPr>
          <w:rFonts w:hint="eastAsia" w:ascii="宋体" w:hAnsi="宋体"/>
          <w:b/>
          <w:bCs/>
          <w:color w:val="000000" w:themeColor="text1"/>
          <w:sz w:val="24"/>
          <w:highlight w:val="none"/>
          <w14:textFill>
            <w14:solidFill>
              <w14:schemeClr w14:val="tx1"/>
            </w14:solidFill>
          </w14:textFill>
        </w:rPr>
      </w:pPr>
    </w:p>
    <w:p w14:paraId="20647C23">
      <w:pPr>
        <w:widowControl/>
        <w:adjustRightInd w:val="0"/>
        <w:spacing w:line="440" w:lineRule="exact"/>
        <w:jc w:val="center"/>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响应需要的其他证明文件及材料（若有）</w:t>
      </w:r>
    </w:p>
    <w:p w14:paraId="772772AD">
      <w:pPr>
        <w:rPr>
          <w:rFonts w:ascii="宋体" w:cs="宋体"/>
          <w:b/>
          <w:highlight w:val="none"/>
          <w:lang w:val="zh-CN"/>
        </w:rPr>
      </w:pPr>
      <w:r>
        <w:rPr>
          <w:rFonts w:hint="eastAsia" w:ascii="宋体" w:cs="宋体"/>
          <w:b/>
          <w:highlight w:val="none"/>
          <w:lang w:val="zh-CN"/>
        </w:rPr>
        <w:br w:type="page"/>
      </w:r>
    </w:p>
    <w:p w14:paraId="54CF1D80">
      <w:pPr>
        <w:pStyle w:val="25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附件一、承诺书</w:t>
      </w:r>
    </w:p>
    <w:p w14:paraId="374D35EB">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39C3FEC9">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我单位（供应商名称）承诺：</w:t>
      </w:r>
    </w:p>
    <w:p w14:paraId="389B1D5E">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承诺成交后可为项目派驻的技术人员购买针对本项目的雇主责任险或团体意外险。</w:t>
      </w:r>
    </w:p>
    <w:p w14:paraId="317AEB7F">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7725639A">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5C71CA9C">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3BB235A8">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p>
    <w:p w14:paraId="70BBDEF4">
      <w:pPr>
        <w:pStyle w:val="259"/>
        <w:rPr>
          <w:color w:val="000000" w:themeColor="text1"/>
          <w:highlight w:val="none"/>
          <w14:textFill>
            <w14:solidFill>
              <w14:schemeClr w14:val="tx1"/>
            </w14:solidFill>
          </w14:textFill>
        </w:rPr>
      </w:pPr>
    </w:p>
    <w:sectPr>
      <w:headerReference r:id="rId11" w:type="default"/>
      <w:footerReference r:id="rId12"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62997">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a:noFill/>
                      </a:ln>
                    </wps:spPr>
                    <wps:txbx>
                      <w:txbxContent>
                        <w:p w14:paraId="3A459CC3">
                          <w:pPr>
                            <w:pStyle w:val="29"/>
                            <w:jc w:val="center"/>
                          </w:pPr>
                          <w:r>
                            <w:fldChar w:fldCharType="begin"/>
                          </w:r>
                          <w:r>
                            <w:instrText xml:space="preserve"> PAGE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5"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Mqcd47GAQAAigMAAA4AAABkcnMvZTJvRG9jLnhtbK1TzY7TMBC+I/EO&#10;lu/UaWFhN2q6AlWLkBAgLfsArmM3lvwnj9ukLwBvwIkLd56rz7FjJ+3CctkDl3QyM/3m+76ZLK8H&#10;a8heRtDeNXQ+qyiRTvhWu21D777evLikBBJ3LTfeyYYeJNDr1fNnyz7UcuE7b1oZCYI4qPvQ0C6l&#10;UDMGopOWw8wH6bCofLQ84WvcsjbyHtGtYYuqes16H9sQvZAAmF2PRTohxqcAeqW0kGsvdla6NKJG&#10;aXhCSdDpAHRV2ColRfqsFMhETENRaSpPHILxJj/ZasnrbeSh02KiwJ9C4ZEmy7XDoWeoNU+c7KL+&#10;B8pqET14lWbCWzYKKY6ginn1yJvbjgdZtKDVEM6mw/+DFZ/2XyLRLV4CJY5bXPjxx/fjz9/HX9/I&#10;RbanD1Bj123AvjS880NunfKAyax6UNHmX9RDsI7mHs7myiERgcmLy1cLLAiszF9evamK9+zhvyFC&#10;ei+9JTloaMTVFUf5/iMknIetp5Y8yvkbbUxZn3F/JbAxZ1gmPhLMURo2w8R649sDiulx6w11eOSU&#10;mA8OTc0HcgriKdhMQZ4B4e0u4eDCJ6OOUNMwXFGhOZ1TvoE/30vXwye0ug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LW7l30AAAAAIBAAAPAAAAAAAAAAEAIAAAACIAAABkcnMvZG93bnJldi54bWxQ&#10;SwECFAAUAAAACACHTuJAypx3jsYBAACKAwAADgAAAAAAAAABACAAAAAfAQAAZHJzL2Uyb0RvYy54&#10;bWxQSwUGAAAAAAYABgBZAQAAVwUAAAAA&#10;">
              <v:fill on="f" focussize="0,0"/>
              <v:stroke on="f"/>
              <v:imagedata o:title=""/>
              <o:lock v:ext="edit" aspectratio="f"/>
              <v:textbox inset="0mm,0mm,0mm,0mm" style="mso-fit-shape-to-text:t;">
                <w:txbxContent>
                  <w:p w14:paraId="3A459CC3">
                    <w:pPr>
                      <w:pStyle w:val="29"/>
                      <w:jc w:val="center"/>
                    </w:pPr>
                    <w:r>
                      <w:fldChar w:fldCharType="begin"/>
                    </w:r>
                    <w:r>
                      <w:instrText xml:space="preserve"> PAGE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392DD">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a:noFill/>
                      </a:ln>
                    </wps:spPr>
                    <wps:txbx>
                      <w:txbxContent>
                        <w:p w14:paraId="6F4D7B3E">
                          <w:pPr>
                            <w:pStyle w:val="29"/>
                            <w:jc w:val="center"/>
                          </w:pPr>
                          <w:r>
                            <w:fldChar w:fldCharType="begin"/>
                          </w:r>
                          <w:r>
                            <w:instrText xml:space="preserve"> PAGE Page \* MERGEFORMAT </w:instrText>
                          </w:r>
                          <w:r>
                            <w:fldChar w:fldCharType="separate"/>
                          </w:r>
                          <w:r>
                            <w:t>43</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OLqKJfHAQAAiwMAAA4AAABkcnMvZTJvRG9jLnhtbK1TzY7TMBC+I/EO&#10;lu/UaRcWNmq6AlWLkBAgLTyA69iNJf/J4zbpC8AbcOLCnefqc+zYSbvLctkDF2c8M/5mvm8my+vB&#10;GrKXEbR3DZ3PKkqkE77VbtvQb19vXryhBBJ3LTfeyYYeJNDr1fNnyz7UcuE7b1oZCYI4qPvQ0C6l&#10;UDMGopOWw8wH6TCofLQ84TVuWRt5j+jWsEVVXbLexzZELyQAetdjkE6I8SmAXikt5NqLnZUujahR&#10;Gp6QEnQ6AF2VbpWSIn1WCmQipqHINJUTi6C9ySdbLXm9jTx0Wkwt8Ke08IiT5dph0TPUmidOdlH/&#10;A2W1iB68SjPhLRuJFEWQxbx6pM1tx4MsXFBqCGfR4f/Bik/7L5HotqEvKXHc4sCPP38cf/05/v5O&#10;LrI8fYAas24D5qXhnR9waU5+QGdmPaho8xf5EIyjuIezuHJIRORH88tF9YoSgaH5xdXrqojP7h+H&#10;COm99JZko6ERZ1ck5fuPkLARTD2l5FrO32hjyvyM+8uBidnDcudjh9lKw2aY6Gx8e0A2PY69oQ63&#10;nBLzwaGqeUNORjwZm8nINSC83SUsXPrJqCPUVAxnVNqc9ikvwcN7ybr/h1Z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Bi6WFNAAAAADAQAADwAAAAAAAAABACAAAAAiAAAAZHJzL2Rvd25yZXYueG1s&#10;UEsBAhQAFAAAAAgAh07iQOLqKJfHAQAAiwMAAA4AAAAAAAAAAQAgAAAAHwEAAGRycy9lMm9Eb2Mu&#10;eG1sUEsFBgAAAAAGAAYAWQEAAFgFAAAAAA==&#10;">
              <v:fill on="f" focussize="0,0"/>
              <v:stroke on="f"/>
              <v:imagedata o:title=""/>
              <o:lock v:ext="edit" aspectratio="f"/>
              <v:textbox inset="0mm,0mm,0mm,0mm" style="mso-fit-shape-to-text:t;">
                <w:txbxContent>
                  <w:p w14:paraId="6F4D7B3E">
                    <w:pPr>
                      <w:pStyle w:val="29"/>
                      <w:jc w:val="center"/>
                    </w:pPr>
                    <w:r>
                      <w:fldChar w:fldCharType="begin"/>
                    </w:r>
                    <w:r>
                      <w:instrText xml:space="preserve"> PAGE Page \* MERGEFORMAT </w:instrText>
                    </w:r>
                    <w:r>
                      <w:fldChar w:fldCharType="separate"/>
                    </w:r>
                    <w:r>
                      <w:t>43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A34BD">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C9267">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3F73E">
    <w:pPr>
      <w:pStyle w:val="29"/>
    </w:pPr>
    <w:r>
      <mc:AlternateContent>
        <mc:Choice Requires="wps">
          <w:drawing>
            <wp:anchor distT="0" distB="0" distL="114300" distR="114300" simplePos="0" relativeHeight="251660288"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4768FF4">
                          <w:pPr>
                            <w:pStyle w:val="29"/>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60</w:t>
                          </w:r>
                          <w:r>
                            <w:rPr>
                              <w:rFonts w:hint="eastAsia" w:ascii="宋体" w:hAnsi="宋体" w:cs="宋体"/>
                            </w:rPr>
                            <w:fldChar w:fldCharType="end"/>
                          </w:r>
                          <w:r>
                            <w:rPr>
                              <w:rFonts w:hint="eastAsia" w:ascii="宋体" w:hAnsi="宋体" w:cs="宋体"/>
                            </w:rPr>
                            <w:t xml:space="preserve"> 页 共 </w:t>
                          </w:r>
                          <w:r>
                            <w:fldChar w:fldCharType="begin"/>
                          </w:r>
                          <w:r>
                            <w:instrText xml:space="preserve"> NUMPAGES  \* MERGEFORMAT </w:instrText>
                          </w:r>
                          <w:r>
                            <w:fldChar w:fldCharType="separate"/>
                          </w:r>
                          <w:r>
                            <w:rPr>
                              <w:rFonts w:ascii="宋体" w:hAnsi="宋体" w:cs="宋体"/>
                            </w:rPr>
                            <w:t>66</w:t>
                          </w:r>
                          <w:r>
                            <w:rPr>
                              <w:rFonts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60288;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4768FF4">
                    <w:pPr>
                      <w:pStyle w:val="29"/>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60</w:t>
                    </w:r>
                    <w:r>
                      <w:rPr>
                        <w:rFonts w:hint="eastAsia" w:ascii="宋体" w:hAnsi="宋体" w:cs="宋体"/>
                      </w:rPr>
                      <w:fldChar w:fldCharType="end"/>
                    </w:r>
                    <w:r>
                      <w:rPr>
                        <w:rFonts w:hint="eastAsia" w:ascii="宋体" w:hAnsi="宋体" w:cs="宋体"/>
                      </w:rPr>
                      <w:t xml:space="preserve"> 页 共 </w:t>
                    </w:r>
                    <w:r>
                      <w:fldChar w:fldCharType="begin"/>
                    </w:r>
                    <w:r>
                      <w:instrText xml:space="preserve"> NUMPAGES  \* MERGEFORMAT </w:instrText>
                    </w:r>
                    <w:r>
                      <w:fldChar w:fldCharType="separate"/>
                    </w:r>
                    <w:r>
                      <w:rPr>
                        <w:rFonts w:ascii="宋体" w:hAnsi="宋体" w:cs="宋体"/>
                      </w:rPr>
                      <w:t>66</w:t>
                    </w:r>
                    <w:r>
                      <w:rPr>
                        <w:rFonts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103B5">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EDCA1">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DDBF8">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033BE">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FFAE9">
    <w:pPr>
      <w:pStyle w:val="3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CA9309AE"/>
    <w:multiLevelType w:val="singleLevel"/>
    <w:tmpl w:val="CA9309AE"/>
    <w:lvl w:ilvl="0" w:tentative="0">
      <w:start w:val="1"/>
      <w:numFmt w:val="bullet"/>
      <w:lvlText w:val=""/>
      <w:lvlJc w:val="left"/>
      <w:pPr>
        <w:ind w:left="420" w:hanging="420"/>
      </w:pPr>
      <w:rPr>
        <w:rFonts w:hint="default" w:ascii="Wingdings" w:hAnsi="Wingdings"/>
      </w:rPr>
    </w:lvl>
  </w:abstractNum>
  <w:abstractNum w:abstractNumId="22">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3">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4">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1">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2">
    <w:nsid w:val="0000002D"/>
    <w:multiLevelType w:val="multilevel"/>
    <w:tmpl w:val="0000002D"/>
    <w:lvl w:ilvl="0" w:tentative="0">
      <w:start w:val="1"/>
      <w:numFmt w:val="decimal"/>
      <w:lvlText w:val="%1."/>
      <w:lvlJc w:val="left"/>
      <w:pPr>
        <w:ind w:left="845" w:hanging="420"/>
      </w:pPr>
      <w:rPr>
        <w:rFonts w:ascii="Arial" w:hAnsi="Arial" w:eastAsia="Times New Roman"/>
        <w:b/>
        <w:bCs/>
        <w:color w:val="000000"/>
        <w:w w:val="100"/>
        <w:sz w:val="24"/>
        <w:szCs w:val="24"/>
        <w:u w:val="no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3">
    <w:nsid w:val="00000034"/>
    <w:multiLevelType w:val="multilevel"/>
    <w:tmpl w:val="00000034"/>
    <w:lvl w:ilvl="0" w:tentative="0">
      <w:start w:val="1"/>
      <w:numFmt w:val="decimal"/>
      <w:lvlText w:val="%1."/>
      <w:lvlJc w:val="left"/>
      <w:pPr>
        <w:ind w:left="800" w:hanging="400"/>
      </w:pPr>
      <w:rPr>
        <w:rFonts w:ascii="Arial" w:hAnsi="Arial" w:eastAsia="Times New Roman"/>
        <w:w w:val="100"/>
        <w:sz w:val="24"/>
        <w:szCs w:val="24"/>
        <w:u w:val="none"/>
      </w:rPr>
    </w:lvl>
    <w:lvl w:ilvl="1" w:tentative="0">
      <w:start w:val="1"/>
      <w:numFmt w:val="upperLetter"/>
      <w:lvlText w:val="%2."/>
      <w:lvlJc w:val="left"/>
      <w:pPr>
        <w:ind w:left="1200" w:hanging="400"/>
      </w:pPr>
      <w:rPr>
        <w:rFonts w:ascii="Times New Roman" w:hAnsi="Times New Roman" w:eastAsia="Times New Roman"/>
        <w:w w:val="100"/>
        <w:sz w:val="20"/>
        <w:szCs w:val="20"/>
      </w:rPr>
    </w:lvl>
    <w:lvl w:ilvl="2" w:tentative="0">
      <w:start w:val="1"/>
      <w:numFmt w:val="lowerRoman"/>
      <w:lvlText w:val="%3."/>
      <w:lvlJc w:val="left"/>
      <w:pPr>
        <w:ind w:left="1600" w:hanging="400"/>
      </w:pPr>
      <w:rPr>
        <w:rFonts w:ascii="Times New Roman" w:hAnsi="Times New Roman" w:eastAsia="Times New Roman"/>
        <w:w w:val="100"/>
        <w:sz w:val="20"/>
        <w:szCs w:val="20"/>
      </w:rPr>
    </w:lvl>
    <w:lvl w:ilvl="3" w:tentative="0">
      <w:start w:val="1"/>
      <w:numFmt w:val="decimal"/>
      <w:lvlText w:val="%4."/>
      <w:lvlJc w:val="left"/>
      <w:pPr>
        <w:ind w:left="2000" w:hanging="400"/>
      </w:pPr>
      <w:rPr>
        <w:rFonts w:ascii="Times New Roman" w:hAnsi="Times New Roman" w:eastAsia="Times New Roman"/>
        <w:w w:val="100"/>
        <w:sz w:val="20"/>
        <w:szCs w:val="20"/>
      </w:rPr>
    </w:lvl>
    <w:lvl w:ilvl="4" w:tentative="0">
      <w:start w:val="1"/>
      <w:numFmt w:val="upperLetter"/>
      <w:lvlText w:val="%5."/>
      <w:lvlJc w:val="left"/>
      <w:pPr>
        <w:ind w:left="2400" w:hanging="400"/>
      </w:pPr>
      <w:rPr>
        <w:rFonts w:ascii="Times New Roman" w:hAnsi="Times New Roman" w:eastAsia="Times New Roman"/>
        <w:w w:val="100"/>
        <w:sz w:val="20"/>
        <w:szCs w:val="20"/>
      </w:rPr>
    </w:lvl>
    <w:lvl w:ilvl="5" w:tentative="0">
      <w:start w:val="1"/>
      <w:numFmt w:val="lowerRoman"/>
      <w:lvlText w:val="%6."/>
      <w:lvlJc w:val="left"/>
      <w:pPr>
        <w:ind w:left="2800" w:hanging="400"/>
      </w:pPr>
      <w:rPr>
        <w:rFonts w:ascii="Times New Roman" w:hAnsi="Times New Roman" w:eastAsia="Times New Roman"/>
        <w:w w:val="100"/>
        <w:sz w:val="20"/>
        <w:szCs w:val="20"/>
      </w:rPr>
    </w:lvl>
    <w:lvl w:ilvl="6" w:tentative="0">
      <w:start w:val="1"/>
      <w:numFmt w:val="decimal"/>
      <w:lvlText w:val="%7."/>
      <w:lvlJc w:val="left"/>
      <w:pPr>
        <w:ind w:left="3200" w:hanging="400"/>
      </w:pPr>
      <w:rPr>
        <w:rFonts w:ascii="Times New Roman" w:hAnsi="Times New Roman" w:eastAsia="Times New Roman"/>
        <w:w w:val="100"/>
        <w:sz w:val="20"/>
        <w:szCs w:val="20"/>
      </w:rPr>
    </w:lvl>
    <w:lvl w:ilvl="7" w:tentative="0">
      <w:start w:val="1"/>
      <w:numFmt w:val="upperLetter"/>
      <w:lvlText w:val="%8."/>
      <w:lvlJc w:val="left"/>
      <w:pPr>
        <w:ind w:left="3600" w:hanging="400"/>
      </w:pPr>
      <w:rPr>
        <w:rFonts w:ascii="Times New Roman" w:hAnsi="Times New Roman" w:eastAsia="Times New Roman"/>
        <w:w w:val="100"/>
        <w:sz w:val="20"/>
        <w:szCs w:val="20"/>
      </w:rPr>
    </w:lvl>
    <w:lvl w:ilvl="8" w:tentative="0">
      <w:start w:val="1"/>
      <w:numFmt w:val="lowerRoman"/>
      <w:lvlText w:val="%9."/>
      <w:lvlJc w:val="left"/>
      <w:pPr>
        <w:ind w:left="4000" w:hanging="400"/>
      </w:pPr>
      <w:rPr>
        <w:rFonts w:ascii="Times New Roman" w:hAnsi="Times New Roman" w:eastAsia="Times New Roman"/>
        <w:w w:val="100"/>
        <w:sz w:val="20"/>
        <w:szCs w:val="20"/>
      </w:rPr>
    </w:lvl>
  </w:abstractNum>
  <w:abstractNum w:abstractNumId="34">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5">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6">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7">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8">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9">
    <w:nsid w:val="1C0B3573"/>
    <w:multiLevelType w:val="singleLevel"/>
    <w:tmpl w:val="1C0B3573"/>
    <w:lvl w:ilvl="0" w:tentative="0">
      <w:start w:val="1"/>
      <w:numFmt w:val="bullet"/>
      <w:lvlText w:val=""/>
      <w:lvlJc w:val="left"/>
      <w:pPr>
        <w:ind w:left="420" w:hanging="420"/>
      </w:pPr>
      <w:rPr>
        <w:rFonts w:hint="default" w:ascii="Wingdings" w:hAnsi="Wingdings"/>
      </w:rPr>
    </w:lvl>
  </w:abstractNum>
  <w:abstractNum w:abstractNumId="40">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1">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2">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3">
    <w:nsid w:val="2730459E"/>
    <w:multiLevelType w:val="singleLevel"/>
    <w:tmpl w:val="2730459E"/>
    <w:lvl w:ilvl="0" w:tentative="0">
      <w:start w:val="1"/>
      <w:numFmt w:val="chineseCounting"/>
      <w:suff w:val="nothing"/>
      <w:lvlText w:val="（%1）"/>
      <w:lvlJc w:val="left"/>
      <w:pPr>
        <w:ind w:left="0" w:firstLine="420"/>
      </w:pPr>
      <w:rPr>
        <w:rFonts w:hint="eastAsia"/>
      </w:rPr>
    </w:lvl>
  </w:abstractNum>
  <w:abstractNum w:abstractNumId="44">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5">
    <w:nsid w:val="318533B0"/>
    <w:multiLevelType w:val="singleLevel"/>
    <w:tmpl w:val="318533B0"/>
    <w:lvl w:ilvl="0" w:tentative="0">
      <w:start w:val="4"/>
      <w:numFmt w:val="chineseCounting"/>
      <w:suff w:val="space"/>
      <w:lvlText w:val="第%1章"/>
      <w:lvlJc w:val="left"/>
      <w:rPr>
        <w:rFonts w:hint="eastAsia"/>
      </w:rPr>
    </w:lvl>
  </w:abstractNum>
  <w:abstractNum w:abstractNumId="46">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7">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8">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9">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0">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1">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2">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4">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5">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6">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7">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8">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9">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0">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1">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2">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2"/>
  </w:num>
  <w:num w:numId="2">
    <w:abstractNumId w:val="13"/>
  </w:num>
  <w:num w:numId="3">
    <w:abstractNumId w:val="40"/>
  </w:num>
  <w:num w:numId="4">
    <w:abstractNumId w:val="61"/>
  </w:num>
  <w:num w:numId="5">
    <w:abstractNumId w:val="58"/>
  </w:num>
  <w:num w:numId="6">
    <w:abstractNumId w:val="35"/>
  </w:num>
  <w:num w:numId="7">
    <w:abstractNumId w:val="20"/>
  </w:num>
  <w:num w:numId="8">
    <w:abstractNumId w:val="48"/>
  </w:num>
  <w:num w:numId="9">
    <w:abstractNumId w:val="44"/>
  </w:num>
  <w:num w:numId="10">
    <w:abstractNumId w:val="8"/>
  </w:num>
  <w:num w:numId="11">
    <w:abstractNumId w:val="16"/>
  </w:num>
  <w:num w:numId="12">
    <w:abstractNumId w:val="51"/>
  </w:num>
  <w:num w:numId="13">
    <w:abstractNumId w:val="62"/>
  </w:num>
  <w:num w:numId="14">
    <w:abstractNumId w:val="12"/>
  </w:num>
  <w:num w:numId="15">
    <w:abstractNumId w:val="59"/>
  </w:num>
  <w:num w:numId="16">
    <w:abstractNumId w:val="42"/>
  </w:num>
  <w:num w:numId="17">
    <w:abstractNumId w:val="57"/>
  </w:num>
  <w:num w:numId="18">
    <w:abstractNumId w:val="46"/>
  </w:num>
  <w:num w:numId="19">
    <w:abstractNumId w:val="34"/>
  </w:num>
  <w:num w:numId="20">
    <w:abstractNumId w:val="38"/>
  </w:num>
  <w:num w:numId="21">
    <w:abstractNumId w:val="14"/>
  </w:num>
  <w:num w:numId="22">
    <w:abstractNumId w:val="25"/>
  </w:num>
  <w:num w:numId="23">
    <w:abstractNumId w:val="31"/>
  </w:num>
  <w:num w:numId="24">
    <w:abstractNumId w:val="49"/>
  </w:num>
  <w:num w:numId="25">
    <w:abstractNumId w:val="27"/>
  </w:num>
  <w:num w:numId="26">
    <w:abstractNumId w:val="6"/>
  </w:num>
  <w:num w:numId="27">
    <w:abstractNumId w:val="50"/>
  </w:num>
  <w:num w:numId="28">
    <w:abstractNumId w:val="15"/>
  </w:num>
  <w:num w:numId="29">
    <w:abstractNumId w:val="2"/>
  </w:num>
  <w:num w:numId="30">
    <w:abstractNumId w:val="53"/>
  </w:num>
  <w:num w:numId="31">
    <w:abstractNumId w:val="47"/>
  </w:num>
  <w:num w:numId="32">
    <w:abstractNumId w:val="36"/>
  </w:num>
  <w:num w:numId="33">
    <w:abstractNumId w:val="7"/>
  </w:num>
  <w:num w:numId="34">
    <w:abstractNumId w:val="37"/>
  </w:num>
  <w:num w:numId="35">
    <w:abstractNumId w:val="55"/>
  </w:num>
  <w:num w:numId="36">
    <w:abstractNumId w:val="54"/>
  </w:num>
  <w:num w:numId="37">
    <w:abstractNumId w:val="3"/>
  </w:num>
  <w:num w:numId="38">
    <w:abstractNumId w:val="28"/>
  </w:num>
  <w:num w:numId="39">
    <w:abstractNumId w:val="56"/>
  </w:num>
  <w:num w:numId="40">
    <w:abstractNumId w:val="24"/>
  </w:num>
  <w:num w:numId="41">
    <w:abstractNumId w:val="9"/>
  </w:num>
  <w:num w:numId="42">
    <w:abstractNumId w:val="4"/>
  </w:num>
  <w:num w:numId="43">
    <w:abstractNumId w:val="10"/>
  </w:num>
  <w:num w:numId="44">
    <w:abstractNumId w:val="29"/>
  </w:num>
  <w:num w:numId="45">
    <w:abstractNumId w:val="17"/>
  </w:num>
  <w:num w:numId="46">
    <w:abstractNumId w:val="26"/>
  </w:num>
  <w:num w:numId="47">
    <w:abstractNumId w:val="18"/>
  </w:num>
  <w:num w:numId="48">
    <w:abstractNumId w:val="60"/>
  </w:num>
  <w:num w:numId="49">
    <w:abstractNumId w:val="19"/>
  </w:num>
  <w:num w:numId="50">
    <w:abstractNumId w:val="23"/>
  </w:num>
  <w:num w:numId="51">
    <w:abstractNumId w:val="1"/>
  </w:num>
  <w:num w:numId="52">
    <w:abstractNumId w:val="5"/>
  </w:num>
  <w:num w:numId="53">
    <w:abstractNumId w:val="45"/>
  </w:num>
  <w:num w:numId="54">
    <w:abstractNumId w:val="43"/>
  </w:num>
  <w:num w:numId="55">
    <w:abstractNumId w:val="33"/>
  </w:num>
  <w:num w:numId="56">
    <w:abstractNumId w:val="32"/>
  </w:num>
  <w:num w:numId="57">
    <w:abstractNumId w:val="21"/>
  </w:num>
  <w:num w:numId="58">
    <w:abstractNumId w:val="39"/>
  </w:num>
  <w:num w:numId="59">
    <w:abstractNumId w:val="0"/>
  </w:num>
  <w:num w:numId="60">
    <w:abstractNumId w:val="41"/>
  </w:num>
  <w:num w:numId="61">
    <w:abstractNumId w:val="11"/>
  </w:num>
  <w:num w:numId="62">
    <w:abstractNumId w:val="30"/>
  </w:num>
  <w:num w:numId="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21D3B"/>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0863"/>
    <w:rsid w:val="003269B7"/>
    <w:rsid w:val="003345C0"/>
    <w:rsid w:val="00337CC0"/>
    <w:rsid w:val="003408AD"/>
    <w:rsid w:val="00341584"/>
    <w:rsid w:val="00341E4E"/>
    <w:rsid w:val="00346C93"/>
    <w:rsid w:val="003567D1"/>
    <w:rsid w:val="003600CB"/>
    <w:rsid w:val="00361D2E"/>
    <w:rsid w:val="00370C11"/>
    <w:rsid w:val="0039013E"/>
    <w:rsid w:val="00395A8A"/>
    <w:rsid w:val="003A766D"/>
    <w:rsid w:val="003B7A90"/>
    <w:rsid w:val="003C28D7"/>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43C5A"/>
    <w:rsid w:val="00553C9B"/>
    <w:rsid w:val="00555045"/>
    <w:rsid w:val="00581E47"/>
    <w:rsid w:val="00585734"/>
    <w:rsid w:val="005A379C"/>
    <w:rsid w:val="005A7CDA"/>
    <w:rsid w:val="005A7EF9"/>
    <w:rsid w:val="005B3758"/>
    <w:rsid w:val="005B5295"/>
    <w:rsid w:val="005C5753"/>
    <w:rsid w:val="005C6410"/>
    <w:rsid w:val="005D3AD4"/>
    <w:rsid w:val="005D6EF2"/>
    <w:rsid w:val="005D782F"/>
    <w:rsid w:val="005D7B60"/>
    <w:rsid w:val="00636A37"/>
    <w:rsid w:val="0064295D"/>
    <w:rsid w:val="00655C8F"/>
    <w:rsid w:val="00662F68"/>
    <w:rsid w:val="00667126"/>
    <w:rsid w:val="00680EDD"/>
    <w:rsid w:val="006A66A9"/>
    <w:rsid w:val="006B472F"/>
    <w:rsid w:val="006C4F85"/>
    <w:rsid w:val="006D41A7"/>
    <w:rsid w:val="006D79F2"/>
    <w:rsid w:val="006D7E45"/>
    <w:rsid w:val="006E0DF4"/>
    <w:rsid w:val="006E4E08"/>
    <w:rsid w:val="006F395E"/>
    <w:rsid w:val="0070603D"/>
    <w:rsid w:val="00710EF7"/>
    <w:rsid w:val="00727503"/>
    <w:rsid w:val="0073289E"/>
    <w:rsid w:val="00736626"/>
    <w:rsid w:val="00745D46"/>
    <w:rsid w:val="00751351"/>
    <w:rsid w:val="007530ED"/>
    <w:rsid w:val="00761D8E"/>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2B87"/>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CFD"/>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3B0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115EA"/>
    <w:rsid w:val="00D210A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498C"/>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45250"/>
    <w:rsid w:val="00F6031B"/>
    <w:rsid w:val="00F675BD"/>
    <w:rsid w:val="00FA066C"/>
    <w:rsid w:val="00FA08FD"/>
    <w:rsid w:val="00FD12B6"/>
    <w:rsid w:val="00FD3539"/>
    <w:rsid w:val="00FF3C15"/>
    <w:rsid w:val="00FF70FB"/>
    <w:rsid w:val="00FF7ADF"/>
    <w:rsid w:val="012B64AF"/>
    <w:rsid w:val="01875DDB"/>
    <w:rsid w:val="01933E55"/>
    <w:rsid w:val="01BF6469"/>
    <w:rsid w:val="027C6AB9"/>
    <w:rsid w:val="02DF21EF"/>
    <w:rsid w:val="045046FF"/>
    <w:rsid w:val="047F24B6"/>
    <w:rsid w:val="053440DF"/>
    <w:rsid w:val="057069E3"/>
    <w:rsid w:val="05981637"/>
    <w:rsid w:val="05CB3586"/>
    <w:rsid w:val="060D10D2"/>
    <w:rsid w:val="066C72D7"/>
    <w:rsid w:val="07681892"/>
    <w:rsid w:val="07EF7321"/>
    <w:rsid w:val="08640C24"/>
    <w:rsid w:val="08823813"/>
    <w:rsid w:val="08936D80"/>
    <w:rsid w:val="08A40BE4"/>
    <w:rsid w:val="08B07D72"/>
    <w:rsid w:val="08BA7F54"/>
    <w:rsid w:val="08E45039"/>
    <w:rsid w:val="091A23B4"/>
    <w:rsid w:val="091D123B"/>
    <w:rsid w:val="096B4234"/>
    <w:rsid w:val="098053F7"/>
    <w:rsid w:val="09865C52"/>
    <w:rsid w:val="09F8516F"/>
    <w:rsid w:val="0A1318AA"/>
    <w:rsid w:val="0A1554BB"/>
    <w:rsid w:val="0A170B9C"/>
    <w:rsid w:val="0A1D4625"/>
    <w:rsid w:val="0B0D419A"/>
    <w:rsid w:val="0BAA1044"/>
    <w:rsid w:val="0C06116B"/>
    <w:rsid w:val="0C9534E4"/>
    <w:rsid w:val="0C9C2EB2"/>
    <w:rsid w:val="0D4B59D5"/>
    <w:rsid w:val="0DC64FDA"/>
    <w:rsid w:val="0DD73C46"/>
    <w:rsid w:val="0E5626EA"/>
    <w:rsid w:val="0EFA6269"/>
    <w:rsid w:val="0FE50224"/>
    <w:rsid w:val="10591750"/>
    <w:rsid w:val="1101240C"/>
    <w:rsid w:val="119D6FA6"/>
    <w:rsid w:val="11ED31A7"/>
    <w:rsid w:val="12332D92"/>
    <w:rsid w:val="123C49C0"/>
    <w:rsid w:val="124A36D5"/>
    <w:rsid w:val="12721277"/>
    <w:rsid w:val="12A83E03"/>
    <w:rsid w:val="12B979DD"/>
    <w:rsid w:val="130726B9"/>
    <w:rsid w:val="134358DA"/>
    <w:rsid w:val="1345230E"/>
    <w:rsid w:val="13B8520A"/>
    <w:rsid w:val="15B33C35"/>
    <w:rsid w:val="160A26DF"/>
    <w:rsid w:val="16B369C8"/>
    <w:rsid w:val="17163A31"/>
    <w:rsid w:val="1720639D"/>
    <w:rsid w:val="177B5642"/>
    <w:rsid w:val="17A83E52"/>
    <w:rsid w:val="18056F1E"/>
    <w:rsid w:val="18824714"/>
    <w:rsid w:val="18AE6841"/>
    <w:rsid w:val="18E611E1"/>
    <w:rsid w:val="19063631"/>
    <w:rsid w:val="1951749F"/>
    <w:rsid w:val="1959610D"/>
    <w:rsid w:val="19933EEE"/>
    <w:rsid w:val="19CB13F6"/>
    <w:rsid w:val="19E55985"/>
    <w:rsid w:val="19F85670"/>
    <w:rsid w:val="1A0836F9"/>
    <w:rsid w:val="1A4426FE"/>
    <w:rsid w:val="1A5852A5"/>
    <w:rsid w:val="1A6C60CD"/>
    <w:rsid w:val="1B1875CE"/>
    <w:rsid w:val="1B6A60FA"/>
    <w:rsid w:val="1B835B95"/>
    <w:rsid w:val="1BA842D2"/>
    <w:rsid w:val="1BCD48DA"/>
    <w:rsid w:val="1C8E057A"/>
    <w:rsid w:val="1CA11867"/>
    <w:rsid w:val="1CBA19FF"/>
    <w:rsid w:val="1D2422D8"/>
    <w:rsid w:val="1D6063C4"/>
    <w:rsid w:val="1D7F5DED"/>
    <w:rsid w:val="1D88230D"/>
    <w:rsid w:val="1D9E57B3"/>
    <w:rsid w:val="1DAD0160"/>
    <w:rsid w:val="1E036392"/>
    <w:rsid w:val="1EF63F47"/>
    <w:rsid w:val="1F4D3D68"/>
    <w:rsid w:val="1F951903"/>
    <w:rsid w:val="1FEF6BCD"/>
    <w:rsid w:val="200636BC"/>
    <w:rsid w:val="207E43F5"/>
    <w:rsid w:val="209D7852"/>
    <w:rsid w:val="20C067BC"/>
    <w:rsid w:val="20F33BE5"/>
    <w:rsid w:val="215601B6"/>
    <w:rsid w:val="21AF7EF2"/>
    <w:rsid w:val="21C30CB0"/>
    <w:rsid w:val="21D104C4"/>
    <w:rsid w:val="21E6112F"/>
    <w:rsid w:val="22017635"/>
    <w:rsid w:val="222334A6"/>
    <w:rsid w:val="229D231D"/>
    <w:rsid w:val="23325476"/>
    <w:rsid w:val="235E3DED"/>
    <w:rsid w:val="241E2177"/>
    <w:rsid w:val="2445396E"/>
    <w:rsid w:val="247D6DFF"/>
    <w:rsid w:val="24DB34C6"/>
    <w:rsid w:val="2557368E"/>
    <w:rsid w:val="25643BBA"/>
    <w:rsid w:val="25FE6C33"/>
    <w:rsid w:val="26203303"/>
    <w:rsid w:val="26B03760"/>
    <w:rsid w:val="27DE4458"/>
    <w:rsid w:val="27E9484A"/>
    <w:rsid w:val="283F5126"/>
    <w:rsid w:val="28920A3E"/>
    <w:rsid w:val="291B6C85"/>
    <w:rsid w:val="293B10D5"/>
    <w:rsid w:val="29945580"/>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411BC"/>
    <w:rsid w:val="2EEC39D8"/>
    <w:rsid w:val="2EED10C4"/>
    <w:rsid w:val="2F057E2F"/>
    <w:rsid w:val="2F3321FA"/>
    <w:rsid w:val="2F544C9F"/>
    <w:rsid w:val="2F751905"/>
    <w:rsid w:val="2F8B2FC9"/>
    <w:rsid w:val="2FFB046F"/>
    <w:rsid w:val="304B06CD"/>
    <w:rsid w:val="305A25CD"/>
    <w:rsid w:val="30AD0B0B"/>
    <w:rsid w:val="30B8216E"/>
    <w:rsid w:val="30D56E57"/>
    <w:rsid w:val="31457869"/>
    <w:rsid w:val="31B00187"/>
    <w:rsid w:val="31F17083"/>
    <w:rsid w:val="31FC517A"/>
    <w:rsid w:val="32D36F23"/>
    <w:rsid w:val="33637328"/>
    <w:rsid w:val="338F44F8"/>
    <w:rsid w:val="339C4E66"/>
    <w:rsid w:val="33B201E6"/>
    <w:rsid w:val="33B43DDA"/>
    <w:rsid w:val="34017A8A"/>
    <w:rsid w:val="350B7DFE"/>
    <w:rsid w:val="35CD57AB"/>
    <w:rsid w:val="35ED3757"/>
    <w:rsid w:val="367A15B2"/>
    <w:rsid w:val="36B24E78"/>
    <w:rsid w:val="36F01751"/>
    <w:rsid w:val="37024FE0"/>
    <w:rsid w:val="37315AF4"/>
    <w:rsid w:val="373A0C1E"/>
    <w:rsid w:val="37620175"/>
    <w:rsid w:val="37C64260"/>
    <w:rsid w:val="37FA7A6D"/>
    <w:rsid w:val="38392C84"/>
    <w:rsid w:val="38496D6C"/>
    <w:rsid w:val="388D1222"/>
    <w:rsid w:val="3892621E"/>
    <w:rsid w:val="38B663C8"/>
    <w:rsid w:val="38C904AC"/>
    <w:rsid w:val="38CA2129"/>
    <w:rsid w:val="38E05B90"/>
    <w:rsid w:val="3A2A6B90"/>
    <w:rsid w:val="3A744447"/>
    <w:rsid w:val="3AA30888"/>
    <w:rsid w:val="3ADD5E57"/>
    <w:rsid w:val="3AFB3576"/>
    <w:rsid w:val="3B0D7AC1"/>
    <w:rsid w:val="3BC44F5A"/>
    <w:rsid w:val="3BD74CEB"/>
    <w:rsid w:val="3BED091B"/>
    <w:rsid w:val="3C60699C"/>
    <w:rsid w:val="3C875932"/>
    <w:rsid w:val="3C88242C"/>
    <w:rsid w:val="3CF60458"/>
    <w:rsid w:val="3D042809"/>
    <w:rsid w:val="3E2409BB"/>
    <w:rsid w:val="3E8743FE"/>
    <w:rsid w:val="3F0C10F2"/>
    <w:rsid w:val="3F992808"/>
    <w:rsid w:val="3FB83028"/>
    <w:rsid w:val="3FBE048B"/>
    <w:rsid w:val="3FC54CB1"/>
    <w:rsid w:val="3FDB17C4"/>
    <w:rsid w:val="3FEB6F5A"/>
    <w:rsid w:val="4067627C"/>
    <w:rsid w:val="409265EE"/>
    <w:rsid w:val="41241D87"/>
    <w:rsid w:val="415218E2"/>
    <w:rsid w:val="41C9151C"/>
    <w:rsid w:val="41F221ED"/>
    <w:rsid w:val="431C742A"/>
    <w:rsid w:val="444F53BD"/>
    <w:rsid w:val="44737C99"/>
    <w:rsid w:val="44ED5664"/>
    <w:rsid w:val="44F364BA"/>
    <w:rsid w:val="456A6701"/>
    <w:rsid w:val="45A1630C"/>
    <w:rsid w:val="45D756FD"/>
    <w:rsid w:val="45F24ED8"/>
    <w:rsid w:val="473A796F"/>
    <w:rsid w:val="47726C6E"/>
    <w:rsid w:val="47ED547B"/>
    <w:rsid w:val="483729CC"/>
    <w:rsid w:val="48616533"/>
    <w:rsid w:val="486C49B0"/>
    <w:rsid w:val="489610DE"/>
    <w:rsid w:val="48E73DE4"/>
    <w:rsid w:val="494476DB"/>
    <w:rsid w:val="496F29A9"/>
    <w:rsid w:val="49A454A8"/>
    <w:rsid w:val="49B22A94"/>
    <w:rsid w:val="49BB376E"/>
    <w:rsid w:val="49BC0661"/>
    <w:rsid w:val="49BF63F4"/>
    <w:rsid w:val="49C66341"/>
    <w:rsid w:val="4A8E3303"/>
    <w:rsid w:val="4AA743C5"/>
    <w:rsid w:val="4B1E03E7"/>
    <w:rsid w:val="4B30329B"/>
    <w:rsid w:val="4BA95F1B"/>
    <w:rsid w:val="4BB54ECC"/>
    <w:rsid w:val="4BD9754E"/>
    <w:rsid w:val="4BE920DE"/>
    <w:rsid w:val="4C054A64"/>
    <w:rsid w:val="4C4C4730"/>
    <w:rsid w:val="4C6D6F48"/>
    <w:rsid w:val="4D371A30"/>
    <w:rsid w:val="4D717A9A"/>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5029F5"/>
    <w:rsid w:val="536F0303"/>
    <w:rsid w:val="53C15FC4"/>
    <w:rsid w:val="5402266C"/>
    <w:rsid w:val="543842E0"/>
    <w:rsid w:val="54803E83"/>
    <w:rsid w:val="54A67309"/>
    <w:rsid w:val="552064CC"/>
    <w:rsid w:val="553912FA"/>
    <w:rsid w:val="563228AA"/>
    <w:rsid w:val="563B3C13"/>
    <w:rsid w:val="56C43C09"/>
    <w:rsid w:val="56EA18C1"/>
    <w:rsid w:val="57106FCA"/>
    <w:rsid w:val="575E22AF"/>
    <w:rsid w:val="57A23F4A"/>
    <w:rsid w:val="57A46D66"/>
    <w:rsid w:val="57B42F13"/>
    <w:rsid w:val="58070251"/>
    <w:rsid w:val="584C2108"/>
    <w:rsid w:val="58827087"/>
    <w:rsid w:val="58F5454D"/>
    <w:rsid w:val="592D018B"/>
    <w:rsid w:val="594B0A11"/>
    <w:rsid w:val="59D40607"/>
    <w:rsid w:val="5A253D2B"/>
    <w:rsid w:val="5A7B154E"/>
    <w:rsid w:val="5B7F1DF1"/>
    <w:rsid w:val="5BCF7320"/>
    <w:rsid w:val="5BDE1EE0"/>
    <w:rsid w:val="5C292E8C"/>
    <w:rsid w:val="5C6F779B"/>
    <w:rsid w:val="5CA761D1"/>
    <w:rsid w:val="5CD2438D"/>
    <w:rsid w:val="5CFF31EA"/>
    <w:rsid w:val="5D24191A"/>
    <w:rsid w:val="5DB91881"/>
    <w:rsid w:val="5DC559D7"/>
    <w:rsid w:val="5E007347"/>
    <w:rsid w:val="5E394EDC"/>
    <w:rsid w:val="5E4F64AE"/>
    <w:rsid w:val="5E6466ED"/>
    <w:rsid w:val="5E954808"/>
    <w:rsid w:val="5EB84053"/>
    <w:rsid w:val="5EC92704"/>
    <w:rsid w:val="5F4C3A48"/>
    <w:rsid w:val="5F6C3BE2"/>
    <w:rsid w:val="603B13E0"/>
    <w:rsid w:val="605303A5"/>
    <w:rsid w:val="60687CFB"/>
    <w:rsid w:val="61614E76"/>
    <w:rsid w:val="62095B02"/>
    <w:rsid w:val="62451DF4"/>
    <w:rsid w:val="62A019CE"/>
    <w:rsid w:val="63F024E1"/>
    <w:rsid w:val="64276A3B"/>
    <w:rsid w:val="6497136C"/>
    <w:rsid w:val="64C45DE1"/>
    <w:rsid w:val="64D03589"/>
    <w:rsid w:val="65420B1A"/>
    <w:rsid w:val="65817895"/>
    <w:rsid w:val="671F556E"/>
    <w:rsid w:val="67E27EFB"/>
    <w:rsid w:val="67E934CF"/>
    <w:rsid w:val="686F7E78"/>
    <w:rsid w:val="69154ABB"/>
    <w:rsid w:val="6A040A94"/>
    <w:rsid w:val="6A31115D"/>
    <w:rsid w:val="6A5A12F3"/>
    <w:rsid w:val="6A927A03"/>
    <w:rsid w:val="6AF503DD"/>
    <w:rsid w:val="6B5131C2"/>
    <w:rsid w:val="6B603B25"/>
    <w:rsid w:val="6B7457A6"/>
    <w:rsid w:val="6BA54463"/>
    <w:rsid w:val="6C863145"/>
    <w:rsid w:val="6D0244F4"/>
    <w:rsid w:val="6D5732A1"/>
    <w:rsid w:val="6E2D0DB9"/>
    <w:rsid w:val="6EF247F9"/>
    <w:rsid w:val="6F0A08FB"/>
    <w:rsid w:val="6F7A7103"/>
    <w:rsid w:val="6F826A2D"/>
    <w:rsid w:val="6FB70357"/>
    <w:rsid w:val="6FDC61FC"/>
    <w:rsid w:val="7009478C"/>
    <w:rsid w:val="70813A4D"/>
    <w:rsid w:val="70A703CB"/>
    <w:rsid w:val="70E33C39"/>
    <w:rsid w:val="718524BB"/>
    <w:rsid w:val="72624905"/>
    <w:rsid w:val="728C28C5"/>
    <w:rsid w:val="7371347D"/>
    <w:rsid w:val="74547A54"/>
    <w:rsid w:val="74591FEB"/>
    <w:rsid w:val="745D156E"/>
    <w:rsid w:val="745E3543"/>
    <w:rsid w:val="748B4BCA"/>
    <w:rsid w:val="74CF1C9F"/>
    <w:rsid w:val="74E00EDF"/>
    <w:rsid w:val="750951B1"/>
    <w:rsid w:val="757C1E26"/>
    <w:rsid w:val="75CF430F"/>
    <w:rsid w:val="75EF25F8"/>
    <w:rsid w:val="75F2239C"/>
    <w:rsid w:val="76373B19"/>
    <w:rsid w:val="76BD44A5"/>
    <w:rsid w:val="76E47139"/>
    <w:rsid w:val="77254CD2"/>
    <w:rsid w:val="77456248"/>
    <w:rsid w:val="77FA652A"/>
    <w:rsid w:val="78283BA0"/>
    <w:rsid w:val="785769BA"/>
    <w:rsid w:val="788E6CCB"/>
    <w:rsid w:val="79312F28"/>
    <w:rsid w:val="79BF22E2"/>
    <w:rsid w:val="7A094544"/>
    <w:rsid w:val="7AF81F4F"/>
    <w:rsid w:val="7B0004F2"/>
    <w:rsid w:val="7B1C3E77"/>
    <w:rsid w:val="7B8C08E9"/>
    <w:rsid w:val="7D1961AD"/>
    <w:rsid w:val="7D3812BF"/>
    <w:rsid w:val="7D3927A9"/>
    <w:rsid w:val="7D553A71"/>
    <w:rsid w:val="7DA67B57"/>
    <w:rsid w:val="7DB83977"/>
    <w:rsid w:val="7E0D1B42"/>
    <w:rsid w:val="7EB51837"/>
    <w:rsid w:val="7EDE320A"/>
    <w:rsid w:val="7F13473F"/>
    <w:rsid w:val="7F264BB1"/>
    <w:rsid w:val="7F356031"/>
    <w:rsid w:val="7F4C0ABC"/>
    <w:rsid w:val="7F535BDC"/>
    <w:rsid w:val="7FA507A0"/>
    <w:rsid w:val="7FF60F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5">
    <w:name w:val="heading 1"/>
    <w:basedOn w:val="1"/>
    <w:next w:val="1"/>
    <w:link w:val="63"/>
    <w:qFormat/>
    <w:uiPriority w:val="9"/>
    <w:pPr>
      <w:spacing w:before="240" w:after="120" w:line="360" w:lineRule="auto"/>
      <w:outlineLvl w:val="0"/>
    </w:pPr>
    <w:rPr>
      <w:rFonts w:ascii="宋体" w:hAnsi="宋体" w:cs="宋体"/>
      <w:b/>
      <w:bCs/>
      <w:kern w:val="44"/>
      <w:sz w:val="24"/>
      <w:szCs w:val="30"/>
    </w:rPr>
  </w:style>
  <w:style w:type="paragraph" w:styleId="6">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7">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8">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9">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10">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1">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2">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3">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120" w:line="240" w:lineRule="auto"/>
      <w:ind w:left="420" w:leftChars="200" w:firstLine="200"/>
    </w:pPr>
    <w:rPr>
      <w:sz w:val="21"/>
    </w:rPr>
  </w:style>
  <w:style w:type="paragraph" w:styleId="3">
    <w:name w:val="Body Text Indent"/>
    <w:basedOn w:val="1"/>
    <w:next w:val="4"/>
    <w:qFormat/>
    <w:uiPriority w:val="0"/>
    <w:pPr>
      <w:spacing w:line="480" w:lineRule="exact"/>
      <w:ind w:firstLine="480" w:firstLineChars="200"/>
    </w:pPr>
    <w:rPr>
      <w:rFonts w:ascii="宋体" w:hAnsi="宋体"/>
      <w:sz w:val="24"/>
    </w:rPr>
  </w:style>
  <w:style w:type="paragraph" w:styleId="4">
    <w:name w:val="envelope return"/>
    <w:basedOn w:val="1"/>
    <w:qFormat/>
    <w:uiPriority w:val="0"/>
    <w:pPr>
      <w:snapToGrid w:val="0"/>
    </w:pPr>
    <w:rPr>
      <w:rFonts w:ascii="Arial" w:hAnsi="Arial"/>
    </w:rPr>
  </w:style>
  <w:style w:type="paragraph" w:styleId="14">
    <w:name w:val="toc 7"/>
    <w:basedOn w:val="1"/>
    <w:next w:val="1"/>
    <w:unhideWhenUsed/>
    <w:qFormat/>
    <w:uiPriority w:val="39"/>
    <w:pPr>
      <w:spacing w:after="57"/>
      <w:ind w:left="1701"/>
    </w:pPr>
  </w:style>
  <w:style w:type="paragraph" w:styleId="15">
    <w:name w:val="Normal Indent"/>
    <w:basedOn w:val="1"/>
    <w:next w:val="1"/>
    <w:qFormat/>
    <w:uiPriority w:val="99"/>
    <w:pPr>
      <w:ind w:firstLine="420"/>
    </w:pPr>
    <w:rPr>
      <w:rFonts w:ascii="Times New Roman" w:hAnsi="Times New Roman"/>
      <w:szCs w:val="24"/>
    </w:rPr>
  </w:style>
  <w:style w:type="paragraph" w:styleId="16">
    <w:name w:val="caption"/>
    <w:basedOn w:val="1"/>
    <w:next w:val="1"/>
    <w:qFormat/>
    <w:uiPriority w:val="35"/>
    <w:pPr>
      <w:spacing w:line="276" w:lineRule="auto"/>
    </w:pPr>
    <w:rPr>
      <w:b/>
      <w:bCs/>
      <w:color w:val="5B9BD5"/>
      <w:sz w:val="18"/>
      <w:szCs w:val="18"/>
    </w:rPr>
  </w:style>
  <w:style w:type="paragraph" w:styleId="17">
    <w:name w:val="toa heading"/>
    <w:basedOn w:val="1"/>
    <w:next w:val="1"/>
    <w:unhideWhenUsed/>
    <w:qFormat/>
    <w:uiPriority w:val="99"/>
    <w:pPr>
      <w:spacing w:before="120"/>
    </w:pPr>
    <w:rPr>
      <w:rFonts w:ascii="Arial" w:hAnsi="Arial"/>
      <w:sz w:val="24"/>
    </w:rPr>
  </w:style>
  <w:style w:type="paragraph" w:styleId="18">
    <w:name w:val="annotation text"/>
    <w:basedOn w:val="1"/>
    <w:link w:val="72"/>
    <w:unhideWhenUsed/>
    <w:qFormat/>
    <w:uiPriority w:val="99"/>
    <w:pPr>
      <w:jc w:val="left"/>
    </w:pPr>
  </w:style>
  <w:style w:type="paragraph" w:styleId="19">
    <w:name w:val="Body Text"/>
    <w:basedOn w:val="1"/>
    <w:link w:val="73"/>
    <w:qFormat/>
    <w:uiPriority w:val="99"/>
    <w:pPr>
      <w:spacing w:after="120" w:line="300" w:lineRule="auto"/>
      <w:ind w:firstLine="420" w:firstLineChars="200"/>
    </w:pPr>
    <w:rPr>
      <w:rFonts w:ascii="Times New Roman" w:hAnsi="Times New Roman"/>
      <w:sz w:val="24"/>
    </w:rPr>
  </w:style>
  <w:style w:type="paragraph" w:styleId="20">
    <w:name w:val="index 4"/>
    <w:basedOn w:val="1"/>
    <w:next w:val="1"/>
    <w:qFormat/>
    <w:uiPriority w:val="99"/>
    <w:pPr>
      <w:ind w:left="600" w:leftChars="600"/>
    </w:pPr>
    <w:rPr>
      <w:rFonts w:ascii="Verdana" w:hAnsi="Verdana"/>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ind w:left="840"/>
    </w:pPr>
  </w:style>
  <w:style w:type="paragraph" w:styleId="23">
    <w:name w:val="Plain Text"/>
    <w:basedOn w:val="1"/>
    <w:next w:val="15"/>
    <w:link w:val="74"/>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link w:val="75"/>
    <w:qFormat/>
    <w:uiPriority w:val="0"/>
    <w:pPr>
      <w:ind w:left="100"/>
    </w:pPr>
    <w:rPr>
      <w:rFonts w:ascii="Times New Roman" w:hAnsi="Times New Roman"/>
      <w:szCs w:val="24"/>
    </w:r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76"/>
    <w:unhideWhenUsed/>
    <w:qFormat/>
    <w:uiPriority w:val="99"/>
    <w:rPr>
      <w:sz w:val="20"/>
    </w:rPr>
  </w:style>
  <w:style w:type="paragraph" w:styleId="28">
    <w:name w:val="Balloon Text"/>
    <w:basedOn w:val="1"/>
    <w:link w:val="77"/>
    <w:unhideWhenUsed/>
    <w:qFormat/>
    <w:uiPriority w:val="99"/>
    <w:rPr>
      <w:sz w:val="18"/>
      <w:szCs w:val="18"/>
    </w:rPr>
  </w:style>
  <w:style w:type="paragraph" w:styleId="29">
    <w:name w:val="footer"/>
    <w:basedOn w:val="1"/>
    <w:link w:val="78"/>
    <w:unhideWhenUsed/>
    <w:qFormat/>
    <w:uiPriority w:val="99"/>
    <w:pPr>
      <w:tabs>
        <w:tab w:val="center" w:pos="4153"/>
        <w:tab w:val="right" w:pos="8306"/>
      </w:tabs>
      <w:jc w:val="left"/>
    </w:pPr>
    <w:rPr>
      <w:sz w:val="18"/>
      <w:szCs w:val="18"/>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83"/>
    <w:qFormat/>
    <w:uiPriority w:val="0"/>
    <w:pPr>
      <w:spacing w:line="360" w:lineRule="auto"/>
      <w:jc w:val="center"/>
    </w:pPr>
    <w:rPr>
      <w:rFonts w:ascii="Times New Roman" w:hAnsi="Times New Roman" w:eastAsia="黑体"/>
      <w:sz w:val="44"/>
    </w:rPr>
  </w:style>
  <w:style w:type="paragraph" w:styleId="42">
    <w:name w:val="annotation subject"/>
    <w:basedOn w:val="18"/>
    <w:next w:val="18"/>
    <w:link w:val="84"/>
    <w:unhideWhenUsed/>
    <w:qFormat/>
    <w:uiPriority w:val="99"/>
    <w:rPr>
      <w:b/>
      <w:bCs/>
    </w:rPr>
  </w:style>
  <w:style w:type="table" w:styleId="44">
    <w:name w:val="Table Grid"/>
    <w:basedOn w:val="4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22"/>
    <w:rPr>
      <w:b/>
      <w:bCs/>
    </w:rPr>
  </w:style>
  <w:style w:type="character" w:styleId="47">
    <w:name w:val="endnote reference"/>
    <w:unhideWhenUsed/>
    <w:qFormat/>
    <w:uiPriority w:val="99"/>
    <w:rPr>
      <w:vertAlign w:val="superscript"/>
    </w:rPr>
  </w:style>
  <w:style w:type="character" w:styleId="48">
    <w:name w:val="FollowedHyperlink"/>
    <w:qFormat/>
    <w:uiPriority w:val="0"/>
    <w:rPr>
      <w:color w:val="800080"/>
      <w:u w:val="single"/>
    </w:rPr>
  </w:style>
  <w:style w:type="character" w:styleId="49">
    <w:name w:val="Emphasis"/>
    <w:qFormat/>
    <w:uiPriority w:val="20"/>
    <w:rPr>
      <w:i/>
    </w:rPr>
  </w:style>
  <w:style w:type="character" w:styleId="50">
    <w:name w:val="HTML Typewriter"/>
    <w:basedOn w:val="45"/>
    <w:semiHidden/>
    <w:unhideWhenUsed/>
    <w:qFormat/>
    <w:uiPriority w:val="99"/>
    <w:rPr>
      <w:rFonts w:hint="default" w:ascii="monospace" w:hAnsi="monospace" w:eastAsia="monospace" w:cs="monospace"/>
      <w:sz w:val="20"/>
    </w:rPr>
  </w:style>
  <w:style w:type="character" w:styleId="51">
    <w:name w:val="HTML Acronym"/>
    <w:basedOn w:val="45"/>
    <w:semiHidden/>
    <w:unhideWhenUsed/>
    <w:qFormat/>
    <w:uiPriority w:val="99"/>
  </w:style>
  <w:style w:type="character" w:styleId="52">
    <w:name w:val="Hyperlink"/>
    <w:unhideWhenUsed/>
    <w:qFormat/>
    <w:uiPriority w:val="99"/>
    <w:rPr>
      <w:color w:val="0563C1"/>
      <w:u w:val="single"/>
    </w:rPr>
  </w:style>
  <w:style w:type="character" w:styleId="53">
    <w:name w:val="HTML Code"/>
    <w:basedOn w:val="45"/>
    <w:semiHidden/>
    <w:unhideWhenUsed/>
    <w:qFormat/>
    <w:uiPriority w:val="99"/>
    <w:rPr>
      <w:rFonts w:hint="default" w:ascii="monospace" w:hAnsi="monospace" w:eastAsia="monospace" w:cs="monospace"/>
      <w:sz w:val="20"/>
    </w:rPr>
  </w:style>
  <w:style w:type="character" w:styleId="54">
    <w:name w:val="annotation reference"/>
    <w:basedOn w:val="45"/>
    <w:unhideWhenUsed/>
    <w:qFormat/>
    <w:uiPriority w:val="0"/>
    <w:rPr>
      <w:sz w:val="21"/>
      <w:szCs w:val="21"/>
    </w:rPr>
  </w:style>
  <w:style w:type="character" w:styleId="55">
    <w:name w:val="footnote reference"/>
    <w:unhideWhenUsed/>
    <w:qFormat/>
    <w:uiPriority w:val="99"/>
    <w:rPr>
      <w:vertAlign w:val="superscript"/>
    </w:rPr>
  </w:style>
  <w:style w:type="character" w:styleId="56">
    <w:name w:val="HTML Keyboard"/>
    <w:basedOn w:val="45"/>
    <w:semiHidden/>
    <w:unhideWhenUsed/>
    <w:qFormat/>
    <w:uiPriority w:val="99"/>
    <w:rPr>
      <w:rFonts w:hint="default" w:ascii="monospace" w:hAnsi="monospace" w:eastAsia="monospace" w:cs="monospace"/>
      <w:sz w:val="20"/>
    </w:rPr>
  </w:style>
  <w:style w:type="character" w:styleId="57">
    <w:name w:val="HTML Sample"/>
    <w:basedOn w:val="45"/>
    <w:semiHidden/>
    <w:unhideWhenUsed/>
    <w:qFormat/>
    <w:uiPriority w:val="99"/>
    <w:rPr>
      <w:rFonts w:ascii="monospace" w:hAnsi="monospace" w:eastAsia="monospace" w:cs="monospace"/>
    </w:rPr>
  </w:style>
  <w:style w:type="paragraph" w:styleId="58">
    <w:name w:val="List Paragraph"/>
    <w:basedOn w:val="1"/>
    <w:qFormat/>
    <w:uiPriority w:val="99"/>
    <w:pPr>
      <w:ind w:firstLine="420" w:firstLineChars="200"/>
    </w:p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5"/>
    <w:qFormat/>
    <w:uiPriority w:val="99"/>
    <w:rPr>
      <w:rFonts w:ascii="宋体" w:hAnsi="宋体" w:eastAsia="宋体" w:cs="Times New Roman"/>
      <w:b/>
      <w:bCs/>
      <w:sz w:val="14"/>
      <w:szCs w:val="14"/>
    </w:rPr>
  </w:style>
  <w:style w:type="character" w:customStyle="1" w:styleId="64">
    <w:name w:val="标题 2 字符"/>
    <w:link w:val="6"/>
    <w:qFormat/>
    <w:uiPriority w:val="0"/>
    <w:rPr>
      <w:rFonts w:ascii="Arial" w:hAnsi="Arial" w:eastAsia="黑体" w:cs="Arial"/>
      <w:b/>
      <w:bCs/>
      <w:sz w:val="32"/>
      <w:szCs w:val="32"/>
    </w:rPr>
  </w:style>
  <w:style w:type="character" w:customStyle="1" w:styleId="65">
    <w:name w:val="标题 3 字符"/>
    <w:link w:val="7"/>
    <w:qFormat/>
    <w:uiPriority w:val="0"/>
    <w:rPr>
      <w:rFonts w:ascii="Times New Roman" w:hAnsi="Times New Roman" w:eastAsia="宋体" w:cs="Times New Roman"/>
      <w:b/>
      <w:bCs/>
      <w:sz w:val="32"/>
      <w:szCs w:val="32"/>
    </w:rPr>
  </w:style>
  <w:style w:type="character" w:customStyle="1" w:styleId="66">
    <w:name w:val="标题 4 字符"/>
    <w:link w:val="8"/>
    <w:qFormat/>
    <w:uiPriority w:val="9"/>
    <w:rPr>
      <w:rFonts w:ascii="Calibri Light" w:hAnsi="Calibri Light" w:eastAsia="黑体" w:cs="Times New Roman"/>
      <w:b/>
      <w:bCs/>
      <w:sz w:val="28"/>
      <w:szCs w:val="28"/>
    </w:rPr>
  </w:style>
  <w:style w:type="character" w:customStyle="1" w:styleId="67">
    <w:name w:val="标题 5 字符"/>
    <w:link w:val="9"/>
    <w:qFormat/>
    <w:uiPriority w:val="9"/>
    <w:rPr>
      <w:rFonts w:ascii="Arial" w:hAnsi="Arial" w:eastAsia="Arial" w:cs="Arial"/>
      <w:b/>
      <w:bCs/>
      <w:sz w:val="24"/>
      <w:szCs w:val="24"/>
    </w:rPr>
  </w:style>
  <w:style w:type="character" w:customStyle="1" w:styleId="68">
    <w:name w:val="标题 6 字符"/>
    <w:link w:val="10"/>
    <w:qFormat/>
    <w:uiPriority w:val="9"/>
    <w:rPr>
      <w:rFonts w:ascii="Arial" w:hAnsi="Arial" w:eastAsia="Arial" w:cs="Arial"/>
      <w:b/>
      <w:bCs/>
      <w:sz w:val="22"/>
      <w:szCs w:val="22"/>
    </w:rPr>
  </w:style>
  <w:style w:type="character" w:customStyle="1" w:styleId="69">
    <w:name w:val="标题 7 字符"/>
    <w:link w:val="11"/>
    <w:qFormat/>
    <w:uiPriority w:val="9"/>
    <w:rPr>
      <w:rFonts w:ascii="Arial" w:hAnsi="Arial" w:eastAsia="Arial" w:cs="Arial"/>
      <w:b/>
      <w:bCs/>
      <w:i/>
      <w:iCs/>
      <w:sz w:val="22"/>
      <w:szCs w:val="22"/>
    </w:rPr>
  </w:style>
  <w:style w:type="character" w:customStyle="1" w:styleId="70">
    <w:name w:val="标题 8 字符"/>
    <w:link w:val="12"/>
    <w:qFormat/>
    <w:uiPriority w:val="9"/>
    <w:rPr>
      <w:rFonts w:ascii="Arial" w:hAnsi="Arial" w:eastAsia="Arial" w:cs="Arial"/>
      <w:i/>
      <w:iCs/>
      <w:sz w:val="22"/>
      <w:szCs w:val="22"/>
    </w:rPr>
  </w:style>
  <w:style w:type="character" w:customStyle="1" w:styleId="71">
    <w:name w:val="标题 9 字符"/>
    <w:link w:val="13"/>
    <w:qFormat/>
    <w:uiPriority w:val="9"/>
    <w:rPr>
      <w:rFonts w:ascii="Arial" w:hAnsi="Arial" w:eastAsia="Arial" w:cs="Arial"/>
      <w:i/>
      <w:iCs/>
      <w:sz w:val="21"/>
      <w:szCs w:val="21"/>
    </w:rPr>
  </w:style>
  <w:style w:type="character" w:customStyle="1" w:styleId="72">
    <w:name w:val="批注文字 字符"/>
    <w:link w:val="18"/>
    <w:qFormat/>
    <w:uiPriority w:val="0"/>
    <w:rPr>
      <w:rFonts w:ascii="Calibri" w:hAnsi="Calibri" w:eastAsia="宋体" w:cs="Times New Roman"/>
      <w:sz w:val="21"/>
      <w:szCs w:val="22"/>
    </w:rPr>
  </w:style>
  <w:style w:type="character" w:customStyle="1" w:styleId="73">
    <w:name w:val="正文文本 字符"/>
    <w:link w:val="19"/>
    <w:qFormat/>
    <w:uiPriority w:val="99"/>
    <w:rPr>
      <w:rFonts w:ascii="Times New Roman" w:hAnsi="Times New Roman" w:eastAsia="宋体" w:cs="Times New Roman"/>
      <w:sz w:val="24"/>
      <w:szCs w:val="24"/>
    </w:rPr>
  </w:style>
  <w:style w:type="character" w:customStyle="1" w:styleId="74">
    <w:name w:val="纯文本 字符"/>
    <w:link w:val="23"/>
    <w:qFormat/>
    <w:uiPriority w:val="0"/>
    <w:rPr>
      <w:rFonts w:ascii="宋体" w:hAnsi="Courier New"/>
      <w:sz w:val="21"/>
      <w:szCs w:val="22"/>
    </w:rPr>
  </w:style>
  <w:style w:type="character" w:customStyle="1" w:styleId="75">
    <w:name w:val="日期 字符"/>
    <w:link w:val="25"/>
    <w:qFormat/>
    <w:uiPriority w:val="0"/>
    <w:rPr>
      <w:rFonts w:ascii="Times New Roman" w:hAnsi="Times New Roman" w:eastAsia="宋体" w:cs="Times New Roman"/>
      <w:sz w:val="21"/>
      <w:szCs w:val="24"/>
    </w:rPr>
  </w:style>
  <w:style w:type="character" w:customStyle="1" w:styleId="76">
    <w:name w:val="尾注文本 字符"/>
    <w:link w:val="27"/>
    <w:qFormat/>
    <w:uiPriority w:val="99"/>
    <w:rPr>
      <w:sz w:val="20"/>
    </w:rPr>
  </w:style>
  <w:style w:type="character" w:customStyle="1" w:styleId="77">
    <w:name w:val="批注框文本 字符"/>
    <w:link w:val="28"/>
    <w:semiHidden/>
    <w:qFormat/>
    <w:uiPriority w:val="99"/>
    <w:rPr>
      <w:sz w:val="18"/>
      <w:szCs w:val="18"/>
    </w:rPr>
  </w:style>
  <w:style w:type="character" w:customStyle="1" w:styleId="78">
    <w:name w:val="页脚 字符"/>
    <w:link w:val="29"/>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3"/>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3"/>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3"/>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3"/>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3"/>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3"/>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3"/>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3"/>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3"/>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3"/>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3"/>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3"/>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3"/>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3"/>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3"/>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3"/>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3"/>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3"/>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3"/>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3"/>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3"/>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3"/>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3"/>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3"/>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3"/>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3"/>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3"/>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3"/>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3"/>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3"/>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3"/>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3"/>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3"/>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3"/>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3"/>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3"/>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3"/>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3"/>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3"/>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3"/>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3"/>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3"/>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3"/>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3"/>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3"/>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3"/>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3"/>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3"/>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3"/>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3"/>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3"/>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3"/>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3"/>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3"/>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3"/>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3"/>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3"/>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3"/>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3"/>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3"/>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3"/>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3"/>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3"/>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3"/>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3"/>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3"/>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3"/>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3"/>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3"/>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3"/>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3"/>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3"/>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3"/>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3"/>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3"/>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3"/>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3"/>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3"/>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3"/>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3"/>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3"/>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3"/>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3"/>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3"/>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3"/>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3"/>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3"/>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3"/>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3"/>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3"/>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3"/>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3"/>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3"/>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3"/>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3"/>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3"/>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3"/>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3"/>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3"/>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3"/>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3"/>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3"/>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3"/>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3"/>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3"/>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3"/>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3"/>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3"/>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3"/>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3"/>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3"/>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3"/>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3"/>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3"/>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7"/>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5"/>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3"/>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styleId="270">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271">
    <w:name w:val="列表段落11"/>
    <w:basedOn w:val="1"/>
    <w:qFormat/>
    <w:uiPriority w:val="99"/>
    <w:pPr>
      <w:ind w:firstLine="420"/>
    </w:pPr>
  </w:style>
  <w:style w:type="paragraph" w:customStyle="1" w:styleId="272">
    <w:name w:val="17babae4-54f0-44fa-a444-1068224df0ac"/>
    <w:basedOn w:val="41"/>
    <w:next w:val="273"/>
    <w:qFormat/>
    <w:uiPriority w:val="0"/>
    <w:pPr>
      <w:adjustRightInd w:val="0"/>
      <w:spacing w:line="288" w:lineRule="auto"/>
    </w:pPr>
    <w:rPr>
      <w:rFonts w:ascii="微软雅黑" w:hAnsi="微软雅黑" w:eastAsia="微软雅黑"/>
      <w:color w:val="000000"/>
      <w:sz w:val="40"/>
      <w:szCs w:val="56"/>
    </w:rPr>
  </w:style>
  <w:style w:type="paragraph" w:customStyle="1" w:styleId="273">
    <w:name w:val="acbfdd8b-e11b-4d36-88ff-6049b138f862"/>
    <w:basedOn w:val="1"/>
    <w:qFormat/>
    <w:uiPriority w:val="0"/>
    <w:pPr>
      <w:adjustRightInd w:val="0"/>
      <w:spacing w:line="288" w:lineRule="auto"/>
      <w:jc w:val="left"/>
    </w:pPr>
    <w:rPr>
      <w:rFonts w:ascii="微软雅黑" w:hAnsi="微软雅黑" w:eastAsia="微软雅黑"/>
      <w:bCs/>
      <w:color w:val="000000"/>
      <w:sz w:val="22"/>
      <w:szCs w:val="56"/>
    </w:rPr>
  </w:style>
  <w:style w:type="paragraph" w:customStyle="1" w:styleId="274">
    <w:name w:val="21bc9c4b-6a32-43e5-beaa-fd2d792c5735"/>
    <w:basedOn w:val="5"/>
    <w:next w:val="273"/>
    <w:qFormat/>
    <w:uiPriority w:val="0"/>
    <w:pPr>
      <w:adjustRightInd w:val="0"/>
      <w:spacing w:before="0" w:after="0" w:line="288" w:lineRule="auto"/>
      <w:jc w:val="left"/>
    </w:pPr>
    <w:rPr>
      <w:rFonts w:ascii="微软雅黑" w:hAnsi="微软雅黑" w:eastAsia="微软雅黑" w:cs="Times New Roman"/>
      <w:color w:val="000000"/>
      <w:sz w:val="32"/>
    </w:rPr>
  </w:style>
  <w:style w:type="paragraph" w:customStyle="1" w:styleId="275">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B1D374-10BF-48E7-B5CF-647BF719606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9549</Words>
  <Characters>9982</Characters>
  <Lines>1605</Lines>
  <Paragraphs>1988</Paragraphs>
  <TotalTime>488</TotalTime>
  <ScaleCrop>false</ScaleCrop>
  <LinksUpToDate>false</LinksUpToDate>
  <CharactersWithSpaces>10002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2025-10-29T02:42:00Z</dcterms:created>
  <dc:creator>Administrator</dc:creator>
  <cp:lastModifiedBy>代理</cp:lastModifiedBy>
  <dcterms:modified xsi:type="dcterms:W3CDTF">2025-12-12T08:21:40Z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C7B1A4CC19534C588A841EF2C924739A</vt:lpwstr>
  </property>
  <property fmtid="{D5CDD505-2E9C-101B-9397-08002B2CF9AE}" pid="4" name="KSOTemplateDocerSaveRecord">
    <vt:lpwstr>eyJoZGlkIjoiZjYxZDcwYzY5ZmI4ODE3YzZiN2FlZGMzMDQzNGZhNDQiLCJ1c2VySWQiOiIzNzQ2MTQ5NzQifQ==</vt:lpwstr>
  </property>
</Properties>
</file>