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0B159">
      <w:pPr>
        <w:spacing w:line="360" w:lineRule="auto"/>
        <w:jc w:val="center"/>
        <w:rPr>
          <w:rFonts w:ascii="宋体" w:hAnsi="宋体" w:cs="宋体"/>
          <w:b/>
          <w:color w:val="auto"/>
          <w:sz w:val="44"/>
          <w:highlight w:val="none"/>
          <w:shd w:val="clear" w:color="auto" w:fill="FFFFFF"/>
        </w:rPr>
      </w:pPr>
      <w:bookmarkStart w:id="11" w:name="_GoBack"/>
      <w:bookmarkEnd w:id="11"/>
    </w:p>
    <w:p w14:paraId="7E196D17">
      <w:pPr>
        <w:jc w:val="center"/>
        <w:rPr>
          <w:rFonts w:ascii="宋体" w:hAnsi="宋体" w:cs="宋体"/>
          <w:b/>
          <w:color w:val="auto"/>
          <w:sz w:val="44"/>
          <w:highlight w:val="none"/>
          <w:shd w:val="clear" w:color="auto" w:fill="FFFFFF"/>
        </w:rPr>
      </w:pPr>
    </w:p>
    <w:p w14:paraId="367ACC17">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材料院教五六楼定制铝合金门窗采购（二次）</w:t>
      </w:r>
    </w:p>
    <w:p w14:paraId="334CD264">
      <w:pPr>
        <w:pStyle w:val="18"/>
        <w:ind w:firstLine="480"/>
        <w:jc w:val="center"/>
        <w:rPr>
          <w:rFonts w:ascii="宋体" w:hAnsi="宋体" w:cs="宋体"/>
          <w:color w:val="auto"/>
          <w:highlight w:val="none"/>
        </w:rPr>
      </w:pPr>
    </w:p>
    <w:p w14:paraId="594D9001">
      <w:pPr>
        <w:pStyle w:val="18"/>
        <w:ind w:firstLine="480"/>
        <w:jc w:val="center"/>
        <w:rPr>
          <w:rFonts w:ascii="宋体" w:hAnsi="宋体" w:cs="宋体"/>
          <w:color w:val="auto"/>
          <w:highlight w:val="none"/>
        </w:rPr>
      </w:pPr>
    </w:p>
    <w:p w14:paraId="6C2EBD21">
      <w:pPr>
        <w:pStyle w:val="18"/>
        <w:ind w:firstLine="480"/>
        <w:jc w:val="center"/>
        <w:rPr>
          <w:rFonts w:ascii="宋体" w:hAnsi="宋体" w:cs="宋体"/>
          <w:color w:val="auto"/>
          <w:highlight w:val="none"/>
        </w:rPr>
      </w:pPr>
    </w:p>
    <w:p w14:paraId="0633D8EC">
      <w:pPr>
        <w:pStyle w:val="18"/>
        <w:ind w:firstLine="480"/>
        <w:jc w:val="center"/>
        <w:rPr>
          <w:rFonts w:ascii="宋体" w:hAnsi="宋体" w:cs="宋体"/>
          <w:color w:val="auto"/>
          <w:highlight w:val="none"/>
        </w:rPr>
      </w:pPr>
    </w:p>
    <w:p w14:paraId="0610CD72">
      <w:pPr>
        <w:spacing w:line="360" w:lineRule="auto"/>
        <w:jc w:val="center"/>
        <w:rPr>
          <w:rFonts w:ascii="宋体" w:hAnsi="宋体" w:cs="宋体"/>
          <w:b/>
          <w:color w:val="auto"/>
          <w:sz w:val="32"/>
          <w:highlight w:val="none"/>
          <w:shd w:val="clear" w:color="auto" w:fill="FFFFFF"/>
        </w:rPr>
      </w:pPr>
    </w:p>
    <w:p w14:paraId="12ABD472">
      <w:pPr>
        <w:spacing w:line="360" w:lineRule="auto"/>
        <w:jc w:val="center"/>
        <w:rPr>
          <w:rFonts w:ascii="宋体" w:hAnsi="宋体" w:cs="宋体"/>
          <w:b/>
          <w:color w:val="auto"/>
          <w:sz w:val="32"/>
          <w:highlight w:val="none"/>
          <w:shd w:val="clear" w:color="auto" w:fill="FFFFFF"/>
        </w:rPr>
      </w:pPr>
    </w:p>
    <w:p w14:paraId="6A9FD0F1">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公开比选文件</w:t>
      </w:r>
    </w:p>
    <w:p w14:paraId="1BB2CE3F">
      <w:pPr>
        <w:spacing w:line="360" w:lineRule="auto"/>
        <w:jc w:val="center"/>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项目编号：</w:t>
      </w:r>
      <w:r>
        <w:rPr>
          <w:rFonts w:hint="eastAsia" w:ascii="宋体" w:hAnsi="宋体" w:cs="宋体"/>
          <w:b/>
          <w:color w:val="auto"/>
          <w:sz w:val="28"/>
          <w:highlight w:val="none"/>
          <w:lang w:eastAsia="zh-CN"/>
        </w:rPr>
        <w:t>FSCG2026-1586</w:t>
      </w:r>
    </w:p>
    <w:p w14:paraId="37A9BF43">
      <w:pPr>
        <w:spacing w:line="360" w:lineRule="auto"/>
        <w:jc w:val="center"/>
        <w:rPr>
          <w:rFonts w:ascii="宋体" w:hAnsi="宋体" w:cs="宋体"/>
          <w:b/>
          <w:color w:val="auto"/>
          <w:sz w:val="36"/>
          <w:highlight w:val="none"/>
        </w:rPr>
      </w:pPr>
    </w:p>
    <w:p w14:paraId="2DE01308">
      <w:pPr>
        <w:spacing w:line="360" w:lineRule="auto"/>
        <w:jc w:val="center"/>
        <w:rPr>
          <w:rFonts w:ascii="宋体" w:hAnsi="宋体" w:cs="宋体"/>
          <w:b/>
          <w:color w:val="auto"/>
          <w:sz w:val="36"/>
          <w:highlight w:val="none"/>
        </w:rPr>
      </w:pPr>
    </w:p>
    <w:p w14:paraId="14BF054A">
      <w:pPr>
        <w:spacing w:line="360" w:lineRule="auto"/>
        <w:jc w:val="center"/>
        <w:rPr>
          <w:rFonts w:ascii="宋体" w:hAnsi="宋体" w:cs="宋体"/>
          <w:b/>
          <w:color w:val="auto"/>
          <w:sz w:val="36"/>
          <w:highlight w:val="none"/>
        </w:rPr>
      </w:pPr>
    </w:p>
    <w:p w14:paraId="14D7E639">
      <w:pPr>
        <w:spacing w:line="360" w:lineRule="auto"/>
        <w:jc w:val="center"/>
        <w:rPr>
          <w:rFonts w:ascii="宋体" w:hAnsi="宋体" w:cs="宋体"/>
          <w:b/>
          <w:color w:val="auto"/>
          <w:sz w:val="36"/>
          <w:highlight w:val="none"/>
        </w:rPr>
      </w:pPr>
    </w:p>
    <w:p w14:paraId="38F8FF1E">
      <w:pPr>
        <w:spacing w:line="360" w:lineRule="auto"/>
        <w:jc w:val="center"/>
        <w:rPr>
          <w:rFonts w:ascii="宋体" w:hAnsi="宋体" w:cs="宋体"/>
          <w:b/>
          <w:color w:val="auto"/>
          <w:sz w:val="36"/>
          <w:highlight w:val="none"/>
        </w:rPr>
      </w:pPr>
    </w:p>
    <w:p w14:paraId="1E811F05">
      <w:pPr>
        <w:spacing w:line="360" w:lineRule="auto"/>
        <w:jc w:val="center"/>
        <w:rPr>
          <w:rFonts w:ascii="宋体" w:hAnsi="宋体" w:cs="宋体"/>
          <w:b/>
          <w:color w:val="auto"/>
          <w:sz w:val="36"/>
          <w:highlight w:val="none"/>
        </w:rPr>
      </w:pPr>
    </w:p>
    <w:p w14:paraId="2EDFA0E6">
      <w:pPr>
        <w:pStyle w:val="18"/>
        <w:ind w:firstLine="480"/>
        <w:jc w:val="center"/>
        <w:rPr>
          <w:rFonts w:ascii="宋体" w:hAnsi="宋体" w:cs="宋体"/>
          <w:color w:val="auto"/>
          <w:highlight w:val="none"/>
        </w:rPr>
      </w:pPr>
    </w:p>
    <w:p w14:paraId="30B86A8B">
      <w:pPr>
        <w:spacing w:line="360" w:lineRule="auto"/>
        <w:rPr>
          <w:rFonts w:ascii="宋体" w:hAnsi="宋体" w:cs="宋体"/>
          <w:b/>
          <w:color w:val="auto"/>
          <w:sz w:val="36"/>
          <w:highlight w:val="none"/>
        </w:rPr>
      </w:pPr>
      <w:r>
        <w:rPr>
          <w:rFonts w:hint="eastAsia" w:ascii="宋体" w:hAnsi="宋体" w:cs="宋体"/>
          <w:b/>
          <w:color w:val="auto"/>
          <w:sz w:val="36"/>
          <w:highlight w:val="none"/>
        </w:rPr>
        <w:t>采购人：</w:t>
      </w:r>
      <w:r>
        <w:rPr>
          <w:rFonts w:hint="eastAsia" w:ascii="宋体" w:hAnsi="宋体" w:cs="宋体"/>
          <w:b/>
          <w:color w:val="auto"/>
          <w:sz w:val="36"/>
          <w:szCs w:val="36"/>
          <w:highlight w:val="none"/>
        </w:rPr>
        <w:t>南京邮电大学</w:t>
      </w:r>
    </w:p>
    <w:p w14:paraId="770C7EA7">
      <w:pPr>
        <w:spacing w:line="360" w:lineRule="auto"/>
        <w:rPr>
          <w:rFonts w:ascii="宋体" w:hAnsi="宋体" w:cs="宋体"/>
          <w:b/>
          <w:color w:val="auto"/>
          <w:sz w:val="36"/>
          <w:highlight w:val="none"/>
        </w:rPr>
      </w:pPr>
      <w:r>
        <w:rPr>
          <w:rFonts w:hint="eastAsia" w:ascii="宋体" w:hAnsi="宋体" w:cs="宋体"/>
          <w:b/>
          <w:color w:val="auto"/>
          <w:sz w:val="36"/>
          <w:highlight w:val="none"/>
        </w:rPr>
        <w:t>采购代理机构：</w:t>
      </w:r>
      <w:r>
        <w:rPr>
          <w:rFonts w:hint="eastAsia" w:ascii="宋体" w:hAnsi="宋体" w:cs="宋体"/>
          <w:b/>
          <w:color w:val="auto"/>
          <w:sz w:val="36"/>
          <w:highlight w:val="none"/>
          <w:lang w:eastAsia="zh-CN"/>
        </w:rPr>
        <w:t>钟信工程项目管理咨询（南京）有限公司</w:t>
      </w:r>
      <w:r>
        <w:rPr>
          <w:rFonts w:hint="eastAsia" w:ascii="宋体" w:hAnsi="宋体" w:cs="宋体"/>
          <w:b/>
          <w:color w:val="auto"/>
          <w:sz w:val="36"/>
          <w:highlight w:val="none"/>
        </w:rPr>
        <w:t xml:space="preserve"> </w:t>
      </w:r>
    </w:p>
    <w:p w14:paraId="6CABAA70">
      <w:pPr>
        <w:jc w:val="left"/>
        <w:rPr>
          <w:rFonts w:ascii="宋体" w:hAnsi="宋体" w:cs="宋体"/>
          <w:b/>
          <w:color w:val="auto"/>
          <w:sz w:val="36"/>
          <w:highlight w:val="none"/>
        </w:rPr>
      </w:pPr>
      <w:r>
        <w:rPr>
          <w:rFonts w:hint="eastAsia" w:ascii="宋体" w:hAnsi="宋体" w:cs="宋体"/>
          <w:b/>
          <w:color w:val="auto"/>
          <w:sz w:val="36"/>
          <w:highlight w:val="none"/>
        </w:rPr>
        <w:t>日期：二〇二六年</w:t>
      </w:r>
      <w:r>
        <w:rPr>
          <w:rFonts w:hint="eastAsia" w:ascii="宋体" w:hAnsi="宋体" w:cs="宋体"/>
          <w:b/>
          <w:color w:val="auto"/>
          <w:sz w:val="36"/>
          <w:highlight w:val="none"/>
          <w:lang w:eastAsia="zh-CN"/>
        </w:rPr>
        <w:t>九</w:t>
      </w:r>
      <w:r>
        <w:rPr>
          <w:rFonts w:hint="eastAsia" w:ascii="宋体" w:hAnsi="宋体" w:cs="宋体"/>
          <w:b/>
          <w:color w:val="auto"/>
          <w:sz w:val="36"/>
          <w:highlight w:val="none"/>
        </w:rPr>
        <w:t>月</w:t>
      </w:r>
    </w:p>
    <w:p w14:paraId="3C3836C1">
      <w:pPr>
        <w:jc w:val="center"/>
        <w:outlineLvl w:val="0"/>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lang w:val="zh-CN"/>
        </w:rPr>
        <w:t>第一章</w:t>
      </w:r>
      <w:r>
        <w:rPr>
          <w:rFonts w:hint="eastAsia" w:ascii="宋体" w:hAnsi="宋体" w:cs="宋体"/>
          <w:b/>
          <w:color w:val="auto"/>
          <w:sz w:val="36"/>
          <w:highlight w:val="none"/>
        </w:rPr>
        <w:t xml:space="preserve"> 公开比选公告</w:t>
      </w:r>
    </w:p>
    <w:p w14:paraId="11FE874C">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项目基本情况</w:t>
      </w:r>
    </w:p>
    <w:p w14:paraId="5BAC8F5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项目编号：</w:t>
      </w:r>
      <w:r>
        <w:rPr>
          <w:rFonts w:hint="eastAsia" w:ascii="宋体" w:hAnsi="宋体" w:cs="宋体"/>
          <w:color w:val="auto"/>
          <w:highlight w:val="none"/>
          <w:lang w:eastAsia="zh-CN"/>
        </w:rPr>
        <w:t>FSCG2026-1586</w:t>
      </w:r>
      <w:r>
        <w:rPr>
          <w:rFonts w:hint="eastAsia" w:ascii="宋体" w:hAnsi="宋体" w:cs="宋体"/>
          <w:color w:val="auto"/>
          <w:highlight w:val="none"/>
        </w:rPr>
        <w:t>；</w:t>
      </w:r>
    </w:p>
    <w:p w14:paraId="5298F7AD">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材料院教五六楼定制铝合金门窗采购（二次）</w:t>
      </w:r>
      <w:r>
        <w:rPr>
          <w:rFonts w:hint="eastAsia" w:ascii="宋体" w:hAnsi="宋体" w:cs="宋体"/>
          <w:color w:val="auto"/>
          <w:highlight w:val="none"/>
        </w:rPr>
        <w:t>；</w:t>
      </w:r>
    </w:p>
    <w:p w14:paraId="67D13B2A">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预算金额：</w:t>
      </w:r>
      <w:r>
        <w:rPr>
          <w:rFonts w:hint="eastAsia" w:ascii="宋体" w:hAnsi="宋体" w:cs="宋体"/>
          <w:color w:val="auto"/>
          <w:highlight w:val="none"/>
          <w:lang w:val="en-US" w:eastAsia="zh-CN"/>
        </w:rPr>
        <w:t>8</w:t>
      </w:r>
      <w:r>
        <w:rPr>
          <w:rFonts w:hint="eastAsia" w:ascii="宋体" w:hAnsi="宋体" w:cs="宋体"/>
          <w:color w:val="auto"/>
          <w:highlight w:val="none"/>
        </w:rPr>
        <w:t>万元；</w:t>
      </w:r>
    </w:p>
    <w:p w14:paraId="220B153C">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8</w:t>
      </w:r>
      <w:r>
        <w:rPr>
          <w:rFonts w:hint="eastAsia" w:ascii="宋体" w:hAnsi="宋体" w:cs="宋体"/>
          <w:color w:val="auto"/>
          <w:highlight w:val="none"/>
        </w:rPr>
        <w:t>万元，响应报价超过</w:t>
      </w:r>
      <w:r>
        <w:rPr>
          <w:rFonts w:hint="eastAsia" w:ascii="宋体" w:hAnsi="宋体" w:cs="宋体"/>
          <w:color w:val="auto"/>
          <w:highlight w:val="none"/>
          <w:lang w:eastAsia="zh-CN"/>
        </w:rPr>
        <w:t>此</w:t>
      </w:r>
      <w:r>
        <w:rPr>
          <w:rFonts w:hint="eastAsia" w:ascii="宋体" w:hAnsi="宋体" w:cs="宋体"/>
          <w:color w:val="auto"/>
          <w:highlight w:val="none"/>
        </w:rPr>
        <w:t>最高限价的，响应文件作无效处理。</w:t>
      </w:r>
    </w:p>
    <w:p w14:paraId="3CA0EDE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采购方式：公开比选；</w:t>
      </w:r>
    </w:p>
    <w:p w14:paraId="113CADB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采购需求：</w:t>
      </w:r>
      <w:r>
        <w:rPr>
          <w:rFonts w:hint="eastAsia" w:ascii="宋体" w:hAnsi="宋体" w:cs="宋体"/>
          <w:color w:val="auto"/>
          <w:highlight w:val="none"/>
          <w:lang w:eastAsia="zh-CN"/>
        </w:rPr>
        <w:t>材料院教五六楼定制铝合金门窗采购</w:t>
      </w:r>
      <w:r>
        <w:rPr>
          <w:rFonts w:hint="eastAsia" w:ascii="宋体" w:hAnsi="宋体" w:cs="宋体"/>
          <w:color w:val="auto"/>
          <w:highlight w:val="none"/>
        </w:rPr>
        <w:t>，</w:t>
      </w:r>
      <w:r>
        <w:rPr>
          <w:rFonts w:hint="eastAsia" w:ascii="宋体" w:hAnsi="宋体" w:cs="宋体"/>
          <w:color w:val="auto"/>
          <w:sz w:val="24"/>
          <w:szCs w:val="24"/>
          <w:highlight w:val="none"/>
          <w:lang w:eastAsia="zh-CN"/>
        </w:rPr>
        <w:t>详见第四章采购需求</w:t>
      </w:r>
      <w:r>
        <w:rPr>
          <w:rFonts w:hint="eastAsia" w:ascii="宋体" w:hAnsi="宋体" w:cs="宋体"/>
          <w:color w:val="auto"/>
          <w:highlight w:val="none"/>
        </w:rPr>
        <w:t>。</w:t>
      </w:r>
    </w:p>
    <w:p w14:paraId="5D3F0939">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合同履行期限：2026年</w:t>
      </w:r>
      <w:r>
        <w:rPr>
          <w:rFonts w:hint="eastAsia" w:ascii="宋体" w:hAnsi="宋体" w:cs="宋体"/>
          <w:color w:val="auto"/>
          <w:highlight w:val="none"/>
          <w:lang w:val="en-US" w:eastAsia="zh-CN"/>
        </w:rPr>
        <w:t>11</w:t>
      </w:r>
      <w:r>
        <w:rPr>
          <w:rFonts w:hint="eastAsia" w:ascii="宋体" w:hAnsi="宋体" w:cs="宋体"/>
          <w:color w:val="auto"/>
          <w:highlight w:val="none"/>
        </w:rPr>
        <w:t>月</w:t>
      </w:r>
      <w:r>
        <w:rPr>
          <w:rFonts w:hint="eastAsia" w:ascii="宋体" w:hAnsi="宋体" w:cs="宋体"/>
          <w:color w:val="auto"/>
          <w:highlight w:val="none"/>
          <w:lang w:val="en-US" w:eastAsia="zh-CN"/>
        </w:rPr>
        <w:t>15</w:t>
      </w:r>
      <w:r>
        <w:rPr>
          <w:rFonts w:hint="eastAsia" w:ascii="宋体" w:hAnsi="宋体" w:cs="宋体"/>
          <w:color w:val="auto"/>
          <w:highlight w:val="none"/>
        </w:rPr>
        <w:t>日前</w:t>
      </w:r>
      <w:r>
        <w:rPr>
          <w:rFonts w:hint="eastAsia" w:ascii="宋体" w:hAnsi="宋体" w:cs="宋体"/>
          <w:color w:val="auto"/>
          <w:szCs w:val="24"/>
          <w:highlight w:val="none"/>
          <w:lang w:val="zh-TW" w:eastAsia="zh-TW"/>
        </w:rPr>
        <w:t>。</w:t>
      </w:r>
    </w:p>
    <w:p w14:paraId="063D7723">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本项目是否接受联合体响应：不接受。</w:t>
      </w:r>
    </w:p>
    <w:p w14:paraId="2C4C0DB5">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本项目是否接受进口产品响应：不接受。</w:t>
      </w:r>
    </w:p>
    <w:p w14:paraId="77779050">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申请人的资格要求：</w:t>
      </w:r>
    </w:p>
    <w:p w14:paraId="3E4DC71B">
      <w:pPr>
        <w:pStyle w:val="18"/>
        <w:numPr>
          <w:ilvl w:val="0"/>
          <w:numId w:val="4"/>
        </w:numPr>
        <w:ind w:firstLineChars="0"/>
        <w:rPr>
          <w:rFonts w:ascii="宋体" w:hAnsi="宋体" w:cs="宋体"/>
          <w:b/>
          <w:color w:val="auto"/>
          <w:highlight w:val="none"/>
        </w:rPr>
      </w:pPr>
      <w:r>
        <w:rPr>
          <w:rFonts w:hint="eastAsia" w:ascii="宋体" w:hAnsi="宋体" w:cs="宋体"/>
          <w:b/>
          <w:color w:val="auto"/>
          <w:highlight w:val="none"/>
        </w:rPr>
        <w:t>满足《中华人民共和国政府采购法》第二十二条规定：</w:t>
      </w:r>
    </w:p>
    <w:p w14:paraId="4EDAAA8B">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39D66FAF">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具有良好的商业信誉和健全的财务会计制度（提供2025年度的审计报告复印件加盖公章或响应截止时间前半年内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2026年4月至2026年9月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4D04F9D0">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74862A1A">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有依法缴纳税收的良好记录（提供响应截止时间前半年内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2026年4月至2026年9月</w:t>
      </w:r>
      <w:r>
        <w:rPr>
          <w:rFonts w:hint="eastAsia" w:ascii="宋体" w:hAnsi="宋体" w:cs="宋体"/>
          <w:color w:val="auto"/>
          <w:highlight w:val="none"/>
        </w:rPr>
        <w:t>）至少一个月缴纳税收（企业代缴的个人所得税除外）的凭据复印件加盖公章，根据国家相关政策免缴或迟缴的需提供相关证明材料）；</w:t>
      </w:r>
    </w:p>
    <w:p w14:paraId="47EFEF03">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083B5960">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法律、行政法规规定的其他条件：无。</w:t>
      </w:r>
    </w:p>
    <w:p w14:paraId="11669516">
      <w:pPr>
        <w:pStyle w:val="18"/>
        <w:ind w:firstLine="480"/>
        <w:rPr>
          <w:rFonts w:ascii="宋体" w:hAnsi="宋体" w:cs="宋体"/>
          <w:color w:val="auto"/>
          <w:highlight w:val="none"/>
        </w:rPr>
      </w:pPr>
      <w:r>
        <w:rPr>
          <w:rFonts w:hint="eastAsia" w:ascii="宋体" w:hAnsi="宋体" w:cs="宋体"/>
          <w:color w:val="auto"/>
          <w:highlight w:val="none"/>
        </w:rPr>
        <w:t>2、本项目的特定资格要求：/。</w:t>
      </w:r>
    </w:p>
    <w:p w14:paraId="7F16A2DF">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0A860B16">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21C17C14">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71E854C0">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16B4E7B9">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获取采购文件</w:t>
      </w:r>
    </w:p>
    <w:p w14:paraId="2517A0CD">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时间：自比选公告发布之日起3个工作日</w:t>
      </w:r>
    </w:p>
    <w:p w14:paraId="42CAD7B6">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获取方式：以下两种方式二选一</w:t>
      </w:r>
    </w:p>
    <w:p w14:paraId="1A158BEB">
      <w:pPr>
        <w:pStyle w:val="18"/>
        <w:ind w:left="0" w:firstLine="480" w:firstLineChars="0"/>
        <w:rPr>
          <w:rFonts w:ascii="宋体" w:hAnsi="宋体" w:cs="宋体"/>
          <w:color w:val="auto"/>
          <w:highlight w:val="none"/>
        </w:rPr>
      </w:pPr>
      <w:r>
        <w:rPr>
          <w:rFonts w:hint="eastAsia" w:ascii="宋体" w:hAnsi="宋体" w:cs="宋体"/>
          <w:color w:val="auto"/>
          <w:highlight w:val="none"/>
        </w:rPr>
        <w:t>①现场报名：投标人携带介绍信或授权委托书原件、被委托人身份证原件及复印件、营业执照复印件至南京市鼓楼区燕江路201号D座20楼购买。</w:t>
      </w:r>
    </w:p>
    <w:p w14:paraId="6A8DF5AC">
      <w:pPr>
        <w:pStyle w:val="18"/>
        <w:ind w:left="0" w:firstLine="480" w:firstLineChars="0"/>
        <w:rPr>
          <w:rFonts w:ascii="宋体" w:hAnsi="宋体" w:cs="宋体"/>
          <w:color w:val="auto"/>
          <w:highlight w:val="none"/>
        </w:rPr>
      </w:pPr>
      <w:r>
        <w:rPr>
          <w:rFonts w:hint="eastAsia" w:ascii="宋体" w:hAnsi="宋体" w:cs="宋体"/>
          <w:color w:val="auto"/>
          <w:highlight w:val="none"/>
        </w:rPr>
        <w:t>②线上报名：投标人可</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"mailto:将营业执照复印件加盖公章扫描件及文件费缴纳证明发送至1571928359@qq.com" </w:instrText>
      </w:r>
      <w:r>
        <w:rPr>
          <w:rFonts w:hint="eastAsia" w:ascii="宋体" w:hAnsi="宋体" w:cs="宋体"/>
          <w:color w:val="auto"/>
          <w:highlight w:val="none"/>
        </w:rPr>
        <w:fldChar w:fldCharType="separate"/>
      </w:r>
      <w:r>
        <w:rPr>
          <w:rFonts w:hint="eastAsia" w:ascii="宋体" w:hAnsi="宋体" w:cs="宋体"/>
          <w:color w:val="auto"/>
          <w:highlight w:val="none"/>
        </w:rPr>
        <w:t>将介绍信或授权委托书原件、被委托人身份证复印件、营业执照复印件加盖公章扫描件及文件费缴纳证明打包发送至njzx666888@163.com</w:t>
      </w:r>
      <w:r>
        <w:rPr>
          <w:rFonts w:hint="eastAsia" w:ascii="宋体" w:hAnsi="宋体" w:cs="宋体"/>
          <w:color w:val="auto"/>
          <w:highlight w:val="none"/>
        </w:rPr>
        <w:fldChar w:fldCharType="end"/>
      </w:r>
      <w:r>
        <w:rPr>
          <w:rFonts w:hint="eastAsia" w:ascii="宋体" w:hAnsi="宋体" w:cs="宋体"/>
          <w:color w:val="auto"/>
          <w:highlight w:val="none"/>
        </w:rPr>
        <w:t>，文件命名为单位及项目简称，开标时将以上报名资料带至开标现场，随投标文件一起递交。</w:t>
      </w:r>
    </w:p>
    <w:p w14:paraId="6265BB89">
      <w:pPr>
        <w:pStyle w:val="18"/>
        <w:ind w:firstLine="480"/>
        <w:rPr>
          <w:rFonts w:ascii="宋体" w:hAnsi="宋体" w:cs="宋体"/>
          <w:color w:val="auto"/>
          <w:highlight w:val="none"/>
        </w:rPr>
      </w:pPr>
      <w:r>
        <w:rPr>
          <w:rFonts w:hint="eastAsia" w:ascii="宋体" w:hAnsi="宋体" w:cs="宋体"/>
          <w:color w:val="auto"/>
          <w:highlight w:val="none"/>
        </w:rPr>
        <w:t>未按照上述要求合法获取采购文件的，采购人将不予受理其响应。</w:t>
      </w:r>
    </w:p>
    <w:p w14:paraId="6F888717">
      <w:pPr>
        <w:pStyle w:val="18"/>
        <w:ind w:firstLine="480"/>
        <w:rPr>
          <w:rFonts w:ascii="宋体" w:hAnsi="宋体" w:cs="宋体"/>
          <w:color w:val="auto"/>
          <w:highlight w:val="none"/>
        </w:rPr>
      </w:pPr>
      <w:r>
        <w:rPr>
          <w:rFonts w:hint="eastAsia" w:ascii="宋体" w:hAnsi="宋体" w:cs="宋体"/>
          <w:color w:val="auto"/>
          <w:highlight w:val="none"/>
        </w:rPr>
        <w:t>售价：500元，中信支付宝账户名</w:t>
      </w:r>
      <w:r>
        <w:rPr>
          <w:rFonts w:hint="eastAsia"/>
          <w:color w:val="auto"/>
          <w:highlight w:val="none"/>
        </w:rPr>
        <w:fldChar w:fldCharType="begin"/>
      </w:r>
      <w:r>
        <w:rPr>
          <w:color w:val="auto"/>
          <w:highlight w:val="none"/>
        </w:rPr>
        <w:instrText xml:space="preserve"> HYPERLINK "mailto:1042942410@qq.com" </w:instrText>
      </w:r>
      <w:r>
        <w:rPr>
          <w:rFonts w:hint="eastAsia"/>
          <w:color w:val="auto"/>
          <w:highlight w:val="none"/>
        </w:rPr>
        <w:fldChar w:fldCharType="separate"/>
      </w:r>
      <w:r>
        <w:rPr>
          <w:rFonts w:hint="eastAsia" w:ascii="宋体" w:hAnsi="宋体" w:cs="宋体"/>
          <w:color w:val="auto"/>
          <w:highlight w:val="none"/>
        </w:rPr>
        <w:t>861979129@qq.com</w:t>
      </w:r>
      <w:r>
        <w:rPr>
          <w:rFonts w:hint="eastAsia" w:ascii="宋体" w:hAnsi="宋体" w:cs="宋体"/>
          <w:color w:val="auto"/>
          <w:highlight w:val="none"/>
        </w:rPr>
        <w:fldChar w:fldCharType="end"/>
      </w:r>
      <w:r>
        <w:rPr>
          <w:rFonts w:hint="eastAsia" w:ascii="宋体" w:hAnsi="宋体" w:cs="宋体"/>
          <w:color w:val="auto"/>
          <w:highlight w:val="none"/>
        </w:rPr>
        <w:t>，请投标单位缴费时备注好单位及项目简称，文件费售后不退。本采购公告包含的采购文件售价总和。</w:t>
      </w:r>
    </w:p>
    <w:p w14:paraId="5AB39396">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提交响应文件截止时间、响应文件开启时间和地点</w:t>
      </w:r>
    </w:p>
    <w:p w14:paraId="64D278C1">
      <w:pPr>
        <w:pStyle w:val="18"/>
        <w:ind w:firstLine="480"/>
        <w:rPr>
          <w:rFonts w:ascii="宋体" w:hAnsi="宋体" w:cs="宋体"/>
          <w:color w:val="auto"/>
          <w:highlight w:val="none"/>
          <w:u w:val="single"/>
        </w:rPr>
      </w:pPr>
      <w:r>
        <w:rPr>
          <w:rFonts w:hint="eastAsia" w:ascii="宋体" w:hAnsi="宋体" w:cs="宋体"/>
          <w:color w:val="auto"/>
          <w:highlight w:val="none"/>
        </w:rPr>
        <w:t>递交响应文件开始时间：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15</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0分；</w:t>
      </w:r>
    </w:p>
    <w:p w14:paraId="7A0B5D33">
      <w:pPr>
        <w:pStyle w:val="18"/>
        <w:ind w:firstLine="480"/>
        <w:rPr>
          <w:rFonts w:ascii="宋体" w:hAnsi="宋体" w:cs="宋体"/>
          <w:color w:val="auto"/>
          <w:highlight w:val="none"/>
          <w:u w:val="single"/>
        </w:rPr>
      </w:pPr>
      <w:r>
        <w:rPr>
          <w:rFonts w:hint="eastAsia" w:ascii="宋体" w:hAnsi="宋体" w:cs="宋体"/>
          <w:color w:val="auto"/>
          <w:highlight w:val="none"/>
        </w:rPr>
        <w:t>递交响应文件截止时间及响应文件开启时间：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15</w:t>
      </w:r>
      <w:r>
        <w:rPr>
          <w:rFonts w:hint="eastAsia" w:ascii="宋体" w:hAnsi="宋体" w:cs="宋体"/>
          <w:color w:val="auto"/>
          <w:highlight w:val="none"/>
          <w:u w:val="single"/>
        </w:rPr>
        <w:t>时30分。</w:t>
      </w:r>
    </w:p>
    <w:p w14:paraId="18823865">
      <w:pPr>
        <w:pStyle w:val="18"/>
        <w:ind w:firstLine="480"/>
        <w:rPr>
          <w:rFonts w:ascii="宋体" w:hAnsi="宋体" w:cs="宋体"/>
          <w:color w:val="auto"/>
          <w:highlight w:val="none"/>
        </w:rPr>
      </w:pPr>
      <w:r>
        <w:rPr>
          <w:rFonts w:hint="eastAsia" w:ascii="宋体" w:hAnsi="宋体" w:cs="宋体"/>
          <w:color w:val="auto"/>
          <w:highlight w:val="none"/>
        </w:rPr>
        <w:t>响应文件开启地点：</w:t>
      </w:r>
      <w:r>
        <w:rPr>
          <w:rFonts w:hint="eastAsia" w:ascii="宋体" w:hAnsi="宋体" w:cs="宋体"/>
          <w:color w:val="auto"/>
          <w:highlight w:val="none"/>
          <w:lang w:val="zh-CN"/>
        </w:rPr>
        <w:t>南京市鼓楼区燕江路201号D座20层开标室</w:t>
      </w:r>
      <w:r>
        <w:rPr>
          <w:rFonts w:hint="eastAsia" w:ascii="宋体" w:hAnsi="宋体" w:cs="宋体"/>
          <w:color w:val="auto"/>
          <w:highlight w:val="none"/>
        </w:rPr>
        <w:t>。</w:t>
      </w:r>
    </w:p>
    <w:p w14:paraId="5A23C21A">
      <w:pPr>
        <w:pStyle w:val="18"/>
        <w:ind w:firstLine="480"/>
        <w:rPr>
          <w:rFonts w:ascii="宋体" w:hAnsi="宋体" w:cs="宋体"/>
          <w:color w:val="auto"/>
          <w:highlight w:val="none"/>
        </w:rPr>
      </w:pPr>
      <w:r>
        <w:rPr>
          <w:rFonts w:hint="eastAsia" w:ascii="宋体" w:hAnsi="宋体" w:cs="宋体"/>
          <w:color w:val="auto"/>
          <w:highlight w:val="none"/>
        </w:rPr>
        <w:t>届时请供应商法定代表人或其委托授权代表出席响应文件开启仪式。</w:t>
      </w:r>
    </w:p>
    <w:p w14:paraId="51A6ABE5">
      <w:pPr>
        <w:pStyle w:val="18"/>
        <w:numPr>
          <w:ilvl w:val="0"/>
          <w:numId w:val="2"/>
        </w:numPr>
        <w:ind w:firstLineChars="0"/>
        <w:rPr>
          <w:rFonts w:ascii="宋体" w:hAnsi="宋体" w:cs="宋体"/>
          <w:b/>
          <w:color w:val="auto"/>
          <w:highlight w:val="none"/>
        </w:rPr>
      </w:pPr>
      <w:bookmarkStart w:id="0" w:name="六、公告期限"/>
      <w:bookmarkEnd w:id="0"/>
      <w:r>
        <w:rPr>
          <w:rFonts w:hint="eastAsia" w:ascii="宋体" w:hAnsi="宋体" w:cs="宋体"/>
          <w:b/>
          <w:color w:val="auto"/>
          <w:highlight w:val="none"/>
        </w:rPr>
        <w:t>其他补充事宜</w:t>
      </w:r>
    </w:p>
    <w:p w14:paraId="5FA0045F">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响应文件份数：一式叁份（壹份正本、贰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7102EE86">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发布公告的媒介</w:t>
      </w:r>
    </w:p>
    <w:p w14:paraId="0459D9CD">
      <w:pPr>
        <w:pStyle w:val="18"/>
        <w:ind w:firstLine="480"/>
        <w:rPr>
          <w:rFonts w:ascii="宋体" w:hAnsi="宋体" w:cs="宋体"/>
          <w:color w:val="auto"/>
          <w:highlight w:val="none"/>
        </w:rPr>
      </w:pPr>
      <w:r>
        <w:rPr>
          <w:rFonts w:hint="eastAsia" w:ascii="宋体" w:hAnsi="宋体" w:cs="宋体"/>
          <w:color w:val="auto"/>
          <w:highlight w:val="none"/>
        </w:rPr>
        <w:t>本采购公告在南京邮电大学采购招标管理办公室网站（https://zbb.njupt.edu.cn/）发布，敬请各供应商关注。</w:t>
      </w:r>
    </w:p>
    <w:p w14:paraId="1AC1804A">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对本次采购提出询问，请按以下方式联系。</w:t>
      </w:r>
    </w:p>
    <w:p w14:paraId="2315DA83">
      <w:pPr>
        <w:pStyle w:val="18"/>
        <w:ind w:firstLine="480" w:firstLineChars="0"/>
        <w:rPr>
          <w:rFonts w:ascii="宋体" w:hAnsi="宋体" w:cs="宋体"/>
          <w:color w:val="auto"/>
          <w:highlight w:val="none"/>
        </w:rPr>
      </w:pPr>
      <w:r>
        <w:rPr>
          <w:rFonts w:hint="eastAsia" w:ascii="宋体" w:hAnsi="宋体" w:cs="宋体"/>
          <w:color w:val="auto"/>
          <w:highlight w:val="none"/>
        </w:rPr>
        <w:t>1、采购人信息</w:t>
      </w:r>
    </w:p>
    <w:p w14:paraId="6EB666F1">
      <w:pPr>
        <w:pStyle w:val="18"/>
        <w:ind w:firstLine="480"/>
        <w:rPr>
          <w:rFonts w:ascii="宋体" w:hAnsi="宋体" w:cs="宋体"/>
          <w:color w:val="auto"/>
          <w:highlight w:val="none"/>
        </w:rPr>
      </w:pPr>
      <w:r>
        <w:rPr>
          <w:rFonts w:hint="eastAsia" w:ascii="宋体" w:hAnsi="宋体" w:cs="宋体"/>
          <w:color w:val="auto"/>
          <w:highlight w:val="none"/>
        </w:rPr>
        <w:t>名称：南京邮电大学</w:t>
      </w:r>
    </w:p>
    <w:p w14:paraId="3B3C94FB">
      <w:pPr>
        <w:pStyle w:val="18"/>
        <w:ind w:firstLine="480"/>
        <w:rPr>
          <w:rFonts w:ascii="宋体" w:hAnsi="宋体" w:cs="宋体"/>
          <w:color w:val="auto"/>
          <w:highlight w:val="none"/>
        </w:rPr>
      </w:pPr>
      <w:r>
        <w:rPr>
          <w:rFonts w:hint="eastAsia" w:ascii="宋体" w:hAnsi="宋体" w:cs="宋体"/>
          <w:color w:val="auto"/>
          <w:highlight w:val="none"/>
        </w:rPr>
        <w:t>地址：南京市栖霞区文苑路9号</w:t>
      </w:r>
    </w:p>
    <w:p w14:paraId="4F53141B">
      <w:pPr>
        <w:pStyle w:val="18"/>
        <w:ind w:firstLine="480"/>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lang w:eastAsia="zh-CN"/>
        </w:rPr>
        <w:t>魏</w:t>
      </w:r>
      <w:r>
        <w:rPr>
          <w:rFonts w:hint="eastAsia" w:ascii="宋体" w:hAnsi="宋体" w:cs="宋体"/>
          <w:color w:val="auto"/>
          <w:highlight w:val="none"/>
        </w:rPr>
        <w:t>老师</w:t>
      </w:r>
    </w:p>
    <w:p w14:paraId="378C8A9F">
      <w:pPr>
        <w:pStyle w:val="18"/>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联系方式：025-</w:t>
      </w:r>
      <w:r>
        <w:rPr>
          <w:rFonts w:hint="eastAsia" w:ascii="宋体" w:hAnsi="宋体" w:cs="宋体"/>
          <w:color w:val="auto"/>
          <w:highlight w:val="none"/>
          <w:lang w:val="en-US" w:eastAsia="zh-CN"/>
        </w:rPr>
        <w:t>85866362</w:t>
      </w:r>
    </w:p>
    <w:p w14:paraId="1F35E42C">
      <w:pPr>
        <w:pStyle w:val="18"/>
        <w:ind w:firstLine="480" w:firstLineChars="0"/>
        <w:rPr>
          <w:rFonts w:ascii="宋体" w:hAnsi="宋体" w:cs="宋体"/>
          <w:color w:val="auto"/>
          <w:highlight w:val="none"/>
        </w:rPr>
      </w:pPr>
      <w:r>
        <w:rPr>
          <w:rFonts w:hint="eastAsia" w:ascii="宋体" w:hAnsi="宋体" w:cs="宋体"/>
          <w:color w:val="auto"/>
          <w:highlight w:val="none"/>
        </w:rPr>
        <w:t>2、采购代理机构信息</w:t>
      </w:r>
    </w:p>
    <w:p w14:paraId="1235096C">
      <w:pPr>
        <w:pStyle w:val="18"/>
        <w:ind w:firstLine="480"/>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钟信工程项目管理咨询（南京）有限公司</w:t>
      </w:r>
    </w:p>
    <w:p w14:paraId="019C9AFB">
      <w:pPr>
        <w:pStyle w:val="18"/>
        <w:ind w:firstLine="480"/>
        <w:rPr>
          <w:rFonts w:ascii="宋体" w:hAnsi="宋体" w:cs="宋体"/>
          <w:color w:val="auto"/>
          <w:highlight w:val="none"/>
        </w:rPr>
      </w:pPr>
      <w:r>
        <w:rPr>
          <w:rFonts w:hint="eastAsia" w:ascii="宋体" w:hAnsi="宋体" w:cs="宋体"/>
          <w:color w:val="auto"/>
          <w:highlight w:val="none"/>
        </w:rPr>
        <w:t>地址：南京市鼓楼区燕江路201号</w:t>
      </w:r>
    </w:p>
    <w:p w14:paraId="1ABA7956">
      <w:pPr>
        <w:pStyle w:val="18"/>
        <w:ind w:firstLine="480"/>
        <w:rPr>
          <w:rFonts w:ascii="宋体" w:hAnsi="宋体" w:cs="宋体"/>
          <w:color w:val="auto"/>
          <w:highlight w:val="none"/>
        </w:rPr>
      </w:pPr>
      <w:r>
        <w:rPr>
          <w:rFonts w:hint="eastAsia" w:ascii="宋体" w:hAnsi="宋体" w:cs="宋体"/>
          <w:color w:val="auto"/>
          <w:highlight w:val="none"/>
        </w:rPr>
        <w:t>联系人：楚工</w:t>
      </w:r>
    </w:p>
    <w:p w14:paraId="2D2E2B94">
      <w:pPr>
        <w:pStyle w:val="18"/>
        <w:ind w:firstLine="480"/>
        <w:rPr>
          <w:rFonts w:ascii="宋体" w:hAnsi="宋体" w:cs="宋体"/>
          <w:color w:val="auto"/>
          <w:highlight w:val="none"/>
        </w:rPr>
      </w:pPr>
      <w:r>
        <w:rPr>
          <w:rFonts w:hint="eastAsia" w:ascii="宋体" w:hAnsi="宋体" w:cs="宋体"/>
          <w:color w:val="auto"/>
          <w:highlight w:val="none"/>
        </w:rPr>
        <w:t>联系方式：15952014136</w:t>
      </w:r>
    </w:p>
    <w:p w14:paraId="23822301">
      <w:pPr>
        <w:pStyle w:val="18"/>
        <w:ind w:firstLine="480" w:firstLineChars="0"/>
        <w:rPr>
          <w:rFonts w:ascii="宋体" w:hAnsi="宋体" w:cs="宋体"/>
          <w:color w:val="auto"/>
          <w:highlight w:val="none"/>
        </w:rPr>
      </w:pPr>
      <w:r>
        <w:rPr>
          <w:rFonts w:hint="eastAsia" w:ascii="宋体" w:hAnsi="宋体" w:cs="宋体"/>
          <w:color w:val="auto"/>
          <w:highlight w:val="none"/>
        </w:rPr>
        <w:t>3、项目联系方式</w:t>
      </w:r>
    </w:p>
    <w:p w14:paraId="6FF61684">
      <w:pPr>
        <w:pStyle w:val="18"/>
        <w:ind w:firstLine="480"/>
        <w:rPr>
          <w:rFonts w:ascii="宋体" w:hAnsi="宋体" w:cs="宋体"/>
          <w:color w:val="auto"/>
          <w:highlight w:val="none"/>
        </w:rPr>
      </w:pPr>
      <w:r>
        <w:rPr>
          <w:rFonts w:hint="eastAsia" w:ascii="宋体" w:hAnsi="宋体" w:cs="宋体"/>
          <w:color w:val="auto"/>
          <w:highlight w:val="none"/>
        </w:rPr>
        <w:t>项目联系人：楚工</w:t>
      </w:r>
    </w:p>
    <w:p w14:paraId="7C126BBC">
      <w:pPr>
        <w:pStyle w:val="18"/>
        <w:ind w:firstLine="480"/>
        <w:rPr>
          <w:rFonts w:ascii="宋体" w:hAnsi="宋体" w:cs="宋体"/>
          <w:color w:val="auto"/>
          <w:highlight w:val="none"/>
        </w:rPr>
      </w:pPr>
      <w:r>
        <w:rPr>
          <w:rFonts w:hint="eastAsia" w:ascii="宋体" w:hAnsi="宋体" w:cs="宋体"/>
          <w:color w:val="auto"/>
          <w:highlight w:val="none"/>
        </w:rPr>
        <w:t>电话：15952014136</w:t>
      </w:r>
    </w:p>
    <w:p w14:paraId="5C04581C">
      <w:pPr>
        <w:pStyle w:val="18"/>
        <w:ind w:firstLine="480"/>
        <w:rPr>
          <w:rFonts w:ascii="宋体" w:hAnsi="宋体" w:cs="宋体"/>
          <w:color w:val="auto"/>
          <w:highlight w:val="none"/>
        </w:rPr>
      </w:pPr>
      <w:r>
        <w:rPr>
          <w:rFonts w:hint="eastAsia" w:ascii="宋体" w:hAnsi="宋体" w:cs="宋体"/>
          <w:color w:val="auto"/>
          <w:highlight w:val="none"/>
        </w:rPr>
        <w:t>请贵单位领取本次采购文件后，认真阅读各项内容，进行必要的响应准备，按文件的要求详细填写和编制响应文件，并按以上确定的时间、地点准时参加采购活动。</w:t>
      </w:r>
      <w:bookmarkStart w:id="1" w:name="_Toc35393627"/>
      <w:bookmarkStart w:id="2" w:name="_Toc28359008"/>
      <w:bookmarkStart w:id="3" w:name="_Toc35393796"/>
      <w:bookmarkStart w:id="4" w:name="_Toc28359085"/>
    </w:p>
    <w:bookmarkEnd w:id="1"/>
    <w:bookmarkEnd w:id="2"/>
    <w:bookmarkEnd w:id="3"/>
    <w:bookmarkEnd w:id="4"/>
    <w:p w14:paraId="12AD9897">
      <w:pPr>
        <w:rPr>
          <w:rFonts w:ascii="宋体" w:hAnsi="宋体" w:cs="宋体"/>
          <w:color w:val="auto"/>
          <w:sz w:val="36"/>
          <w:highlight w:val="none"/>
        </w:rPr>
      </w:pPr>
      <w:r>
        <w:rPr>
          <w:rFonts w:hint="eastAsia" w:ascii="宋体" w:hAnsi="宋体" w:cs="宋体"/>
          <w:color w:val="auto"/>
          <w:sz w:val="36"/>
          <w:highlight w:val="none"/>
        </w:rPr>
        <w:br w:type="page"/>
      </w:r>
    </w:p>
    <w:p w14:paraId="2118EB45">
      <w:pPr>
        <w:jc w:val="center"/>
        <w:outlineLvl w:val="0"/>
        <w:rPr>
          <w:rFonts w:ascii="宋体" w:hAnsi="宋体" w:cs="宋体"/>
          <w:b/>
          <w:color w:val="auto"/>
          <w:sz w:val="36"/>
          <w:highlight w:val="none"/>
        </w:rPr>
      </w:pPr>
      <w:r>
        <w:rPr>
          <w:rFonts w:hint="eastAsia" w:ascii="宋体" w:hAnsi="宋体" w:cs="宋体"/>
          <w:b/>
          <w:color w:val="auto"/>
          <w:sz w:val="36"/>
          <w:highlight w:val="none"/>
        </w:rPr>
        <w:t>第二章  供应商须知</w:t>
      </w:r>
    </w:p>
    <w:p w14:paraId="2E69D59C">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总则</w:t>
      </w:r>
    </w:p>
    <w:p w14:paraId="23A7237B">
      <w:pPr>
        <w:pStyle w:val="18"/>
        <w:ind w:firstLine="480" w:firstLineChars="0"/>
        <w:rPr>
          <w:rFonts w:ascii="宋体" w:hAnsi="宋体" w:cs="宋体"/>
          <w:color w:val="auto"/>
          <w:highlight w:val="none"/>
        </w:rPr>
      </w:pPr>
      <w:r>
        <w:rPr>
          <w:rFonts w:hint="eastAsia" w:ascii="宋体" w:hAnsi="宋体" w:cs="宋体"/>
          <w:color w:val="auto"/>
          <w:highlight w:val="none"/>
        </w:rPr>
        <w:t>1.适用规则</w:t>
      </w:r>
    </w:p>
    <w:p w14:paraId="71891F10">
      <w:pPr>
        <w:pStyle w:val="18"/>
        <w:ind w:firstLine="480"/>
        <w:rPr>
          <w:rFonts w:ascii="宋体" w:hAnsi="宋体" w:cs="宋体"/>
          <w:color w:val="auto"/>
          <w:highlight w:val="none"/>
        </w:rPr>
      </w:pPr>
      <w:r>
        <w:rPr>
          <w:rFonts w:hint="eastAsia" w:ascii="宋体" w:hAnsi="宋体" w:cs="宋体"/>
          <w:color w:val="auto"/>
          <w:highlight w:val="none"/>
        </w:rPr>
        <w:t>1.1 本采购项目为非政府采购项目，本次采购适用《南京邮电大学采购招标管理办法（修订）》（校发〔2025〕34号）《南京邮电大学校内分散采购管理实施细则 （试行）》（校发〔2025〕36号）《南京邮电大学采购项目质疑答复和投诉处理实施细则（试行）》（校发〔2023〕38号）等南京邮电大学内控制度（文件详见链接https://zbb.njupt.edu.cn/xngzzd/index.chtml）。</w:t>
      </w:r>
    </w:p>
    <w:p w14:paraId="66679B45">
      <w:pPr>
        <w:pStyle w:val="18"/>
        <w:ind w:firstLine="480" w:firstLineChars="0"/>
        <w:rPr>
          <w:rFonts w:ascii="宋体" w:hAnsi="宋体" w:cs="宋体"/>
          <w:b/>
          <w:color w:val="auto"/>
          <w:highlight w:val="none"/>
        </w:rPr>
      </w:pPr>
      <w:r>
        <w:rPr>
          <w:rFonts w:hint="eastAsia" w:ascii="宋体" w:hAnsi="宋体" w:cs="宋体"/>
          <w:b/>
          <w:color w:val="auto"/>
          <w:highlight w:val="none"/>
        </w:rPr>
        <w:t>2.定义</w:t>
      </w:r>
    </w:p>
    <w:p w14:paraId="70D3BAD3">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“供应商”是指参加采购竞争，并符合采购文件规定资格条件的法人、其他组织或者自然人。</w:t>
      </w:r>
    </w:p>
    <w:p w14:paraId="7723C116">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“服务或货物”是指本采购文件中所述相关服务或货物。</w:t>
      </w:r>
    </w:p>
    <w:p w14:paraId="6604993E">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“用户或使用单位”是指接受服务或货物的单位。</w:t>
      </w:r>
    </w:p>
    <w:p w14:paraId="1F6A00AB">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采购文件</w:t>
      </w:r>
    </w:p>
    <w:p w14:paraId="0C81E3F5">
      <w:pPr>
        <w:pStyle w:val="18"/>
        <w:ind w:firstLine="482"/>
        <w:rPr>
          <w:rFonts w:ascii="宋体" w:hAnsi="宋体" w:cs="宋体"/>
          <w:b/>
          <w:color w:val="auto"/>
          <w:highlight w:val="none"/>
        </w:rPr>
      </w:pPr>
      <w:r>
        <w:rPr>
          <w:rFonts w:hint="eastAsia" w:ascii="宋体" w:hAnsi="宋体" w:cs="宋体"/>
          <w:b/>
          <w:color w:val="auto"/>
          <w:highlight w:val="none"/>
        </w:rPr>
        <w:t>3.采购文件组成</w:t>
      </w:r>
    </w:p>
    <w:p w14:paraId="66AE7797">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采购文件组成：比选公告、供应商须知、评审标准、采购需求、合同主要条款及格式、响应文件格式及附件等。</w:t>
      </w:r>
    </w:p>
    <w:p w14:paraId="13F2D512">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采购的最小单位是包。采购服务或货物数量及技术要求中未分包的，供应商对要求提供的服务或货物不得部分响应；采购服务或货物数量及技术要求中已经分包的，应当以包为单位响应。</w:t>
      </w:r>
    </w:p>
    <w:p w14:paraId="3AD29A0F">
      <w:pPr>
        <w:pStyle w:val="18"/>
        <w:widowControl/>
        <w:numPr>
          <w:ilvl w:val="0"/>
          <w:numId w:val="10"/>
        </w:numPr>
        <w:ind w:firstLineChars="0"/>
        <w:rPr>
          <w:rFonts w:ascii="宋体" w:hAnsi="宋体" w:cs="宋体"/>
          <w:color w:val="auto"/>
          <w:highlight w:val="none"/>
        </w:rPr>
      </w:pPr>
      <w:r>
        <w:rPr>
          <w:rFonts w:hint="eastAsia" w:ascii="宋体" w:hAnsi="宋体" w:cs="宋体"/>
          <w:color w:val="auto"/>
          <w:highlight w:val="none"/>
        </w:rPr>
        <w:t>采购文件如果要求供应商提交备选方案的，供应商可以提交备选方案，否则，不接受备选方案。</w:t>
      </w:r>
    </w:p>
    <w:p w14:paraId="0DC61225">
      <w:pPr>
        <w:pStyle w:val="18"/>
        <w:ind w:firstLine="482"/>
        <w:rPr>
          <w:rFonts w:ascii="宋体" w:hAnsi="宋体" w:cs="宋体"/>
          <w:b/>
          <w:color w:val="auto"/>
          <w:highlight w:val="none"/>
        </w:rPr>
      </w:pPr>
      <w:r>
        <w:rPr>
          <w:rFonts w:hint="eastAsia" w:ascii="宋体" w:hAnsi="宋体" w:cs="宋体"/>
          <w:b/>
          <w:color w:val="auto"/>
          <w:highlight w:val="none"/>
        </w:rPr>
        <w:t>4.采购文件的澄清修改</w:t>
      </w:r>
    </w:p>
    <w:p w14:paraId="205A7AF9">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2B3D19BD">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代理机构在采购文件要求提交响应文件截止时间前，有权决定延长提交响应文件截止时间和响应文件开启时间，并在原采购信息发布媒体上发布更正公告。</w:t>
      </w:r>
    </w:p>
    <w:p w14:paraId="48076286">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供应商应在提交响应文件截止时间前关注“南京邮电大学采购招标管理办公室网站”上有关本采购项目有无更正公告。</w:t>
      </w:r>
    </w:p>
    <w:p w14:paraId="67AF9EC0">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w:t>
      </w:r>
    </w:p>
    <w:p w14:paraId="5D92F31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响应文件的语言、计量单位、货币、技术标准和编制</w:t>
      </w:r>
    </w:p>
    <w:p w14:paraId="762FF845">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4F896A7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供应商所使用的计量单位应为国家法定计量单位。</w:t>
      </w:r>
    </w:p>
    <w:p w14:paraId="2BAF633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供应商应用人民币报价。</w:t>
      </w:r>
    </w:p>
    <w:p w14:paraId="46047048">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响应文件应字迹清楚、内容齐全、不得涂改。如有修改，修改处须有响应文件签署人签字或加盖公章。</w:t>
      </w:r>
    </w:p>
    <w:p w14:paraId="09488E61">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供应商所使用的技术标准应遵循国家最新标准及规范。</w:t>
      </w:r>
    </w:p>
    <w:p w14:paraId="4BC56309">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联合体及分包：本项目不接受联合体响应，不接受分包、转包。</w:t>
      </w:r>
    </w:p>
    <w:p w14:paraId="65192DE9">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采购项目如接受联合体响应的，两个以上的自然人、法人或者其他组织可以组成一个联合体，以一个供应商的身份共同参加响应。</w:t>
      </w:r>
    </w:p>
    <w:p w14:paraId="68B67468">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6AAC319A">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采购合同分包履行的，成交供应商就采购项目和分包项目向采购人负责，分包项目供应商就分包项目承担责任，成交供应商与分包人之间应该签订分包意向协议。</w:t>
      </w:r>
    </w:p>
    <w:p w14:paraId="423804B3">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响应费用</w:t>
      </w:r>
    </w:p>
    <w:p w14:paraId="128EA590">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供应商应承担所有与准备和参加响应有关的费用，无论采购结果如何，代理机构和采购人在任何情况下均无义务和责任承担这些费用。</w:t>
      </w:r>
    </w:p>
    <w:p w14:paraId="5495223F">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highlight w:val="none"/>
          <w:u w:val="single"/>
        </w:rPr>
        <w:t xml:space="preserve"> 52 </w:t>
      </w:r>
      <w:r>
        <w:rPr>
          <w:rFonts w:hint="eastAsia" w:ascii="宋体" w:hAnsi="宋体" w:cs="宋体"/>
          <w:color w:val="auto"/>
          <w:highlight w:val="none"/>
        </w:rPr>
        <w:t>%（优惠率）收取。代理服务费包括所供服务相关的所有费用，工程类采购代理项目报价包含编制工程量清单、确定招标控制价等所有费用。</w:t>
      </w:r>
    </w:p>
    <w:p w14:paraId="524DECAE">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2000 元，工程类项目保底代理费为 2500 元。</w:t>
      </w:r>
    </w:p>
    <w:p w14:paraId="352CB80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采购代理服务费按项目结算，由采购代理服务商向具体项目的成交单位收取。成交供应商须在领取成交通知书前，向采购代理机构一次性缴清采购代理服务费。</w:t>
      </w:r>
    </w:p>
    <w:p w14:paraId="27B8CE8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响应文件组成</w:t>
      </w:r>
    </w:p>
    <w:p w14:paraId="6CF7070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36EF538D">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响应文件由商务部分、技术部分、价格部分，以及其他部分组成。</w:t>
      </w:r>
    </w:p>
    <w:p w14:paraId="64E3C237">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响应文件的商务部分</w:t>
      </w:r>
    </w:p>
    <w:p w14:paraId="51DB9A6D">
      <w:pPr>
        <w:pStyle w:val="18"/>
        <w:ind w:firstLine="480"/>
        <w:rPr>
          <w:rFonts w:ascii="宋体" w:hAnsi="宋体" w:cs="宋体"/>
          <w:color w:val="auto"/>
          <w:highlight w:val="none"/>
        </w:rPr>
      </w:pPr>
      <w:r>
        <w:rPr>
          <w:rFonts w:hint="eastAsia" w:ascii="宋体" w:hAnsi="宋体" w:cs="宋体"/>
          <w:color w:val="auto"/>
          <w:highlight w:val="none"/>
        </w:rPr>
        <w:t>9.1 商务部分是证明供应商有资格参加采购和成交后有能力履行合同的文件，这些文件应能满足采购的要求，包括但不限于下列文件，其中加”★”项目不得有缺失或无效：</w:t>
      </w:r>
    </w:p>
    <w:p w14:paraId="14E578DF">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响应函（响应申请及声明）；</w:t>
      </w:r>
    </w:p>
    <w:p w14:paraId="14A1F804">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法定代表人授权委托书及授权委托人的身份证复印件（有授权委托的），或法定代表人身份证复印件（无授权委托的）；</w:t>
      </w:r>
    </w:p>
    <w:p w14:paraId="35CFBD07">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★第一章比选公告中“二、申请人的资格要求规定的资格条件证明文件”；</w:t>
      </w:r>
    </w:p>
    <w:p w14:paraId="1423109B">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《商务条款偏离表》；</w:t>
      </w:r>
    </w:p>
    <w:p w14:paraId="6A4AE093">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合同条款；</w:t>
      </w:r>
    </w:p>
    <w:p w14:paraId="0B94C975">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供应商认为需要提供的其他资格证明文件和商务资料。</w:t>
      </w:r>
    </w:p>
    <w:p w14:paraId="0219C773">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响应文件的技术部分</w:t>
      </w:r>
    </w:p>
    <w:p w14:paraId="247DBE2E">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技术部分是证明供应商提供的服务或货物是合格的、并符合采购文件要求的证明文件，以及对响应报价表中的服务或货物的详细说明，这些文件可以是文字资料、图纸和数据等。</w:t>
      </w:r>
    </w:p>
    <w:p w14:paraId="25D6558D">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若提供的服务或货物与采购文件要求有不符之处，应说明其差别之所在。</w:t>
      </w:r>
    </w:p>
    <w:p w14:paraId="7A842C0A">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响应文件应按照采购文件要求提供服务或货物说明，技术资料、文件和有关证明，包括但不限于以下材料：</w:t>
      </w:r>
    </w:p>
    <w:p w14:paraId="3EDD6419">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提供技术及服务或供货方案；</w:t>
      </w:r>
    </w:p>
    <w:p w14:paraId="29D2843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《技术条款偏离表》；</w:t>
      </w:r>
    </w:p>
    <w:p w14:paraId="6917E8D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承诺；</w:t>
      </w:r>
    </w:p>
    <w:p w14:paraId="41AA2593">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供应商拟投入本项目的设备、人员情况一览表；</w:t>
      </w:r>
    </w:p>
    <w:p w14:paraId="10716BBF">
      <w:pPr>
        <w:pStyle w:val="18"/>
        <w:widowControl/>
        <w:numPr>
          <w:ilvl w:val="0"/>
          <w:numId w:val="19"/>
        </w:numPr>
        <w:ind w:firstLineChars="0"/>
        <w:rPr>
          <w:rFonts w:ascii="宋体" w:hAnsi="宋体" w:cs="宋体"/>
          <w:color w:val="auto"/>
          <w:highlight w:val="none"/>
        </w:rPr>
      </w:pPr>
      <w:r>
        <w:rPr>
          <w:rFonts w:hint="eastAsia" w:ascii="宋体" w:hAnsi="宋体" w:cs="宋体"/>
          <w:color w:val="auto"/>
          <w:highlight w:val="none"/>
        </w:rPr>
        <w:t>供应商认为需要提供的其他技术资料。</w:t>
      </w:r>
    </w:p>
    <w:p w14:paraId="60399D6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响应文件的价格部分</w:t>
      </w:r>
    </w:p>
    <w:p w14:paraId="73345694">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价格部分是对响应服务或货物价格构成的说明，每一项服务或货物仅接受一个价格。</w:t>
      </w:r>
    </w:p>
    <w:p w14:paraId="28192BC0">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07002CC8">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供应商的任何错漏、优惠、竞争性报价不得作为减轻责任、减少服务或货物、增加收费、降低质量的理由。</w:t>
      </w:r>
    </w:p>
    <w:p w14:paraId="52026888">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供应商应在《响应一览表》《分项报价表》中列明提供货物和服务的单价、总价以及分项报价。</w:t>
      </w:r>
    </w:p>
    <w:p w14:paraId="504C22BC">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响应文件的其他部分</w:t>
      </w:r>
    </w:p>
    <w:p w14:paraId="78120CA7">
      <w:pPr>
        <w:pStyle w:val="18"/>
        <w:ind w:firstLine="480"/>
        <w:rPr>
          <w:rFonts w:ascii="宋体" w:hAnsi="宋体" w:cs="宋体"/>
          <w:color w:val="auto"/>
          <w:highlight w:val="none"/>
        </w:rPr>
      </w:pPr>
      <w:r>
        <w:rPr>
          <w:rFonts w:hint="eastAsia" w:ascii="宋体" w:hAnsi="宋体" w:cs="宋体"/>
          <w:color w:val="auto"/>
          <w:highlight w:val="none"/>
        </w:rPr>
        <w:t>供应商编制响应文件需要提供的其他相关文件。</w:t>
      </w:r>
    </w:p>
    <w:p w14:paraId="2D82998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响应保证金：无。</w:t>
      </w:r>
    </w:p>
    <w:p w14:paraId="5AAD5B5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响应有效期</w:t>
      </w:r>
    </w:p>
    <w:p w14:paraId="253AC1A6">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自响应文件开启之日起六十日内响应有效。</w:t>
      </w:r>
    </w:p>
    <w:p w14:paraId="6F2082C5">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B20DCF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响应文件的份数、签署</w:t>
      </w:r>
    </w:p>
    <w:p w14:paraId="5967F9A2">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供应商应按照采购文件要求的份数准备响应文件，每份响应文件须清楚地标明“正本”或“副本”字样。正本和副本不符时，以正本为准。</w:t>
      </w:r>
    </w:p>
    <w:p w14:paraId="1AC25B2A">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1B54638">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除供应商对错处做必要修改外，响应文件不得行间插字、涂改或增删。如有修改错漏处，必须由响应文件签署人签字或加盖公章。</w:t>
      </w:r>
    </w:p>
    <w:p w14:paraId="5968270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响应文件的密封和递交</w:t>
      </w:r>
    </w:p>
    <w:p w14:paraId="2FB640D8">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供应商应当将响应文件密封。</w:t>
      </w:r>
    </w:p>
    <w:p w14:paraId="0E8A7AD1">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供应商应当在采购文件要求提交响应文件的截止时间前，将密封的响应文件送达响应地点。</w:t>
      </w:r>
    </w:p>
    <w:p w14:paraId="710CB16A">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有下列情形之一的响应文件将被拒收</w:t>
      </w:r>
    </w:p>
    <w:p w14:paraId="1F146F24">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在采购文件要求提交响应文件的截止时间之后送达的。</w:t>
      </w:r>
    </w:p>
    <w:p w14:paraId="20245593">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响应文件未密封的。</w:t>
      </w:r>
    </w:p>
    <w:p w14:paraId="62E0C5E4">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响应文件的修改和撤回</w:t>
      </w:r>
    </w:p>
    <w:p w14:paraId="083E55EB">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8F61ACF">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响应截止时间之后，响应文件不得撤回。</w:t>
      </w:r>
    </w:p>
    <w:p w14:paraId="452174A3">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响应文件开启、评审与确定成交供应商</w:t>
      </w:r>
    </w:p>
    <w:p w14:paraId="18863081">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响应文件开启</w:t>
      </w:r>
    </w:p>
    <w:p w14:paraId="0B72A3D2">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代理机构将在采购文件确定的时间和地点进行响应文件开启。供应商应委派代表准时参加，未参加响应文件开启的，视同认可响应文件开启结果。</w:t>
      </w:r>
    </w:p>
    <w:p w14:paraId="40259EE0">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22F5350C">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未宣读的响应价格、价格折扣和采购文件允许提供的备选响应方案等实质性内容，评审时不予承认。</w:t>
      </w:r>
    </w:p>
    <w:p w14:paraId="6C3E9CDD">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响应文件开启时，《响应一览表》（报价表）内容与响应文件中相应内容不一致的，以《响应一览表》（报价表）为准。</w:t>
      </w:r>
    </w:p>
    <w:p w14:paraId="53932273">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响应文件、《响应一览表》（报价表）中报价的大写金额与小写金额不一致的，以大写金额为准。</w:t>
      </w:r>
    </w:p>
    <w:p w14:paraId="2A804339">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单价金额小数点或者百分比有明显错位的，以《响应一览表》（报价表）的总价为准，并修改单价。</w:t>
      </w:r>
    </w:p>
    <w:p w14:paraId="42A0F5C6">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总价金额与按单价汇总金额不一致的，以单价金额计算结果为准。</w:t>
      </w:r>
    </w:p>
    <w:p w14:paraId="2B535AFE">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同时出现19.4-19.7中两种以上不一致的，按照19.4-19.7的顺序修正。修正后的报价由法定代表人或其授权的代表确认后产生约束力，供应商不确认的，响应无效。</w:t>
      </w:r>
    </w:p>
    <w:p w14:paraId="4BA53625">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对不同文字文本响应文件的解释发生异议的，以中文文本为准。</w:t>
      </w:r>
    </w:p>
    <w:p w14:paraId="616E442F">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响应截止时间响应供应商或者合格供应商不足3家，可按以下情形处理：</w:t>
      </w:r>
    </w:p>
    <w:p w14:paraId="37DD1702">
      <w:pPr>
        <w:pStyle w:val="18"/>
        <w:adjustRightInd w:val="0"/>
        <w:snapToGrid w:val="0"/>
        <w:ind w:firstLine="480"/>
        <w:rPr>
          <w:rFonts w:ascii="宋体" w:hAnsi="宋体" w:cs="宋体"/>
          <w:color w:val="auto"/>
          <w:highlight w:val="none"/>
        </w:rPr>
      </w:pPr>
      <w:r>
        <w:rPr>
          <w:rFonts w:hint="eastAsia" w:ascii="宋体" w:hAnsi="宋体" w:cs="宋体"/>
          <w:color w:val="auto"/>
          <w:highlight w:val="none"/>
        </w:rPr>
        <w:t>19.10.1采用公开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46496B2F">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w:t>
      </w:r>
    </w:p>
    <w:p w14:paraId="1CE5258B">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评审组织</w:t>
      </w:r>
    </w:p>
    <w:p w14:paraId="4ACC7EB3">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评审工作由代理机构组织，具体评审事务由依法组建的评审委员会负责，并独立履行下列职责：</w:t>
      </w:r>
    </w:p>
    <w:p w14:paraId="45051039">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审查、评价响应文件是否符合采购文件的商务、技术等实质性要求；</w:t>
      </w:r>
    </w:p>
    <w:p w14:paraId="506E6721">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要求供应商对响应文件有关事项作出澄清或者说明；</w:t>
      </w:r>
    </w:p>
    <w:p w14:paraId="57D522BE">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对响应文件进行比较和评价；</w:t>
      </w:r>
    </w:p>
    <w:p w14:paraId="4D4D3DD0">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推荐成交候选人或根据采购人委托直接确定成交供应商；</w:t>
      </w:r>
    </w:p>
    <w:p w14:paraId="25A2D754">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向采购人报告评审中发现的违法行为。</w:t>
      </w:r>
    </w:p>
    <w:p w14:paraId="39986B3C">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评审委员会由采购人代表和有关技术、经济等方面的专家组成，独立开展评审工作。</w:t>
      </w:r>
    </w:p>
    <w:p w14:paraId="313FC2C3">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评审程序</w:t>
      </w:r>
    </w:p>
    <w:p w14:paraId="0AB172B9">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响应文件的资格审查</w:t>
      </w:r>
    </w:p>
    <w:p w14:paraId="0920F9B9">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采购代理机构依法对供应商的资格进行审查。</w:t>
      </w:r>
    </w:p>
    <w:p w14:paraId="206D73BF">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采购代理机构依据法律法规和采购文件的规定，对响应文件中的资格证明文件等进行审查，以确定供应商是否具备响应资格。</w:t>
      </w:r>
    </w:p>
    <w:p w14:paraId="0155693C">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454EC004">
      <w:pPr>
        <w:pStyle w:val="18"/>
        <w:widowControl/>
        <w:numPr>
          <w:ilvl w:val="0"/>
          <w:numId w:val="32"/>
        </w:numPr>
        <w:ind w:firstLineChars="0"/>
        <w:rPr>
          <w:rFonts w:ascii="宋体" w:hAnsi="宋体" w:cs="宋体"/>
          <w:b/>
          <w:color w:val="auto"/>
          <w:highlight w:val="none"/>
        </w:rPr>
      </w:pPr>
      <w:r>
        <w:rPr>
          <w:rFonts w:hint="eastAsia" w:ascii="宋体" w:hAnsi="宋体" w:cs="宋体"/>
          <w:b/>
          <w:color w:val="auto"/>
          <w:highlight w:val="none"/>
        </w:rPr>
        <w:t>响应文件有下列情况之一的，在资格审查时按照无效响应处理</w:t>
      </w:r>
    </w:p>
    <w:p w14:paraId="625D411B">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不具备采购文件规定资格条件的；</w:t>
      </w:r>
    </w:p>
    <w:p w14:paraId="4C60D3B5">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2DA222DD">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响应文件的符合性审查</w:t>
      </w:r>
    </w:p>
    <w:p w14:paraId="5245B461">
      <w:pPr>
        <w:pStyle w:val="18"/>
        <w:ind w:firstLine="480" w:firstLineChars="0"/>
        <w:rPr>
          <w:rFonts w:ascii="宋体" w:hAnsi="宋体" w:cs="宋体"/>
          <w:color w:val="auto"/>
          <w:highlight w:val="none"/>
        </w:rPr>
      </w:pPr>
      <w:r>
        <w:rPr>
          <w:rFonts w:hint="eastAsia" w:ascii="宋体" w:hAnsi="宋体" w:cs="宋体"/>
          <w:color w:val="auto"/>
          <w:highlight w:val="none"/>
        </w:rPr>
        <w:t>20.2.2.1评审委员会将依据法律法规和采购文件的规定，对响应文件的有效性、完整性和对采购文件的响应程度进行审查，以确定是否对采购文件的实质性要求作出响应。</w:t>
      </w:r>
    </w:p>
    <w:p w14:paraId="27874101">
      <w:pPr>
        <w:pStyle w:val="18"/>
        <w:ind w:firstLine="480" w:firstLineChars="0"/>
        <w:rPr>
          <w:rFonts w:ascii="宋体" w:hAnsi="宋体" w:cs="宋体"/>
          <w:color w:val="auto"/>
          <w:highlight w:val="none"/>
        </w:rPr>
      </w:pPr>
      <w:r>
        <w:rPr>
          <w:rFonts w:hint="eastAsia" w:ascii="宋体" w:hAnsi="宋体" w:cs="宋体"/>
          <w:color w:val="auto"/>
          <w:highlight w:val="none"/>
        </w:rPr>
        <w:t>20.2.2.2实质性要求是指本采购文件中带“★”的商务和技术要求。</w:t>
      </w:r>
    </w:p>
    <w:p w14:paraId="40F9D5D0">
      <w:pPr>
        <w:pStyle w:val="18"/>
        <w:ind w:firstLine="480" w:firstLineChars="0"/>
        <w:rPr>
          <w:rFonts w:ascii="宋体" w:hAnsi="宋体" w:cs="宋体"/>
          <w:color w:val="auto"/>
          <w:highlight w:val="none"/>
        </w:rPr>
      </w:pPr>
      <w:r>
        <w:rPr>
          <w:rFonts w:hint="eastAsia" w:ascii="宋体" w:hAnsi="宋体" w:cs="宋体"/>
          <w:color w:val="auto"/>
          <w:highlight w:val="none"/>
        </w:rPr>
        <w:t>20.2.2.3如果响应文件实质上没有响应采购文件的要求，评审委员会将予以拒绝，供应商不得通过修改或撤销不符合要求的偏离而使其响应成为实质性响应的响应。</w:t>
      </w:r>
    </w:p>
    <w:p w14:paraId="70F1AE71">
      <w:pPr>
        <w:pStyle w:val="18"/>
        <w:ind w:firstLine="480" w:firstLineChars="0"/>
        <w:rPr>
          <w:rFonts w:ascii="宋体" w:hAnsi="宋体" w:cs="宋体"/>
          <w:b/>
          <w:color w:val="auto"/>
          <w:highlight w:val="none"/>
        </w:rPr>
      </w:pPr>
      <w:r>
        <w:rPr>
          <w:rFonts w:hint="eastAsia" w:ascii="宋体" w:hAnsi="宋体" w:cs="宋体"/>
          <w:b/>
          <w:color w:val="auto"/>
          <w:highlight w:val="none"/>
        </w:rPr>
        <w:t>20.2.2.4响应文件有下列情况之一的，在符合性审查时按照无效响应处理</w:t>
      </w:r>
    </w:p>
    <w:p w14:paraId="3A7F4D71">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未按照采购文件规定的要求密封、签署、盖章的；</w:t>
      </w:r>
    </w:p>
    <w:p w14:paraId="59D165B9">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不具备采购文件中规定的资格要求的；</w:t>
      </w:r>
    </w:p>
    <w:p w14:paraId="389965C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报价超过采购文件中规定的预算金额或者最高限价的；</w:t>
      </w:r>
    </w:p>
    <w:p w14:paraId="4C5CEF1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响应文件含有采购人不能接受的附加条件的；</w:t>
      </w:r>
    </w:p>
    <w:p w14:paraId="4385A59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响应文件不符合采购文件中规定的其它实质性要求的；</w:t>
      </w:r>
    </w:p>
    <w:p w14:paraId="64B50671">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评审委员会认为供应商的报价明显低于其他通过符合性审查供应商的报价，有可能影响服务或货物质量或者不能诚信履约的，未在评审现场合理的时间内提供书面说明或相关证明材料，不能证明其报价合理的。</w:t>
      </w:r>
    </w:p>
    <w:p w14:paraId="093BA713">
      <w:pPr>
        <w:pStyle w:val="18"/>
        <w:ind w:firstLine="480" w:firstLineChars="0"/>
        <w:rPr>
          <w:rFonts w:ascii="宋体" w:hAnsi="宋体" w:cs="宋体"/>
          <w:b/>
          <w:color w:val="auto"/>
          <w:highlight w:val="none"/>
        </w:rPr>
      </w:pPr>
      <w:r>
        <w:rPr>
          <w:rFonts w:hint="eastAsia" w:ascii="宋体" w:hAnsi="宋体" w:cs="宋体"/>
          <w:b/>
          <w:color w:val="auto"/>
          <w:highlight w:val="none"/>
        </w:rPr>
        <w:t>20.2.2.5提交响应文件截止时间后供应商不足3家或者通过资格审查或符合性审查的供应商不足3家的，除采购任务取消情形外，按照19.10条款处理：</w:t>
      </w:r>
    </w:p>
    <w:p w14:paraId="08FE3783">
      <w:pPr>
        <w:pStyle w:val="18"/>
        <w:ind w:firstLine="480" w:firstLineChars="0"/>
        <w:rPr>
          <w:rFonts w:ascii="宋体" w:hAnsi="宋体" w:cs="宋体"/>
          <w:b/>
          <w:color w:val="auto"/>
          <w:highlight w:val="none"/>
        </w:rPr>
      </w:pPr>
      <w:r>
        <w:rPr>
          <w:rFonts w:hint="eastAsia" w:ascii="宋体" w:hAnsi="宋体" w:cs="宋体"/>
          <w:b/>
          <w:color w:val="auto"/>
          <w:highlight w:val="none"/>
        </w:rPr>
        <w:t>20.2.2.6有下列情形之一的予以废标，同时将废标理由通知所有供应商</w:t>
      </w:r>
    </w:p>
    <w:p w14:paraId="11A50EE7">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除19.10中规定的情形外，符合资格条件的供应商或者对采购文件作实质性响应的供应商不足三家的；</w:t>
      </w:r>
    </w:p>
    <w:p w14:paraId="4EEF466B">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出现影响采购公正的违法、违规行为的；</w:t>
      </w:r>
    </w:p>
    <w:p w14:paraId="235DEAC8">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因重大变故，采购任务取消的；</w:t>
      </w:r>
    </w:p>
    <w:p w14:paraId="128D2D44">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采购文件存在歧义、重大缺陷，或者采购文件内容违反国家有关强制性规定的；</w:t>
      </w:r>
    </w:p>
    <w:p w14:paraId="53E0C887">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响应文件的进一步评审</w:t>
      </w:r>
    </w:p>
    <w:p w14:paraId="3874226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评审委员会将对确定为实质性响应的响应文件进行进一步评审，看其是否有计算上或累加上的算术错误，修正错误的原则如下：</w:t>
      </w:r>
    </w:p>
    <w:p w14:paraId="6792EC20">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如果用数字表示的金额和用文字表示的金额不一致时，应以文字表示的金额为准进行修正；</w:t>
      </w:r>
    </w:p>
    <w:p w14:paraId="193462B9">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当单价与数量的乘积和总价不一致时，以单价为准进行修正。只有在评审委员会认为单价有明显的小数点错误时，才能以标出的总价为准，并修改单价。</w:t>
      </w:r>
    </w:p>
    <w:p w14:paraId="0A77BECE">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评审委员会将按上述修正错误的方法调整响应文件中的响应价，调整后的价格应对供应商具有约束力。如果供应商不接受修正后的价格，则其响应将被拒绝。</w:t>
      </w:r>
    </w:p>
    <w:p w14:paraId="0C350C3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评审委员会将允许修正响应文件中不构成重大偏离的、微小的、非正规的、不一致的或不规则的地方，但这些修改不能影响任何供应商相应的名次排列。</w:t>
      </w:r>
    </w:p>
    <w:p w14:paraId="7862E4F3">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637A717">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评价。按照采购文件中规定的评审方法和标准，对资格性检查和符合性检查合格的响应文件进行评价。</w:t>
      </w:r>
    </w:p>
    <w:p w14:paraId="3EFEC70F">
      <w:pPr>
        <w:pStyle w:val="18"/>
        <w:widowControl/>
        <w:numPr>
          <w:ilvl w:val="0"/>
          <w:numId w:val="28"/>
        </w:numPr>
        <w:ind w:firstLineChars="0"/>
        <w:rPr>
          <w:rFonts w:ascii="宋体" w:hAnsi="宋体" w:cs="宋体"/>
          <w:b/>
          <w:color w:val="auto"/>
          <w:highlight w:val="none"/>
        </w:rPr>
      </w:pPr>
      <w:r>
        <w:rPr>
          <w:rFonts w:hint="eastAsia" w:ascii="宋体" w:hAnsi="宋体" w:cs="宋体"/>
          <w:b/>
          <w:color w:val="auto"/>
          <w:highlight w:val="none"/>
        </w:rPr>
        <w:t>评审方法和标准</w:t>
      </w:r>
    </w:p>
    <w:p w14:paraId="6D62DBF6">
      <w:pPr>
        <w:pStyle w:val="18"/>
        <w:widowControl/>
        <w:numPr>
          <w:ilvl w:val="0"/>
          <w:numId w:val="38"/>
        </w:numPr>
        <w:ind w:firstLineChars="0"/>
        <w:rPr>
          <w:rFonts w:ascii="宋体" w:hAnsi="宋体" w:cs="宋体"/>
          <w:color w:val="auto"/>
          <w:highlight w:val="none"/>
        </w:rPr>
      </w:pPr>
      <w:r>
        <w:rPr>
          <w:rFonts w:hint="eastAsia" w:ascii="宋体" w:hAnsi="宋体" w:cs="宋体"/>
          <w:color w:val="auto"/>
          <w:highlight w:val="none"/>
        </w:rPr>
        <w:t>采用综合评分法。即在响应文件满足采购文件全部实质性要求前提下，按照评审因素的量化指标评分。</w:t>
      </w:r>
    </w:p>
    <w:p w14:paraId="3DE6C20E">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综合评分的主要因素是：详见评分办法。</w:t>
      </w:r>
    </w:p>
    <w:p w14:paraId="4EF66A53">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评分标准详见文件第三章。</w:t>
      </w:r>
    </w:p>
    <w:p w14:paraId="59B4B38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确定成交供应商</w:t>
      </w:r>
    </w:p>
    <w:p w14:paraId="3E4481A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highlight w:val="none"/>
          <w:u w:val="single"/>
        </w:rPr>
        <w:t>（2）</w:t>
      </w:r>
      <w:r>
        <w:rPr>
          <w:rFonts w:hint="eastAsia" w:ascii="宋体" w:hAnsi="宋体" w:cs="宋体"/>
          <w:color w:val="auto"/>
          <w:highlight w:val="none"/>
        </w:rPr>
        <w:t>种方式确定成交供应商</w:t>
      </w:r>
    </w:p>
    <w:p w14:paraId="5B14A482">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评审委员会直接确定排名第一的成交候选人为成交供应商；</w:t>
      </w:r>
    </w:p>
    <w:p w14:paraId="59098CEF">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采购人项目单位在评审委员会推荐的成交候选人中按顺序确定成交供应商。</w:t>
      </w:r>
    </w:p>
    <w:p w14:paraId="5EFFF79E">
      <w:pPr>
        <w:pStyle w:val="18"/>
        <w:ind w:firstLine="480"/>
        <w:rPr>
          <w:rFonts w:ascii="宋体" w:hAnsi="宋体" w:cs="宋体"/>
          <w:color w:val="auto"/>
          <w:highlight w:val="none"/>
        </w:rPr>
      </w:pPr>
      <w:r>
        <w:rPr>
          <w:rFonts w:hint="eastAsia" w:ascii="宋体" w:hAnsi="宋体" w:cs="宋体"/>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96057C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成交供应商确定之日起两个工作日内，将在“南京邮电大学校园网”发布公告，并向成交供应商发出《成交通知书》。</w:t>
      </w:r>
    </w:p>
    <w:p w14:paraId="75FBC3F5">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《成交通知书》对采购人和成交供应商具有同等法律效力。</w:t>
      </w:r>
    </w:p>
    <w:p w14:paraId="652868FA">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《成交通知书》发出后，成交供应商无正当理由不与采购人签订合同的，应当依法承担法律责任。</w:t>
      </w:r>
    </w:p>
    <w:p w14:paraId="21247CB5">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代理机构和评审委员会对未成交的供应商不作未成交原因的解释。</w:t>
      </w:r>
    </w:p>
    <w:p w14:paraId="1E7DED61">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所有响应文件不论成交与否均不退回。</w:t>
      </w:r>
    </w:p>
    <w:p w14:paraId="4DC3B884">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编写评审报告</w:t>
      </w:r>
    </w:p>
    <w:p w14:paraId="40D130FC">
      <w:pPr>
        <w:pStyle w:val="18"/>
        <w:ind w:firstLine="480"/>
        <w:rPr>
          <w:rFonts w:ascii="宋体" w:hAnsi="宋体" w:cs="宋体"/>
          <w:color w:val="auto"/>
          <w:highlight w:val="none"/>
        </w:rPr>
      </w:pPr>
      <w:r>
        <w:rPr>
          <w:rFonts w:hint="eastAsia" w:ascii="宋体" w:hAnsi="宋体" w:cs="宋体"/>
          <w:color w:val="auto"/>
          <w:highlight w:val="none"/>
        </w:rPr>
        <w:t>评审委员会根据全体评审成员签字的原始评审记录和评审结果编写评审报告。</w:t>
      </w:r>
    </w:p>
    <w:p w14:paraId="428B523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评审过程的保密</w:t>
      </w:r>
    </w:p>
    <w:p w14:paraId="65BE02F8">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代理机构将采取必要措施，保证评审在严格保密的情况下进行。</w:t>
      </w:r>
    </w:p>
    <w:p w14:paraId="0B3E5BC8">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任何单位和个人不得非法干预、影响评审办法的确定，以及评审过程和结果。</w:t>
      </w:r>
    </w:p>
    <w:p w14:paraId="6789148F">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凡是与审查、澄清、评价和比较响应的有关资料等，均不得向供应商及与评审无关的人员透露。</w:t>
      </w:r>
    </w:p>
    <w:p w14:paraId="0776C984">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签订合同</w:t>
      </w:r>
    </w:p>
    <w:p w14:paraId="47A97B21">
      <w:pPr>
        <w:pStyle w:val="18"/>
        <w:ind w:firstLine="482"/>
        <w:rPr>
          <w:rFonts w:ascii="宋体" w:hAnsi="宋体" w:cs="宋体"/>
          <w:b/>
          <w:color w:val="auto"/>
          <w:highlight w:val="none"/>
        </w:rPr>
      </w:pPr>
      <w:r>
        <w:rPr>
          <w:rFonts w:hint="eastAsia" w:ascii="宋体" w:hAnsi="宋体" w:cs="宋体"/>
          <w:b/>
          <w:color w:val="auto"/>
          <w:highlight w:val="none"/>
        </w:rPr>
        <w:t>24.签订合同</w:t>
      </w:r>
    </w:p>
    <w:p w14:paraId="79867DB5">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2FB46AF">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采购人不得向成交供应商提出任何不合理的要求作为签订合同的条件，不得与成交供应商私下订立背离合同实质性内容的协议。</w:t>
      </w:r>
    </w:p>
    <w:p w14:paraId="4EC75A33">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28EFE42B">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采购合同履行中，采购人需追加与合同标的相同服务或货物的，在不改变合同其他条款的前提下，可以与供应商协商签订补充合同，但所有补充合同的采购金额不得超过原合同采购金额的百分之十。</w:t>
      </w:r>
    </w:p>
    <w:p w14:paraId="3339C95C">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询问、质疑、投诉和诚实信用</w:t>
      </w:r>
    </w:p>
    <w:p w14:paraId="3D73472C">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询问提出与答复</w:t>
      </w:r>
    </w:p>
    <w:p w14:paraId="0858075A">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7D992638">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7C3293F">
      <w:pPr>
        <w:pStyle w:val="18"/>
        <w:ind w:firstLine="480"/>
        <w:rPr>
          <w:rFonts w:ascii="宋体" w:hAnsi="宋体" w:cs="宋体"/>
          <w:color w:val="auto"/>
          <w:highlight w:val="none"/>
        </w:rPr>
      </w:pPr>
      <w:r>
        <w:rPr>
          <w:rFonts w:hint="eastAsia" w:ascii="宋体" w:hAnsi="宋体" w:cs="宋体"/>
          <w:color w:val="auto"/>
          <w:highlight w:val="none"/>
        </w:rPr>
        <w:t>对采购文件资格条件、采购需求、评审办法等实质性内容提出的询问，被询问人可以按照审慎原则组织专家论证，参考论证意见进行澄清、修改和答复。</w:t>
      </w:r>
    </w:p>
    <w:p w14:paraId="108D5833">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如供应商询问事项涉及依法应当保密的内容，被询问人不予答复，向供应商说明理由和依据。</w:t>
      </w:r>
    </w:p>
    <w:p w14:paraId="6757F984">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质疑提出与答复</w:t>
      </w:r>
    </w:p>
    <w:p w14:paraId="48B2FEF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1E85DF12">
      <w:pPr>
        <w:pStyle w:val="18"/>
        <w:ind w:firstLine="480"/>
        <w:rPr>
          <w:rFonts w:ascii="宋体" w:hAnsi="宋体" w:cs="宋体"/>
          <w:color w:val="auto"/>
          <w:highlight w:val="none"/>
        </w:rPr>
      </w:pPr>
      <w:r>
        <w:rPr>
          <w:rFonts w:hint="eastAsia" w:ascii="宋体" w:hAnsi="宋体" w:cs="宋体"/>
          <w:color w:val="auto"/>
          <w:highlight w:val="none"/>
        </w:rPr>
        <w:t>26.1.1供应商在规定质疑期内应一次性提出针对同一采购程序环节的质疑。</w:t>
      </w:r>
    </w:p>
    <w:p w14:paraId="2DC369C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供应商知道或者应知其权益受到损害之日，是指：</w:t>
      </w:r>
    </w:p>
    <w:p w14:paraId="3C7B4C43">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对可以质疑的采购文件提出质疑的，为收到采购文件之日或者采购文件公告期限届满之日；</w:t>
      </w:r>
    </w:p>
    <w:p w14:paraId="1B2034F9">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对采购过程提出质疑的，为各采购程序环节结束之日；</w:t>
      </w:r>
    </w:p>
    <w:p w14:paraId="6B10B4D6">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对成交或者成交结果提出质疑的，为成交或者成交结果公告期限届满之日。</w:t>
      </w:r>
    </w:p>
    <w:p w14:paraId="798B6E73">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提出质疑的供应商应当是参与所质疑项目采购活动的供应商。潜在供应商已依法获取其可质疑的采购文件的，可以对该文件提出质疑。</w:t>
      </w:r>
    </w:p>
    <w:p w14:paraId="7200558B">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供应商提出质疑应当提交质疑函和必要的证明材料。质疑函应当包括下列内容：</w:t>
      </w:r>
    </w:p>
    <w:p w14:paraId="2AF0C8AA">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供应商的姓名或者名称、地址、邮编、联系人及联系电话；</w:t>
      </w:r>
    </w:p>
    <w:p w14:paraId="4BD9CB62">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质疑项目的名称、编号；</w:t>
      </w:r>
    </w:p>
    <w:p w14:paraId="5F882398">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具体、明确的质疑事项和与质疑事项相关的请求；</w:t>
      </w:r>
    </w:p>
    <w:p w14:paraId="2365B6EE">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事实依据；</w:t>
      </w:r>
    </w:p>
    <w:p w14:paraId="219830CD">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必要的法律依据；</w:t>
      </w:r>
    </w:p>
    <w:p w14:paraId="038BD626">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提出质疑的日期。</w:t>
      </w:r>
    </w:p>
    <w:p w14:paraId="238628A2">
      <w:pPr>
        <w:pStyle w:val="18"/>
        <w:ind w:firstLine="48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供应商为自然人的，应当由本人签字；供应商为法人或者其他组织的，应当由法定代表人、主要负责人，或者其授权代表签字或者盖章，并加盖公章。</w:t>
      </w:r>
    </w:p>
    <w:p w14:paraId="31E28731">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采购人、代理机构不得拒收质疑供应商在规定质疑期内发出的质疑函。质疑函通过邮寄送达的，按交邮时间计算。逾期送达的，不予接收。</w:t>
      </w:r>
    </w:p>
    <w:p w14:paraId="3A762992">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4926716B">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供应商不是参与所质疑项目采购活动的供应商或依法获取可质疑采购文件的潜在供应商；</w:t>
      </w:r>
    </w:p>
    <w:p w14:paraId="3DCF34C9">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潜在供应商所质疑事项均为采购文件以外的事项；</w:t>
      </w:r>
    </w:p>
    <w:p w14:paraId="31984094">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供应商提交质疑的时间已超过规定质疑期。</w:t>
      </w:r>
    </w:p>
    <w:p w14:paraId="0E987A1E">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质疑函未按规定签字、盖章，或代理人提出质疑未提交供应商签署的授权委托书，采购人、代理机构告知后，供应商或代理人未在规定质疑期内补正后提出的。</w:t>
      </w:r>
    </w:p>
    <w:p w14:paraId="4BDA9AD3">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其它不符合受理条件的情形。</w:t>
      </w:r>
    </w:p>
    <w:p w14:paraId="10191EE3">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投诉提起与处理</w:t>
      </w:r>
    </w:p>
    <w:p w14:paraId="1F892939">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投诉提起</w:t>
      </w:r>
    </w:p>
    <w:p w14:paraId="5B228C30">
      <w:pPr>
        <w:pStyle w:val="18"/>
        <w:ind w:firstLine="480"/>
        <w:rPr>
          <w:rFonts w:ascii="宋体" w:hAnsi="宋体" w:cs="宋体"/>
          <w:color w:val="auto"/>
          <w:highlight w:val="none"/>
        </w:rPr>
      </w:pPr>
      <w:r>
        <w:rPr>
          <w:rFonts w:hint="eastAsia" w:ascii="宋体" w:hAnsi="宋体" w:cs="宋体"/>
          <w:color w:val="auto"/>
          <w:highlight w:val="none"/>
        </w:rPr>
        <w:t>质疑供应商对代理机构的答复不满意，或者代理机构未在规定时间内作出答复的，可以在答复期满后法律法规规定的期限内向有关行政监督部门提起投诉。</w:t>
      </w:r>
    </w:p>
    <w:p w14:paraId="27DF0AF5">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供应商投诉时，应当提交投诉书和必要的证明材料。投诉书应当包括下列内容：</w:t>
      </w:r>
    </w:p>
    <w:p w14:paraId="746C440A">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投诉人和被投诉人的姓名或者名称、通讯地址、邮编、联系人及联系电话；</w:t>
      </w:r>
    </w:p>
    <w:p w14:paraId="62D08747">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质疑和质疑答复情况说明及相关证明材料；</w:t>
      </w:r>
    </w:p>
    <w:p w14:paraId="4A92109D">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具体、明确的投诉事项和与投诉事项相关的投诉请求；</w:t>
      </w:r>
    </w:p>
    <w:p w14:paraId="32352603">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事实依据；</w:t>
      </w:r>
    </w:p>
    <w:p w14:paraId="581E8593">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法律依据；</w:t>
      </w:r>
    </w:p>
    <w:p w14:paraId="449411EF">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提起投诉的日期。</w:t>
      </w:r>
    </w:p>
    <w:p w14:paraId="33073128">
      <w:pPr>
        <w:pStyle w:val="18"/>
        <w:ind w:firstLine="480"/>
        <w:rPr>
          <w:rFonts w:ascii="宋体" w:hAnsi="宋体" w:cs="宋体"/>
          <w:color w:val="auto"/>
          <w:highlight w:val="none"/>
        </w:rPr>
      </w:pPr>
      <w:r>
        <w:rPr>
          <w:rFonts w:hint="eastAsia" w:ascii="宋体" w:hAnsi="宋体" w:cs="宋体"/>
          <w:color w:val="auto"/>
          <w:highlight w:val="none"/>
        </w:rPr>
        <w:t>投诉人为自然人的，应当由本人签字；投诉人为法人或者其他组织的，应当由法定代表人、主要负责人，或者其授权代表签字或者盖章，并加盖公章。</w:t>
      </w:r>
    </w:p>
    <w:p w14:paraId="37B640E2">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诚实信用</w:t>
      </w:r>
    </w:p>
    <w:p w14:paraId="4A1EEDAE">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供应商之间不得相互串通响应报价，不得妨碍其他供应商的公平竞争，不得损害采购人和其他供应商的合法权益。</w:t>
      </w:r>
    </w:p>
    <w:p w14:paraId="5177073A">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69F1C685">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55D6346">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供应商不得虚假承诺，否则，按照提供虚假材料谋取成交处理。</w:t>
      </w:r>
    </w:p>
    <w:p w14:paraId="3CF92B18">
      <w:pPr>
        <w:rPr>
          <w:rFonts w:ascii="宋体" w:hAnsi="宋体" w:cs="宋体"/>
          <w:b/>
          <w:color w:val="auto"/>
          <w:sz w:val="36"/>
          <w:highlight w:val="none"/>
        </w:rPr>
      </w:pPr>
      <w:r>
        <w:rPr>
          <w:rFonts w:hint="eastAsia" w:ascii="宋体" w:hAnsi="宋体" w:cs="宋体"/>
          <w:b/>
          <w:color w:val="auto"/>
          <w:sz w:val="36"/>
          <w:highlight w:val="none"/>
        </w:rPr>
        <w:br w:type="page"/>
      </w:r>
    </w:p>
    <w:p w14:paraId="57CDCD5E">
      <w:pPr>
        <w:jc w:val="center"/>
        <w:outlineLvl w:val="0"/>
        <w:rPr>
          <w:rFonts w:ascii="宋体" w:hAnsi="宋体" w:cs="宋体"/>
          <w:b/>
          <w:color w:val="auto"/>
          <w:sz w:val="36"/>
          <w:highlight w:val="none"/>
        </w:rPr>
      </w:pPr>
      <w:r>
        <w:rPr>
          <w:rFonts w:hint="eastAsia" w:ascii="宋体" w:hAnsi="宋体" w:cs="宋体"/>
          <w:b/>
          <w:color w:val="auto"/>
          <w:sz w:val="36"/>
          <w:highlight w:val="none"/>
        </w:rPr>
        <w:t>第三章  评审标准</w:t>
      </w:r>
    </w:p>
    <w:p w14:paraId="71826FE9">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评审方法与确定成交供应商原则</w:t>
      </w:r>
    </w:p>
    <w:p w14:paraId="5D53598E">
      <w:pPr>
        <w:pStyle w:val="18"/>
        <w:ind w:firstLine="480"/>
        <w:rPr>
          <w:rFonts w:ascii="宋体" w:hAnsi="宋体" w:cs="宋体"/>
          <w:color w:val="auto"/>
          <w:highlight w:val="none"/>
        </w:rPr>
      </w:pPr>
      <w:r>
        <w:rPr>
          <w:rFonts w:hint="eastAsia" w:ascii="宋体" w:hAnsi="宋体" w:cs="宋体"/>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485B59A4">
      <w:pPr>
        <w:pStyle w:val="18"/>
        <w:ind w:firstLine="480"/>
        <w:rPr>
          <w:rFonts w:ascii="宋体" w:hAnsi="宋体" w:cs="宋体"/>
          <w:color w:val="auto"/>
          <w:highlight w:val="none"/>
        </w:rPr>
      </w:pPr>
      <w:r>
        <w:rPr>
          <w:rFonts w:hint="eastAsia" w:ascii="宋体" w:hAnsi="宋体" w:cs="宋体"/>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w:t>
      </w:r>
      <w:r>
        <w:rPr>
          <w:rFonts w:hint="eastAsia" w:ascii="宋体" w:hAnsi="宋体" w:cs="宋体"/>
          <w:color w:val="auto"/>
          <w:highlight w:val="none"/>
          <w:lang w:eastAsia="zh-CN"/>
        </w:rPr>
        <w:t>成交供应商</w:t>
      </w:r>
      <w:r>
        <w:rPr>
          <w:rFonts w:hint="eastAsia" w:ascii="宋体" w:hAnsi="宋体" w:cs="宋体"/>
          <w:color w:val="auto"/>
          <w:highlight w:val="none"/>
        </w:rPr>
        <w:t>。</w:t>
      </w:r>
    </w:p>
    <w:p w14:paraId="15432B58">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评分标准</w:t>
      </w:r>
    </w:p>
    <w:tbl>
      <w:tblPr>
        <w:tblStyle w:val="4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214"/>
        <w:gridCol w:w="7088"/>
        <w:gridCol w:w="708"/>
      </w:tblGrid>
      <w:tr w14:paraId="2C89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blHeader/>
          <w:jc w:val="center"/>
        </w:trPr>
        <w:tc>
          <w:tcPr>
            <w:tcW w:w="624" w:type="dxa"/>
            <w:vAlign w:val="center"/>
          </w:tcPr>
          <w:p w14:paraId="2D0EDC21">
            <w:pPr>
              <w:spacing w:line="440" w:lineRule="exact"/>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序号</w:t>
            </w:r>
          </w:p>
        </w:tc>
        <w:tc>
          <w:tcPr>
            <w:tcW w:w="1214" w:type="dxa"/>
            <w:vAlign w:val="center"/>
          </w:tcPr>
          <w:p w14:paraId="0AB00504">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评审项目</w:t>
            </w:r>
          </w:p>
        </w:tc>
        <w:tc>
          <w:tcPr>
            <w:tcW w:w="7088" w:type="dxa"/>
            <w:vAlign w:val="center"/>
          </w:tcPr>
          <w:p w14:paraId="2D7D03B4">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评审细则</w:t>
            </w:r>
          </w:p>
        </w:tc>
        <w:tc>
          <w:tcPr>
            <w:tcW w:w="708" w:type="dxa"/>
            <w:vAlign w:val="center"/>
          </w:tcPr>
          <w:p w14:paraId="078BE978">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分值</w:t>
            </w:r>
          </w:p>
        </w:tc>
      </w:tr>
      <w:tr w14:paraId="7393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624" w:type="dxa"/>
            <w:vAlign w:val="center"/>
          </w:tcPr>
          <w:p w14:paraId="3B19589D">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w:t>
            </w:r>
          </w:p>
        </w:tc>
        <w:tc>
          <w:tcPr>
            <w:tcW w:w="1214" w:type="dxa"/>
            <w:vAlign w:val="center"/>
          </w:tcPr>
          <w:p w14:paraId="2174144B">
            <w:pPr>
              <w:spacing w:line="440" w:lineRule="exact"/>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价格</w:t>
            </w:r>
          </w:p>
        </w:tc>
        <w:tc>
          <w:tcPr>
            <w:tcW w:w="7088" w:type="dxa"/>
            <w:vAlign w:val="center"/>
          </w:tcPr>
          <w:p w14:paraId="51D8769F">
            <w:pPr>
              <w:spacing w:line="440" w:lineRule="exact"/>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4"/>
                <w:highlight w:val="none"/>
              </w:rPr>
              <w:t>价格分采用低价优先法计算，即满足采购文件要求且报价最低的</w:t>
            </w:r>
            <w:r>
              <w:rPr>
                <w:rFonts w:hint="eastAsia" w:ascii="Times New Roman" w:hAnsi="Times New Roman" w:cs="Times New Roman"/>
                <w:color w:val="auto"/>
                <w:szCs w:val="24"/>
                <w:highlight w:val="none"/>
                <w:lang w:eastAsia="zh-CN"/>
              </w:rPr>
              <w:t>价格</w:t>
            </w:r>
            <w:r>
              <w:rPr>
                <w:rFonts w:hint="default" w:ascii="Times New Roman" w:hAnsi="Times New Roman" w:eastAsia="宋体" w:cs="Times New Roman"/>
                <w:color w:val="auto"/>
                <w:szCs w:val="24"/>
                <w:highlight w:val="none"/>
              </w:rPr>
              <w:t>为评审基准价，其价格分为满分。其他报价单位的价格分统一按下列公式计算：报价得分=（评定基准价/报价）×40；计算结果保留至小数点后两位。</w:t>
            </w:r>
          </w:p>
        </w:tc>
        <w:tc>
          <w:tcPr>
            <w:tcW w:w="708" w:type="dxa"/>
            <w:vAlign w:val="center"/>
          </w:tcPr>
          <w:p w14:paraId="10869E1C">
            <w:pPr>
              <w:jc w:val="center"/>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highlight w:val="none"/>
                <w:lang w:val="en-US" w:eastAsia="zh-CN"/>
              </w:rPr>
              <w:t>40</w:t>
            </w:r>
          </w:p>
        </w:tc>
      </w:tr>
      <w:tr w14:paraId="02D7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24" w:type="dxa"/>
            <w:vAlign w:val="center"/>
          </w:tcPr>
          <w:p w14:paraId="66DA5716">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2</w:t>
            </w:r>
          </w:p>
        </w:tc>
        <w:tc>
          <w:tcPr>
            <w:tcW w:w="1214" w:type="dxa"/>
            <w:vAlign w:val="center"/>
          </w:tcPr>
          <w:p w14:paraId="7279A9E4">
            <w:pPr>
              <w:spacing w:line="440" w:lineRule="exact"/>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技术参数</w:t>
            </w:r>
          </w:p>
        </w:tc>
        <w:tc>
          <w:tcPr>
            <w:tcW w:w="7088" w:type="dxa"/>
            <w:vAlign w:val="center"/>
          </w:tcPr>
          <w:p w14:paraId="75871B11">
            <w:pPr>
              <w:spacing w:line="440" w:lineRule="exact"/>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采购文件“第四章  采购需求”中全部满足的得满分</w:t>
            </w:r>
            <w:r>
              <w:rPr>
                <w:rFonts w:hint="eastAsia" w:ascii="Times New Roman" w:hAnsi="Times New Roman" w:cs="Times New Roman"/>
                <w:bCs/>
                <w:color w:val="auto"/>
                <w:szCs w:val="21"/>
                <w:highlight w:val="none"/>
                <w:lang w:val="en-US" w:eastAsia="zh-CN"/>
              </w:rPr>
              <w:t>15</w:t>
            </w:r>
            <w:r>
              <w:rPr>
                <w:rFonts w:hint="default" w:ascii="Times New Roman" w:hAnsi="Times New Roman" w:eastAsia="宋体" w:cs="Times New Roman"/>
                <w:bCs/>
                <w:color w:val="auto"/>
                <w:szCs w:val="21"/>
                <w:highlight w:val="none"/>
                <w:lang w:eastAsia="zh-CN"/>
              </w:rPr>
              <w:t>分；标有“▲”的地方被视为关键技术指标，有一项负偏离扣</w:t>
            </w:r>
            <w:r>
              <w:rPr>
                <w:rFonts w:hint="eastAsia" w:ascii="Times New Roman" w:hAnsi="Times New Roman" w:cs="Times New Roman"/>
                <w:bCs/>
                <w:color w:val="auto"/>
                <w:szCs w:val="21"/>
                <w:highlight w:val="none"/>
                <w:lang w:val="en-US" w:eastAsia="zh-CN"/>
              </w:rPr>
              <w:t>3</w:t>
            </w:r>
            <w:r>
              <w:rPr>
                <w:rFonts w:hint="default" w:ascii="Times New Roman" w:hAnsi="Times New Roman" w:eastAsia="宋体" w:cs="Times New Roman"/>
                <w:bCs/>
                <w:color w:val="auto"/>
                <w:szCs w:val="21"/>
                <w:highlight w:val="none"/>
                <w:lang w:eastAsia="zh-CN"/>
              </w:rPr>
              <w:t>分；未标“▲”部分有一项负偏离扣</w:t>
            </w:r>
            <w:r>
              <w:rPr>
                <w:rFonts w:hint="eastAsia" w:ascii="Times New Roman" w:hAnsi="Times New Roman" w:cs="Times New Roman"/>
                <w:bCs/>
                <w:color w:val="auto"/>
                <w:szCs w:val="21"/>
                <w:highlight w:val="none"/>
                <w:lang w:val="en-US" w:eastAsia="zh-CN"/>
              </w:rPr>
              <w:t>1</w:t>
            </w:r>
            <w:r>
              <w:rPr>
                <w:rFonts w:hint="default" w:ascii="Times New Roman" w:hAnsi="Times New Roman" w:eastAsia="宋体" w:cs="Times New Roman"/>
                <w:bCs/>
                <w:color w:val="auto"/>
                <w:szCs w:val="21"/>
                <w:highlight w:val="none"/>
                <w:lang w:eastAsia="zh-CN"/>
              </w:rPr>
              <w:t>分，扣完为止。</w:t>
            </w:r>
          </w:p>
        </w:tc>
        <w:tc>
          <w:tcPr>
            <w:tcW w:w="708" w:type="dxa"/>
            <w:vAlign w:val="center"/>
          </w:tcPr>
          <w:p w14:paraId="27A74C60">
            <w:pPr>
              <w:ind w:firstLine="105" w:firstLineChars="50"/>
              <w:rPr>
                <w:rFonts w:hint="default" w:ascii="Times New Roman" w:hAnsi="Times New Roman" w:eastAsia="宋体" w:cs="Times New Roman"/>
                <w:bCs/>
                <w:color w:val="auto"/>
                <w:szCs w:val="21"/>
                <w:highlight w:val="none"/>
                <w:lang w:val="en-US" w:eastAsia="zh-CN"/>
              </w:rPr>
            </w:pPr>
            <w:r>
              <w:rPr>
                <w:rFonts w:hint="eastAsia" w:ascii="Times New Roman" w:hAnsi="Times New Roman" w:cs="Times New Roman"/>
                <w:bCs/>
                <w:color w:val="auto"/>
                <w:szCs w:val="21"/>
                <w:highlight w:val="none"/>
                <w:lang w:val="en-US" w:eastAsia="zh-CN"/>
              </w:rPr>
              <w:t>15</w:t>
            </w:r>
          </w:p>
        </w:tc>
      </w:tr>
      <w:tr w14:paraId="64D50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24" w:type="dxa"/>
            <w:vAlign w:val="center"/>
          </w:tcPr>
          <w:p w14:paraId="13D9EAEE">
            <w:pPr>
              <w:jc w:val="center"/>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3</w:t>
            </w:r>
          </w:p>
        </w:tc>
        <w:tc>
          <w:tcPr>
            <w:tcW w:w="1214" w:type="dxa"/>
            <w:vAlign w:val="center"/>
          </w:tcPr>
          <w:p w14:paraId="46771557">
            <w:pPr>
              <w:spacing w:line="440" w:lineRule="exact"/>
              <w:jc w:val="center"/>
              <w:rPr>
                <w:rFonts w:hint="eastAsia" w:ascii="Times New Roman" w:hAnsi="Times New Roman" w:eastAsia="宋体" w:cs="Times New Roman"/>
                <w:bCs/>
                <w:color w:val="auto"/>
                <w:szCs w:val="21"/>
                <w:highlight w:val="none"/>
                <w:lang w:eastAsia="zh-CN"/>
              </w:rPr>
            </w:pPr>
            <w:r>
              <w:rPr>
                <w:rFonts w:hint="default" w:ascii="Times New Roman" w:hAnsi="Times New Roman" w:eastAsia="宋体" w:cs="Times New Roman"/>
                <w:color w:val="auto"/>
                <w:szCs w:val="24"/>
                <w:highlight w:val="none"/>
                <w:lang w:val="en-US" w:eastAsia="zh-CN"/>
              </w:rPr>
              <w:t>样品</w:t>
            </w:r>
          </w:p>
        </w:tc>
        <w:tc>
          <w:tcPr>
            <w:tcW w:w="7088" w:type="dxa"/>
            <w:vAlign w:val="center"/>
          </w:tcPr>
          <w:p w14:paraId="6571B492">
            <w:pPr>
              <w:spacing w:line="440" w:lineRule="exact"/>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样品型材、玻璃外观完好，无明显划痕、变形，密封打胶均匀</w:t>
            </w:r>
            <w:r>
              <w:rPr>
                <w:rFonts w:hint="eastAsia" w:ascii="Times New Roman" w:hAnsi="Times New Roman" w:cs="Times New Roman"/>
                <w:bCs/>
                <w:color w:val="auto"/>
                <w:szCs w:val="21"/>
                <w:highlight w:val="none"/>
                <w:lang w:eastAsia="zh-CN"/>
              </w:rPr>
              <w:t>；</w:t>
            </w:r>
            <w:r>
              <w:rPr>
                <w:rFonts w:hint="default" w:ascii="Times New Roman" w:hAnsi="Times New Roman" w:eastAsia="宋体" w:cs="Times New Roman"/>
                <w:bCs/>
                <w:color w:val="auto"/>
                <w:szCs w:val="21"/>
                <w:highlight w:val="none"/>
              </w:rPr>
              <w:t>五金配件启闭灵活，配件做工精良</w:t>
            </w:r>
            <w:r>
              <w:rPr>
                <w:rFonts w:hint="eastAsia" w:ascii="Times New Roman" w:hAnsi="Times New Roman" w:cs="Times New Roman"/>
                <w:bCs/>
                <w:color w:val="auto"/>
                <w:szCs w:val="21"/>
                <w:highlight w:val="none"/>
                <w:lang w:eastAsia="zh-CN"/>
              </w:rPr>
              <w:t>的得</w:t>
            </w:r>
            <w:r>
              <w:rPr>
                <w:rFonts w:hint="eastAsia" w:ascii="Times New Roman" w:hAnsi="Times New Roman" w:cs="Times New Roman"/>
                <w:bCs/>
                <w:color w:val="auto"/>
                <w:szCs w:val="21"/>
                <w:highlight w:val="none"/>
                <w:lang w:val="en-US" w:eastAsia="zh-CN"/>
              </w:rPr>
              <w:t>5分</w:t>
            </w:r>
            <w:r>
              <w:rPr>
                <w:rFonts w:hint="default" w:ascii="Times New Roman" w:hAnsi="Times New Roman" w:eastAsia="宋体" w:cs="Times New Roman"/>
                <w:bCs/>
                <w:color w:val="auto"/>
                <w:szCs w:val="21"/>
                <w:highlight w:val="none"/>
              </w:rPr>
              <w:t>。</w:t>
            </w:r>
          </w:p>
          <w:p w14:paraId="1314B99A">
            <w:pPr>
              <w:spacing w:line="440" w:lineRule="exact"/>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样品型材、玻璃外观</w:t>
            </w:r>
            <w:r>
              <w:rPr>
                <w:rFonts w:hint="eastAsia" w:ascii="Times New Roman" w:hAnsi="Times New Roman" w:cs="Times New Roman"/>
                <w:bCs/>
                <w:color w:val="auto"/>
                <w:szCs w:val="21"/>
                <w:highlight w:val="none"/>
                <w:lang w:eastAsia="zh-CN"/>
              </w:rPr>
              <w:t>较</w:t>
            </w:r>
            <w:r>
              <w:rPr>
                <w:rFonts w:hint="default" w:ascii="Times New Roman" w:hAnsi="Times New Roman" w:eastAsia="宋体" w:cs="Times New Roman"/>
                <w:bCs/>
                <w:color w:val="auto"/>
                <w:szCs w:val="21"/>
                <w:highlight w:val="none"/>
              </w:rPr>
              <w:t>完好，无明显划痕、变形，密封打胶</w:t>
            </w:r>
            <w:r>
              <w:rPr>
                <w:rFonts w:hint="eastAsia" w:ascii="Times New Roman" w:hAnsi="Times New Roman" w:cs="Times New Roman"/>
                <w:bCs/>
                <w:color w:val="auto"/>
                <w:szCs w:val="21"/>
                <w:highlight w:val="none"/>
                <w:lang w:eastAsia="zh-CN"/>
              </w:rPr>
              <w:t>较</w:t>
            </w:r>
            <w:r>
              <w:rPr>
                <w:rFonts w:hint="default" w:ascii="Times New Roman" w:hAnsi="Times New Roman" w:eastAsia="宋体" w:cs="Times New Roman"/>
                <w:bCs/>
                <w:color w:val="auto"/>
                <w:szCs w:val="21"/>
                <w:highlight w:val="none"/>
              </w:rPr>
              <w:t>均匀</w:t>
            </w:r>
            <w:r>
              <w:rPr>
                <w:rFonts w:hint="eastAsia" w:ascii="Times New Roman" w:hAnsi="Times New Roman" w:cs="Times New Roman"/>
                <w:bCs/>
                <w:color w:val="auto"/>
                <w:szCs w:val="21"/>
                <w:highlight w:val="none"/>
                <w:lang w:eastAsia="zh-CN"/>
              </w:rPr>
              <w:t>；</w:t>
            </w:r>
            <w:r>
              <w:rPr>
                <w:rFonts w:hint="default" w:ascii="Times New Roman" w:hAnsi="Times New Roman" w:eastAsia="宋体" w:cs="Times New Roman"/>
                <w:bCs/>
                <w:color w:val="auto"/>
                <w:szCs w:val="21"/>
                <w:highlight w:val="none"/>
              </w:rPr>
              <w:t>五金配件启闭</w:t>
            </w:r>
            <w:r>
              <w:rPr>
                <w:rFonts w:hint="eastAsia" w:ascii="Times New Roman" w:hAnsi="Times New Roman" w:cs="Times New Roman"/>
                <w:bCs/>
                <w:color w:val="auto"/>
                <w:szCs w:val="21"/>
                <w:highlight w:val="none"/>
                <w:lang w:eastAsia="zh-CN"/>
              </w:rPr>
              <w:t>较</w:t>
            </w:r>
            <w:r>
              <w:rPr>
                <w:rFonts w:hint="default" w:ascii="Times New Roman" w:hAnsi="Times New Roman" w:eastAsia="宋体" w:cs="Times New Roman"/>
                <w:bCs/>
                <w:color w:val="auto"/>
                <w:szCs w:val="21"/>
                <w:highlight w:val="none"/>
              </w:rPr>
              <w:t>灵活，配件做工</w:t>
            </w:r>
            <w:r>
              <w:rPr>
                <w:rFonts w:hint="eastAsia" w:ascii="Times New Roman" w:hAnsi="Times New Roman" w:cs="Times New Roman"/>
                <w:bCs/>
                <w:color w:val="auto"/>
                <w:szCs w:val="21"/>
                <w:highlight w:val="none"/>
                <w:lang w:eastAsia="zh-CN"/>
              </w:rPr>
              <w:t>较</w:t>
            </w:r>
            <w:r>
              <w:rPr>
                <w:rFonts w:hint="default" w:ascii="Times New Roman" w:hAnsi="Times New Roman" w:eastAsia="宋体" w:cs="Times New Roman"/>
                <w:bCs/>
                <w:color w:val="auto"/>
                <w:szCs w:val="21"/>
                <w:highlight w:val="none"/>
              </w:rPr>
              <w:t>精良</w:t>
            </w:r>
            <w:r>
              <w:rPr>
                <w:rFonts w:hint="eastAsia" w:ascii="Times New Roman" w:hAnsi="Times New Roman" w:cs="Times New Roman"/>
                <w:bCs/>
                <w:color w:val="auto"/>
                <w:szCs w:val="21"/>
                <w:highlight w:val="none"/>
                <w:lang w:eastAsia="zh-CN"/>
              </w:rPr>
              <w:t>的得</w:t>
            </w:r>
            <w:r>
              <w:rPr>
                <w:rFonts w:hint="eastAsia" w:ascii="Times New Roman" w:hAnsi="Times New Roman" w:cs="Times New Roman"/>
                <w:bCs/>
                <w:color w:val="auto"/>
                <w:szCs w:val="21"/>
                <w:highlight w:val="none"/>
                <w:lang w:val="en-US" w:eastAsia="zh-CN"/>
              </w:rPr>
              <w:t>3分</w:t>
            </w:r>
            <w:r>
              <w:rPr>
                <w:rFonts w:hint="default" w:ascii="Times New Roman" w:hAnsi="Times New Roman" w:eastAsia="宋体" w:cs="Times New Roman"/>
                <w:bCs/>
                <w:color w:val="auto"/>
                <w:szCs w:val="21"/>
                <w:highlight w:val="none"/>
              </w:rPr>
              <w:t>。</w:t>
            </w:r>
          </w:p>
          <w:p w14:paraId="50CF4E01">
            <w:pPr>
              <w:spacing w:line="440" w:lineRule="exact"/>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样品型材、玻璃外观</w:t>
            </w:r>
            <w:r>
              <w:rPr>
                <w:rFonts w:hint="eastAsia" w:ascii="Times New Roman" w:hAnsi="Times New Roman" w:cs="Times New Roman"/>
                <w:bCs/>
                <w:color w:val="auto"/>
                <w:szCs w:val="21"/>
                <w:highlight w:val="none"/>
                <w:lang w:eastAsia="zh-CN"/>
              </w:rPr>
              <w:t>一般</w:t>
            </w:r>
            <w:r>
              <w:rPr>
                <w:rFonts w:hint="default" w:ascii="Times New Roman" w:hAnsi="Times New Roman" w:eastAsia="宋体" w:cs="Times New Roman"/>
                <w:bCs/>
                <w:color w:val="auto"/>
                <w:szCs w:val="21"/>
                <w:highlight w:val="none"/>
              </w:rPr>
              <w:t>，</w:t>
            </w:r>
            <w:r>
              <w:rPr>
                <w:rFonts w:hint="eastAsia" w:ascii="Times New Roman" w:hAnsi="Times New Roman" w:cs="Times New Roman"/>
                <w:bCs/>
                <w:color w:val="auto"/>
                <w:szCs w:val="21"/>
                <w:highlight w:val="none"/>
                <w:lang w:eastAsia="zh-CN"/>
              </w:rPr>
              <w:t>有微小</w:t>
            </w:r>
            <w:r>
              <w:rPr>
                <w:rFonts w:hint="default" w:ascii="Times New Roman" w:hAnsi="Times New Roman" w:eastAsia="宋体" w:cs="Times New Roman"/>
                <w:bCs/>
                <w:color w:val="auto"/>
                <w:szCs w:val="21"/>
                <w:highlight w:val="none"/>
              </w:rPr>
              <w:t>划痕</w:t>
            </w:r>
            <w:r>
              <w:rPr>
                <w:rFonts w:hint="eastAsia" w:ascii="Times New Roman" w:hAnsi="Times New Roman" w:cs="Times New Roman"/>
                <w:bCs/>
                <w:color w:val="auto"/>
                <w:szCs w:val="21"/>
                <w:highlight w:val="none"/>
                <w:lang w:eastAsia="zh-CN"/>
              </w:rPr>
              <w:t>或</w:t>
            </w:r>
            <w:r>
              <w:rPr>
                <w:rFonts w:hint="default" w:ascii="Times New Roman" w:hAnsi="Times New Roman" w:eastAsia="宋体" w:cs="Times New Roman"/>
                <w:bCs/>
                <w:color w:val="auto"/>
                <w:szCs w:val="21"/>
                <w:highlight w:val="none"/>
              </w:rPr>
              <w:t>变形，密封打胶均匀</w:t>
            </w:r>
            <w:r>
              <w:rPr>
                <w:rFonts w:hint="eastAsia" w:ascii="Times New Roman" w:hAnsi="Times New Roman" w:cs="Times New Roman"/>
                <w:bCs/>
                <w:color w:val="auto"/>
                <w:szCs w:val="21"/>
                <w:highlight w:val="none"/>
                <w:lang w:eastAsia="zh-CN"/>
              </w:rPr>
              <w:t>度一般；</w:t>
            </w:r>
            <w:r>
              <w:rPr>
                <w:rFonts w:hint="default" w:ascii="Times New Roman" w:hAnsi="Times New Roman" w:eastAsia="宋体" w:cs="Times New Roman"/>
                <w:bCs/>
                <w:color w:val="auto"/>
                <w:szCs w:val="21"/>
                <w:highlight w:val="none"/>
              </w:rPr>
              <w:t>五金配件启闭灵活</w:t>
            </w:r>
            <w:r>
              <w:rPr>
                <w:rFonts w:hint="eastAsia" w:ascii="Times New Roman" w:hAnsi="Times New Roman" w:cs="Times New Roman"/>
                <w:bCs/>
                <w:color w:val="auto"/>
                <w:szCs w:val="21"/>
                <w:highlight w:val="none"/>
                <w:lang w:eastAsia="zh-CN"/>
              </w:rPr>
              <w:t>度一般</w:t>
            </w:r>
            <w:r>
              <w:rPr>
                <w:rFonts w:hint="default" w:ascii="Times New Roman" w:hAnsi="Times New Roman" w:eastAsia="宋体" w:cs="Times New Roman"/>
                <w:bCs/>
                <w:color w:val="auto"/>
                <w:szCs w:val="21"/>
                <w:highlight w:val="none"/>
              </w:rPr>
              <w:t>，配件做工</w:t>
            </w:r>
            <w:r>
              <w:rPr>
                <w:rFonts w:hint="eastAsia" w:ascii="Times New Roman" w:hAnsi="Times New Roman" w:cs="Times New Roman"/>
                <w:bCs/>
                <w:color w:val="auto"/>
                <w:szCs w:val="21"/>
                <w:highlight w:val="none"/>
                <w:lang w:eastAsia="zh-CN"/>
              </w:rPr>
              <w:t>一般的得</w:t>
            </w:r>
            <w:r>
              <w:rPr>
                <w:rFonts w:hint="eastAsia" w:ascii="Times New Roman" w:hAnsi="Times New Roman" w:cs="Times New Roman"/>
                <w:bCs/>
                <w:color w:val="auto"/>
                <w:szCs w:val="21"/>
                <w:highlight w:val="none"/>
                <w:lang w:val="en-US" w:eastAsia="zh-CN"/>
              </w:rPr>
              <w:t>1分</w:t>
            </w:r>
            <w:r>
              <w:rPr>
                <w:rFonts w:hint="default" w:ascii="Times New Roman" w:hAnsi="Times New Roman" w:eastAsia="宋体" w:cs="Times New Roman"/>
                <w:bCs/>
                <w:color w:val="auto"/>
                <w:szCs w:val="21"/>
                <w:highlight w:val="none"/>
              </w:rPr>
              <w:t>。</w:t>
            </w:r>
          </w:p>
          <w:p w14:paraId="376EB804">
            <w:pPr>
              <w:spacing w:line="440" w:lineRule="exact"/>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4"/>
                <w:highlight w:val="none"/>
              </w:rPr>
              <w:t>不提供者不得分。</w:t>
            </w:r>
          </w:p>
        </w:tc>
        <w:tc>
          <w:tcPr>
            <w:tcW w:w="708" w:type="dxa"/>
            <w:vAlign w:val="center"/>
          </w:tcPr>
          <w:p w14:paraId="7BEAFE44">
            <w:pPr>
              <w:ind w:firstLine="105" w:firstLineChars="50"/>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5</w:t>
            </w:r>
          </w:p>
        </w:tc>
      </w:tr>
      <w:tr w14:paraId="5EDF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624" w:type="dxa"/>
            <w:shd w:val="clear" w:color="auto" w:fill="auto"/>
            <w:vAlign w:val="center"/>
          </w:tcPr>
          <w:p w14:paraId="40E079A3">
            <w:pPr>
              <w:jc w:val="center"/>
              <w:rPr>
                <w:rFonts w:hint="eastAsia"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Cs w:val="21"/>
                <w:highlight w:val="none"/>
              </w:rPr>
              <w:t>4</w:t>
            </w:r>
          </w:p>
        </w:tc>
        <w:tc>
          <w:tcPr>
            <w:tcW w:w="1214" w:type="dxa"/>
            <w:shd w:val="clear" w:color="auto" w:fill="auto"/>
            <w:vAlign w:val="center"/>
          </w:tcPr>
          <w:p w14:paraId="7F401C99">
            <w:pPr>
              <w:spacing w:line="440" w:lineRule="exact"/>
              <w:rPr>
                <w:rFonts w:hint="default"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color w:val="auto"/>
                <w:szCs w:val="24"/>
                <w:highlight w:val="none"/>
                <w:lang w:eastAsia="zh-CN"/>
              </w:rPr>
              <w:t>产品</w:t>
            </w:r>
            <w:r>
              <w:rPr>
                <w:rFonts w:hint="default" w:ascii="Times New Roman" w:hAnsi="Times New Roman" w:eastAsia="宋体" w:cs="Times New Roman"/>
                <w:color w:val="auto"/>
                <w:szCs w:val="24"/>
                <w:highlight w:val="none"/>
              </w:rPr>
              <w:t>性能评价</w:t>
            </w:r>
          </w:p>
        </w:tc>
        <w:tc>
          <w:tcPr>
            <w:tcW w:w="7088" w:type="dxa"/>
            <w:shd w:val="clear" w:color="auto" w:fill="auto"/>
            <w:vAlign w:val="center"/>
          </w:tcPr>
          <w:p w14:paraId="35C06638">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产品的先进性好、匹配性高、可靠性高、稳定性高以及质量、性能好，优于项目需求得</w:t>
            </w:r>
            <w:r>
              <w:rPr>
                <w:rFonts w:hint="eastAsia" w:ascii="Times New Roman" w:hAnsi="Times New Roman" w:eastAsia="宋体" w:cs="Times New Roman"/>
                <w:color w:val="auto"/>
                <w:szCs w:val="24"/>
                <w:highlight w:val="none"/>
                <w:lang w:val="en-US" w:eastAsia="zh-CN"/>
              </w:rPr>
              <w:t>10</w:t>
            </w:r>
            <w:r>
              <w:rPr>
                <w:rFonts w:hint="default" w:ascii="Times New Roman" w:hAnsi="Times New Roman" w:eastAsia="宋体" w:cs="Times New Roman"/>
                <w:color w:val="auto"/>
                <w:szCs w:val="24"/>
                <w:highlight w:val="none"/>
              </w:rPr>
              <w:t>分；</w:t>
            </w:r>
          </w:p>
          <w:p w14:paraId="0A1866A7">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产品的先进性较好、匹配性较高、可靠性较高、稳定性较高以及质量、性能较好，满足项目需求得</w:t>
            </w:r>
            <w:r>
              <w:rPr>
                <w:rFonts w:hint="eastAsia" w:ascii="Times New Roman" w:hAnsi="Times New Roman" w:eastAsia="宋体" w:cs="Times New Roman"/>
                <w:color w:val="auto"/>
                <w:szCs w:val="24"/>
                <w:highlight w:val="none"/>
                <w:lang w:val="en-US" w:eastAsia="zh-CN"/>
              </w:rPr>
              <w:t>7</w:t>
            </w:r>
            <w:r>
              <w:rPr>
                <w:rFonts w:hint="default" w:ascii="Times New Roman" w:hAnsi="Times New Roman" w:eastAsia="宋体" w:cs="Times New Roman"/>
                <w:color w:val="auto"/>
                <w:szCs w:val="24"/>
                <w:highlight w:val="none"/>
              </w:rPr>
              <w:t>分；</w:t>
            </w:r>
          </w:p>
          <w:p w14:paraId="0ED5049D">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产品的先进性一般、匹配性一般、可靠性一般、稳定性一般以及质量、性能一般，基本满足项目需求得</w:t>
            </w:r>
            <w:r>
              <w:rPr>
                <w:rFonts w:hint="eastAsia" w:ascii="Times New Roman" w:hAnsi="Times New Roman" w:eastAsia="宋体" w:cs="Times New Roman"/>
                <w:color w:val="auto"/>
                <w:szCs w:val="24"/>
                <w:highlight w:val="none"/>
                <w:lang w:val="en-US" w:eastAsia="zh-CN"/>
              </w:rPr>
              <w:t>4</w:t>
            </w:r>
            <w:r>
              <w:rPr>
                <w:rFonts w:hint="default" w:ascii="Times New Roman" w:hAnsi="Times New Roman" w:eastAsia="宋体" w:cs="Times New Roman"/>
                <w:color w:val="auto"/>
                <w:szCs w:val="24"/>
                <w:highlight w:val="none"/>
              </w:rPr>
              <w:t>分；</w:t>
            </w:r>
          </w:p>
          <w:p w14:paraId="3D3212FA">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产品的先进性、匹配性、可靠性、稳定性等较差，不完全满足项目需求得</w:t>
            </w:r>
            <w:r>
              <w:rPr>
                <w:rFonts w:hint="eastAsia" w:ascii="Times New Roman" w:hAnsi="Times New Roman" w:eastAsia="宋体" w:cs="Times New Roman"/>
                <w:color w:val="auto"/>
                <w:szCs w:val="24"/>
                <w:highlight w:val="none"/>
                <w:lang w:val="en-US" w:eastAsia="zh-CN"/>
              </w:rPr>
              <w:t>1</w:t>
            </w:r>
            <w:r>
              <w:rPr>
                <w:rFonts w:hint="default" w:ascii="Times New Roman" w:hAnsi="Times New Roman" w:eastAsia="宋体" w:cs="Times New Roman"/>
                <w:color w:val="auto"/>
                <w:szCs w:val="24"/>
                <w:highlight w:val="none"/>
              </w:rPr>
              <w:t>分；</w:t>
            </w:r>
          </w:p>
          <w:p w14:paraId="2799F45F">
            <w:pPr>
              <w:spacing w:line="440" w:lineRule="exact"/>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rPr>
              <w:t>不提供者不得分。</w:t>
            </w:r>
          </w:p>
        </w:tc>
        <w:tc>
          <w:tcPr>
            <w:tcW w:w="708" w:type="dxa"/>
            <w:shd w:val="clear" w:color="auto" w:fill="auto"/>
            <w:vAlign w:val="center"/>
          </w:tcPr>
          <w:p w14:paraId="705F934B">
            <w:pPr>
              <w:jc w:val="center"/>
              <w:rPr>
                <w:rFonts w:hint="default"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bCs/>
                <w:color w:val="auto"/>
                <w:szCs w:val="21"/>
                <w:highlight w:val="none"/>
                <w:lang w:val="en-US" w:eastAsia="zh-CN"/>
              </w:rPr>
              <w:t>10</w:t>
            </w:r>
          </w:p>
        </w:tc>
      </w:tr>
      <w:tr w14:paraId="4E79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24" w:type="dxa"/>
            <w:vMerge w:val="restart"/>
            <w:vAlign w:val="center"/>
          </w:tcPr>
          <w:p w14:paraId="20AC1B21">
            <w:pPr>
              <w:jc w:val="center"/>
              <w:rPr>
                <w:rFonts w:hint="eastAsia" w:ascii="Times New Roman" w:hAnsi="Times New Roman" w:eastAsia="宋体" w:cs="Times New Roman"/>
                <w:bCs/>
                <w:color w:val="auto"/>
                <w:szCs w:val="21"/>
                <w:highlight w:val="none"/>
                <w:lang w:eastAsia="zh-CN"/>
              </w:rPr>
            </w:pPr>
            <w:r>
              <w:rPr>
                <w:rFonts w:hint="eastAsia" w:ascii="Times New Roman" w:hAnsi="Times New Roman" w:eastAsia="宋体" w:cs="Times New Roman"/>
                <w:bCs/>
                <w:color w:val="auto"/>
                <w:szCs w:val="21"/>
                <w:highlight w:val="none"/>
                <w:lang w:val="en-US" w:eastAsia="zh-CN"/>
              </w:rPr>
              <w:t>5</w:t>
            </w:r>
          </w:p>
        </w:tc>
        <w:tc>
          <w:tcPr>
            <w:tcW w:w="1214" w:type="dxa"/>
            <w:vMerge w:val="restart"/>
            <w:vAlign w:val="center"/>
          </w:tcPr>
          <w:p w14:paraId="29BFE69D">
            <w:pPr>
              <w:spacing w:line="440" w:lineRule="exact"/>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售后服务与质保</w:t>
            </w:r>
          </w:p>
        </w:tc>
        <w:tc>
          <w:tcPr>
            <w:tcW w:w="7088" w:type="dxa"/>
            <w:vAlign w:val="center"/>
          </w:tcPr>
          <w:p w14:paraId="1F5D520F">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质保期（5分）：报价单位在满足采购文件要求的基础上，每增加1年免费质保期得2.5分，最多5分。（需提供承诺书，并加盖公章。）</w:t>
            </w:r>
          </w:p>
        </w:tc>
        <w:tc>
          <w:tcPr>
            <w:tcW w:w="708" w:type="dxa"/>
            <w:vAlign w:val="center"/>
          </w:tcPr>
          <w:p w14:paraId="01C525E2">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5</w:t>
            </w:r>
          </w:p>
        </w:tc>
      </w:tr>
      <w:tr w14:paraId="74D1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624" w:type="dxa"/>
            <w:vMerge w:val="continue"/>
            <w:vAlign w:val="center"/>
          </w:tcPr>
          <w:p w14:paraId="606EA35D">
            <w:pPr>
              <w:jc w:val="center"/>
              <w:rPr>
                <w:rFonts w:hint="default" w:ascii="Times New Roman" w:hAnsi="Times New Roman" w:eastAsia="宋体" w:cs="Times New Roman"/>
                <w:bCs/>
                <w:color w:val="auto"/>
                <w:szCs w:val="21"/>
                <w:highlight w:val="none"/>
              </w:rPr>
            </w:pPr>
          </w:p>
        </w:tc>
        <w:tc>
          <w:tcPr>
            <w:tcW w:w="1214" w:type="dxa"/>
            <w:vMerge w:val="continue"/>
            <w:vAlign w:val="center"/>
          </w:tcPr>
          <w:p w14:paraId="53184009">
            <w:pPr>
              <w:spacing w:line="440" w:lineRule="exact"/>
              <w:jc w:val="center"/>
              <w:rPr>
                <w:rFonts w:hint="default" w:ascii="Times New Roman" w:hAnsi="Times New Roman" w:eastAsia="宋体" w:cs="Times New Roman"/>
                <w:bCs/>
                <w:color w:val="auto"/>
                <w:szCs w:val="21"/>
                <w:highlight w:val="none"/>
              </w:rPr>
            </w:pPr>
          </w:p>
        </w:tc>
        <w:tc>
          <w:tcPr>
            <w:tcW w:w="7088" w:type="dxa"/>
            <w:vAlign w:val="center"/>
          </w:tcPr>
          <w:p w14:paraId="02B5CA81">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售后服务方案（至少包括服务内容、故障解决方案、响应时间、专业技术人员保障、服务电话及培训等）：</w:t>
            </w:r>
          </w:p>
          <w:p w14:paraId="5688CA65">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方案完善、详细，可实施性强，优于项目需求得10分；</w:t>
            </w:r>
          </w:p>
          <w:p w14:paraId="238C4D1E">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方案较完善、详细，可实施性较强，符合项目需求得7分；</w:t>
            </w:r>
          </w:p>
          <w:p w14:paraId="5563DCEF">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方案完善性、详细性一般，可实施性一般，基本满足项目需求得4分；</w:t>
            </w:r>
          </w:p>
          <w:p w14:paraId="3DADC332">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方案完善性、详细性、可实施性较差，不完全满足项目需求得1分；</w:t>
            </w:r>
          </w:p>
          <w:p w14:paraId="3F59B511">
            <w:pPr>
              <w:spacing w:line="440"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不提供者不得分。</w:t>
            </w:r>
          </w:p>
        </w:tc>
        <w:tc>
          <w:tcPr>
            <w:tcW w:w="708" w:type="dxa"/>
            <w:vAlign w:val="center"/>
          </w:tcPr>
          <w:p w14:paraId="5B43842B">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10</w:t>
            </w:r>
          </w:p>
        </w:tc>
      </w:tr>
      <w:tr w14:paraId="3030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624" w:type="dxa"/>
            <w:shd w:val="clear" w:color="auto" w:fill="FFFFFF"/>
            <w:vAlign w:val="center"/>
          </w:tcPr>
          <w:p w14:paraId="49D09629">
            <w:pPr>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bCs/>
                <w:color w:val="auto"/>
                <w:szCs w:val="21"/>
                <w:highlight w:val="none"/>
                <w:lang w:val="en-US" w:eastAsia="zh-CN"/>
              </w:rPr>
              <w:t>6</w:t>
            </w:r>
          </w:p>
        </w:tc>
        <w:tc>
          <w:tcPr>
            <w:tcW w:w="1214" w:type="dxa"/>
            <w:shd w:val="clear" w:color="auto" w:fill="auto"/>
            <w:vAlign w:val="center"/>
          </w:tcPr>
          <w:p w14:paraId="76E4A3FF">
            <w:pPr>
              <w:widowControl/>
              <w:spacing w:line="27" w:lineRule="atLeast"/>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rPr>
              <w:t>企业业绩</w:t>
            </w:r>
          </w:p>
        </w:tc>
        <w:tc>
          <w:tcPr>
            <w:tcW w:w="7088" w:type="dxa"/>
            <w:shd w:val="clear" w:color="auto" w:fill="FFFFFF"/>
            <w:vAlign w:val="center"/>
          </w:tcPr>
          <w:p w14:paraId="57F50D46">
            <w:pPr>
              <w:spacing w:line="276"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4"/>
                <w:highlight w:val="none"/>
              </w:rPr>
              <w:t>提供近</w:t>
            </w:r>
            <w:r>
              <w:rPr>
                <w:rFonts w:hint="eastAsia" w:ascii="Times New Roman" w:hAnsi="Times New Roman" w:cs="Times New Roman"/>
                <w:color w:val="auto"/>
                <w:szCs w:val="24"/>
                <w:highlight w:val="none"/>
                <w:lang w:val="en-US" w:eastAsia="zh-CN"/>
              </w:rPr>
              <w:t>5</w:t>
            </w:r>
            <w:r>
              <w:rPr>
                <w:rFonts w:hint="default" w:ascii="Times New Roman" w:hAnsi="Times New Roman" w:eastAsia="宋体" w:cs="Times New Roman"/>
                <w:color w:val="auto"/>
                <w:szCs w:val="24"/>
                <w:highlight w:val="none"/>
              </w:rPr>
              <w:t>年（20</w:t>
            </w:r>
            <w:r>
              <w:rPr>
                <w:rFonts w:hint="eastAsia" w:ascii="Times New Roman" w:hAnsi="Times New Roman" w:cs="Times New Roman"/>
                <w:color w:val="auto"/>
                <w:szCs w:val="24"/>
                <w:highlight w:val="none"/>
                <w:lang w:val="en-US" w:eastAsia="zh-CN"/>
              </w:rPr>
              <w:t>21</w:t>
            </w:r>
            <w:r>
              <w:rPr>
                <w:rFonts w:hint="default" w:ascii="Times New Roman" w:hAnsi="Times New Roman" w:eastAsia="宋体" w:cs="Times New Roman"/>
                <w:color w:val="auto"/>
                <w:szCs w:val="24"/>
                <w:highlight w:val="none"/>
              </w:rPr>
              <w:t>年</w:t>
            </w:r>
            <w:r>
              <w:rPr>
                <w:rFonts w:hint="eastAsia" w:ascii="Times New Roman" w:hAnsi="Times New Roman" w:cs="Times New Roman"/>
                <w:color w:val="auto"/>
                <w:szCs w:val="24"/>
                <w:highlight w:val="none"/>
                <w:lang w:val="en-US" w:eastAsia="zh-CN"/>
              </w:rPr>
              <w:t>9</w:t>
            </w:r>
            <w:r>
              <w:rPr>
                <w:rFonts w:hint="default" w:ascii="Times New Roman" w:hAnsi="Times New Roman" w:eastAsia="宋体" w:cs="Times New Roman"/>
                <w:color w:val="auto"/>
                <w:szCs w:val="24"/>
                <w:highlight w:val="none"/>
              </w:rPr>
              <w:t>月1日以来）签订的类似合同，每提供一个得</w:t>
            </w:r>
            <w:r>
              <w:rPr>
                <w:rFonts w:hint="eastAsia" w:ascii="Times New Roman" w:hAnsi="Times New Roman" w:cs="Times New Roman"/>
                <w:color w:val="auto"/>
                <w:szCs w:val="24"/>
                <w:highlight w:val="none"/>
                <w:lang w:val="en-US" w:eastAsia="zh-CN"/>
              </w:rPr>
              <w:t>5</w:t>
            </w:r>
            <w:r>
              <w:rPr>
                <w:rFonts w:hint="default" w:ascii="Times New Roman" w:hAnsi="Times New Roman" w:eastAsia="宋体" w:cs="Times New Roman"/>
                <w:color w:val="auto"/>
                <w:szCs w:val="24"/>
                <w:highlight w:val="none"/>
              </w:rPr>
              <w:t>分</w:t>
            </w:r>
            <w:r>
              <w:rPr>
                <w:rFonts w:hint="default" w:ascii="Times New Roman" w:hAnsi="Times New Roman" w:eastAsia="宋体" w:cs="Times New Roman"/>
                <w:color w:val="auto"/>
                <w:szCs w:val="21"/>
                <w:highlight w:val="none"/>
              </w:rPr>
              <w:t>，最多得</w:t>
            </w:r>
            <w:r>
              <w:rPr>
                <w:rFonts w:hint="eastAsia" w:ascii="Times New Roman" w:hAnsi="Times New Roman" w:cs="Times New Roman"/>
                <w:color w:val="auto"/>
                <w:szCs w:val="21"/>
                <w:highlight w:val="none"/>
                <w:lang w:val="en-US" w:eastAsia="zh-CN"/>
              </w:rPr>
              <w:t>15</w:t>
            </w:r>
            <w:r>
              <w:rPr>
                <w:rFonts w:hint="default" w:ascii="Times New Roman" w:hAnsi="Times New Roman" w:eastAsia="宋体" w:cs="Times New Roman"/>
                <w:color w:val="auto"/>
                <w:szCs w:val="21"/>
                <w:highlight w:val="none"/>
              </w:rPr>
              <w:t>分。（</w:t>
            </w:r>
            <w:r>
              <w:rPr>
                <w:rFonts w:hint="default" w:ascii="Times New Roman" w:hAnsi="Times New Roman" w:eastAsia="宋体" w:cs="Times New Roman"/>
                <w:color w:val="auto"/>
                <w:szCs w:val="24"/>
                <w:highlight w:val="none"/>
              </w:rPr>
              <w:t>以合同签订日期为准，提供合同复印件并加盖公章，合同须包含签订时间、合同内容等</w:t>
            </w:r>
            <w:r>
              <w:rPr>
                <w:rFonts w:hint="default" w:ascii="Times New Roman" w:hAnsi="Times New Roman" w:eastAsia="宋体" w:cs="Times New Roman"/>
                <w:color w:val="auto"/>
                <w:szCs w:val="21"/>
                <w:highlight w:val="none"/>
              </w:rPr>
              <w:t>，否则不得分）。</w:t>
            </w:r>
          </w:p>
        </w:tc>
        <w:tc>
          <w:tcPr>
            <w:tcW w:w="708" w:type="dxa"/>
            <w:shd w:val="clear" w:color="auto" w:fill="FFFFFF"/>
            <w:vAlign w:val="center"/>
          </w:tcPr>
          <w:p w14:paraId="33D69C06">
            <w:pPr>
              <w:spacing w:line="276"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5</w:t>
            </w:r>
          </w:p>
        </w:tc>
      </w:tr>
      <w:tr w14:paraId="5ED5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926" w:type="dxa"/>
            <w:gridSpan w:val="3"/>
            <w:vAlign w:val="center"/>
          </w:tcPr>
          <w:p w14:paraId="4DB1D79E">
            <w:pPr>
              <w:spacing w:line="440" w:lineRule="exact"/>
              <w:jc w:val="center"/>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合计</w:t>
            </w:r>
          </w:p>
        </w:tc>
        <w:tc>
          <w:tcPr>
            <w:tcW w:w="708" w:type="dxa"/>
            <w:vAlign w:val="center"/>
          </w:tcPr>
          <w:p w14:paraId="0B38F156">
            <w:pPr>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100分</w:t>
            </w:r>
          </w:p>
        </w:tc>
      </w:tr>
    </w:tbl>
    <w:p w14:paraId="76A725ED">
      <w:pPr>
        <w:rPr>
          <w:rFonts w:ascii="宋体" w:hAnsi="宋体" w:cs="宋体"/>
          <w:b/>
          <w:color w:val="auto"/>
          <w:sz w:val="36"/>
          <w:highlight w:val="none"/>
        </w:rPr>
        <w:sectPr>
          <w:headerReference r:id="rId3" w:type="default"/>
          <w:footerReference r:id="rId4" w:type="default"/>
          <w:pgSz w:w="11906" w:h="16838"/>
          <w:pgMar w:top="1134" w:right="1134" w:bottom="1134" w:left="1304" w:header="567" w:footer="907" w:gutter="0"/>
          <w:cols w:space="720" w:num="1"/>
          <w:docGrid w:linePitch="360" w:charSpace="0"/>
        </w:sectPr>
      </w:pPr>
    </w:p>
    <w:p w14:paraId="4CEAC438">
      <w:pPr>
        <w:jc w:val="center"/>
        <w:outlineLvl w:val="0"/>
        <w:rPr>
          <w:rFonts w:ascii="宋体" w:hAnsi="宋体" w:cs="宋体"/>
          <w:b/>
          <w:color w:val="auto"/>
          <w:sz w:val="36"/>
          <w:highlight w:val="none"/>
        </w:rPr>
      </w:pPr>
      <w:r>
        <w:rPr>
          <w:rFonts w:hint="eastAsia" w:ascii="宋体" w:hAnsi="宋体" w:cs="宋体"/>
          <w:b/>
          <w:color w:val="auto"/>
          <w:sz w:val="36"/>
          <w:highlight w:val="none"/>
        </w:rPr>
        <w:t>第四章 采购需求</w:t>
      </w:r>
    </w:p>
    <w:p w14:paraId="671B8F87">
      <w:pPr>
        <w:numPr>
          <w:ilvl w:val="0"/>
          <w:numId w:val="53"/>
        </w:num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项目名称：</w:t>
      </w:r>
      <w:r>
        <w:rPr>
          <w:rFonts w:hint="eastAsia" w:ascii="宋体" w:hAnsi="宋体" w:cs="宋体"/>
          <w:color w:val="auto"/>
          <w:sz w:val="24"/>
          <w:szCs w:val="24"/>
          <w:highlight w:val="none"/>
          <w:lang w:eastAsia="zh-CN"/>
        </w:rPr>
        <w:t>材料院教五六楼定制铝合金门窗采购</w:t>
      </w:r>
    </w:p>
    <w:p w14:paraId="058DBC88">
      <w:pPr>
        <w:numPr>
          <w:ilvl w:val="0"/>
          <w:numId w:val="53"/>
        </w:num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采购对象名称：</w:t>
      </w:r>
      <w:r>
        <w:rPr>
          <w:rFonts w:hint="eastAsia" w:ascii="宋体" w:hAnsi="宋体" w:cs="宋体"/>
          <w:color w:val="auto"/>
          <w:sz w:val="24"/>
          <w:szCs w:val="24"/>
          <w:highlight w:val="none"/>
          <w:lang w:val="en-US" w:eastAsia="zh-CN"/>
        </w:rPr>
        <w:t>铝合金推拉窗</w:t>
      </w:r>
      <w:r>
        <w:rPr>
          <w:rFonts w:hint="eastAsia" w:ascii="宋体" w:hAnsi="宋体" w:cs="宋体"/>
          <w:color w:val="auto"/>
          <w:sz w:val="24"/>
          <w:szCs w:val="24"/>
          <w:highlight w:val="none"/>
        </w:rPr>
        <w:t>；</w:t>
      </w:r>
    </w:p>
    <w:p w14:paraId="1AC2D3A7">
      <w:pPr>
        <w:numPr>
          <w:ilvl w:val="0"/>
          <w:numId w:val="53"/>
        </w:numPr>
        <w:spacing w:line="360" w:lineRule="auto"/>
        <w:rPr>
          <w:rFonts w:ascii="宋体" w:hAnsi="宋体" w:cs="宋体"/>
          <w:color w:val="auto"/>
          <w:sz w:val="24"/>
          <w:szCs w:val="24"/>
          <w:highlight w:val="none"/>
        </w:rPr>
      </w:pPr>
      <w:r>
        <w:rPr>
          <w:rFonts w:hint="default" w:ascii="Times New Roman" w:hAnsi="Times New Roman" w:eastAsia="宋体" w:cs="Times New Roman"/>
          <w:bCs/>
          <w:color w:val="auto"/>
          <w:szCs w:val="21"/>
          <w:highlight w:val="none"/>
          <w:lang w:eastAsia="zh-CN"/>
        </w:rPr>
        <w:t>▲</w:t>
      </w:r>
      <w:r>
        <w:rPr>
          <w:rFonts w:hint="eastAsia" w:ascii="宋体" w:hAnsi="宋体" w:cs="宋体"/>
          <w:b/>
          <w:bCs/>
          <w:color w:val="auto"/>
          <w:sz w:val="24"/>
          <w:szCs w:val="24"/>
          <w:highlight w:val="none"/>
        </w:rPr>
        <w:t>采购</w:t>
      </w:r>
      <w:r>
        <w:rPr>
          <w:rFonts w:hint="eastAsia" w:ascii="宋体" w:hAnsi="宋体" w:cs="宋体"/>
          <w:b/>
          <w:bCs/>
          <w:color w:val="auto"/>
          <w:sz w:val="24"/>
          <w:szCs w:val="24"/>
          <w:highlight w:val="none"/>
          <w:lang w:eastAsia="zh-CN"/>
        </w:rPr>
        <w:t>清单</w:t>
      </w:r>
      <w:r>
        <w:rPr>
          <w:rFonts w:hint="eastAsia" w:ascii="宋体" w:hAnsi="宋体" w:cs="宋体"/>
          <w:b/>
          <w:bCs/>
          <w:color w:val="auto"/>
          <w:sz w:val="24"/>
          <w:szCs w:val="24"/>
          <w:highlight w:val="none"/>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1365"/>
        <w:gridCol w:w="1695"/>
        <w:gridCol w:w="1290"/>
        <w:gridCol w:w="1365"/>
        <w:gridCol w:w="3326"/>
      </w:tblGrid>
      <w:tr w14:paraId="230F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dxa"/>
          </w:tcPr>
          <w:p w14:paraId="37A12554">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序号</w:t>
            </w:r>
          </w:p>
        </w:tc>
        <w:tc>
          <w:tcPr>
            <w:tcW w:w="1365" w:type="dxa"/>
          </w:tcPr>
          <w:p w14:paraId="057C3666">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项目名称</w:t>
            </w:r>
          </w:p>
        </w:tc>
        <w:tc>
          <w:tcPr>
            <w:tcW w:w="1695" w:type="dxa"/>
          </w:tcPr>
          <w:p w14:paraId="06638F4C">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数量</w:t>
            </w:r>
          </w:p>
        </w:tc>
        <w:tc>
          <w:tcPr>
            <w:tcW w:w="1290" w:type="dxa"/>
          </w:tcPr>
          <w:p w14:paraId="2F3D9DD2">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综合单价（元）</w:t>
            </w:r>
          </w:p>
        </w:tc>
        <w:tc>
          <w:tcPr>
            <w:tcW w:w="1365" w:type="dxa"/>
          </w:tcPr>
          <w:p w14:paraId="70606F19">
            <w:pPr>
              <w:numPr>
                <w:ilvl w:val="-1"/>
                <w:numId w:val="0"/>
              </w:numPr>
              <w:spacing w:line="360" w:lineRule="auto"/>
              <w:jc w:val="center"/>
              <w:rPr>
                <w:rFonts w:hint="eastAsia" w:ascii="宋体" w:hAnsi="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合价（元）</w:t>
            </w:r>
          </w:p>
        </w:tc>
        <w:tc>
          <w:tcPr>
            <w:tcW w:w="3326" w:type="dxa"/>
          </w:tcPr>
          <w:p w14:paraId="3A557611">
            <w:pPr>
              <w:numPr>
                <w:ilvl w:val="-1"/>
                <w:numId w:val="0"/>
              </w:numPr>
              <w:spacing w:line="360" w:lineRule="auto"/>
              <w:jc w:val="center"/>
              <w:rPr>
                <w:rFonts w:hint="eastAsia" w:ascii="宋体" w:hAnsi="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备注</w:t>
            </w:r>
          </w:p>
        </w:tc>
      </w:tr>
      <w:tr w14:paraId="3580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dxa"/>
            <w:vAlign w:val="center"/>
          </w:tcPr>
          <w:p w14:paraId="0D9F9D11">
            <w:pPr>
              <w:numPr>
                <w:ilvl w:val="-1"/>
                <w:numId w:val="0"/>
              </w:numPr>
              <w:spacing w:line="36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1</w:t>
            </w:r>
          </w:p>
        </w:tc>
        <w:tc>
          <w:tcPr>
            <w:tcW w:w="1365" w:type="dxa"/>
            <w:vAlign w:val="center"/>
          </w:tcPr>
          <w:p w14:paraId="142AA45F">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eastAsia="zh-CN"/>
              </w:rPr>
              <w:t>材料院教五六楼定制铝合金门窗采购</w:t>
            </w:r>
          </w:p>
        </w:tc>
        <w:tc>
          <w:tcPr>
            <w:tcW w:w="1695" w:type="dxa"/>
            <w:vAlign w:val="center"/>
          </w:tcPr>
          <w:p w14:paraId="10FB01F3">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color w:val="auto"/>
                <w:sz w:val="24"/>
                <w:szCs w:val="24"/>
                <w:highlight w:val="none"/>
                <w:lang w:val="en-US" w:eastAsia="zh-CN"/>
              </w:rPr>
              <w:t>暂定124.7平方米，具体根据现场实际测量尺寸为准。</w:t>
            </w:r>
          </w:p>
        </w:tc>
        <w:tc>
          <w:tcPr>
            <w:tcW w:w="1290" w:type="dxa"/>
            <w:vAlign w:val="center"/>
          </w:tcPr>
          <w:p w14:paraId="35FEF3BB">
            <w:pPr>
              <w:numPr>
                <w:ilvl w:val="-1"/>
                <w:numId w:val="0"/>
              </w:numPr>
              <w:spacing w:line="360" w:lineRule="auto"/>
              <w:rPr>
                <w:rFonts w:hint="eastAsia" w:ascii="宋体" w:hAnsi="宋体" w:cs="宋体"/>
                <w:b/>
                <w:bCs/>
                <w:color w:val="auto"/>
                <w:sz w:val="24"/>
                <w:szCs w:val="24"/>
                <w:highlight w:val="none"/>
                <w:vertAlign w:val="baseline"/>
              </w:rPr>
            </w:pPr>
          </w:p>
        </w:tc>
        <w:tc>
          <w:tcPr>
            <w:tcW w:w="1365" w:type="dxa"/>
            <w:vAlign w:val="center"/>
          </w:tcPr>
          <w:p w14:paraId="5C1445B8">
            <w:pPr>
              <w:numPr>
                <w:ilvl w:val="-1"/>
                <w:numId w:val="0"/>
              </w:numPr>
              <w:spacing w:line="360" w:lineRule="auto"/>
              <w:rPr>
                <w:rFonts w:hint="eastAsia" w:ascii="宋体" w:hAnsi="宋体" w:cs="宋体"/>
                <w:b/>
                <w:bCs/>
                <w:color w:val="auto"/>
                <w:sz w:val="24"/>
                <w:szCs w:val="24"/>
                <w:highlight w:val="none"/>
                <w:vertAlign w:val="baseline"/>
              </w:rPr>
            </w:pPr>
          </w:p>
        </w:tc>
        <w:tc>
          <w:tcPr>
            <w:tcW w:w="3326" w:type="dxa"/>
            <w:vAlign w:val="center"/>
          </w:tcPr>
          <w:p w14:paraId="6282D34F">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color w:val="auto"/>
                <w:sz w:val="24"/>
                <w:szCs w:val="24"/>
                <w:highlight w:val="none"/>
                <w:lang w:val="en-US" w:eastAsia="zh-CN"/>
              </w:rPr>
              <w:t>伟昌90系列，型材表面粉未喷涂处理;隔热断桥;外窗结构型材壁厚不小于1.8mm(需满足新国标要求);玻璃参数:6+9A+6。</w:t>
            </w:r>
          </w:p>
        </w:tc>
      </w:tr>
    </w:tbl>
    <w:p w14:paraId="4CCDCB10">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四、</w:t>
      </w:r>
      <w:r>
        <w:rPr>
          <w:rFonts w:hint="eastAsia" w:ascii="宋体" w:hAnsi="宋体" w:cs="宋体"/>
          <w:b/>
          <w:bCs/>
          <w:color w:val="auto"/>
          <w:sz w:val="24"/>
          <w:szCs w:val="24"/>
          <w:highlight w:val="none"/>
        </w:rPr>
        <w:t>技术及服务要求：</w:t>
      </w:r>
    </w:p>
    <w:p w14:paraId="1A4C90B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符合国家标准，报价包括现场测量定制、旧门窗拆除、运输、施工现场清理和复原、现场安装、防水密封、调试及后期质保维保等一体化服务。需供应商实地踏勘测量、结合建筑外立面结构、实验室防渗防潮要求制定专项制作及安装方案。</w:t>
      </w:r>
    </w:p>
    <w:p w14:paraId="6359ED5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2、交付时间：2026年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日前(具体时间按甲方指定)</w:t>
      </w:r>
    </w:p>
    <w:p w14:paraId="35AF7F4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3、交付地点：南京邮电大学</w:t>
      </w:r>
      <w:r>
        <w:rPr>
          <w:rFonts w:hint="eastAsia" w:ascii="宋体" w:hAnsi="宋体" w:cs="宋体"/>
          <w:color w:val="auto"/>
          <w:sz w:val="24"/>
          <w:szCs w:val="24"/>
          <w:highlight w:val="none"/>
          <w:lang w:eastAsia="zh-CN"/>
        </w:rPr>
        <w:t>材料院教五六楼</w:t>
      </w:r>
      <w:r>
        <w:rPr>
          <w:rFonts w:hint="eastAsia" w:ascii="宋体" w:hAnsi="宋体" w:cs="宋体"/>
          <w:color w:val="auto"/>
          <w:sz w:val="24"/>
          <w:szCs w:val="24"/>
          <w:highlight w:val="none"/>
        </w:rPr>
        <w:t>。</w:t>
      </w:r>
    </w:p>
    <w:p w14:paraId="0C18345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default" w:ascii="Times New Roman" w:hAnsi="Times New Roman" w:eastAsia="宋体" w:cs="Times New Roman"/>
          <w:bCs/>
          <w:color w:val="auto"/>
          <w:szCs w:val="21"/>
          <w:highlight w:val="none"/>
          <w:lang w:eastAsia="zh-CN"/>
        </w:rPr>
        <w:t>▲</w:t>
      </w:r>
      <w:r>
        <w:rPr>
          <w:rFonts w:hint="eastAsia" w:ascii="宋体" w:hAnsi="宋体" w:cs="宋体"/>
          <w:color w:val="auto"/>
          <w:sz w:val="24"/>
          <w:szCs w:val="24"/>
          <w:highlight w:val="none"/>
        </w:rPr>
        <w:t>验收要求：按照GB/T 8478-2020《铝合金门窗》、</w:t>
      </w:r>
      <w:r>
        <w:rPr>
          <w:rFonts w:hint="eastAsia" w:ascii="宋体" w:hAnsi="宋体" w:cs="宋体"/>
          <w:color w:val="auto"/>
          <w:sz w:val="24"/>
          <w:szCs w:val="24"/>
          <w:highlight w:val="none"/>
          <w:lang w:eastAsia="zh-CN"/>
        </w:rPr>
        <w:t>安装方案</w:t>
      </w:r>
      <w:r>
        <w:rPr>
          <w:rFonts w:hint="eastAsia" w:ascii="宋体" w:hAnsi="宋体" w:cs="宋体"/>
          <w:color w:val="auto"/>
          <w:sz w:val="24"/>
          <w:szCs w:val="24"/>
          <w:highlight w:val="none"/>
        </w:rPr>
        <w:t>及投标样品执行。材料进场须提供合格证、检测报告，经采购人查验后方可施工。安装完成后，门窗安装牢固、尺寸偏差合规，启闭顺畅，密封胶连续完整，排水通畅；现场淋水试验不得出现室内渗水。竣工验收时承包人提交全套竣工资料。质保期不少于2年，质保期内质量问题由</w:t>
      </w:r>
      <w:r>
        <w:rPr>
          <w:rFonts w:hint="eastAsia" w:ascii="宋体" w:hAnsi="宋体" w:cs="宋体"/>
          <w:color w:val="auto"/>
          <w:sz w:val="24"/>
          <w:szCs w:val="24"/>
          <w:highlight w:val="none"/>
          <w:lang w:eastAsia="zh-CN"/>
        </w:rPr>
        <w:t>承包人</w:t>
      </w:r>
      <w:r>
        <w:rPr>
          <w:rFonts w:hint="eastAsia" w:ascii="宋体" w:hAnsi="宋体" w:cs="宋体"/>
          <w:color w:val="auto"/>
          <w:sz w:val="24"/>
          <w:szCs w:val="24"/>
          <w:highlight w:val="none"/>
        </w:rPr>
        <w:t>免费维修更换。验收不合格，</w:t>
      </w:r>
      <w:r>
        <w:rPr>
          <w:rFonts w:hint="eastAsia" w:ascii="宋体" w:hAnsi="宋体" w:cs="宋体"/>
          <w:color w:val="auto"/>
          <w:sz w:val="24"/>
          <w:szCs w:val="24"/>
          <w:highlight w:val="none"/>
          <w:lang w:eastAsia="zh-CN"/>
        </w:rPr>
        <w:t>承包人</w:t>
      </w:r>
      <w:r>
        <w:rPr>
          <w:rFonts w:hint="eastAsia" w:ascii="宋体" w:hAnsi="宋体" w:cs="宋体"/>
          <w:color w:val="auto"/>
          <w:sz w:val="24"/>
          <w:szCs w:val="24"/>
          <w:highlight w:val="none"/>
        </w:rPr>
        <w:t>须无偿整改至合格。</w:t>
      </w:r>
    </w:p>
    <w:p w14:paraId="50CB9ACD">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五、</w:t>
      </w:r>
      <w:r>
        <w:rPr>
          <w:rFonts w:hint="default" w:ascii="Times New Roman" w:hAnsi="Times New Roman" w:eastAsia="宋体" w:cs="Times New Roman"/>
          <w:bCs/>
          <w:color w:val="auto"/>
          <w:szCs w:val="21"/>
          <w:highlight w:val="none"/>
          <w:lang w:eastAsia="zh-CN"/>
        </w:rPr>
        <w:t>▲</w:t>
      </w:r>
      <w:r>
        <w:rPr>
          <w:rFonts w:hint="eastAsia" w:ascii="宋体" w:hAnsi="宋体" w:cs="宋体"/>
          <w:color w:val="auto"/>
          <w:sz w:val="24"/>
          <w:szCs w:val="24"/>
          <w:highlight w:val="none"/>
          <w:lang w:eastAsia="zh-CN"/>
        </w:rPr>
        <w:t>样品要求</w:t>
      </w:r>
    </w:p>
    <w:p w14:paraId="0B5616F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投标人须提供本项目铝合金门窗实物样品1套，包含：铝合金型材、中空玻璃、密封胶条、五金配件（铰链、锁点、滑轮等），样品尺寸：1000mm×1200mm，样品上标注投标人名称。</w:t>
      </w:r>
    </w:p>
    <w:p w14:paraId="28D621D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样品递交时间、地点：投标截止时间前送至开标现场，样品由投标人自行负责运输、装卸，未按规定时间提交样品的不得分。</w:t>
      </w:r>
    </w:p>
    <w:p w14:paraId="1EDF9EC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样品仅用于评审，不作为交付成品，中标后供货产品质量、材质、性能不得低于样品标准。</w:t>
      </w:r>
    </w:p>
    <w:p w14:paraId="67403465">
      <w:pPr>
        <w:ind w:firstLine="480"/>
        <w:jc w:val="center"/>
        <w:rPr>
          <w:rFonts w:ascii="宋体" w:hAnsi="宋体" w:cs="宋体"/>
          <w:color w:val="auto"/>
          <w:szCs w:val="21"/>
          <w:highlight w:val="none"/>
        </w:rPr>
      </w:pPr>
    </w:p>
    <w:p w14:paraId="726C5088">
      <w:pPr>
        <w:adjustRightInd w:val="0"/>
        <w:snapToGrid w:val="0"/>
        <w:spacing w:line="360" w:lineRule="auto"/>
        <w:ind w:firstLine="420" w:firstLineChars="200"/>
        <w:rPr>
          <w:rFonts w:ascii="宋体" w:hAnsi="宋体" w:cs="宋体"/>
          <w:color w:val="auto"/>
          <w:highlight w:val="none"/>
        </w:rPr>
        <w:sectPr>
          <w:pgSz w:w="11906" w:h="16838"/>
          <w:pgMar w:top="1134" w:right="1134" w:bottom="1134" w:left="1304" w:header="567" w:footer="907" w:gutter="0"/>
          <w:cols w:space="720" w:num="1"/>
          <w:docGrid w:linePitch="360" w:charSpace="0"/>
        </w:sectPr>
      </w:pPr>
    </w:p>
    <w:p w14:paraId="63250905">
      <w:pPr>
        <w:numPr>
          <w:ilvl w:val="0"/>
          <w:numId w:val="54"/>
        </w:numPr>
        <w:jc w:val="center"/>
        <w:outlineLvl w:val="0"/>
        <w:rPr>
          <w:rFonts w:ascii="宋体" w:hAnsi="宋体" w:cs="宋体"/>
          <w:b/>
          <w:color w:val="auto"/>
          <w:sz w:val="36"/>
          <w:highlight w:val="none"/>
        </w:rPr>
      </w:pPr>
      <w:r>
        <w:rPr>
          <w:rFonts w:hint="eastAsia" w:ascii="宋体" w:hAnsi="宋体" w:cs="宋体"/>
          <w:b/>
          <w:color w:val="auto"/>
          <w:sz w:val="36"/>
          <w:highlight w:val="none"/>
        </w:rPr>
        <w:t xml:space="preserve"> 合同主要条款及格式</w:t>
      </w:r>
    </w:p>
    <w:p w14:paraId="60A2E4CF">
      <w:pPr>
        <w:rPr>
          <w:color w:val="auto"/>
          <w:highlight w:val="none"/>
        </w:rPr>
      </w:pPr>
    </w:p>
    <w:p w14:paraId="7A0E4A54">
      <w:pPr>
        <w:jc w:val="center"/>
        <w:rPr>
          <w:rFonts w:ascii="宋体" w:hAnsi="宋体" w:cs="宋体"/>
          <w:color w:val="auto"/>
          <w:szCs w:val="21"/>
          <w:highlight w:val="none"/>
        </w:rPr>
      </w:pPr>
      <w:bookmarkStart w:id="5" w:name="_Hlt16619369"/>
      <w:bookmarkEnd w:id="5"/>
    </w:p>
    <w:p w14:paraId="6A75535D">
      <w:pPr>
        <w:widowControl/>
        <w:snapToGrid w:val="0"/>
        <w:spacing w:before="19"/>
        <w:ind w:left="-358" w:leftChars="-255" w:right="-334" w:rightChars="-159" w:hanging="177" w:hangingChars="49"/>
        <w:jc w:val="center"/>
        <w:rPr>
          <w:rFonts w:hint="default" w:ascii="Times New Roman" w:hAnsi="Times New Roman" w:eastAsia="仿宋_GB2312" w:cs="Times New Roman"/>
          <w:b/>
          <w:color w:val="auto"/>
          <w:sz w:val="36"/>
          <w:highlight w:val="none"/>
        </w:rPr>
      </w:pPr>
      <w:r>
        <w:rPr>
          <w:rFonts w:hint="default" w:ascii="Times New Roman" w:hAnsi="Times New Roman" w:eastAsia="仿宋_GB2312" w:cs="Times New Roman"/>
          <w:b/>
          <w:color w:val="auto"/>
          <w:sz w:val="36"/>
          <w:highlight w:val="none"/>
        </w:rPr>
        <w:t>南京邮电大学采购合同</w:t>
      </w:r>
    </w:p>
    <w:p w14:paraId="20BC4F7E">
      <w:pPr>
        <w:wordWrap w:val="0"/>
        <w:spacing w:line="24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甲方：南京邮电大学                             签订地点：南京邮电大学</w:t>
      </w:r>
    </w:p>
    <w:p w14:paraId="2373A0D3">
      <w:pPr>
        <w:widowControl/>
        <w:snapToGrid w:val="0"/>
        <w:spacing w:before="1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乙方：                                          </w:t>
      </w:r>
    </w:p>
    <w:p w14:paraId="1EA4311A">
      <w:pPr>
        <w:widowControl/>
        <w:snapToGrid w:val="0"/>
        <w:spacing w:before="1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甲乙双方根据</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项目采购结果,依据《中华人民共和国民法典》合同编及相关法律规定，达成如下货物购销合同:</w:t>
      </w:r>
    </w:p>
    <w:p w14:paraId="3BD78F8C">
      <w:pPr>
        <w:widowControl/>
        <w:snapToGrid w:val="0"/>
        <w:spacing w:before="19"/>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7E1009E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1FCCD307">
            <w:pPr>
              <w:snapToGrid w:val="0"/>
              <w:spacing w:line="240" w:lineRule="atLeast"/>
              <w:jc w:val="center"/>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编号</w:t>
            </w:r>
          </w:p>
        </w:tc>
        <w:tc>
          <w:tcPr>
            <w:tcW w:w="1260" w:type="dxa"/>
            <w:tcBorders>
              <w:top w:val="single" w:color="auto" w:sz="18" w:space="0"/>
              <w:bottom w:val="single" w:color="auto" w:sz="18" w:space="0"/>
            </w:tcBorders>
            <w:shd w:val="pct10" w:color="auto" w:fill="FFFFFF"/>
            <w:noWrap w:val="0"/>
            <w:vAlign w:val="center"/>
          </w:tcPr>
          <w:p w14:paraId="21666DB9">
            <w:pPr>
              <w:snapToGrid w:val="0"/>
              <w:spacing w:line="240" w:lineRule="atLeast"/>
              <w:jc w:val="center"/>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货物名称</w:t>
            </w:r>
          </w:p>
        </w:tc>
        <w:tc>
          <w:tcPr>
            <w:tcW w:w="4320" w:type="dxa"/>
            <w:tcBorders>
              <w:top w:val="single" w:color="auto" w:sz="18" w:space="0"/>
              <w:bottom w:val="single" w:color="auto" w:sz="18" w:space="0"/>
            </w:tcBorders>
            <w:shd w:val="pct10" w:color="auto" w:fill="FFFFFF"/>
            <w:noWrap w:val="0"/>
            <w:vAlign w:val="center"/>
          </w:tcPr>
          <w:p w14:paraId="7C682741">
            <w:pPr>
              <w:snapToGrid w:val="0"/>
              <w:spacing w:line="240" w:lineRule="atLeast"/>
              <w:jc w:val="center"/>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规 格 型 号（品牌）</w:t>
            </w:r>
          </w:p>
        </w:tc>
        <w:tc>
          <w:tcPr>
            <w:tcW w:w="1080" w:type="dxa"/>
            <w:tcBorders>
              <w:top w:val="single" w:color="auto" w:sz="18" w:space="0"/>
              <w:bottom w:val="single" w:color="auto" w:sz="18" w:space="0"/>
            </w:tcBorders>
            <w:shd w:val="pct10" w:color="auto" w:fill="FFFFFF"/>
            <w:noWrap w:val="0"/>
            <w:vAlign w:val="center"/>
          </w:tcPr>
          <w:p w14:paraId="09149585">
            <w:pPr>
              <w:snapToGrid w:val="0"/>
              <w:spacing w:line="240" w:lineRule="atLeast"/>
              <w:jc w:val="center"/>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3116B96D">
            <w:pPr>
              <w:snapToGrid w:val="0"/>
              <w:spacing w:line="240" w:lineRule="atLeast"/>
              <w:jc w:val="center"/>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4C28A94D">
            <w:pPr>
              <w:widowControl/>
              <w:jc w:val="left"/>
              <w:rPr>
                <w:rFonts w:hint="default" w:ascii="Times New Roman" w:hAnsi="Times New Roman" w:eastAsia="楷体_GB2312" w:cs="Times New Roman"/>
                <w:b/>
                <w:color w:val="auto"/>
                <w:kern w:val="0"/>
                <w:sz w:val="24"/>
                <w:highlight w:val="none"/>
              </w:rPr>
            </w:pPr>
            <w:r>
              <w:rPr>
                <w:rFonts w:hint="default" w:ascii="Times New Roman" w:hAnsi="Times New Roman" w:eastAsia="楷体_GB2312" w:cs="Times New Roman"/>
                <w:b/>
                <w:color w:val="auto"/>
                <w:kern w:val="0"/>
                <w:sz w:val="24"/>
                <w:highlight w:val="none"/>
              </w:rPr>
              <w:t>总价（元）</w:t>
            </w:r>
          </w:p>
        </w:tc>
      </w:tr>
      <w:tr w14:paraId="28CCA1B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56B60381">
            <w:pPr>
              <w:snapToGrid w:val="0"/>
              <w:spacing w:line="600" w:lineRule="atLeast"/>
              <w:rPr>
                <w:rFonts w:hint="default" w:ascii="Times New Roman" w:hAnsi="Times New Roman" w:cs="Times New Roman"/>
                <w:b/>
                <w:color w:val="auto"/>
                <w:kern w:val="0"/>
                <w:sz w:val="24"/>
                <w:highlight w:val="none"/>
              </w:rPr>
            </w:pPr>
            <w:r>
              <w:rPr>
                <w:rFonts w:hint="default" w:ascii="Times New Roman" w:hAnsi="Times New Roman" w:cs="Times New Roman"/>
                <w:b/>
                <w:color w:val="auto"/>
                <w:kern w:val="0"/>
                <w:sz w:val="24"/>
                <w:highlight w:val="none"/>
              </w:rPr>
              <w:t>1</w:t>
            </w:r>
          </w:p>
        </w:tc>
        <w:tc>
          <w:tcPr>
            <w:tcW w:w="1260" w:type="dxa"/>
            <w:tcBorders>
              <w:top w:val="nil"/>
              <w:bottom w:val="single" w:color="auto" w:sz="4" w:space="0"/>
            </w:tcBorders>
            <w:noWrap w:val="0"/>
            <w:vAlign w:val="center"/>
          </w:tcPr>
          <w:p w14:paraId="500B2E8F">
            <w:pPr>
              <w:snapToGrid w:val="0"/>
              <w:spacing w:line="600" w:lineRule="atLeast"/>
              <w:jc w:val="center"/>
              <w:rPr>
                <w:rFonts w:hint="default" w:ascii="Times New Roman" w:hAnsi="Times New Roman" w:cs="Times New Roman"/>
                <w:color w:val="auto"/>
                <w:highlight w:val="none"/>
              </w:rPr>
            </w:pPr>
          </w:p>
        </w:tc>
        <w:tc>
          <w:tcPr>
            <w:tcW w:w="4320" w:type="dxa"/>
            <w:tcBorders>
              <w:top w:val="nil"/>
              <w:bottom w:val="single" w:color="auto" w:sz="4" w:space="0"/>
            </w:tcBorders>
            <w:noWrap w:val="0"/>
            <w:vAlign w:val="center"/>
          </w:tcPr>
          <w:p w14:paraId="1956BAB0">
            <w:pPr>
              <w:spacing w:line="360" w:lineRule="auto"/>
              <w:rPr>
                <w:rFonts w:hint="default" w:ascii="Times New Roman" w:hAnsi="Times New Roman" w:cs="Times New Roman"/>
                <w:color w:val="auto"/>
                <w:szCs w:val="21"/>
                <w:highlight w:val="none"/>
              </w:rPr>
            </w:pPr>
          </w:p>
        </w:tc>
        <w:tc>
          <w:tcPr>
            <w:tcW w:w="1080" w:type="dxa"/>
            <w:tcBorders>
              <w:top w:val="nil"/>
              <w:bottom w:val="single" w:color="auto" w:sz="4" w:space="0"/>
            </w:tcBorders>
            <w:noWrap w:val="0"/>
            <w:vAlign w:val="center"/>
          </w:tcPr>
          <w:p w14:paraId="0CF0EC45">
            <w:pPr>
              <w:snapToGrid w:val="0"/>
              <w:spacing w:line="600" w:lineRule="atLeast"/>
              <w:ind w:firstLine="118" w:firstLineChars="49"/>
              <w:rPr>
                <w:rFonts w:hint="default" w:ascii="Times New Roman" w:hAnsi="Times New Roman" w:cs="Times New Roman"/>
                <w:b/>
                <w:color w:val="auto"/>
                <w:kern w:val="0"/>
                <w:sz w:val="24"/>
                <w:highlight w:val="none"/>
              </w:rPr>
            </w:pPr>
          </w:p>
        </w:tc>
        <w:tc>
          <w:tcPr>
            <w:tcW w:w="1080" w:type="dxa"/>
            <w:tcBorders>
              <w:top w:val="nil"/>
              <w:bottom w:val="single" w:color="auto" w:sz="4" w:space="0"/>
              <w:right w:val="single" w:color="auto" w:sz="4" w:space="0"/>
            </w:tcBorders>
            <w:noWrap w:val="0"/>
            <w:vAlign w:val="center"/>
          </w:tcPr>
          <w:p w14:paraId="60F10832">
            <w:pPr>
              <w:spacing w:line="240" w:lineRule="atLeast"/>
              <w:jc w:val="center"/>
              <w:rPr>
                <w:rFonts w:hint="default" w:ascii="Times New Roman" w:hAnsi="Times New Roman" w:cs="Times New Roman"/>
                <w:b/>
                <w:color w:val="auto"/>
                <w:highlight w:val="none"/>
              </w:rPr>
            </w:pPr>
          </w:p>
        </w:tc>
        <w:tc>
          <w:tcPr>
            <w:tcW w:w="1260" w:type="dxa"/>
            <w:tcBorders>
              <w:top w:val="nil"/>
              <w:bottom w:val="single" w:color="auto" w:sz="4" w:space="0"/>
              <w:right w:val="single" w:color="auto" w:sz="4" w:space="0"/>
            </w:tcBorders>
            <w:noWrap w:val="0"/>
            <w:vAlign w:val="center"/>
          </w:tcPr>
          <w:p w14:paraId="0AF80041">
            <w:pPr>
              <w:spacing w:line="360" w:lineRule="auto"/>
              <w:rPr>
                <w:rFonts w:hint="default" w:ascii="Times New Roman" w:hAnsi="Times New Roman" w:cs="Times New Roman"/>
                <w:color w:val="auto"/>
                <w:highlight w:val="none"/>
              </w:rPr>
            </w:pPr>
          </w:p>
        </w:tc>
      </w:tr>
      <w:tr w14:paraId="7FC7C0C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6677E46C">
            <w:pPr>
              <w:snapToGrid w:val="0"/>
              <w:spacing w:line="600" w:lineRule="atLeast"/>
              <w:rPr>
                <w:rFonts w:hint="default" w:ascii="Times New Roman" w:hAnsi="Times New Roman" w:cs="Times New Roman"/>
                <w:b/>
                <w:color w:val="auto"/>
                <w:kern w:val="0"/>
                <w:sz w:val="24"/>
                <w:highlight w:val="none"/>
              </w:rPr>
            </w:pPr>
            <w:r>
              <w:rPr>
                <w:rFonts w:hint="default" w:ascii="Times New Roman" w:hAnsi="Times New Roman" w:cs="Times New Roman"/>
                <w:b/>
                <w:color w:val="auto"/>
                <w:kern w:val="0"/>
                <w:sz w:val="24"/>
                <w:highlight w:val="none"/>
              </w:rPr>
              <w:t>2</w:t>
            </w:r>
          </w:p>
        </w:tc>
        <w:tc>
          <w:tcPr>
            <w:tcW w:w="1260" w:type="dxa"/>
            <w:tcBorders>
              <w:top w:val="single" w:color="auto" w:sz="4" w:space="0"/>
              <w:bottom w:val="single" w:color="auto" w:sz="4" w:space="0"/>
            </w:tcBorders>
            <w:noWrap w:val="0"/>
            <w:vAlign w:val="center"/>
          </w:tcPr>
          <w:p w14:paraId="26D9B225">
            <w:pPr>
              <w:snapToGrid w:val="0"/>
              <w:spacing w:line="600" w:lineRule="atLeast"/>
              <w:jc w:val="center"/>
              <w:rPr>
                <w:rFonts w:hint="default" w:ascii="Times New Roman" w:hAnsi="Times New Roman" w:cs="Times New Roman"/>
                <w:color w:val="auto"/>
                <w:highlight w:val="none"/>
              </w:rPr>
            </w:pPr>
          </w:p>
        </w:tc>
        <w:tc>
          <w:tcPr>
            <w:tcW w:w="4320" w:type="dxa"/>
            <w:tcBorders>
              <w:top w:val="single" w:color="auto" w:sz="4" w:space="0"/>
              <w:bottom w:val="single" w:color="auto" w:sz="4" w:space="0"/>
            </w:tcBorders>
            <w:noWrap w:val="0"/>
            <w:vAlign w:val="center"/>
          </w:tcPr>
          <w:p w14:paraId="43395061">
            <w:pPr>
              <w:spacing w:line="360" w:lineRule="auto"/>
              <w:rPr>
                <w:rFonts w:hint="default" w:ascii="Times New Roman" w:hAnsi="Times New Roman" w:cs="Times New Roman"/>
                <w:b/>
                <w:color w:val="auto"/>
                <w:sz w:val="18"/>
                <w:szCs w:val="18"/>
                <w:highlight w:val="none"/>
              </w:rPr>
            </w:pPr>
          </w:p>
        </w:tc>
        <w:tc>
          <w:tcPr>
            <w:tcW w:w="1080" w:type="dxa"/>
            <w:tcBorders>
              <w:top w:val="single" w:color="auto" w:sz="4" w:space="0"/>
              <w:bottom w:val="single" w:color="auto" w:sz="4" w:space="0"/>
            </w:tcBorders>
            <w:noWrap w:val="0"/>
            <w:vAlign w:val="center"/>
          </w:tcPr>
          <w:p w14:paraId="063F1CCD">
            <w:pPr>
              <w:snapToGrid w:val="0"/>
              <w:spacing w:line="600" w:lineRule="atLeast"/>
              <w:ind w:firstLine="118" w:firstLineChars="49"/>
              <w:rPr>
                <w:rFonts w:hint="default" w:ascii="Times New Roman" w:hAnsi="Times New Roman" w:cs="Times New Roman"/>
                <w:b/>
                <w:color w:val="auto"/>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006AA914">
            <w:pPr>
              <w:snapToGrid w:val="0"/>
              <w:spacing w:line="600" w:lineRule="atLeast"/>
              <w:ind w:firstLine="118" w:firstLineChars="49"/>
              <w:rPr>
                <w:rFonts w:hint="default" w:ascii="Times New Roman" w:hAnsi="Times New Roman" w:cs="Times New Roman"/>
                <w:b/>
                <w:color w:val="auto"/>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3CAD6D3B">
            <w:pPr>
              <w:spacing w:line="360" w:lineRule="auto"/>
              <w:rPr>
                <w:rFonts w:hint="default" w:ascii="Times New Roman" w:hAnsi="Times New Roman" w:cs="Times New Roman"/>
                <w:color w:val="auto"/>
                <w:highlight w:val="none"/>
              </w:rPr>
            </w:pPr>
          </w:p>
        </w:tc>
      </w:tr>
      <w:tr w14:paraId="21F285D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19586BF2">
            <w:pPr>
              <w:snapToGrid w:val="0"/>
              <w:spacing w:line="600" w:lineRule="atLeast"/>
              <w:rPr>
                <w:rFonts w:hint="default" w:ascii="Times New Roman" w:hAnsi="Times New Roman" w:cs="Times New Roman"/>
                <w:b/>
                <w:color w:val="auto"/>
                <w:kern w:val="0"/>
                <w:sz w:val="24"/>
                <w:highlight w:val="none"/>
              </w:rPr>
            </w:pPr>
            <w:r>
              <w:rPr>
                <w:rFonts w:hint="default" w:ascii="Times New Roman" w:hAnsi="Times New Roman" w:cs="Times New Roman"/>
                <w:b/>
                <w:color w:val="auto"/>
                <w:kern w:val="0"/>
                <w:sz w:val="24"/>
                <w:highlight w:val="none"/>
              </w:rPr>
              <w:t>3</w:t>
            </w:r>
          </w:p>
        </w:tc>
        <w:tc>
          <w:tcPr>
            <w:tcW w:w="1260" w:type="dxa"/>
            <w:tcBorders>
              <w:top w:val="single" w:color="auto" w:sz="4" w:space="0"/>
              <w:bottom w:val="single" w:color="auto" w:sz="4" w:space="0"/>
            </w:tcBorders>
            <w:noWrap w:val="0"/>
            <w:vAlign w:val="center"/>
          </w:tcPr>
          <w:p w14:paraId="332D6D8C">
            <w:pPr>
              <w:snapToGrid w:val="0"/>
              <w:spacing w:line="600" w:lineRule="atLeast"/>
              <w:jc w:val="center"/>
              <w:rPr>
                <w:rFonts w:hint="default" w:ascii="Times New Roman" w:hAnsi="Times New Roman" w:cs="Times New Roman"/>
                <w:color w:val="auto"/>
                <w:highlight w:val="none"/>
              </w:rPr>
            </w:pPr>
          </w:p>
        </w:tc>
        <w:tc>
          <w:tcPr>
            <w:tcW w:w="4320" w:type="dxa"/>
            <w:tcBorders>
              <w:top w:val="single" w:color="auto" w:sz="4" w:space="0"/>
              <w:bottom w:val="single" w:color="auto" w:sz="4" w:space="0"/>
            </w:tcBorders>
            <w:noWrap w:val="0"/>
            <w:vAlign w:val="center"/>
          </w:tcPr>
          <w:p w14:paraId="795F9226">
            <w:pPr>
              <w:spacing w:line="360" w:lineRule="auto"/>
              <w:rPr>
                <w:rFonts w:hint="default" w:ascii="Times New Roman" w:hAnsi="Times New Roman" w:cs="Times New Roman"/>
                <w:b/>
                <w:color w:val="auto"/>
                <w:sz w:val="18"/>
                <w:szCs w:val="18"/>
                <w:highlight w:val="none"/>
              </w:rPr>
            </w:pPr>
          </w:p>
        </w:tc>
        <w:tc>
          <w:tcPr>
            <w:tcW w:w="1080" w:type="dxa"/>
            <w:tcBorders>
              <w:top w:val="single" w:color="auto" w:sz="4" w:space="0"/>
              <w:bottom w:val="single" w:color="auto" w:sz="4" w:space="0"/>
            </w:tcBorders>
            <w:noWrap w:val="0"/>
            <w:vAlign w:val="center"/>
          </w:tcPr>
          <w:p w14:paraId="08ABB62F">
            <w:pPr>
              <w:snapToGrid w:val="0"/>
              <w:spacing w:line="600" w:lineRule="atLeast"/>
              <w:ind w:firstLine="118" w:firstLineChars="49"/>
              <w:rPr>
                <w:rFonts w:hint="default" w:ascii="Times New Roman" w:hAnsi="Times New Roman" w:cs="Times New Roman"/>
                <w:b/>
                <w:color w:val="auto"/>
                <w:kern w:val="0"/>
                <w:sz w:val="24"/>
                <w:highlight w:val="none"/>
              </w:rPr>
            </w:pPr>
          </w:p>
        </w:tc>
        <w:tc>
          <w:tcPr>
            <w:tcW w:w="1080" w:type="dxa"/>
            <w:tcBorders>
              <w:top w:val="single" w:color="auto" w:sz="4" w:space="0"/>
              <w:bottom w:val="single" w:color="auto" w:sz="4" w:space="0"/>
              <w:right w:val="single" w:color="auto" w:sz="4" w:space="0"/>
            </w:tcBorders>
            <w:noWrap w:val="0"/>
            <w:vAlign w:val="center"/>
          </w:tcPr>
          <w:p w14:paraId="3935299A">
            <w:pPr>
              <w:snapToGrid w:val="0"/>
              <w:spacing w:line="600" w:lineRule="atLeast"/>
              <w:ind w:firstLine="118" w:firstLineChars="49"/>
              <w:rPr>
                <w:rFonts w:hint="default" w:ascii="Times New Roman" w:hAnsi="Times New Roman" w:cs="Times New Roman"/>
                <w:b/>
                <w:color w:val="auto"/>
                <w:kern w:val="0"/>
                <w:sz w:val="24"/>
                <w:highlight w:val="none"/>
              </w:rPr>
            </w:pPr>
          </w:p>
        </w:tc>
        <w:tc>
          <w:tcPr>
            <w:tcW w:w="1260" w:type="dxa"/>
            <w:tcBorders>
              <w:top w:val="single" w:color="auto" w:sz="4" w:space="0"/>
              <w:bottom w:val="single" w:color="auto" w:sz="4" w:space="0"/>
              <w:right w:val="single" w:color="auto" w:sz="4" w:space="0"/>
            </w:tcBorders>
            <w:noWrap w:val="0"/>
            <w:vAlign w:val="center"/>
          </w:tcPr>
          <w:p w14:paraId="546D25FA">
            <w:pPr>
              <w:spacing w:line="360" w:lineRule="auto"/>
              <w:rPr>
                <w:rFonts w:hint="default" w:ascii="Times New Roman" w:hAnsi="Times New Roman" w:cs="Times New Roman"/>
                <w:color w:val="auto"/>
                <w:highlight w:val="none"/>
              </w:rPr>
            </w:pPr>
          </w:p>
        </w:tc>
      </w:tr>
      <w:tr w14:paraId="731543F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33E6B217">
            <w:pPr>
              <w:rPr>
                <w:rFonts w:hint="default" w:ascii="Times New Roman" w:hAnsi="Times New Roman" w:cs="Times New Roman"/>
                <w:color w:val="auto"/>
                <w:highlight w:val="none"/>
              </w:rPr>
            </w:pPr>
            <w:r>
              <w:rPr>
                <w:rFonts w:hint="default" w:ascii="Times New Roman" w:hAnsi="Times New Roman" w:cs="Times New Roman"/>
                <w:b/>
                <w:color w:val="auto"/>
                <w:sz w:val="18"/>
                <w:szCs w:val="18"/>
                <w:highlight w:val="none"/>
              </w:rPr>
              <w:t xml:space="preserve">总价（人民币大写）：                                     </w:t>
            </w:r>
            <w:r>
              <w:rPr>
                <w:rFonts w:hint="default" w:ascii="Times New Roman" w:hAnsi="Times New Roman" w:cs="Times New Roman"/>
                <w:color w:val="auto"/>
                <w:highlight w:val="none"/>
              </w:rPr>
              <w:t>合计（小写）：        元</w:t>
            </w:r>
          </w:p>
          <w:p w14:paraId="08E4C244">
            <w:pPr>
              <w:rPr>
                <w:rFonts w:hint="default" w:ascii="Times New Roman" w:hAnsi="Times New Roman" w:cs="Times New Roman"/>
                <w:color w:val="auto"/>
                <w:highlight w:val="none"/>
              </w:rPr>
            </w:pPr>
            <w:r>
              <w:rPr>
                <w:rFonts w:hint="default" w:ascii="Times New Roman" w:hAnsi="Times New Roman" w:cs="Times New Roman"/>
                <w:color w:val="auto"/>
                <w:sz w:val="18"/>
                <w:highlight w:val="none"/>
              </w:rPr>
              <w:t>本合同总价款是货物设计、制造、包装、仓储、运输、安装及验收合格之前以及</w:t>
            </w:r>
            <w:r>
              <w:rPr>
                <w:rFonts w:hint="default" w:ascii="Times New Roman" w:hAnsi="Times New Roman" w:cs="Times New Roman"/>
                <w:color w:val="auto"/>
                <w:sz w:val="18"/>
                <w:highlight w:val="none"/>
                <w:lang w:val="en-US" w:eastAsia="zh-CN"/>
              </w:rPr>
              <w:t>质保</w:t>
            </w:r>
            <w:r>
              <w:rPr>
                <w:rFonts w:hint="default" w:ascii="Times New Roman" w:hAnsi="Times New Roman" w:cs="Times New Roman"/>
                <w:color w:val="auto"/>
                <w:sz w:val="18"/>
                <w:highlight w:val="none"/>
              </w:rPr>
              <w:t>期内备品备件发生的所有含税费用。本合同总价款还包含乙方应当提供的伴随服务/售后服务费用。</w:t>
            </w:r>
          </w:p>
        </w:tc>
      </w:tr>
    </w:tbl>
    <w:p w14:paraId="4DB15E3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二、交货时间：</w:t>
      </w:r>
      <w:r>
        <w:rPr>
          <w:rFonts w:hint="default" w:ascii="Times New Roman" w:hAnsi="Times New Roman" w:cs="Times New Roman"/>
          <w:color w:val="auto"/>
          <w:sz w:val="24"/>
          <w:highlight w:val="none"/>
          <w:u w:val="single"/>
        </w:rPr>
        <w:t xml:space="preserve"> 在甲方指定时间供货。</w:t>
      </w:r>
    </w:p>
    <w:p w14:paraId="5B16ECA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三、交货地点：由乙方负责运输至</w:t>
      </w:r>
      <w:r>
        <w:rPr>
          <w:rFonts w:hint="default" w:ascii="Times New Roman" w:hAnsi="Times New Roman" w:cs="Times New Roman"/>
          <w:color w:val="auto"/>
          <w:sz w:val="24"/>
          <w:szCs w:val="24"/>
          <w:highlight w:val="none"/>
          <w:u w:val="single"/>
        </w:rPr>
        <w:t>甲方指定地点。</w:t>
      </w:r>
    </w:p>
    <w:p w14:paraId="7E72445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四、合同定价方式</w:t>
      </w:r>
      <w:r>
        <w:rPr>
          <w:rFonts w:hint="default" w:ascii="Times New Roman" w:hAnsi="Times New Roman" w:cs="Times New Roman"/>
          <w:color w:val="auto"/>
          <w:sz w:val="24"/>
          <w:szCs w:val="24"/>
          <w:highlight w:val="none"/>
          <w:lang w:val="en-US" w:eastAsia="zh-CN"/>
        </w:rPr>
        <w:t>及</w:t>
      </w:r>
      <w:r>
        <w:rPr>
          <w:rFonts w:hint="default" w:ascii="Times New Roman" w:hAnsi="Times New Roman" w:cs="Times New Roman"/>
          <w:color w:val="auto"/>
          <w:sz w:val="24"/>
          <w:szCs w:val="24"/>
          <w:highlight w:val="none"/>
        </w:rPr>
        <w:t>付款方式</w:t>
      </w:r>
    </w:p>
    <w:p w14:paraId="606A848F">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合同定价方式：</w:t>
      </w:r>
    </w:p>
    <w:p w14:paraId="25844C30">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iCs/>
          <w:color w:val="auto"/>
          <w:sz w:val="24"/>
          <w:szCs w:val="24"/>
          <w:highlight w:val="none"/>
        </w:rPr>
        <w:sym w:font="Wingdings" w:char="00A8"/>
      </w:r>
      <w:r>
        <w:rPr>
          <w:rFonts w:hint="default" w:ascii="Times New Roman" w:hAnsi="Times New Roman" w:cs="Times New Roman"/>
          <w:iCs/>
          <w:color w:val="auto"/>
          <w:sz w:val="24"/>
          <w:szCs w:val="24"/>
          <w:highlight w:val="none"/>
        </w:rPr>
        <w:t>固定总价</w:t>
      </w:r>
      <w:r>
        <w:rPr>
          <w:rFonts w:hint="default" w:ascii="Times New Roman" w:hAnsi="Times New Roman" w:cs="Times New Roman"/>
          <w:iCs/>
          <w:color w:val="auto"/>
          <w:sz w:val="24"/>
          <w:szCs w:val="24"/>
          <w:highlight w:val="none"/>
          <w:lang w:val="en-US" w:eastAsia="zh-CN"/>
        </w:rPr>
        <w:t xml:space="preserve">    </w:t>
      </w:r>
      <w:r>
        <w:rPr>
          <w:rFonts w:hint="default" w:ascii="Times New Roman" w:hAnsi="Times New Roman" w:cs="Times New Roman"/>
          <w:iCs/>
          <w:color w:val="auto"/>
          <w:sz w:val="24"/>
          <w:szCs w:val="24"/>
          <w:highlight w:val="none"/>
        </w:rPr>
        <w:t xml:space="preserve"> </w:t>
      </w:r>
      <w:r>
        <w:rPr>
          <w:rFonts w:hint="default" w:ascii="Times New Roman" w:hAnsi="Times New Roman" w:cs="Times New Roman"/>
          <w:iCs/>
          <w:color w:val="auto"/>
          <w:sz w:val="24"/>
          <w:szCs w:val="24"/>
          <w:highlight w:val="none"/>
        </w:rPr>
        <w:sym w:font="Wingdings" w:char="00A8"/>
      </w:r>
      <w:r>
        <w:rPr>
          <w:rFonts w:hint="default" w:ascii="Times New Roman" w:hAnsi="Times New Roman" w:cs="Times New Roman"/>
          <w:iCs/>
          <w:color w:val="auto"/>
          <w:sz w:val="24"/>
          <w:szCs w:val="24"/>
          <w:highlight w:val="none"/>
        </w:rPr>
        <w:t>固定单价</w:t>
      </w:r>
      <w:r>
        <w:rPr>
          <w:rFonts w:hint="default" w:ascii="Times New Roman" w:hAnsi="Times New Roman" w:cs="Times New Roman"/>
          <w:iCs/>
          <w:color w:val="auto"/>
          <w:sz w:val="24"/>
          <w:szCs w:val="24"/>
          <w:highlight w:val="none"/>
          <w:lang w:val="en-US" w:eastAsia="zh-CN"/>
        </w:rPr>
        <w:t xml:space="preserve">    </w:t>
      </w:r>
      <w:r>
        <w:rPr>
          <w:rFonts w:hint="default" w:ascii="Times New Roman" w:hAnsi="Times New Roman" w:cs="Times New Roman"/>
          <w:iCs/>
          <w:color w:val="auto"/>
          <w:sz w:val="24"/>
          <w:szCs w:val="24"/>
          <w:highlight w:val="none"/>
        </w:rPr>
        <w:sym w:font="Wingdings" w:char="00A8"/>
      </w:r>
      <w:r>
        <w:rPr>
          <w:rFonts w:hint="default" w:ascii="Times New Roman" w:hAnsi="Times New Roman" w:cs="Times New Roman"/>
          <w:iCs/>
          <w:color w:val="auto"/>
          <w:sz w:val="24"/>
          <w:szCs w:val="24"/>
          <w:highlight w:val="none"/>
          <w:lang w:eastAsia="zh-CN"/>
        </w:rPr>
        <w:t>固定费率</w:t>
      </w:r>
      <w:r>
        <w:rPr>
          <w:rFonts w:hint="default" w:ascii="Times New Roman" w:hAnsi="Times New Roman" w:cs="Times New Roman"/>
          <w:iCs/>
          <w:color w:val="auto"/>
          <w:sz w:val="24"/>
          <w:szCs w:val="24"/>
          <w:highlight w:val="none"/>
          <w:lang w:val="en-US" w:eastAsia="zh-CN"/>
        </w:rPr>
        <w:t xml:space="preserve">    </w:t>
      </w:r>
      <w:r>
        <w:rPr>
          <w:rFonts w:hint="default" w:ascii="Times New Roman" w:hAnsi="Times New Roman" w:cs="Times New Roman"/>
          <w:iCs/>
          <w:color w:val="auto"/>
          <w:sz w:val="24"/>
          <w:szCs w:val="24"/>
          <w:highlight w:val="none"/>
        </w:rPr>
        <w:sym w:font="Wingdings" w:char="00A8"/>
      </w:r>
      <w:r>
        <w:rPr>
          <w:rFonts w:hint="default" w:ascii="Times New Roman" w:hAnsi="Times New Roman" w:cs="Times New Roman"/>
          <w:iCs/>
          <w:color w:val="auto"/>
          <w:sz w:val="24"/>
          <w:szCs w:val="24"/>
          <w:highlight w:val="none"/>
          <w:lang w:eastAsia="zh-CN"/>
        </w:rPr>
        <w:t>其他</w:t>
      </w:r>
      <w:r>
        <w:rPr>
          <w:rFonts w:hint="default" w:ascii="Times New Roman" w:hAnsi="Times New Roman" w:cs="Times New Roman"/>
          <w:color w:val="auto"/>
          <w:sz w:val="24"/>
          <w:szCs w:val="24"/>
          <w:highlight w:val="none"/>
          <w:u w:val="single"/>
        </w:rPr>
        <w:t xml:space="preserve">       </w:t>
      </w:r>
    </w:p>
    <w:p w14:paraId="3527B041">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付款方式</w:t>
      </w:r>
      <w:r>
        <w:rPr>
          <w:rFonts w:hint="eastAsia" w:ascii="Times New Roman" w:hAnsi="Times New Roman" w:cs="Times New Roman"/>
          <w:color w:val="auto"/>
          <w:sz w:val="24"/>
          <w:szCs w:val="24"/>
          <w:highlight w:val="none"/>
          <w:lang w:val="en-US" w:eastAsia="zh-CN"/>
        </w:rPr>
        <w:t>：</w:t>
      </w:r>
    </w:p>
    <w:p w14:paraId="5C229605">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color w:val="auto"/>
          <w:sz w:val="24"/>
          <w:szCs w:val="24"/>
          <w:highlight w:val="none"/>
          <w:u w:val="none"/>
        </w:rPr>
      </w:pPr>
      <w:r>
        <w:rPr>
          <w:rFonts w:hint="default" w:ascii="Times New Roman" w:hAnsi="Times New Roman" w:cs="Times New Roman"/>
          <w:color w:val="auto"/>
          <w:sz w:val="24"/>
          <w:szCs w:val="24"/>
          <w:highlight w:val="none"/>
        </w:rPr>
        <w:sym w:font="Wingdings" w:char="00A8"/>
      </w:r>
      <w:r>
        <w:rPr>
          <w:rFonts w:hint="default" w:ascii="Times New Roman" w:hAnsi="Times New Roman" w:cs="Times New Roman"/>
          <w:color w:val="auto"/>
          <w:sz w:val="24"/>
          <w:szCs w:val="24"/>
          <w:highlight w:val="none"/>
          <w:lang w:val="en-US" w:eastAsia="zh-CN"/>
        </w:rPr>
        <w:t>预付款</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none"/>
        </w:rPr>
        <w:t xml:space="preserve"> </w:t>
      </w:r>
      <w:r>
        <w:rPr>
          <w:rFonts w:hint="default" w:ascii="Times New Roman" w:hAnsi="Times New Roman" w:cs="Times New Roman"/>
          <w:color w:val="auto"/>
          <w:sz w:val="24"/>
          <w:szCs w:val="24"/>
          <w:highlight w:val="none"/>
          <w:u w:val="none"/>
          <w:lang w:val="en-US" w:eastAsia="zh-CN"/>
        </w:rPr>
        <w:t>合同签订后</w:t>
      </w:r>
      <w:r>
        <w:rPr>
          <w:rFonts w:hint="default" w:ascii="Times New Roman" w:hAnsi="Times New Roman" w:cs="Times New Roman"/>
          <w:color w:val="auto"/>
          <w:sz w:val="24"/>
          <w:szCs w:val="24"/>
          <w:highlight w:val="none"/>
        </w:rPr>
        <w:t>_______</w:t>
      </w:r>
      <w:r>
        <w:rPr>
          <w:rFonts w:hint="default" w:ascii="Times New Roman" w:hAnsi="Times New Roman" w:cs="Times New Roman"/>
          <w:color w:val="auto"/>
          <w:sz w:val="24"/>
          <w:szCs w:val="24"/>
          <w:highlight w:val="none"/>
          <w:lang w:val="en-US" w:eastAsia="zh-CN"/>
        </w:rPr>
        <w:t>个</w:t>
      </w:r>
      <w:r>
        <w:rPr>
          <w:rFonts w:hint="default" w:ascii="Times New Roman" w:hAnsi="Times New Roman" w:cs="Times New Roman"/>
          <w:color w:val="auto"/>
          <w:sz w:val="24"/>
          <w:szCs w:val="24"/>
          <w:highlight w:val="none"/>
          <w:u w:val="none"/>
          <w:lang w:val="en-US" w:eastAsia="zh-CN"/>
        </w:rPr>
        <w:t>工作日内支付合同金额的</w:t>
      </w:r>
      <w:r>
        <w:rPr>
          <w:rFonts w:hint="default" w:ascii="Times New Roman" w:hAnsi="Times New Roman" w:cs="Times New Roman"/>
          <w:color w:val="auto"/>
          <w:sz w:val="24"/>
          <w:szCs w:val="24"/>
          <w:highlight w:val="none"/>
        </w:rPr>
        <w:t>_______</w:t>
      </w:r>
      <w:r>
        <w:rPr>
          <w:rFonts w:hint="default" w:ascii="Times New Roman" w:hAnsi="Times New Roman" w:cs="Times New Roman"/>
          <w:color w:val="auto"/>
          <w:sz w:val="24"/>
          <w:szCs w:val="24"/>
          <w:highlight w:val="none"/>
          <w:u w:val="none"/>
          <w:lang w:val="en-US" w:eastAsia="zh-CN"/>
        </w:rPr>
        <w:t xml:space="preserve"> %</w:t>
      </w:r>
      <w:r>
        <w:rPr>
          <w:rFonts w:hint="default" w:ascii="Times New Roman" w:hAnsi="Times New Roman" w:cs="Times New Roman"/>
          <w:color w:val="auto"/>
          <w:sz w:val="24"/>
          <w:szCs w:val="24"/>
          <w:highlight w:val="none"/>
          <w:u w:val="none"/>
        </w:rPr>
        <w:t xml:space="preserve"> （</w:t>
      </w:r>
      <w:r>
        <w:rPr>
          <w:rFonts w:hint="default" w:ascii="Times New Roman" w:hAnsi="Times New Roman" w:cs="Times New Roman"/>
          <w:color w:val="auto"/>
          <w:sz w:val="24"/>
          <w:szCs w:val="24"/>
          <w:highlight w:val="none"/>
          <w:u w:val="none"/>
          <w:lang w:val="en-US" w:eastAsia="zh-CN"/>
        </w:rPr>
        <w:t>有预付款的勾选并填写本项</w:t>
      </w:r>
      <w:r>
        <w:rPr>
          <w:rFonts w:hint="default" w:ascii="Times New Roman" w:hAnsi="Times New Roman" w:cs="Times New Roman"/>
          <w:color w:val="auto"/>
          <w:sz w:val="24"/>
          <w:szCs w:val="24"/>
          <w:highlight w:val="none"/>
          <w:u w:val="none"/>
        </w:rPr>
        <w:t>）</w:t>
      </w:r>
      <w:r>
        <w:rPr>
          <w:rFonts w:hint="default" w:ascii="Times New Roman" w:hAnsi="Times New Roman" w:cs="Times New Roman"/>
          <w:color w:val="auto"/>
          <w:sz w:val="24"/>
          <w:szCs w:val="24"/>
          <w:highlight w:val="none"/>
          <w:u w:val="none"/>
          <w:lang w:eastAsia="zh-CN"/>
        </w:rPr>
        <w:t>；</w:t>
      </w:r>
    </w:p>
    <w:p w14:paraId="76B2E284">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color w:val="auto"/>
          <w:sz w:val="24"/>
          <w:szCs w:val="24"/>
          <w:highlight w:val="none"/>
          <w:u w:val="none"/>
          <w:lang w:eastAsia="zh-CN"/>
        </w:rPr>
      </w:pPr>
      <w:r>
        <w:rPr>
          <w:rFonts w:hint="default" w:ascii="Times New Roman" w:hAnsi="Times New Roman" w:cs="Times New Roman"/>
          <w:color w:val="auto"/>
          <w:sz w:val="24"/>
          <w:szCs w:val="24"/>
          <w:highlight w:val="none"/>
        </w:rPr>
        <w:sym w:font="Wingdings" w:char="00A8"/>
      </w:r>
      <w:r>
        <w:rPr>
          <w:rFonts w:hint="default" w:ascii="Times New Roman" w:hAnsi="Times New Roman" w:cs="Times New Roman"/>
          <w:color w:val="auto"/>
          <w:sz w:val="24"/>
          <w:szCs w:val="24"/>
          <w:highlight w:val="none"/>
          <w:lang w:val="en-US" w:eastAsia="zh-CN"/>
        </w:rPr>
        <w:t>进度款</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none"/>
        </w:rPr>
        <w:t xml:space="preserve"> </w:t>
      </w:r>
      <w:r>
        <w:rPr>
          <w:rFonts w:hint="default" w:ascii="Times New Roman" w:hAnsi="Times New Roman" w:cs="Times New Roman"/>
          <w:color w:val="auto"/>
          <w:sz w:val="24"/>
          <w:szCs w:val="24"/>
          <w:highlight w:val="none"/>
        </w:rPr>
        <w:t>________________________________________________________</w:t>
      </w:r>
      <w:r>
        <w:rPr>
          <w:rFonts w:hint="default" w:ascii="Times New Roman" w:hAnsi="Times New Roman" w:cs="Times New Roman"/>
          <w:color w:val="auto"/>
          <w:sz w:val="24"/>
          <w:szCs w:val="24"/>
          <w:highlight w:val="none"/>
          <w:u w:val="none"/>
          <w:lang w:val="en-US" w:eastAsia="zh-CN"/>
        </w:rPr>
        <w:t>支付合同金额的</w:t>
      </w:r>
      <w:r>
        <w:rPr>
          <w:rFonts w:hint="default" w:ascii="Times New Roman" w:hAnsi="Times New Roman" w:cs="Times New Roman"/>
          <w:color w:val="auto"/>
          <w:sz w:val="24"/>
          <w:szCs w:val="24"/>
          <w:highlight w:val="none"/>
        </w:rPr>
        <w:t>_______</w:t>
      </w:r>
      <w:r>
        <w:rPr>
          <w:rFonts w:hint="default" w:ascii="Times New Roman" w:hAnsi="Times New Roman" w:cs="Times New Roman"/>
          <w:color w:val="auto"/>
          <w:sz w:val="24"/>
          <w:szCs w:val="24"/>
          <w:highlight w:val="none"/>
          <w:u w:val="none"/>
          <w:lang w:val="en-US" w:eastAsia="zh-CN"/>
        </w:rPr>
        <w:t xml:space="preserve"> %</w:t>
      </w:r>
      <w:r>
        <w:rPr>
          <w:rFonts w:hint="default" w:ascii="Times New Roman" w:hAnsi="Times New Roman" w:cs="Times New Roman"/>
          <w:color w:val="auto"/>
          <w:sz w:val="24"/>
          <w:szCs w:val="24"/>
          <w:highlight w:val="none"/>
          <w:u w:val="none"/>
        </w:rPr>
        <w:t xml:space="preserve"> （</w:t>
      </w:r>
      <w:r>
        <w:rPr>
          <w:rFonts w:hint="default" w:ascii="Times New Roman" w:hAnsi="Times New Roman" w:cs="Times New Roman"/>
          <w:color w:val="auto"/>
          <w:sz w:val="24"/>
          <w:szCs w:val="24"/>
          <w:highlight w:val="none"/>
          <w:u w:val="none"/>
          <w:lang w:val="en-US" w:eastAsia="zh-CN"/>
        </w:rPr>
        <w:t>分期支付进度款的勾选并填写本项，</w:t>
      </w:r>
      <w:r>
        <w:rPr>
          <w:rFonts w:hint="default" w:ascii="Times New Roman" w:hAnsi="Times New Roman" w:cs="Times New Roman"/>
          <w:color w:val="auto"/>
          <w:sz w:val="24"/>
          <w:szCs w:val="24"/>
          <w:highlight w:val="none"/>
          <w:u w:val="none"/>
        </w:rPr>
        <w:t>应明确分期支付合同款项的各期比例和支付条件</w:t>
      </w:r>
      <w:r>
        <w:rPr>
          <w:rFonts w:hint="default" w:ascii="Times New Roman" w:hAnsi="Times New Roman" w:cs="Times New Roman"/>
          <w:color w:val="auto"/>
          <w:sz w:val="24"/>
          <w:szCs w:val="24"/>
          <w:highlight w:val="none"/>
          <w:u w:val="none"/>
          <w:lang w:eastAsia="zh-CN"/>
        </w:rPr>
        <w:t>，各期支付条件应与履约情况挂钩</w:t>
      </w:r>
      <w:r>
        <w:rPr>
          <w:rFonts w:hint="default" w:ascii="Times New Roman" w:hAnsi="Times New Roman" w:cs="Times New Roman"/>
          <w:color w:val="auto"/>
          <w:sz w:val="24"/>
          <w:szCs w:val="24"/>
          <w:highlight w:val="none"/>
          <w:u w:val="none"/>
        </w:rPr>
        <w:t>）</w:t>
      </w:r>
      <w:r>
        <w:rPr>
          <w:rFonts w:hint="default" w:ascii="Times New Roman" w:hAnsi="Times New Roman" w:cs="Times New Roman"/>
          <w:color w:val="auto"/>
          <w:sz w:val="24"/>
          <w:szCs w:val="24"/>
          <w:highlight w:val="none"/>
          <w:u w:val="none"/>
          <w:lang w:eastAsia="zh-CN"/>
        </w:rPr>
        <w:t>；</w:t>
      </w:r>
    </w:p>
    <w:p w14:paraId="5436B047">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w:char="00FE"/>
      </w:r>
      <w:r>
        <w:rPr>
          <w:rFonts w:hint="default" w:ascii="Times New Roman" w:hAnsi="Times New Roman" w:cs="Times New Roman"/>
          <w:color w:val="auto"/>
          <w:sz w:val="24"/>
          <w:szCs w:val="24"/>
          <w:highlight w:val="none"/>
        </w:rPr>
        <w:t>验收合格后</w:t>
      </w:r>
      <w:r>
        <w:rPr>
          <w:rFonts w:hint="eastAsia" w:ascii="Times New Roman" w:hAnsi="Times New Roman" w:cs="Times New Roman"/>
          <w:color w:val="auto"/>
          <w:sz w:val="24"/>
          <w:szCs w:val="24"/>
          <w:highlight w:val="none"/>
          <w:lang w:val="en-US" w:eastAsia="zh-CN"/>
        </w:rPr>
        <w:t>30</w:t>
      </w:r>
      <w:r>
        <w:rPr>
          <w:rFonts w:hint="default" w:ascii="Times New Roman" w:hAnsi="Times New Roman" w:cs="Times New Roman"/>
          <w:color w:val="auto"/>
          <w:sz w:val="24"/>
          <w:szCs w:val="24"/>
          <w:highlight w:val="none"/>
        </w:rPr>
        <w:t>个工作日内支付合同总价的_______%</w:t>
      </w:r>
      <w:r>
        <w:rPr>
          <w:rFonts w:hint="default" w:ascii="Times New Roman" w:hAnsi="Times New Roman" w:cs="Times New Roman"/>
          <w:color w:val="auto"/>
          <w:sz w:val="24"/>
          <w:szCs w:val="24"/>
          <w:highlight w:val="none"/>
          <w:lang w:eastAsia="zh-CN"/>
        </w:rPr>
        <w:t>（支付条件应与验收情况挂钩）；</w:t>
      </w:r>
    </w:p>
    <w:p w14:paraId="30134B3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w:char="00A8"/>
      </w:r>
      <w:r>
        <w:rPr>
          <w:rFonts w:hint="default" w:ascii="Times New Roman" w:hAnsi="Times New Roman" w:cs="Times New Roman"/>
          <w:color w:val="auto"/>
          <w:sz w:val="24"/>
          <w:szCs w:val="24"/>
          <w:highlight w:val="none"/>
          <w:lang w:val="en-US" w:eastAsia="zh-CN"/>
        </w:rPr>
        <w:t>其他</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none"/>
        </w:rPr>
        <w:t xml:space="preserve"> </w:t>
      </w:r>
      <w:r>
        <w:rPr>
          <w:rFonts w:hint="default" w:ascii="Times New Roman" w:hAnsi="Times New Roman" w:cs="Times New Roman"/>
          <w:color w:val="auto"/>
          <w:sz w:val="24"/>
          <w:szCs w:val="24"/>
          <w:highlight w:val="none"/>
        </w:rPr>
        <w:t>________________________________________________________。</w:t>
      </w:r>
    </w:p>
    <w:p w14:paraId="5FE2A01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付款金额</w:t>
      </w:r>
      <w:r>
        <w:rPr>
          <w:rFonts w:hint="default" w:ascii="Times New Roman" w:hAnsi="Times New Roman" w:cs="Times New Roman"/>
          <w:color w:val="auto"/>
          <w:sz w:val="24"/>
          <w:szCs w:val="24"/>
          <w:highlight w:val="none"/>
          <w:lang w:val="en-US" w:eastAsia="zh-CN"/>
        </w:rPr>
        <w:t>均</w:t>
      </w:r>
      <w:r>
        <w:rPr>
          <w:rFonts w:hint="default" w:ascii="Times New Roman" w:hAnsi="Times New Roman" w:cs="Times New Roman"/>
          <w:color w:val="auto"/>
          <w:sz w:val="24"/>
          <w:szCs w:val="24"/>
          <w:highlight w:val="none"/>
        </w:rPr>
        <w:t>不计利息。</w:t>
      </w:r>
    </w:p>
    <w:p w14:paraId="5A8B15B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五、质保期：_______(自验收合格之日起计。</w:t>
      </w:r>
      <w:r>
        <w:rPr>
          <w:rFonts w:hint="default" w:ascii="Times New Roman" w:hAnsi="Times New Roman" w:eastAsia="宋体" w:cs="Times New Roman"/>
          <w:color w:val="auto"/>
          <w:kern w:val="2"/>
          <w:sz w:val="24"/>
          <w:szCs w:val="24"/>
          <w:highlight w:val="none"/>
          <w:lang w:val="en-US" w:eastAsia="zh-CN" w:bidi="ar-SA"/>
        </w:rPr>
        <w:t>在质量保证期内所发现的缺陷，</w:t>
      </w:r>
      <w:r>
        <w:rPr>
          <w:rFonts w:hint="eastAsia" w:ascii="Times New Roman" w:hAnsi="Times New Roman" w:eastAsia="宋体" w:cs="Times New Roman"/>
          <w:color w:val="auto"/>
          <w:kern w:val="2"/>
          <w:sz w:val="24"/>
          <w:szCs w:val="24"/>
          <w:highlight w:val="none"/>
          <w:lang w:val="en-US" w:eastAsia="zh-CN" w:bidi="ar-SA"/>
        </w:rPr>
        <w:t>乙方</w:t>
      </w:r>
      <w:r>
        <w:rPr>
          <w:rFonts w:hint="default" w:ascii="Times New Roman" w:hAnsi="Times New Roman" w:eastAsia="宋体" w:cs="Times New Roman"/>
          <w:color w:val="auto"/>
          <w:kern w:val="2"/>
          <w:sz w:val="24"/>
          <w:szCs w:val="24"/>
          <w:highlight w:val="none"/>
          <w:lang w:val="en-US" w:eastAsia="zh-CN" w:bidi="ar-SA"/>
        </w:rPr>
        <w:t>应在</w:t>
      </w:r>
      <w:r>
        <w:rPr>
          <w:rFonts w:hint="eastAsia" w:ascii="Times New Roman" w:hAnsi="Times New Roman" w:eastAsia="宋体" w:cs="Times New Roman"/>
          <w:color w:val="auto"/>
          <w:kern w:val="2"/>
          <w:sz w:val="24"/>
          <w:szCs w:val="24"/>
          <w:highlight w:val="none"/>
          <w:lang w:val="en-US" w:eastAsia="zh-CN" w:bidi="ar-SA"/>
        </w:rPr>
        <w:t>约定</w:t>
      </w:r>
      <w:r>
        <w:rPr>
          <w:rFonts w:hint="default" w:ascii="Times New Roman" w:hAnsi="Times New Roman" w:eastAsia="宋体" w:cs="Times New Roman"/>
          <w:color w:val="auto"/>
          <w:kern w:val="2"/>
          <w:sz w:val="24"/>
          <w:szCs w:val="24"/>
          <w:highlight w:val="none"/>
          <w:lang w:val="en-US" w:eastAsia="zh-CN" w:bidi="ar-SA"/>
        </w:rPr>
        <w:t>的响应时间内以合理的速度免费维修或更换有缺陷的货物或部件</w:t>
      </w:r>
      <w:r>
        <w:rPr>
          <w:rFonts w:hint="default" w:ascii="Times New Roman" w:hAnsi="Times New Roman" w:cs="Times New Roman"/>
          <w:color w:val="auto"/>
          <w:sz w:val="24"/>
          <w:highlight w:val="none"/>
        </w:rPr>
        <w:t>。)</w:t>
      </w:r>
    </w:p>
    <w:p w14:paraId="7FB7CBC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六、质量要求、技术标准、乙方对质量负责的条件和期限：</w:t>
      </w:r>
    </w:p>
    <w:p w14:paraId="796DCC1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乙方所提供的货物，若技术性能无特殊说明，则按生产企业或国家有关部门最新颁布的标准及规范为准。</w:t>
      </w:r>
    </w:p>
    <w:p w14:paraId="34853E8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E122C9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color w:val="auto"/>
          <w:sz w:val="24"/>
          <w:highlight w:val="none"/>
          <w:lang w:val="en-US" w:eastAsia="zh-CN"/>
        </w:rPr>
        <w:t>采购</w:t>
      </w:r>
      <w:r>
        <w:rPr>
          <w:rFonts w:hint="default" w:ascii="Times New Roman" w:hAnsi="Times New Roman" w:cs="Times New Roman"/>
          <w:color w:val="auto"/>
          <w:sz w:val="24"/>
          <w:highlight w:val="none"/>
        </w:rPr>
        <w:t>文件及</w:t>
      </w:r>
      <w:r>
        <w:rPr>
          <w:rFonts w:hint="default" w:ascii="Times New Roman" w:hAnsi="Times New Roman" w:cs="Times New Roman"/>
          <w:color w:val="auto"/>
          <w:sz w:val="24"/>
          <w:highlight w:val="none"/>
          <w:lang w:val="en-US" w:eastAsia="zh-CN"/>
        </w:rPr>
        <w:t>响应文件</w:t>
      </w:r>
      <w:r>
        <w:rPr>
          <w:rFonts w:hint="default" w:ascii="Times New Roman" w:hAnsi="Times New Roman" w:cs="Times New Roman"/>
          <w:color w:val="auto"/>
          <w:sz w:val="24"/>
          <w:highlight w:val="none"/>
        </w:rPr>
        <w:t>所述标准。所提供货物的装箱清单、用户手册、原厂保修卡、随机资料及配件、随机工具等是否齐全。验收时乙方必须在现场，逾期未到场且未书面提出合理异议的，视为认可甲方的单方验收结果。</w:t>
      </w:r>
    </w:p>
    <w:p w14:paraId="1D30014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八、工程部分（两万元</w:t>
      </w:r>
      <w:r>
        <w:rPr>
          <w:rFonts w:hint="eastAsia" w:ascii="Times New Roman" w:hAnsi="Times New Roman" w:cs="Times New Roman"/>
          <w:color w:val="auto"/>
          <w:sz w:val="24"/>
          <w:highlight w:val="none"/>
          <w:lang w:val="en-US" w:eastAsia="zh-CN"/>
        </w:rPr>
        <w:t>及</w:t>
      </w:r>
      <w:r>
        <w:rPr>
          <w:rFonts w:hint="default" w:ascii="Times New Roman" w:hAnsi="Times New Roman" w:cs="Times New Roman"/>
          <w:color w:val="auto"/>
          <w:sz w:val="24"/>
          <w:highlight w:val="none"/>
        </w:rPr>
        <w:t>以上）需按南京邮电大学审计相关规定执行。</w:t>
      </w:r>
    </w:p>
    <w:p w14:paraId="7BFD0E9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九、本</w:t>
      </w:r>
      <w:r>
        <w:rPr>
          <w:rFonts w:hint="eastAsia" w:ascii="Times New Roman" w:hAnsi="Times New Roman" w:cs="Times New Roman"/>
          <w:color w:val="auto"/>
          <w:sz w:val="24"/>
          <w:highlight w:val="none"/>
          <w:lang w:val="en-US" w:eastAsia="zh-CN"/>
        </w:rPr>
        <w:t>合同</w:t>
      </w:r>
      <w:r>
        <w:rPr>
          <w:rFonts w:hint="default" w:ascii="Times New Roman" w:hAnsi="Times New Roman" w:cs="Times New Roman"/>
          <w:color w:val="auto"/>
          <w:sz w:val="24"/>
          <w:highlight w:val="none"/>
        </w:rPr>
        <w:t>与下列文件一起构成合同文件，如下述文件之间有任何抵触、矛盾或歧义，应按以下顺序解释：</w:t>
      </w:r>
    </w:p>
    <w:p w14:paraId="5BEAEDD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1.本合同</w:t>
      </w:r>
      <w:r>
        <w:rPr>
          <w:rFonts w:hint="default" w:ascii="Times New Roman" w:hAnsi="Times New Roman" w:cs="Times New Roman"/>
          <w:color w:val="auto"/>
          <w:sz w:val="24"/>
          <w:highlight w:val="none"/>
        </w:rPr>
        <w:t>及其变更、补充协议</w:t>
      </w:r>
    </w:p>
    <w:p w14:paraId="0E6817D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2.</w:t>
      </w:r>
      <w:r>
        <w:rPr>
          <w:rFonts w:hint="default" w:ascii="Times New Roman" w:hAnsi="Times New Roman" w:cs="Times New Roman"/>
          <w:color w:val="auto"/>
          <w:sz w:val="24"/>
          <w:highlight w:val="none"/>
        </w:rPr>
        <w:t>中标（成交）通知书</w:t>
      </w:r>
    </w:p>
    <w:p w14:paraId="555F202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3.</w:t>
      </w:r>
      <w:r>
        <w:rPr>
          <w:rFonts w:hint="default" w:ascii="Times New Roman" w:hAnsi="Times New Roman" w:cs="Times New Roman"/>
          <w:color w:val="auto"/>
          <w:sz w:val="24"/>
          <w:highlight w:val="none"/>
        </w:rPr>
        <w:t>投标（响应）文件</w:t>
      </w:r>
    </w:p>
    <w:p w14:paraId="042822F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4.</w:t>
      </w:r>
      <w:r>
        <w:rPr>
          <w:rFonts w:hint="default" w:ascii="Times New Roman" w:hAnsi="Times New Roman" w:cs="Times New Roman"/>
          <w:color w:val="auto"/>
          <w:sz w:val="24"/>
          <w:highlight w:val="none"/>
        </w:rPr>
        <w:t>采购文件</w:t>
      </w:r>
    </w:p>
    <w:p w14:paraId="7484E53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有关技术文件，图纸</w:t>
      </w:r>
    </w:p>
    <w:p w14:paraId="22FD8D2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国家法律、行政法规和规章制度规定或合同约定的作为合同组成部分的其他文件</w:t>
      </w:r>
    </w:p>
    <w:p w14:paraId="177AFBA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十、违约责任</w:t>
      </w:r>
    </w:p>
    <w:p w14:paraId="6D3EA0F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甲方无正当理由拒收货物、拒付货物款的，由甲方向乙方偿付合同总价的</w:t>
      </w:r>
      <w:r>
        <w:rPr>
          <w:rFonts w:hint="default" w:ascii="Times New Roman" w:hAnsi="Times New Roman" w:cs="Times New Roman"/>
          <w:color w:val="auto"/>
          <w:sz w:val="24"/>
          <w:highlight w:val="none"/>
          <w:lang w:val="en-US" w:eastAsia="zh-CN"/>
        </w:rPr>
        <w:t>10</w:t>
      </w:r>
      <w:r>
        <w:rPr>
          <w:rFonts w:hint="default" w:ascii="Times New Roman" w:hAnsi="Times New Roman" w:cs="Times New Roman"/>
          <w:color w:val="auto"/>
          <w:sz w:val="24"/>
          <w:highlight w:val="none"/>
        </w:rPr>
        <w:t>%违约金。如乙方不能交付货物，乙方应向甲方支付合同总价</w:t>
      </w:r>
      <w:r>
        <w:rPr>
          <w:rFonts w:hint="default" w:ascii="Times New Roman" w:hAnsi="Times New Roman" w:cs="Times New Roman"/>
          <w:color w:val="auto"/>
          <w:sz w:val="24"/>
          <w:highlight w:val="none"/>
          <w:lang w:val="en-US" w:eastAsia="zh-CN"/>
        </w:rPr>
        <w:t>10</w:t>
      </w:r>
      <w:r>
        <w:rPr>
          <w:rFonts w:hint="default" w:ascii="Times New Roman" w:hAnsi="Times New Roman" w:cs="Times New Roman"/>
          <w:color w:val="auto"/>
          <w:sz w:val="24"/>
          <w:highlight w:val="none"/>
        </w:rPr>
        <w:t>％的违约金。若该违约金不足以弥补甲方损失的，乙方还应予以赔偿。</w:t>
      </w:r>
    </w:p>
    <w:p w14:paraId="0A19C91D">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乙方逾期交付货物的，乙方应按逾期交货总额每日</w:t>
      </w:r>
      <w:r>
        <w:rPr>
          <w:rFonts w:hint="eastAsia" w:ascii="Times New Roman" w:hAnsi="Times New Roman" w:cs="Times New Roman"/>
          <w:color w:val="auto"/>
          <w:sz w:val="24"/>
          <w:highlight w:val="none"/>
          <w:u w:val="single"/>
          <w:lang w:val="en-US" w:eastAsia="zh-CN"/>
        </w:rPr>
        <w:t xml:space="preserve">   5</w:t>
      </w:r>
      <w:r>
        <w:rPr>
          <w:rFonts w:hint="default" w:ascii="Times New Roman" w:hAnsi="Times New Roman" w:cs="Times New Roman"/>
          <w:color w:val="auto"/>
          <w:sz w:val="24"/>
          <w:highlight w:val="none"/>
          <w:u w:val="single"/>
        </w:rPr>
        <w:t>‰</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color w:val="auto"/>
          <w:sz w:val="24"/>
          <w:highlight w:val="none"/>
          <w:lang w:val="en-US" w:eastAsia="zh-CN"/>
        </w:rPr>
        <w:t>10</w:t>
      </w:r>
      <w:r>
        <w:rPr>
          <w:rFonts w:hint="default" w:ascii="Times New Roman" w:hAnsi="Times New Roman" w:cs="Times New Roman"/>
          <w:color w:val="auto"/>
          <w:sz w:val="24"/>
          <w:highlight w:val="none"/>
        </w:rPr>
        <w:t xml:space="preserve">%的违约金，如造成甲方损失超过违约金的，超出部分由乙方继续承担赔偿责任。 </w:t>
      </w:r>
    </w:p>
    <w:p w14:paraId="24FD5226">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乙方所交的货物品种、型号、规格、技术参数、质量不符合合同规定及</w:t>
      </w:r>
      <w:r>
        <w:rPr>
          <w:rFonts w:hint="eastAsia" w:ascii="Times New Roman" w:hAnsi="Times New Roman" w:cs="Times New Roman"/>
          <w:color w:val="auto"/>
          <w:sz w:val="24"/>
          <w:highlight w:val="none"/>
          <w:lang w:val="en-US" w:eastAsia="zh-CN"/>
        </w:rPr>
        <w:t>采购</w:t>
      </w:r>
      <w:r>
        <w:rPr>
          <w:rFonts w:hint="default" w:ascii="Times New Roman" w:hAnsi="Times New Roman" w:cs="Times New Roman"/>
          <w:color w:val="auto"/>
          <w:sz w:val="24"/>
          <w:highlight w:val="none"/>
        </w:rPr>
        <w:t>文件</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响应文件</w:t>
      </w:r>
      <w:r>
        <w:rPr>
          <w:rFonts w:hint="default" w:ascii="Times New Roman" w:hAnsi="Times New Roman" w:cs="Times New Roman"/>
          <w:color w:val="auto"/>
          <w:sz w:val="24"/>
          <w:highlight w:val="none"/>
        </w:rPr>
        <w:t>标准的，甲方有权拒收该货物，乙方愿意更换货物但逾期交货的，按乙方逾期交货处理。乙方拒绝更换货物的，甲方可单方面解除合同。</w:t>
      </w:r>
    </w:p>
    <w:p w14:paraId="1FF50EE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4206430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十一、 合同的变更和终止</w:t>
      </w:r>
    </w:p>
    <w:p w14:paraId="1FD5C49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依据</w:t>
      </w:r>
      <w:r>
        <w:rPr>
          <w:rFonts w:hint="default" w:ascii="Times New Roman" w:hAnsi="Times New Roman" w:cs="Times New Roman"/>
          <w:color w:val="auto"/>
          <w:sz w:val="24"/>
          <w:highlight w:val="none"/>
        </w:rPr>
        <w:t>《政府采购法》第</w:t>
      </w:r>
      <w:r>
        <w:rPr>
          <w:rFonts w:hint="default" w:ascii="Times New Roman" w:hAnsi="Times New Roman" w:cs="Times New Roman"/>
          <w:color w:val="auto"/>
          <w:sz w:val="24"/>
          <w:highlight w:val="none"/>
          <w:lang w:val="en-US" w:eastAsia="zh-CN"/>
        </w:rPr>
        <w:t>五十</w:t>
      </w:r>
      <w:r>
        <w:rPr>
          <w:rFonts w:hint="default" w:ascii="Times New Roman" w:hAnsi="Times New Roman" w:cs="Times New Roman"/>
          <w:color w:val="auto"/>
          <w:sz w:val="24"/>
          <w:highlight w:val="none"/>
        </w:rPr>
        <w:t>条</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rPr>
        <w:t>本合同一经签订，甲乙双方不得擅自变更、中止或终止合同。</w:t>
      </w:r>
      <w:r>
        <w:rPr>
          <w:rFonts w:hint="default" w:ascii="Times New Roman" w:hAnsi="Times New Roman" w:cs="Times New Roman"/>
          <w:color w:val="auto"/>
          <w:sz w:val="24"/>
          <w:highlight w:val="none"/>
          <w:lang w:val="en-US" w:eastAsia="zh-CN"/>
        </w:rPr>
        <w:t>特殊情况</w:t>
      </w:r>
      <w:r>
        <w:rPr>
          <w:rFonts w:hint="default" w:ascii="Times New Roman" w:hAnsi="Times New Roman" w:cs="Times New Roman"/>
          <w:color w:val="auto"/>
          <w:sz w:val="24"/>
          <w:highlight w:val="none"/>
        </w:rPr>
        <w:t>确需变更</w:t>
      </w:r>
      <w:r>
        <w:rPr>
          <w:rFonts w:hint="default" w:ascii="Times New Roman" w:hAnsi="Times New Roman" w:cs="Times New Roman"/>
          <w:color w:val="auto"/>
          <w:sz w:val="24"/>
          <w:highlight w:val="none"/>
          <w:lang w:val="en-US" w:eastAsia="zh-CN"/>
        </w:rPr>
        <w:t>且符合规定情形的</w:t>
      </w:r>
      <w:r>
        <w:rPr>
          <w:rFonts w:hint="default" w:ascii="Times New Roman" w:hAnsi="Times New Roman" w:cs="Times New Roman"/>
          <w:color w:val="auto"/>
          <w:sz w:val="24"/>
          <w:highlight w:val="none"/>
        </w:rPr>
        <w:t>，应由甲乙双方协商一致，并签订书面补充协议。</w:t>
      </w:r>
    </w:p>
    <w:p w14:paraId="2F47669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十二、合同的转让</w:t>
      </w:r>
    </w:p>
    <w:p w14:paraId="0F5595D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乙方不得擅自部分或全部转让其应履行的合同义务。</w:t>
      </w:r>
    </w:p>
    <w:p w14:paraId="6375C3F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十三、 争议的解决</w:t>
      </w:r>
    </w:p>
    <w:p w14:paraId="2225604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4A4D54B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因履行本合同引起的或与本合同有关的争议，甲、乙双方应首先通过友好协商解决，如果协商不能解决争议，任何一方均可向甲方所在地人民法院起诉解决。</w:t>
      </w:r>
    </w:p>
    <w:p w14:paraId="3FF632D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十四、付款前乙方须提供</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u w:val="single"/>
        </w:rPr>
        <w:t>增值税</w:t>
      </w:r>
      <w:r>
        <w:rPr>
          <w:rFonts w:hint="eastAsia" w:ascii="Times New Roman" w:hAnsi="Times New Roman" w:cs="Times New Roman"/>
          <w:color w:val="auto"/>
          <w:sz w:val="24"/>
          <w:highlight w:val="none"/>
          <w:u w:val="single"/>
          <w:lang w:val="en-US" w:eastAsia="zh-CN"/>
        </w:rPr>
        <w:t>专用</w:t>
      </w:r>
      <w:r>
        <w:rPr>
          <w:rFonts w:hint="default" w:ascii="Times New Roman" w:hAnsi="Times New Roman" w:cs="Times New Roman"/>
          <w:color w:val="auto"/>
          <w:sz w:val="24"/>
          <w:highlight w:val="none"/>
          <w:u w:val="single"/>
        </w:rPr>
        <w:t>发票</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，总价不变。</w:t>
      </w:r>
    </w:p>
    <w:p w14:paraId="5A396D8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十五、本合同由甲、乙双方共同签订，合同一式</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份，甲方</w:t>
      </w:r>
      <w:r>
        <w:rPr>
          <w:rFonts w:hint="eastAsia" w:ascii="Times New Roman" w:hAnsi="Times New Roman" w:cs="Times New Roman"/>
          <w:color w:val="auto"/>
          <w:sz w:val="24"/>
          <w:highlight w:val="none"/>
          <w:u w:val="single"/>
          <w:lang w:val="en-US" w:eastAsia="zh-CN"/>
        </w:rPr>
        <w:t xml:space="preserve">    三   </w:t>
      </w:r>
      <w:r>
        <w:rPr>
          <w:rFonts w:hint="default" w:ascii="Times New Roman" w:hAnsi="Times New Roman" w:cs="Times New Roman"/>
          <w:color w:val="auto"/>
          <w:sz w:val="24"/>
          <w:highlight w:val="none"/>
        </w:rPr>
        <w:t>份、乙方</w:t>
      </w:r>
      <w:r>
        <w:rPr>
          <w:rFonts w:hint="eastAsia"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份。自双方签字、盖章之日起生效。</w:t>
      </w:r>
    </w:p>
    <w:p w14:paraId="2EBBEFAC">
      <w:pPr>
        <w:widowControl/>
        <w:snapToGrid w:val="0"/>
        <w:spacing w:before="19" w:line="360" w:lineRule="auto"/>
        <w:ind w:firstLine="360" w:firstLineChars="200"/>
        <w:rPr>
          <w:rFonts w:hint="default" w:ascii="Times New Roman" w:hAnsi="Times New Roman" w:cs="Times New Roman"/>
          <w:color w:val="auto"/>
          <w:sz w:val="18"/>
          <w:highlight w:val="none"/>
        </w:rPr>
      </w:pPr>
    </w:p>
    <w:p w14:paraId="5CAC1F15">
      <w:pPr>
        <w:widowControl/>
        <w:snapToGrid w:val="0"/>
        <w:spacing w:before="19" w:line="360" w:lineRule="auto"/>
        <w:ind w:firstLine="360" w:firstLineChars="200"/>
        <w:rPr>
          <w:rFonts w:hint="default" w:ascii="Times New Roman" w:hAnsi="Times New Roman" w:cs="Times New Roman"/>
          <w:color w:val="auto"/>
          <w:sz w:val="18"/>
          <w:highlight w:val="none"/>
        </w:rPr>
      </w:pPr>
    </w:p>
    <w:p w14:paraId="0A36FC01">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甲方                                               乙方</w:t>
      </w:r>
    </w:p>
    <w:p w14:paraId="68985B9D">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单位名称：南京邮电大学                             单位名称：</w:t>
      </w:r>
    </w:p>
    <w:p w14:paraId="52243669">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单位地址：                                         单位地址：</w:t>
      </w:r>
    </w:p>
    <w:p w14:paraId="39646F24">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法定代表人：                                       法定代表人：</w:t>
      </w:r>
    </w:p>
    <w:p w14:paraId="58F84AFC">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委托代理人（签字）：                                委托代理人（签字）：</w:t>
      </w:r>
    </w:p>
    <w:p w14:paraId="68E44477">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 xml:space="preserve">联系电话：                                         联系电话：                                            </w:t>
      </w:r>
    </w:p>
    <w:p w14:paraId="5678A1C8">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开户银行：</w:t>
      </w:r>
      <w:r>
        <w:rPr>
          <w:rFonts w:hint="default" w:ascii="Times New Roman" w:hAnsi="Times New Roman" w:cs="Times New Roman"/>
          <w:color w:val="auto"/>
          <w:sz w:val="18"/>
          <w:highlight w:val="none"/>
          <w:lang w:val="en-US" w:eastAsia="zh-CN"/>
        </w:rPr>
        <w:t xml:space="preserve">                    </w:t>
      </w:r>
      <w:r>
        <w:rPr>
          <w:rFonts w:hint="default" w:ascii="Times New Roman" w:hAnsi="Times New Roman" w:cs="Times New Roman"/>
          <w:color w:val="auto"/>
          <w:sz w:val="18"/>
          <w:highlight w:val="none"/>
        </w:rPr>
        <w:t xml:space="preserve">                     开户银行： </w:t>
      </w:r>
    </w:p>
    <w:p w14:paraId="27311D7F">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 xml:space="preserve">户名： 南京邮电大学                                户名： </w:t>
      </w:r>
    </w:p>
    <w:p w14:paraId="009BF547">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 xml:space="preserve">                                                   账号： </w:t>
      </w:r>
    </w:p>
    <w:p w14:paraId="4E6A8DCA">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 xml:space="preserve">                                                   行号：  </w:t>
      </w:r>
    </w:p>
    <w:p w14:paraId="0A6F55D4">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地址、电话：南京市栖霞区文苑路9 号　025-85866388    项目联系人：</w:t>
      </w:r>
    </w:p>
    <w:p w14:paraId="3CD32211">
      <w:pPr>
        <w:widowControl/>
        <w:snapToGrid w:val="0"/>
        <w:spacing w:before="19" w:line="360" w:lineRule="auto"/>
        <w:ind w:firstLine="360" w:firstLineChars="200"/>
        <w:rPr>
          <w:rFonts w:hint="default" w:ascii="Times New Roman" w:hAnsi="Times New Roman" w:cs="Times New Roman"/>
          <w:color w:val="auto"/>
          <w:sz w:val="18"/>
          <w:highlight w:val="none"/>
        </w:rPr>
      </w:pPr>
      <w:r>
        <w:rPr>
          <w:rFonts w:hint="default" w:ascii="Times New Roman" w:hAnsi="Times New Roman" w:cs="Times New Roman"/>
          <w:color w:val="auto"/>
          <w:sz w:val="18"/>
          <w:highlight w:val="none"/>
        </w:rPr>
        <w:t>签约日期（即合同生效日期）：    年     月     日       联系电话：</w:t>
      </w:r>
    </w:p>
    <w:p w14:paraId="40A4712C">
      <w:pPr>
        <w:pStyle w:val="263"/>
        <w:rPr>
          <w:rFonts w:ascii="宋体" w:hAnsi="宋体" w:eastAsia="宋体" w:cs="宋体"/>
          <w:color w:val="auto"/>
          <w:highlight w:val="none"/>
        </w:rPr>
      </w:pPr>
    </w:p>
    <w:p w14:paraId="4AE3BBA1">
      <w:pPr>
        <w:rPr>
          <w:rFonts w:ascii="宋体" w:hAnsi="宋体" w:cs="宋体"/>
          <w:color w:val="auto"/>
          <w:highlight w:val="none"/>
        </w:rPr>
      </w:pPr>
    </w:p>
    <w:p w14:paraId="0A554D7B">
      <w:pPr>
        <w:rPr>
          <w:rFonts w:ascii="宋体" w:hAnsi="宋体" w:cs="宋体"/>
          <w:color w:val="auto"/>
          <w:highlight w:val="none"/>
        </w:rPr>
      </w:pPr>
    </w:p>
    <w:p w14:paraId="67040B52">
      <w:pPr>
        <w:rPr>
          <w:rFonts w:ascii="宋体" w:hAnsi="宋体" w:cs="宋体"/>
          <w:color w:val="auto"/>
          <w:highlight w:val="none"/>
        </w:rPr>
      </w:pPr>
    </w:p>
    <w:p w14:paraId="1319C08B">
      <w:pPr>
        <w:rPr>
          <w:rFonts w:ascii="宋体" w:hAnsi="宋体" w:cs="宋体"/>
          <w:color w:val="auto"/>
          <w:highlight w:val="none"/>
        </w:rPr>
      </w:pPr>
    </w:p>
    <w:p w14:paraId="2111D2D1">
      <w:pPr>
        <w:rPr>
          <w:rFonts w:ascii="宋体" w:hAnsi="宋体" w:cs="宋体"/>
          <w:color w:val="auto"/>
          <w:highlight w:val="none"/>
        </w:rPr>
      </w:pPr>
    </w:p>
    <w:p w14:paraId="49B30227">
      <w:pPr>
        <w:rPr>
          <w:rFonts w:ascii="宋体" w:hAnsi="宋体" w:cs="宋体"/>
          <w:color w:val="auto"/>
          <w:highlight w:val="none"/>
        </w:rPr>
      </w:pPr>
    </w:p>
    <w:p w14:paraId="4B9C44E3">
      <w:pPr>
        <w:rPr>
          <w:rFonts w:ascii="宋体" w:hAnsi="宋体" w:cs="宋体"/>
          <w:color w:val="auto"/>
          <w:highlight w:val="none"/>
        </w:rPr>
      </w:pPr>
    </w:p>
    <w:p w14:paraId="0AC0B2AB">
      <w:pPr>
        <w:rPr>
          <w:rFonts w:ascii="宋体" w:hAnsi="宋体" w:cs="宋体"/>
          <w:color w:val="auto"/>
          <w:highlight w:val="none"/>
        </w:rPr>
      </w:pPr>
    </w:p>
    <w:p w14:paraId="0C24C80D">
      <w:pPr>
        <w:rPr>
          <w:rFonts w:ascii="宋体" w:hAnsi="宋体" w:cs="宋体"/>
          <w:color w:val="auto"/>
          <w:highlight w:val="none"/>
        </w:rPr>
      </w:pPr>
    </w:p>
    <w:p w14:paraId="478CC2E1">
      <w:pPr>
        <w:rPr>
          <w:rFonts w:ascii="宋体" w:hAnsi="宋体" w:cs="宋体"/>
          <w:color w:val="auto"/>
          <w:highlight w:val="none"/>
        </w:rPr>
      </w:pPr>
    </w:p>
    <w:p w14:paraId="73741425">
      <w:pPr>
        <w:rPr>
          <w:rFonts w:ascii="宋体" w:hAnsi="宋体" w:cs="宋体"/>
          <w:color w:val="auto"/>
          <w:highlight w:val="none"/>
        </w:rPr>
      </w:pPr>
    </w:p>
    <w:p w14:paraId="0BCC80BA">
      <w:pPr>
        <w:rPr>
          <w:rFonts w:ascii="宋体" w:hAnsi="宋体" w:cs="宋体"/>
          <w:color w:val="auto"/>
          <w:highlight w:val="none"/>
        </w:rPr>
      </w:pPr>
    </w:p>
    <w:p w14:paraId="43AB1BF1">
      <w:pPr>
        <w:rPr>
          <w:rFonts w:ascii="宋体" w:hAnsi="宋体" w:cs="宋体"/>
          <w:color w:val="auto"/>
          <w:highlight w:val="none"/>
        </w:rPr>
      </w:pPr>
    </w:p>
    <w:p w14:paraId="12056CC2">
      <w:pPr>
        <w:rPr>
          <w:rFonts w:ascii="宋体" w:hAnsi="宋体" w:cs="宋体"/>
          <w:color w:val="auto"/>
          <w:highlight w:val="none"/>
        </w:rPr>
      </w:pPr>
    </w:p>
    <w:p w14:paraId="176D7071">
      <w:pPr>
        <w:rPr>
          <w:rFonts w:ascii="宋体" w:hAnsi="宋体" w:cs="宋体"/>
          <w:color w:val="auto"/>
          <w:highlight w:val="none"/>
        </w:rPr>
      </w:pPr>
    </w:p>
    <w:p w14:paraId="49B693CA">
      <w:pPr>
        <w:jc w:val="center"/>
        <w:outlineLvl w:val="0"/>
        <w:rPr>
          <w:rFonts w:ascii="宋体" w:hAnsi="宋体" w:cs="宋体"/>
          <w:b/>
          <w:color w:val="auto"/>
          <w:sz w:val="36"/>
          <w:highlight w:val="none"/>
        </w:rPr>
      </w:pPr>
      <w:r>
        <w:rPr>
          <w:rFonts w:hint="eastAsia" w:ascii="宋体" w:hAnsi="宋体" w:cs="宋体"/>
          <w:b/>
          <w:color w:val="auto"/>
          <w:sz w:val="36"/>
          <w:highlight w:val="none"/>
        </w:rPr>
        <w:t>第六章  响应文件格式及附件</w:t>
      </w:r>
    </w:p>
    <w:p w14:paraId="5BE476A7">
      <w:pPr>
        <w:jc w:val="center"/>
        <w:rPr>
          <w:rFonts w:ascii="宋体" w:hAnsi="宋体" w:cs="宋体"/>
          <w:b/>
          <w:color w:val="auto"/>
          <w:sz w:val="72"/>
          <w:highlight w:val="none"/>
        </w:rPr>
      </w:pPr>
    </w:p>
    <w:p w14:paraId="0B03D7C1">
      <w:pPr>
        <w:jc w:val="center"/>
        <w:rPr>
          <w:rFonts w:ascii="宋体" w:hAnsi="宋体" w:cs="宋体"/>
          <w:b/>
          <w:color w:val="auto"/>
          <w:sz w:val="72"/>
          <w:highlight w:val="none"/>
        </w:rPr>
      </w:pPr>
    </w:p>
    <w:p w14:paraId="440FA4B0">
      <w:pPr>
        <w:jc w:val="center"/>
        <w:rPr>
          <w:rFonts w:ascii="宋体" w:hAnsi="宋体" w:cs="宋体"/>
          <w:b/>
          <w:color w:val="auto"/>
          <w:sz w:val="72"/>
          <w:highlight w:val="none"/>
        </w:rPr>
      </w:pPr>
    </w:p>
    <w:p w14:paraId="1ED1935B">
      <w:pPr>
        <w:jc w:val="center"/>
        <w:rPr>
          <w:rFonts w:ascii="宋体" w:hAnsi="宋体" w:cs="宋体"/>
          <w:b/>
          <w:color w:val="auto"/>
          <w:sz w:val="72"/>
          <w:highlight w:val="none"/>
        </w:rPr>
      </w:pPr>
    </w:p>
    <w:p w14:paraId="7147A327">
      <w:pPr>
        <w:jc w:val="center"/>
        <w:rPr>
          <w:rFonts w:ascii="宋体" w:hAnsi="宋体" w:cs="宋体"/>
          <w:b/>
          <w:color w:val="auto"/>
          <w:sz w:val="72"/>
          <w:szCs w:val="72"/>
          <w:highlight w:val="none"/>
        </w:rPr>
      </w:pPr>
      <w:r>
        <w:rPr>
          <w:rFonts w:hint="eastAsia" w:ascii="宋体" w:hAnsi="宋体" w:cs="宋体"/>
          <w:b/>
          <w:color w:val="auto"/>
          <w:sz w:val="72"/>
          <w:szCs w:val="72"/>
          <w:highlight w:val="none"/>
        </w:rPr>
        <w:t>响应文件</w:t>
      </w:r>
    </w:p>
    <w:p w14:paraId="6D2EC78F">
      <w:pPr>
        <w:ind w:firstLine="2472" w:firstLineChars="1026"/>
        <w:rPr>
          <w:rFonts w:ascii="宋体" w:hAnsi="宋体" w:cs="宋体"/>
          <w:b/>
          <w:color w:val="auto"/>
          <w:sz w:val="24"/>
          <w:highlight w:val="none"/>
        </w:rPr>
      </w:pPr>
    </w:p>
    <w:p w14:paraId="62CB6FF4">
      <w:pPr>
        <w:jc w:val="center"/>
        <w:rPr>
          <w:rFonts w:ascii="宋体" w:hAnsi="宋体" w:cs="宋体"/>
          <w:b/>
          <w:color w:val="auto"/>
          <w:sz w:val="24"/>
          <w:highlight w:val="none"/>
        </w:rPr>
      </w:pPr>
    </w:p>
    <w:p w14:paraId="547CE8B3">
      <w:pPr>
        <w:jc w:val="center"/>
        <w:rPr>
          <w:rFonts w:ascii="宋体" w:hAnsi="宋体" w:cs="宋体"/>
          <w:b/>
          <w:color w:val="auto"/>
          <w:sz w:val="24"/>
          <w:highlight w:val="none"/>
        </w:rPr>
      </w:pPr>
    </w:p>
    <w:p w14:paraId="6BD7F4A8">
      <w:pPr>
        <w:jc w:val="center"/>
        <w:rPr>
          <w:rFonts w:ascii="宋体" w:hAnsi="宋体" w:cs="宋体"/>
          <w:b/>
          <w:color w:val="auto"/>
          <w:sz w:val="24"/>
          <w:highlight w:val="none"/>
        </w:rPr>
      </w:pPr>
    </w:p>
    <w:p w14:paraId="78085CE3">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6DD2C8D5">
      <w:pPr>
        <w:jc w:val="center"/>
        <w:rPr>
          <w:rFonts w:ascii="宋体" w:hAnsi="宋体" w:cs="宋体"/>
          <w:b/>
          <w:color w:val="auto"/>
          <w:sz w:val="24"/>
          <w:highlight w:val="none"/>
        </w:rPr>
      </w:pPr>
    </w:p>
    <w:p w14:paraId="28BA1AB6">
      <w:pPr>
        <w:jc w:val="center"/>
        <w:rPr>
          <w:rFonts w:ascii="宋体" w:hAnsi="宋体" w:cs="宋体"/>
          <w:b/>
          <w:color w:val="auto"/>
          <w:sz w:val="24"/>
          <w:highlight w:val="none"/>
        </w:rPr>
      </w:pPr>
    </w:p>
    <w:p w14:paraId="2396438A">
      <w:pPr>
        <w:jc w:val="center"/>
        <w:rPr>
          <w:rFonts w:ascii="宋体" w:hAnsi="宋体" w:cs="宋体"/>
          <w:b/>
          <w:color w:val="auto"/>
          <w:sz w:val="24"/>
          <w:highlight w:val="none"/>
        </w:rPr>
      </w:pPr>
    </w:p>
    <w:p w14:paraId="08263DAE">
      <w:pPr>
        <w:jc w:val="center"/>
        <w:rPr>
          <w:rFonts w:ascii="宋体" w:hAnsi="宋体" w:cs="宋体"/>
          <w:b/>
          <w:color w:val="auto"/>
          <w:sz w:val="24"/>
          <w:highlight w:val="none"/>
        </w:rPr>
      </w:pPr>
    </w:p>
    <w:p w14:paraId="2E3D92D4">
      <w:pPr>
        <w:jc w:val="center"/>
        <w:rPr>
          <w:rFonts w:ascii="宋体" w:hAnsi="宋体" w:cs="宋体"/>
          <w:b/>
          <w:color w:val="auto"/>
          <w:sz w:val="24"/>
          <w:highlight w:val="none"/>
        </w:rPr>
      </w:pPr>
    </w:p>
    <w:p w14:paraId="010A3FD2">
      <w:pPr>
        <w:jc w:val="center"/>
        <w:rPr>
          <w:rFonts w:ascii="宋体" w:hAnsi="宋体" w:cs="宋体"/>
          <w:b/>
          <w:color w:val="auto"/>
          <w:sz w:val="24"/>
          <w:highlight w:val="none"/>
        </w:rPr>
      </w:pPr>
    </w:p>
    <w:p w14:paraId="2D2F27CA">
      <w:pPr>
        <w:jc w:val="center"/>
        <w:rPr>
          <w:rFonts w:ascii="宋体" w:hAnsi="宋体" w:cs="宋体"/>
          <w:b/>
          <w:color w:val="auto"/>
          <w:sz w:val="24"/>
          <w:highlight w:val="none"/>
        </w:rPr>
      </w:pPr>
    </w:p>
    <w:p w14:paraId="63C22546">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项目编号：</w:t>
      </w:r>
    </w:p>
    <w:p w14:paraId="69F6EF73">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35FF7F23">
      <w:pPr>
        <w:rPr>
          <w:rFonts w:ascii="宋体" w:hAnsi="宋体" w:cs="宋体"/>
          <w:b/>
          <w:color w:val="auto"/>
          <w:sz w:val="28"/>
          <w:szCs w:val="28"/>
          <w:highlight w:val="none"/>
        </w:rPr>
      </w:pPr>
    </w:p>
    <w:p w14:paraId="6EB9D7FA">
      <w:pPr>
        <w:rPr>
          <w:rFonts w:ascii="宋体" w:hAnsi="宋体" w:cs="宋体"/>
          <w:b/>
          <w:color w:val="auto"/>
          <w:sz w:val="28"/>
          <w:szCs w:val="28"/>
          <w:highlight w:val="none"/>
        </w:rPr>
      </w:pPr>
    </w:p>
    <w:p w14:paraId="440B0B41">
      <w:pPr>
        <w:rPr>
          <w:rFonts w:ascii="宋体" w:hAnsi="宋体" w:cs="宋体"/>
          <w:b/>
          <w:color w:val="auto"/>
          <w:sz w:val="28"/>
          <w:szCs w:val="28"/>
          <w:highlight w:val="none"/>
        </w:rPr>
      </w:pPr>
    </w:p>
    <w:p w14:paraId="0E30CE62">
      <w:pPr>
        <w:rPr>
          <w:rFonts w:ascii="宋体" w:hAnsi="宋体" w:cs="宋体"/>
          <w:b/>
          <w:color w:val="auto"/>
          <w:sz w:val="28"/>
          <w:szCs w:val="28"/>
          <w:highlight w:val="none"/>
        </w:rPr>
      </w:pPr>
    </w:p>
    <w:p w14:paraId="1A236FF7">
      <w:pPr>
        <w:rPr>
          <w:rFonts w:ascii="宋体" w:hAnsi="宋体" w:cs="宋体"/>
          <w:b/>
          <w:color w:val="auto"/>
          <w:sz w:val="28"/>
          <w:szCs w:val="28"/>
          <w:highlight w:val="none"/>
        </w:rPr>
      </w:pPr>
    </w:p>
    <w:p w14:paraId="1B030D1D">
      <w:pPr>
        <w:rPr>
          <w:rFonts w:ascii="宋体" w:hAnsi="宋体" w:cs="宋体"/>
          <w:b/>
          <w:color w:val="auto"/>
          <w:sz w:val="28"/>
          <w:szCs w:val="28"/>
          <w:highlight w:val="none"/>
        </w:rPr>
      </w:pPr>
    </w:p>
    <w:p w14:paraId="2AE94DBB">
      <w:pPr>
        <w:rPr>
          <w:rFonts w:ascii="宋体" w:hAnsi="宋体" w:cs="宋体"/>
          <w:b/>
          <w:color w:val="auto"/>
          <w:sz w:val="28"/>
          <w:szCs w:val="28"/>
          <w:highlight w:val="none"/>
          <w:u w:val="single"/>
        </w:rPr>
      </w:pPr>
      <w:r>
        <w:rPr>
          <w:rFonts w:hint="eastAsia" w:ascii="宋体" w:hAnsi="宋体" w:cs="宋体"/>
          <w:b/>
          <w:color w:val="auto"/>
          <w:sz w:val="28"/>
          <w:szCs w:val="28"/>
          <w:highlight w:val="none"/>
        </w:rPr>
        <w:t>供应商名称：</w:t>
      </w:r>
    </w:p>
    <w:p w14:paraId="6BB1C815">
      <w:pPr>
        <w:rPr>
          <w:rFonts w:ascii="宋体" w:hAnsi="宋体" w:cs="宋体"/>
          <w:b/>
          <w:color w:val="auto"/>
          <w:sz w:val="28"/>
          <w:szCs w:val="28"/>
          <w:highlight w:val="none"/>
        </w:rPr>
      </w:pPr>
      <w:r>
        <w:rPr>
          <w:rFonts w:hint="eastAsia" w:ascii="宋体" w:hAnsi="宋体" w:cs="宋体"/>
          <w:b/>
          <w:color w:val="auto"/>
          <w:sz w:val="28"/>
          <w:szCs w:val="28"/>
          <w:highlight w:val="none"/>
        </w:rPr>
        <w:t>日期：</w:t>
      </w:r>
    </w:p>
    <w:p w14:paraId="4B673E8A">
      <w:pPr>
        <w:jc w:val="center"/>
        <w:rPr>
          <w:rFonts w:ascii="宋体" w:hAnsi="宋体" w:cs="宋体"/>
          <w:b/>
          <w:bCs/>
          <w:color w:val="auto"/>
          <w:sz w:val="24"/>
          <w:highlight w:val="none"/>
        </w:rPr>
      </w:pPr>
    </w:p>
    <w:p w14:paraId="6FB35711">
      <w:pPr>
        <w:jc w:val="center"/>
        <w:rPr>
          <w:rFonts w:ascii="宋体" w:hAnsi="宋体" w:cs="宋体"/>
          <w:b/>
          <w:color w:val="auto"/>
          <w:sz w:val="30"/>
          <w:szCs w:val="30"/>
          <w:highlight w:val="none"/>
        </w:rPr>
      </w:pPr>
      <w:r>
        <w:rPr>
          <w:rFonts w:hint="eastAsia" w:ascii="宋体" w:hAnsi="宋体" w:cs="宋体"/>
          <w:b/>
          <w:bCs/>
          <w:color w:val="auto"/>
          <w:sz w:val="36"/>
          <w:highlight w:val="none"/>
        </w:rPr>
        <w:br w:type="page"/>
      </w:r>
      <w:bookmarkStart w:id="6" w:name="_Toc405408732"/>
      <w:r>
        <w:rPr>
          <w:rFonts w:hint="eastAsia" w:ascii="宋体" w:hAnsi="宋体" w:cs="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3EE5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0EC161B">
            <w:pPr>
              <w:jc w:val="center"/>
              <w:rPr>
                <w:rFonts w:ascii="宋体" w:hAnsi="宋体" w:cs="宋体"/>
                <w:b/>
                <w:color w:val="auto"/>
                <w:highlight w:val="none"/>
              </w:rPr>
            </w:pPr>
            <w:r>
              <w:rPr>
                <w:rFonts w:hint="eastAsia" w:ascii="宋体" w:hAnsi="宋体" w:cs="宋体"/>
                <w:b/>
                <w:color w:val="auto"/>
                <w:highlight w:val="none"/>
              </w:rPr>
              <w:t>评分项目</w:t>
            </w:r>
          </w:p>
        </w:tc>
        <w:tc>
          <w:tcPr>
            <w:tcW w:w="1783" w:type="pct"/>
          </w:tcPr>
          <w:p w14:paraId="20FF7664">
            <w:pPr>
              <w:jc w:val="center"/>
              <w:rPr>
                <w:rFonts w:ascii="宋体" w:hAnsi="宋体" w:cs="宋体"/>
                <w:b/>
                <w:color w:val="auto"/>
                <w:highlight w:val="none"/>
              </w:rPr>
            </w:pPr>
            <w:r>
              <w:rPr>
                <w:rFonts w:hint="eastAsia" w:ascii="宋体" w:hAnsi="宋体" w:cs="宋体"/>
                <w:b/>
                <w:color w:val="auto"/>
                <w:highlight w:val="none"/>
              </w:rPr>
              <w:t>在响应文件中的页码位置</w:t>
            </w:r>
          </w:p>
        </w:tc>
      </w:tr>
      <w:tr w14:paraId="3589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82519CF">
            <w:pPr>
              <w:rPr>
                <w:rFonts w:ascii="宋体" w:hAnsi="宋体" w:cs="宋体"/>
                <w:b/>
                <w:color w:val="auto"/>
                <w:highlight w:val="none"/>
              </w:rPr>
            </w:pPr>
          </w:p>
        </w:tc>
        <w:tc>
          <w:tcPr>
            <w:tcW w:w="1783" w:type="pct"/>
          </w:tcPr>
          <w:p w14:paraId="06F16849">
            <w:pPr>
              <w:rPr>
                <w:rFonts w:ascii="宋体" w:hAnsi="宋体" w:cs="宋体"/>
                <w:b/>
                <w:color w:val="auto"/>
                <w:highlight w:val="none"/>
              </w:rPr>
            </w:pPr>
          </w:p>
        </w:tc>
      </w:tr>
      <w:tr w14:paraId="4645B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5C95C37">
            <w:pPr>
              <w:rPr>
                <w:rFonts w:ascii="宋体" w:hAnsi="宋体" w:cs="宋体"/>
                <w:b/>
                <w:color w:val="auto"/>
                <w:highlight w:val="none"/>
              </w:rPr>
            </w:pPr>
          </w:p>
        </w:tc>
      </w:tr>
      <w:tr w14:paraId="6308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6C6636D6">
            <w:pPr>
              <w:rPr>
                <w:rFonts w:ascii="宋体" w:hAnsi="宋体" w:cs="宋体"/>
                <w:b/>
                <w:color w:val="auto"/>
                <w:highlight w:val="none"/>
              </w:rPr>
            </w:pPr>
          </w:p>
        </w:tc>
        <w:tc>
          <w:tcPr>
            <w:tcW w:w="1783" w:type="pct"/>
          </w:tcPr>
          <w:p w14:paraId="4D21994A">
            <w:pPr>
              <w:rPr>
                <w:rFonts w:ascii="宋体" w:hAnsi="宋体" w:cs="宋体"/>
                <w:b/>
                <w:color w:val="auto"/>
                <w:highlight w:val="none"/>
              </w:rPr>
            </w:pPr>
          </w:p>
        </w:tc>
      </w:tr>
      <w:tr w14:paraId="635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A779D6C">
            <w:pPr>
              <w:rPr>
                <w:rFonts w:ascii="宋体" w:hAnsi="宋体" w:cs="宋体"/>
                <w:b/>
                <w:color w:val="auto"/>
                <w:highlight w:val="none"/>
              </w:rPr>
            </w:pPr>
          </w:p>
        </w:tc>
        <w:tc>
          <w:tcPr>
            <w:tcW w:w="1783" w:type="pct"/>
          </w:tcPr>
          <w:p w14:paraId="71B852CC">
            <w:pPr>
              <w:rPr>
                <w:rFonts w:ascii="宋体" w:hAnsi="宋体" w:cs="宋体"/>
                <w:b/>
                <w:color w:val="auto"/>
                <w:highlight w:val="none"/>
              </w:rPr>
            </w:pPr>
          </w:p>
        </w:tc>
      </w:tr>
      <w:tr w14:paraId="33D7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5D53D77">
            <w:pPr>
              <w:rPr>
                <w:rFonts w:ascii="宋体" w:hAnsi="宋体" w:cs="宋体"/>
                <w:b/>
                <w:color w:val="auto"/>
                <w:highlight w:val="none"/>
              </w:rPr>
            </w:pPr>
          </w:p>
        </w:tc>
        <w:tc>
          <w:tcPr>
            <w:tcW w:w="1783" w:type="pct"/>
          </w:tcPr>
          <w:p w14:paraId="47FC6628">
            <w:pPr>
              <w:rPr>
                <w:rFonts w:ascii="宋体" w:hAnsi="宋体" w:cs="宋体"/>
                <w:b/>
                <w:color w:val="auto"/>
                <w:highlight w:val="none"/>
              </w:rPr>
            </w:pPr>
          </w:p>
        </w:tc>
      </w:tr>
      <w:tr w14:paraId="1D10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39092C2">
            <w:pPr>
              <w:rPr>
                <w:rFonts w:ascii="宋体" w:hAnsi="宋体" w:cs="宋体"/>
                <w:b/>
                <w:color w:val="auto"/>
                <w:highlight w:val="none"/>
              </w:rPr>
            </w:pPr>
          </w:p>
        </w:tc>
        <w:tc>
          <w:tcPr>
            <w:tcW w:w="1783" w:type="pct"/>
          </w:tcPr>
          <w:p w14:paraId="59B8BE09">
            <w:pPr>
              <w:rPr>
                <w:rFonts w:ascii="宋体" w:hAnsi="宋体" w:cs="宋体"/>
                <w:b/>
                <w:color w:val="auto"/>
                <w:highlight w:val="none"/>
              </w:rPr>
            </w:pPr>
          </w:p>
        </w:tc>
      </w:tr>
      <w:tr w14:paraId="53C0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768093D">
            <w:pPr>
              <w:rPr>
                <w:rFonts w:ascii="宋体" w:hAnsi="宋体" w:cs="宋体"/>
                <w:b/>
                <w:color w:val="auto"/>
                <w:highlight w:val="none"/>
              </w:rPr>
            </w:pPr>
          </w:p>
        </w:tc>
        <w:tc>
          <w:tcPr>
            <w:tcW w:w="1783" w:type="pct"/>
          </w:tcPr>
          <w:p w14:paraId="08421941">
            <w:pPr>
              <w:rPr>
                <w:rFonts w:ascii="宋体" w:hAnsi="宋体" w:cs="宋体"/>
                <w:b/>
                <w:color w:val="auto"/>
                <w:highlight w:val="none"/>
              </w:rPr>
            </w:pPr>
          </w:p>
        </w:tc>
      </w:tr>
      <w:tr w14:paraId="2358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51E4667">
            <w:pPr>
              <w:rPr>
                <w:rFonts w:ascii="宋体" w:hAnsi="宋体" w:cs="宋体"/>
                <w:b/>
                <w:color w:val="auto"/>
                <w:highlight w:val="none"/>
              </w:rPr>
            </w:pPr>
          </w:p>
        </w:tc>
      </w:tr>
      <w:tr w14:paraId="3E17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5DE86988">
            <w:pPr>
              <w:rPr>
                <w:rFonts w:ascii="宋体" w:hAnsi="宋体" w:cs="宋体"/>
                <w:b/>
                <w:color w:val="auto"/>
                <w:highlight w:val="none"/>
              </w:rPr>
            </w:pPr>
          </w:p>
        </w:tc>
        <w:tc>
          <w:tcPr>
            <w:tcW w:w="1783" w:type="pct"/>
          </w:tcPr>
          <w:p w14:paraId="5F0257B7">
            <w:pPr>
              <w:rPr>
                <w:rFonts w:ascii="宋体" w:hAnsi="宋体" w:cs="宋体"/>
                <w:b/>
                <w:color w:val="auto"/>
                <w:highlight w:val="none"/>
              </w:rPr>
            </w:pPr>
          </w:p>
        </w:tc>
      </w:tr>
      <w:tr w14:paraId="7F92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178FD71E">
            <w:pPr>
              <w:rPr>
                <w:rFonts w:ascii="宋体" w:hAnsi="宋体" w:cs="宋体"/>
                <w:b/>
                <w:color w:val="auto"/>
                <w:highlight w:val="none"/>
              </w:rPr>
            </w:pPr>
          </w:p>
        </w:tc>
        <w:tc>
          <w:tcPr>
            <w:tcW w:w="1783" w:type="pct"/>
          </w:tcPr>
          <w:p w14:paraId="14FCE378">
            <w:pPr>
              <w:rPr>
                <w:rFonts w:ascii="宋体" w:hAnsi="宋体" w:cs="宋体"/>
                <w:b/>
                <w:color w:val="auto"/>
                <w:highlight w:val="none"/>
              </w:rPr>
            </w:pPr>
          </w:p>
        </w:tc>
      </w:tr>
      <w:tr w14:paraId="4E017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732AB1BB">
            <w:pPr>
              <w:rPr>
                <w:rFonts w:ascii="宋体" w:hAnsi="宋体" w:cs="宋体"/>
                <w:b/>
                <w:color w:val="auto"/>
                <w:highlight w:val="none"/>
              </w:rPr>
            </w:pPr>
          </w:p>
        </w:tc>
        <w:tc>
          <w:tcPr>
            <w:tcW w:w="1783" w:type="pct"/>
          </w:tcPr>
          <w:p w14:paraId="160E3A18">
            <w:pPr>
              <w:rPr>
                <w:rFonts w:ascii="宋体" w:hAnsi="宋体" w:cs="宋体"/>
                <w:b/>
                <w:color w:val="auto"/>
                <w:highlight w:val="none"/>
              </w:rPr>
            </w:pPr>
          </w:p>
        </w:tc>
      </w:tr>
      <w:tr w14:paraId="4A36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DF434AE">
            <w:pPr>
              <w:rPr>
                <w:rFonts w:ascii="宋体" w:hAnsi="宋体" w:cs="宋体"/>
                <w:b/>
                <w:color w:val="auto"/>
                <w:highlight w:val="none"/>
              </w:rPr>
            </w:pPr>
          </w:p>
        </w:tc>
        <w:tc>
          <w:tcPr>
            <w:tcW w:w="1783" w:type="pct"/>
          </w:tcPr>
          <w:p w14:paraId="27BFEF33">
            <w:pPr>
              <w:rPr>
                <w:rFonts w:ascii="宋体" w:hAnsi="宋体" w:cs="宋体"/>
                <w:b/>
                <w:color w:val="auto"/>
                <w:highlight w:val="none"/>
              </w:rPr>
            </w:pPr>
          </w:p>
        </w:tc>
      </w:tr>
      <w:tr w14:paraId="228CA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0F47A85">
            <w:pPr>
              <w:rPr>
                <w:rFonts w:ascii="宋体" w:hAnsi="宋体" w:cs="宋体"/>
                <w:b/>
                <w:color w:val="auto"/>
                <w:highlight w:val="none"/>
              </w:rPr>
            </w:pPr>
          </w:p>
        </w:tc>
        <w:tc>
          <w:tcPr>
            <w:tcW w:w="1783" w:type="pct"/>
          </w:tcPr>
          <w:p w14:paraId="14F4FEC9">
            <w:pPr>
              <w:rPr>
                <w:rFonts w:ascii="宋体" w:hAnsi="宋体" w:cs="宋体"/>
                <w:b/>
                <w:color w:val="auto"/>
                <w:highlight w:val="none"/>
              </w:rPr>
            </w:pPr>
          </w:p>
        </w:tc>
      </w:tr>
      <w:tr w14:paraId="2E91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25CB8A1">
            <w:pPr>
              <w:rPr>
                <w:rFonts w:ascii="宋体" w:hAnsi="宋体" w:cs="宋体"/>
                <w:b/>
                <w:color w:val="auto"/>
                <w:highlight w:val="none"/>
              </w:rPr>
            </w:pPr>
          </w:p>
        </w:tc>
      </w:tr>
      <w:tr w14:paraId="10F6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128789E4">
            <w:pPr>
              <w:rPr>
                <w:rFonts w:ascii="宋体" w:hAnsi="宋体" w:cs="宋体"/>
                <w:b/>
                <w:color w:val="auto"/>
                <w:highlight w:val="none"/>
              </w:rPr>
            </w:pPr>
          </w:p>
        </w:tc>
        <w:tc>
          <w:tcPr>
            <w:tcW w:w="1783" w:type="pct"/>
          </w:tcPr>
          <w:p w14:paraId="69C23423">
            <w:pPr>
              <w:rPr>
                <w:rFonts w:ascii="宋体" w:hAnsi="宋体" w:cs="宋体"/>
                <w:b/>
                <w:color w:val="auto"/>
                <w:highlight w:val="none"/>
              </w:rPr>
            </w:pPr>
          </w:p>
        </w:tc>
      </w:tr>
      <w:tr w14:paraId="6A08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00F9CB6">
            <w:pPr>
              <w:rPr>
                <w:rFonts w:ascii="宋体" w:hAnsi="宋体" w:cs="宋体"/>
                <w:b/>
                <w:color w:val="auto"/>
                <w:highlight w:val="none"/>
              </w:rPr>
            </w:pPr>
          </w:p>
        </w:tc>
        <w:tc>
          <w:tcPr>
            <w:tcW w:w="1783" w:type="pct"/>
          </w:tcPr>
          <w:p w14:paraId="73D6894D">
            <w:pPr>
              <w:rPr>
                <w:rFonts w:ascii="宋体" w:hAnsi="宋体" w:cs="宋体"/>
                <w:b/>
                <w:color w:val="auto"/>
                <w:highlight w:val="none"/>
              </w:rPr>
            </w:pPr>
          </w:p>
        </w:tc>
      </w:tr>
      <w:tr w14:paraId="5BE2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2370B683">
            <w:pPr>
              <w:rPr>
                <w:rFonts w:ascii="宋体" w:hAnsi="宋体" w:cs="宋体"/>
                <w:b/>
                <w:color w:val="auto"/>
                <w:highlight w:val="none"/>
              </w:rPr>
            </w:pPr>
          </w:p>
        </w:tc>
        <w:tc>
          <w:tcPr>
            <w:tcW w:w="1783" w:type="pct"/>
          </w:tcPr>
          <w:p w14:paraId="5FD775CD">
            <w:pPr>
              <w:rPr>
                <w:rFonts w:ascii="宋体" w:hAnsi="宋体" w:cs="宋体"/>
                <w:b/>
                <w:color w:val="auto"/>
                <w:highlight w:val="none"/>
              </w:rPr>
            </w:pPr>
          </w:p>
        </w:tc>
      </w:tr>
      <w:tr w14:paraId="5392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BC568D4">
            <w:pPr>
              <w:rPr>
                <w:rFonts w:ascii="宋体" w:hAnsi="宋体" w:cs="宋体"/>
                <w:b/>
                <w:color w:val="auto"/>
                <w:highlight w:val="none"/>
              </w:rPr>
            </w:pPr>
          </w:p>
        </w:tc>
      </w:tr>
      <w:tr w14:paraId="1696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C0DDA62">
            <w:pPr>
              <w:rPr>
                <w:rFonts w:ascii="宋体" w:hAnsi="宋体" w:cs="宋体"/>
                <w:b/>
                <w:color w:val="auto"/>
                <w:highlight w:val="none"/>
              </w:rPr>
            </w:pPr>
          </w:p>
        </w:tc>
        <w:tc>
          <w:tcPr>
            <w:tcW w:w="1783" w:type="pct"/>
          </w:tcPr>
          <w:p w14:paraId="655E5D10">
            <w:pPr>
              <w:rPr>
                <w:rFonts w:ascii="宋体" w:hAnsi="宋体" w:cs="宋体"/>
                <w:b/>
                <w:color w:val="auto"/>
                <w:highlight w:val="none"/>
              </w:rPr>
            </w:pPr>
          </w:p>
        </w:tc>
      </w:tr>
      <w:tr w14:paraId="2711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017EEBE">
            <w:pPr>
              <w:rPr>
                <w:rFonts w:ascii="宋体" w:hAnsi="宋体" w:cs="宋体"/>
                <w:b/>
                <w:color w:val="auto"/>
                <w:highlight w:val="none"/>
              </w:rPr>
            </w:pPr>
          </w:p>
        </w:tc>
        <w:tc>
          <w:tcPr>
            <w:tcW w:w="1783" w:type="pct"/>
          </w:tcPr>
          <w:p w14:paraId="4C9B54E1">
            <w:pPr>
              <w:rPr>
                <w:rFonts w:ascii="宋体" w:hAnsi="宋体" w:cs="宋体"/>
                <w:b/>
                <w:color w:val="auto"/>
                <w:highlight w:val="none"/>
              </w:rPr>
            </w:pPr>
          </w:p>
        </w:tc>
      </w:tr>
    </w:tbl>
    <w:p w14:paraId="5946061E">
      <w:pPr>
        <w:rPr>
          <w:rFonts w:ascii="宋体" w:hAnsi="宋体" w:cs="宋体"/>
          <w:color w:val="auto"/>
          <w:highlight w:val="none"/>
        </w:rPr>
      </w:pPr>
    </w:p>
    <w:p w14:paraId="1C25848D">
      <w:pPr>
        <w:jc w:val="center"/>
        <w:rPr>
          <w:rFonts w:ascii="宋体" w:hAnsi="宋体" w:cs="宋体"/>
          <w:b/>
          <w:bCs/>
          <w:color w:val="auto"/>
          <w:sz w:val="36"/>
          <w:highlight w:val="none"/>
        </w:rPr>
      </w:pPr>
      <w:r>
        <w:rPr>
          <w:rFonts w:hint="eastAsia" w:ascii="宋体" w:hAnsi="宋体" w:cs="宋体"/>
          <w:b/>
          <w:bCs/>
          <w:color w:val="auto"/>
          <w:sz w:val="36"/>
          <w:highlight w:val="none"/>
        </w:rPr>
        <w:br w:type="page"/>
      </w:r>
      <w:bookmarkStart w:id="7" w:name="_Toc489655320"/>
    </w:p>
    <w:p w14:paraId="22813C6A">
      <w:pPr>
        <w:pStyle w:val="262"/>
        <w:rPr>
          <w:rFonts w:ascii="宋体" w:hAnsi="宋体" w:eastAsia="宋体" w:cs="宋体"/>
          <w:color w:val="auto"/>
          <w:highlight w:val="none"/>
        </w:rPr>
      </w:pPr>
      <w:r>
        <w:rPr>
          <w:rFonts w:hint="eastAsia" w:ascii="宋体" w:hAnsi="宋体" w:eastAsia="宋体" w:cs="宋体"/>
          <w:color w:val="auto"/>
          <w:highlight w:val="none"/>
        </w:rPr>
        <w:t>响应文件主要目录</w:t>
      </w:r>
      <w:bookmarkEnd w:id="6"/>
      <w:bookmarkEnd w:id="7"/>
      <w:r>
        <w:rPr>
          <w:rFonts w:hint="eastAsia" w:ascii="宋体" w:hAnsi="宋体" w:eastAsia="宋体" w:cs="宋体"/>
          <w:color w:val="auto"/>
          <w:highlight w:val="none"/>
        </w:rPr>
        <w:t>及相关证明材料格式、附件</w:t>
      </w:r>
    </w:p>
    <w:p w14:paraId="16252438">
      <w:pPr>
        <w:rPr>
          <w:rFonts w:ascii="宋体" w:hAnsi="宋体" w:cs="宋体"/>
          <w:color w:val="auto"/>
          <w:sz w:val="28"/>
          <w:szCs w:val="28"/>
          <w:highlight w:val="none"/>
        </w:rPr>
      </w:pPr>
    </w:p>
    <w:p w14:paraId="56667521">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一、响应申请及声明</w:t>
      </w:r>
    </w:p>
    <w:p w14:paraId="647ABFF1">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二、法定代表人授权书</w:t>
      </w:r>
    </w:p>
    <w:p w14:paraId="15049160">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三、响应一览表</w:t>
      </w:r>
    </w:p>
    <w:p w14:paraId="73F7BBD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四、资格证明文件</w:t>
      </w:r>
    </w:p>
    <w:p w14:paraId="69920319">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五、分项报价表</w:t>
      </w:r>
    </w:p>
    <w:p w14:paraId="7ECACB9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六、技术条款偏离表</w:t>
      </w:r>
    </w:p>
    <w:p w14:paraId="12AD9C35">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七、商务条款偏离表</w:t>
      </w:r>
    </w:p>
    <w:p w14:paraId="11929E58">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八、服务方案</w:t>
      </w:r>
    </w:p>
    <w:p w14:paraId="5226C77D">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九、响应需要的其他证明文件及材料（若有）</w:t>
      </w:r>
    </w:p>
    <w:p w14:paraId="09D0EB2B">
      <w:pPr>
        <w:spacing w:line="360" w:lineRule="auto"/>
        <w:ind w:left="2280" w:hanging="720"/>
        <w:rPr>
          <w:rFonts w:ascii="宋体" w:hAnsi="宋体" w:cs="宋体"/>
          <w:color w:val="auto"/>
          <w:sz w:val="28"/>
          <w:szCs w:val="28"/>
          <w:highlight w:val="none"/>
        </w:rPr>
      </w:pPr>
      <w:r>
        <w:rPr>
          <w:rFonts w:hint="eastAsia" w:ascii="宋体" w:hAnsi="宋体" w:eastAsia="宋体" w:cs="宋体"/>
          <w:color w:val="auto"/>
          <w:sz w:val="28"/>
          <w:szCs w:val="28"/>
          <w:highlight w:val="none"/>
        </w:rPr>
        <w:t>十、响应需要的其他证明文件及材料</w:t>
      </w:r>
    </w:p>
    <w:p w14:paraId="137D3B9A">
      <w:pPr>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附件一、无重大违法记录声明格式；</w:t>
      </w:r>
    </w:p>
    <w:p w14:paraId="39BCC0C3">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附件二、具备履行合同所必需的设备和专业技术能力的声明格式及证明材料。</w:t>
      </w:r>
    </w:p>
    <w:p w14:paraId="4C9F8CAB">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附件三、承诺书</w:t>
      </w:r>
    </w:p>
    <w:p w14:paraId="40C21B3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13D7698">
      <w:pPr>
        <w:pStyle w:val="18"/>
        <w:ind w:firstLine="482"/>
        <w:rPr>
          <w:rFonts w:ascii="宋体" w:hAnsi="宋体" w:cs="宋体"/>
          <w:b/>
          <w:color w:val="auto"/>
          <w:highlight w:val="none"/>
        </w:rPr>
      </w:pPr>
      <w:r>
        <w:rPr>
          <w:rFonts w:hint="eastAsia" w:ascii="宋体" w:hAnsi="宋体" w:cs="宋体"/>
          <w:b/>
          <w:color w:val="auto"/>
          <w:highlight w:val="none"/>
        </w:rPr>
        <w:t>目录一、响应申请及声明格式</w:t>
      </w:r>
    </w:p>
    <w:p w14:paraId="0C30727D">
      <w:pPr>
        <w:pStyle w:val="264"/>
        <w:outlineLvl w:val="9"/>
        <w:rPr>
          <w:rFonts w:ascii="宋体" w:hAnsi="宋体" w:cs="宋体"/>
          <w:color w:val="auto"/>
          <w:highlight w:val="none"/>
        </w:rPr>
      </w:pPr>
      <w:r>
        <w:rPr>
          <w:rFonts w:hint="eastAsia" w:ascii="宋体" w:hAnsi="宋体" w:cs="宋体"/>
          <w:color w:val="auto"/>
          <w:highlight w:val="none"/>
        </w:rPr>
        <w:t>响应申请及声明</w:t>
      </w:r>
    </w:p>
    <w:p w14:paraId="6BC203EF">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4FD4AB40">
      <w:pPr>
        <w:pStyle w:val="18"/>
        <w:ind w:firstLine="480"/>
        <w:rPr>
          <w:rFonts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）响应邀请，正式授权下述签字人（姓名和职务）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代表供应商（供应商名称）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，提交响应文件。</w:t>
      </w:r>
    </w:p>
    <w:p w14:paraId="5F088849">
      <w:pPr>
        <w:pStyle w:val="18"/>
        <w:ind w:firstLine="480"/>
        <w:rPr>
          <w:rFonts w:ascii="宋体" w:hAnsi="宋体" w:cs="宋体"/>
          <w:color w:val="auto"/>
          <w:highlight w:val="none"/>
        </w:rPr>
      </w:pPr>
      <w:r>
        <w:rPr>
          <w:rFonts w:hint="eastAsia" w:ascii="宋体" w:hAnsi="宋体" w:cs="宋体"/>
          <w:color w:val="auto"/>
          <w:highlight w:val="none"/>
        </w:rPr>
        <w:t>据此函，签字人兹宣布声明和承诺如下：</w:t>
      </w:r>
    </w:p>
    <w:p w14:paraId="706D6713">
      <w:pPr>
        <w:pStyle w:val="18"/>
        <w:numPr>
          <w:ilvl w:val="0"/>
          <w:numId w:val="55"/>
        </w:numPr>
        <w:ind w:firstLineChars="0"/>
        <w:rPr>
          <w:rFonts w:ascii="宋体" w:hAnsi="宋体" w:cs="宋体"/>
          <w:color w:val="auto"/>
          <w:highlight w:val="none"/>
        </w:rPr>
      </w:pPr>
      <w:r>
        <w:rPr>
          <w:rFonts w:hint="eastAsia" w:ascii="宋体" w:hAnsi="宋体" w:cs="宋体"/>
          <w:b/>
          <w:color w:val="auto"/>
          <w:highlight w:val="none"/>
        </w:rPr>
        <w:t>我们的资格条件完全符合本次采购要求</w:t>
      </w:r>
      <w:r>
        <w:rPr>
          <w:rFonts w:hint="eastAsia" w:ascii="宋体" w:hAnsi="宋体" w:cs="宋体"/>
          <w:color w:val="auto"/>
          <w:highlight w:val="none"/>
        </w:rPr>
        <w:t>，我们同意并向贵方提供了与响应有关的所有证据和资料。</w:t>
      </w:r>
    </w:p>
    <w:p w14:paraId="4C78BBCF">
      <w:pPr>
        <w:pStyle w:val="18"/>
        <w:numPr>
          <w:ilvl w:val="0"/>
          <w:numId w:val="55"/>
        </w:numPr>
        <w:ind w:firstLineChars="0"/>
        <w:rPr>
          <w:rFonts w:ascii="宋体" w:hAnsi="宋体" w:cs="宋体"/>
          <w:color w:val="auto"/>
          <w:highlight w:val="none"/>
        </w:rPr>
      </w:pPr>
      <w:r>
        <w:rPr>
          <w:rFonts w:hint="eastAsia" w:ascii="宋体" w:hAnsi="宋体" w:cs="宋体"/>
          <w:color w:val="auto"/>
          <w:highlight w:val="none"/>
        </w:rPr>
        <w:t>我们已详细审核全部采购文件及其有效补充文件，我们放弃对采购文件任何误解的权利，提交响应文件后，</w:t>
      </w:r>
      <w:r>
        <w:rPr>
          <w:rFonts w:hint="eastAsia" w:ascii="宋体" w:hAnsi="宋体" w:cs="宋体"/>
          <w:b/>
          <w:color w:val="auto"/>
          <w:highlight w:val="none"/>
        </w:rPr>
        <w:t>不对采购文件本身提出质疑</w:t>
      </w:r>
      <w:r>
        <w:rPr>
          <w:rFonts w:hint="eastAsia" w:ascii="宋体" w:hAnsi="宋体" w:cs="宋体"/>
          <w:color w:val="auto"/>
          <w:highlight w:val="none"/>
        </w:rPr>
        <w:t>。</w:t>
      </w:r>
    </w:p>
    <w:p w14:paraId="22979C2B">
      <w:pPr>
        <w:pStyle w:val="18"/>
        <w:numPr>
          <w:ilvl w:val="0"/>
          <w:numId w:val="55"/>
        </w:numPr>
        <w:ind w:firstLineChars="0"/>
        <w:rPr>
          <w:rFonts w:ascii="宋体" w:hAnsi="宋体" w:cs="宋体"/>
          <w:color w:val="auto"/>
          <w:highlight w:val="none"/>
        </w:rPr>
      </w:pPr>
      <w:r>
        <w:rPr>
          <w:rFonts w:hint="eastAsia" w:ascii="宋体" w:hAnsi="宋体" w:cs="宋体"/>
          <w:color w:val="auto"/>
          <w:highlight w:val="none"/>
        </w:rPr>
        <w:t>我们同意从规定的响应文件开启日期起遵循本响应文件，并在规定的响应有效期期满之前均具有约束力。</w:t>
      </w:r>
    </w:p>
    <w:p w14:paraId="53A35A1C">
      <w:pPr>
        <w:pStyle w:val="18"/>
        <w:numPr>
          <w:ilvl w:val="0"/>
          <w:numId w:val="55"/>
        </w:numPr>
        <w:ind w:firstLineChars="0"/>
        <w:rPr>
          <w:rFonts w:ascii="宋体" w:hAnsi="宋体" w:cs="宋体"/>
          <w:color w:val="auto"/>
          <w:highlight w:val="none"/>
        </w:rPr>
      </w:pPr>
      <w:r>
        <w:rPr>
          <w:rFonts w:hint="eastAsia" w:ascii="宋体" w:hAnsi="宋体" w:cs="宋体"/>
          <w:color w:val="auto"/>
          <w:highlight w:val="none"/>
        </w:rPr>
        <w:t>一旦我方成交，我方将根据采购文件的规定严格履行合同，并保证于承诺的时间完成项目的启动等服务，交付采购人验收。</w:t>
      </w:r>
    </w:p>
    <w:p w14:paraId="177BC77C">
      <w:pPr>
        <w:pStyle w:val="18"/>
        <w:numPr>
          <w:ilvl w:val="0"/>
          <w:numId w:val="55"/>
        </w:numPr>
        <w:ind w:firstLineChars="0"/>
        <w:rPr>
          <w:rFonts w:ascii="宋体" w:hAnsi="宋体" w:cs="宋体"/>
          <w:color w:val="auto"/>
          <w:highlight w:val="none"/>
        </w:rPr>
      </w:pPr>
      <w:r>
        <w:rPr>
          <w:rFonts w:hint="eastAsia" w:ascii="宋体" w:hAnsi="宋体" w:cs="宋体"/>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7A2EE95C">
      <w:pPr>
        <w:pStyle w:val="18"/>
        <w:numPr>
          <w:ilvl w:val="0"/>
          <w:numId w:val="55"/>
        </w:numPr>
        <w:ind w:firstLineChars="0"/>
        <w:rPr>
          <w:rFonts w:ascii="宋体" w:hAnsi="宋体" w:cs="宋体"/>
          <w:color w:val="auto"/>
          <w:highlight w:val="none"/>
        </w:rPr>
      </w:pPr>
      <w:r>
        <w:rPr>
          <w:rFonts w:hint="eastAsia" w:ascii="宋体" w:hAnsi="宋体" w:cs="宋体"/>
          <w:color w:val="auto"/>
          <w:highlight w:val="none"/>
        </w:rPr>
        <w:t>与本次响应有关的正式联系方式为：</w:t>
      </w:r>
    </w:p>
    <w:p w14:paraId="448878BF">
      <w:pPr>
        <w:pStyle w:val="18"/>
        <w:ind w:firstLine="480"/>
        <w:rPr>
          <w:rFonts w:ascii="宋体" w:hAnsi="宋体" w:cs="宋体"/>
          <w:color w:val="auto"/>
          <w:highlight w:val="none"/>
          <w:u w:val="single"/>
        </w:rPr>
      </w:pPr>
      <w:r>
        <w:rPr>
          <w:rFonts w:hint="eastAsia" w:ascii="宋体" w:hAnsi="宋体" w:cs="宋体"/>
          <w:color w:val="auto"/>
          <w:highlight w:val="none"/>
        </w:rPr>
        <w:t>地址：</w:t>
      </w:r>
    </w:p>
    <w:p w14:paraId="086BE008">
      <w:pPr>
        <w:pStyle w:val="18"/>
        <w:ind w:firstLine="480"/>
        <w:rPr>
          <w:rFonts w:ascii="宋体" w:hAnsi="宋体" w:cs="宋体"/>
          <w:color w:val="auto"/>
          <w:highlight w:val="none"/>
          <w:u w:val="single"/>
        </w:rPr>
      </w:pPr>
      <w:r>
        <w:rPr>
          <w:rFonts w:hint="eastAsia" w:ascii="宋体" w:hAnsi="宋体" w:cs="宋体"/>
          <w:color w:val="auto"/>
          <w:highlight w:val="none"/>
        </w:rPr>
        <w:t>电话：</w:t>
      </w:r>
    </w:p>
    <w:p w14:paraId="0A6A7138">
      <w:pPr>
        <w:pStyle w:val="18"/>
        <w:ind w:firstLine="480"/>
        <w:rPr>
          <w:rFonts w:ascii="宋体" w:hAnsi="宋体" w:cs="宋体"/>
          <w:color w:val="auto"/>
          <w:highlight w:val="none"/>
          <w:u w:val="single"/>
        </w:rPr>
      </w:pPr>
      <w:r>
        <w:rPr>
          <w:rFonts w:hint="eastAsia" w:ascii="宋体" w:hAnsi="宋体" w:cs="宋体"/>
          <w:color w:val="auto"/>
          <w:highlight w:val="none"/>
        </w:rPr>
        <w:t>传真：</w:t>
      </w:r>
    </w:p>
    <w:p w14:paraId="1A92EFA5">
      <w:pPr>
        <w:pStyle w:val="18"/>
        <w:ind w:firstLine="480"/>
        <w:rPr>
          <w:rFonts w:ascii="宋体" w:hAnsi="宋体" w:cs="宋体"/>
          <w:color w:val="auto"/>
          <w:highlight w:val="none"/>
        </w:rPr>
      </w:pPr>
      <w:r>
        <w:rPr>
          <w:rFonts w:hint="eastAsia" w:ascii="宋体" w:hAnsi="宋体" w:cs="宋体"/>
          <w:color w:val="auto"/>
          <w:highlight w:val="none"/>
        </w:rPr>
        <w:t>开户银行：</w:t>
      </w:r>
    </w:p>
    <w:p w14:paraId="18149B5A">
      <w:pPr>
        <w:pStyle w:val="18"/>
        <w:ind w:firstLine="480"/>
        <w:rPr>
          <w:rFonts w:ascii="宋体" w:hAnsi="宋体" w:cs="宋体"/>
          <w:color w:val="auto"/>
          <w:highlight w:val="none"/>
        </w:rPr>
      </w:pPr>
      <w:r>
        <w:rPr>
          <w:rFonts w:hint="eastAsia" w:ascii="宋体" w:hAnsi="宋体" w:cs="宋体"/>
          <w:color w:val="auto"/>
          <w:highlight w:val="none"/>
        </w:rPr>
        <w:t>银行账号：</w:t>
      </w:r>
    </w:p>
    <w:p w14:paraId="3F85B35B">
      <w:pPr>
        <w:autoSpaceDE w:val="0"/>
        <w:autoSpaceDN w:val="0"/>
        <w:adjustRightInd w:val="0"/>
        <w:spacing w:line="360" w:lineRule="auto"/>
        <w:ind w:firstLine="420"/>
        <w:rPr>
          <w:rFonts w:ascii="宋体" w:hAnsi="宋体" w:cs="宋体"/>
          <w:color w:val="auto"/>
          <w:sz w:val="24"/>
          <w:szCs w:val="21"/>
          <w:highlight w:val="none"/>
          <w:u w:val="single"/>
          <w:lang w:val="zh-CN"/>
        </w:rPr>
      </w:pPr>
      <w:r>
        <w:rPr>
          <w:rFonts w:hint="eastAsia" w:ascii="宋体" w:hAnsi="宋体" w:cs="宋体"/>
          <w:color w:val="auto"/>
          <w:sz w:val="24"/>
          <w:szCs w:val="21"/>
          <w:highlight w:val="none"/>
          <w:lang w:val="zh-CN"/>
        </w:rPr>
        <w:t>供应商授权代表姓名（签字）：</w:t>
      </w:r>
    </w:p>
    <w:p w14:paraId="6593F5B5">
      <w:pPr>
        <w:autoSpaceDE w:val="0"/>
        <w:autoSpaceDN w:val="0"/>
        <w:adjustRightInd w:val="0"/>
        <w:spacing w:line="360" w:lineRule="auto"/>
        <w:ind w:firstLine="420"/>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C9A594D">
      <w:pPr>
        <w:autoSpaceDE w:val="0"/>
        <w:autoSpaceDN w:val="0"/>
        <w:adjustRightInd w:val="0"/>
        <w:spacing w:line="360" w:lineRule="auto"/>
        <w:ind w:firstLine="420"/>
        <w:rPr>
          <w:rFonts w:ascii="宋体" w:hAnsi="宋体" w:cs="宋体"/>
          <w:b/>
          <w:color w:val="auto"/>
          <w:sz w:val="24"/>
          <w:szCs w:val="21"/>
          <w:highlight w:val="none"/>
          <w:lang w:val="zh-CN"/>
        </w:rPr>
      </w:pPr>
      <w:r>
        <w:rPr>
          <w:rFonts w:hint="eastAsia" w:ascii="宋体" w:hAnsi="宋体" w:cs="宋体"/>
          <w:color w:val="auto"/>
          <w:sz w:val="24"/>
          <w:szCs w:val="21"/>
          <w:highlight w:val="none"/>
          <w:lang w:val="zh-CN"/>
        </w:rPr>
        <w:t>日期：</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年</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月</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日</w:t>
      </w:r>
    </w:p>
    <w:p w14:paraId="594EA69F">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D86DCD9">
      <w:pPr>
        <w:pStyle w:val="18"/>
        <w:ind w:firstLine="482"/>
        <w:rPr>
          <w:rFonts w:ascii="宋体" w:hAnsi="宋体" w:cs="宋体"/>
          <w:b/>
          <w:color w:val="auto"/>
          <w:highlight w:val="none"/>
        </w:rPr>
      </w:pPr>
      <w:r>
        <w:rPr>
          <w:rFonts w:hint="eastAsia" w:ascii="宋体" w:hAnsi="宋体" w:cs="宋体"/>
          <w:b/>
          <w:color w:val="auto"/>
          <w:highlight w:val="none"/>
        </w:rPr>
        <w:t>目录二、法定代表人授权书格式</w:t>
      </w:r>
    </w:p>
    <w:p w14:paraId="60AFA94B">
      <w:pPr>
        <w:pStyle w:val="264"/>
        <w:outlineLvl w:val="9"/>
        <w:rPr>
          <w:rFonts w:ascii="宋体" w:hAnsi="宋体" w:cs="宋体"/>
          <w:color w:val="auto"/>
          <w:highlight w:val="none"/>
        </w:rPr>
      </w:pPr>
      <w:r>
        <w:rPr>
          <w:rFonts w:hint="eastAsia" w:ascii="宋体" w:hAnsi="宋体" w:cs="宋体"/>
          <w:color w:val="auto"/>
          <w:highlight w:val="none"/>
        </w:rPr>
        <w:t>法定代表人授权委托书</w:t>
      </w:r>
    </w:p>
    <w:p w14:paraId="5E659152">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25AC0486">
      <w:pPr>
        <w:pStyle w:val="18"/>
        <w:ind w:firstLine="480"/>
        <w:rPr>
          <w:rFonts w:ascii="宋体" w:hAnsi="宋体" w:cs="宋体"/>
          <w:color w:val="auto"/>
          <w:highlight w:val="none"/>
        </w:rPr>
      </w:pPr>
      <w:r>
        <w:rPr>
          <w:rFonts w:hint="eastAsia" w:ascii="宋体" w:hAnsi="宋体" w:cs="宋体"/>
          <w:color w:val="auto"/>
          <w:highlight w:val="none"/>
        </w:rPr>
        <w:t>本授权书声明：注册于（供应商住址）</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的（供应商名称）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法定代表人（法定代表人姓名、职务）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代表本公司授权在下面签字的（供应商代表姓名、职务）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 xml:space="preserve">为本公司的合法代理人，就贵方组织的  </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（项目编号）进行响应，以本公司名义处理一切与之有关的事务。</w:t>
      </w:r>
    </w:p>
    <w:p w14:paraId="22993A00">
      <w:pPr>
        <w:pStyle w:val="18"/>
        <w:ind w:firstLine="480"/>
        <w:rPr>
          <w:rFonts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年    月    日</w:t>
      </w:r>
      <w:r>
        <w:rPr>
          <w:rFonts w:hint="eastAsia" w:ascii="宋体" w:hAnsi="宋体" w:cs="宋体"/>
          <w:color w:val="auto"/>
          <w:highlight w:val="none"/>
        </w:rPr>
        <w:t>签字生效，特此声明。</w:t>
      </w:r>
    </w:p>
    <w:p w14:paraId="507E1318">
      <w:pPr>
        <w:adjustRightInd w:val="0"/>
        <w:spacing w:line="360" w:lineRule="auto"/>
        <w:ind w:firstLine="408"/>
        <w:jc w:val="left"/>
        <w:rPr>
          <w:rFonts w:ascii="宋体" w:hAnsi="宋体" w:cs="宋体"/>
          <w:color w:val="auto"/>
          <w:szCs w:val="21"/>
          <w:highlight w:val="none"/>
          <w:lang w:val="zh-CN"/>
        </w:rPr>
      </w:pPr>
    </w:p>
    <w:p w14:paraId="64470476">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法定代表人（签字）：</w:t>
      </w:r>
    </w:p>
    <w:p w14:paraId="408A0A57">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授权委托人（签字）：</w:t>
      </w:r>
    </w:p>
    <w:p w14:paraId="01FD91EC">
      <w:pPr>
        <w:tabs>
          <w:tab w:val="left" w:pos="1440"/>
        </w:tabs>
        <w:adjustRightInd w:val="0"/>
        <w:spacing w:line="360" w:lineRule="auto"/>
        <w:ind w:firstLine="42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日期：年 月 日</w:t>
      </w:r>
    </w:p>
    <w:p w14:paraId="342A90B9">
      <w:pPr>
        <w:tabs>
          <w:tab w:val="left" w:pos="1440"/>
        </w:tabs>
        <w:adjustRightInd w:val="0"/>
        <w:spacing w:line="360" w:lineRule="auto"/>
        <w:ind w:firstLine="420"/>
        <w:jc w:val="left"/>
        <w:rPr>
          <w:rFonts w:ascii="宋体" w:hAnsi="宋体" w:cs="宋体"/>
          <w:color w:val="auto"/>
          <w:szCs w:val="21"/>
          <w:highlight w:val="none"/>
          <w:lang w:val="zh-CN"/>
        </w:rPr>
      </w:pPr>
    </w:p>
    <w:p w14:paraId="3EBB4464">
      <w:pPr>
        <w:tabs>
          <w:tab w:val="left" w:pos="1440"/>
        </w:tabs>
        <w:adjustRightInd w:val="0"/>
        <w:spacing w:line="360" w:lineRule="auto"/>
        <w:ind w:firstLine="420"/>
        <w:jc w:val="left"/>
        <w:rPr>
          <w:rFonts w:ascii="宋体" w:hAnsi="宋体" w:cs="宋体"/>
          <w:color w:val="auto"/>
          <w:sz w:val="24"/>
          <w:szCs w:val="21"/>
          <w:highlight w:val="none"/>
        </w:rPr>
      </w:pP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身份证复印件：</w:t>
      </w:r>
    </w:p>
    <w:p w14:paraId="65CC0506">
      <w:pPr>
        <w:tabs>
          <w:tab w:val="left" w:pos="1440"/>
        </w:tabs>
        <w:adjustRightInd w:val="0"/>
        <w:spacing w:line="360" w:lineRule="auto"/>
        <w:ind w:firstLine="420"/>
        <w:jc w:val="left"/>
        <w:rPr>
          <w:rFonts w:ascii="宋体" w:hAnsi="宋体" w:cs="宋体"/>
          <w:color w:val="auto"/>
          <w:szCs w:val="21"/>
          <w:highlight w:val="none"/>
        </w:rPr>
      </w:pPr>
    </w:p>
    <w:p w14:paraId="0C9CAFEA">
      <w:pPr>
        <w:tabs>
          <w:tab w:val="left" w:pos="1440"/>
        </w:tabs>
        <w:adjustRightInd w:val="0"/>
        <w:spacing w:line="360" w:lineRule="auto"/>
        <w:ind w:firstLine="420"/>
        <w:jc w:val="left"/>
        <w:rPr>
          <w:rFonts w:ascii="宋体" w:hAnsi="宋体" w:cs="宋体"/>
          <w:color w:val="auto"/>
          <w:szCs w:val="21"/>
          <w:highlight w:val="none"/>
        </w:rPr>
      </w:pPr>
    </w:p>
    <w:p w14:paraId="3F82C759">
      <w:pPr>
        <w:tabs>
          <w:tab w:val="left" w:pos="1440"/>
        </w:tabs>
        <w:adjustRightInd w:val="0"/>
        <w:spacing w:line="360" w:lineRule="auto"/>
        <w:ind w:firstLine="420"/>
        <w:jc w:val="left"/>
        <w:rPr>
          <w:rFonts w:ascii="宋体" w:hAnsi="宋体" w:cs="宋体"/>
          <w:color w:val="auto"/>
          <w:szCs w:val="21"/>
          <w:highlight w:val="none"/>
          <w:lang w:val="zh-CN"/>
        </w:rPr>
      </w:pPr>
    </w:p>
    <w:p w14:paraId="11082086">
      <w:pPr>
        <w:tabs>
          <w:tab w:val="left" w:pos="1440"/>
        </w:tabs>
        <w:adjustRightInd w:val="0"/>
        <w:spacing w:line="360" w:lineRule="auto"/>
        <w:ind w:firstLine="420"/>
        <w:jc w:val="left"/>
        <w:rPr>
          <w:rFonts w:ascii="宋体" w:hAnsi="宋体" w:cs="宋体"/>
          <w:color w:val="auto"/>
          <w:szCs w:val="21"/>
          <w:highlight w:val="none"/>
          <w:lang w:val="zh-CN"/>
        </w:rPr>
      </w:pPr>
    </w:p>
    <w:p w14:paraId="16619B3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CB47F49">
      <w:pPr>
        <w:pStyle w:val="262"/>
        <w:rPr>
          <w:rFonts w:ascii="宋体" w:hAnsi="宋体" w:eastAsia="宋体" w:cs="宋体"/>
          <w:color w:val="auto"/>
          <w:highlight w:val="none"/>
        </w:rPr>
      </w:pPr>
      <w:r>
        <w:rPr>
          <w:rFonts w:hint="eastAsia" w:ascii="宋体" w:hAnsi="宋体" w:eastAsia="宋体" w:cs="宋体"/>
          <w:color w:val="auto"/>
          <w:highlight w:val="none"/>
        </w:rPr>
        <w:t>目录三、响应一览表格式</w:t>
      </w:r>
    </w:p>
    <w:p w14:paraId="6048837F">
      <w:pPr>
        <w:pStyle w:val="264"/>
        <w:outlineLvl w:val="9"/>
        <w:rPr>
          <w:rFonts w:ascii="宋体" w:hAnsi="宋体" w:cs="宋体"/>
          <w:color w:val="auto"/>
          <w:highlight w:val="none"/>
        </w:rPr>
      </w:pPr>
      <w:r>
        <w:rPr>
          <w:rFonts w:hint="eastAsia" w:ascii="宋体" w:hAnsi="宋体" w:cs="宋体"/>
          <w:color w:val="auto"/>
          <w:highlight w:val="none"/>
        </w:rPr>
        <w:t>响应一览表</w:t>
      </w:r>
    </w:p>
    <w:p w14:paraId="15912749">
      <w:pPr>
        <w:pStyle w:val="33"/>
        <w:rPr>
          <w:rFonts w:ascii="宋体" w:hAnsi="宋体" w:cs="宋体"/>
          <w:color w:val="auto"/>
          <w:highlight w:val="none"/>
        </w:rPr>
      </w:pPr>
      <w:r>
        <w:rPr>
          <w:rFonts w:hint="eastAsia" w:ascii="宋体" w:hAnsi="宋体" w:cs="宋体"/>
          <w:color w:val="auto"/>
          <w:highlight w:val="none"/>
        </w:rPr>
        <w:t>（请将响应一览表放置于响应文件首页）</w:t>
      </w:r>
    </w:p>
    <w:p w14:paraId="0D92C315">
      <w:pPr>
        <w:pStyle w:val="17"/>
        <w:rPr>
          <w:rFonts w:ascii="宋体" w:hAnsi="宋体" w:cs="宋体"/>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92"/>
        <w:gridCol w:w="1158"/>
        <w:gridCol w:w="3571"/>
      </w:tblGrid>
      <w:tr w14:paraId="2EDF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3FA7EA69">
            <w:pPr>
              <w:pStyle w:val="17"/>
              <w:jc w:val="center"/>
              <w:rPr>
                <w:rFonts w:ascii="宋体" w:hAnsi="宋体" w:cs="宋体"/>
                <w:b/>
                <w:bCs/>
                <w:color w:val="auto"/>
                <w:highlight w:val="none"/>
              </w:rPr>
            </w:pPr>
            <w:r>
              <w:rPr>
                <w:rFonts w:hint="eastAsia" w:ascii="宋体" w:hAnsi="宋体" w:cs="宋体"/>
                <w:b/>
                <w:bCs/>
                <w:color w:val="auto"/>
                <w:highlight w:val="none"/>
              </w:rPr>
              <w:t>项目名称</w:t>
            </w:r>
          </w:p>
        </w:tc>
        <w:tc>
          <w:tcPr>
            <w:tcW w:w="3172" w:type="dxa"/>
            <w:vAlign w:val="center"/>
          </w:tcPr>
          <w:p w14:paraId="2153FB71">
            <w:pPr>
              <w:pStyle w:val="17"/>
              <w:rPr>
                <w:rFonts w:ascii="宋体" w:hAnsi="宋体" w:cs="宋体"/>
                <w:b/>
                <w:bCs/>
                <w:color w:val="auto"/>
                <w:highlight w:val="none"/>
              </w:rPr>
            </w:pPr>
          </w:p>
        </w:tc>
        <w:tc>
          <w:tcPr>
            <w:tcW w:w="1178" w:type="dxa"/>
            <w:vAlign w:val="center"/>
          </w:tcPr>
          <w:p w14:paraId="423922A9">
            <w:pPr>
              <w:pStyle w:val="17"/>
              <w:jc w:val="center"/>
              <w:rPr>
                <w:rFonts w:ascii="宋体" w:hAnsi="宋体" w:cs="宋体"/>
                <w:b/>
                <w:bCs/>
                <w:color w:val="auto"/>
                <w:highlight w:val="none"/>
              </w:rPr>
            </w:pPr>
            <w:r>
              <w:rPr>
                <w:rFonts w:hint="eastAsia" w:ascii="宋体" w:hAnsi="宋体" w:cs="宋体"/>
                <w:b/>
                <w:bCs/>
                <w:color w:val="auto"/>
                <w:highlight w:val="none"/>
              </w:rPr>
              <w:t>项目编号</w:t>
            </w:r>
          </w:p>
        </w:tc>
        <w:tc>
          <w:tcPr>
            <w:tcW w:w="3664" w:type="dxa"/>
            <w:vAlign w:val="center"/>
          </w:tcPr>
          <w:p w14:paraId="6BCB4601">
            <w:pPr>
              <w:pStyle w:val="17"/>
              <w:rPr>
                <w:rFonts w:ascii="宋体" w:hAnsi="宋体" w:cs="宋体"/>
                <w:b/>
                <w:bCs/>
                <w:color w:val="auto"/>
                <w:highlight w:val="none"/>
              </w:rPr>
            </w:pPr>
          </w:p>
        </w:tc>
      </w:tr>
      <w:tr w14:paraId="3DB3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4915FD3">
            <w:pPr>
              <w:pStyle w:val="17"/>
              <w:jc w:val="center"/>
              <w:rPr>
                <w:rFonts w:ascii="宋体" w:hAnsi="宋体" w:cs="宋体"/>
                <w:b/>
                <w:bCs/>
                <w:color w:val="auto"/>
                <w:highlight w:val="none"/>
              </w:rPr>
            </w:pPr>
            <w:r>
              <w:rPr>
                <w:rFonts w:hint="eastAsia" w:ascii="宋体" w:hAnsi="宋体" w:cs="宋体"/>
                <w:b/>
                <w:bCs/>
                <w:color w:val="auto"/>
                <w:highlight w:val="none"/>
              </w:rPr>
              <w:t>响应</w:t>
            </w:r>
            <w:r>
              <w:rPr>
                <w:rFonts w:hint="eastAsia" w:ascii="宋体" w:hAnsi="宋体" w:cs="宋体"/>
                <w:b/>
                <w:bCs/>
                <w:color w:val="auto"/>
                <w:highlight w:val="none"/>
                <w:lang w:eastAsia="zh-CN"/>
              </w:rPr>
              <w:t>报</w:t>
            </w:r>
            <w:r>
              <w:rPr>
                <w:rFonts w:hint="eastAsia" w:ascii="宋体" w:hAnsi="宋体" w:cs="宋体"/>
                <w:b/>
                <w:bCs/>
                <w:color w:val="auto"/>
                <w:highlight w:val="none"/>
              </w:rPr>
              <w:t>价</w:t>
            </w:r>
          </w:p>
        </w:tc>
        <w:tc>
          <w:tcPr>
            <w:tcW w:w="8014" w:type="dxa"/>
            <w:gridSpan w:val="3"/>
            <w:vAlign w:val="center"/>
          </w:tcPr>
          <w:p w14:paraId="4AE6FAB7">
            <w:pPr>
              <w:pStyle w:val="17"/>
              <w:rPr>
                <w:rFonts w:ascii="宋体" w:hAnsi="宋体" w:cs="宋体"/>
                <w:b/>
                <w:bCs/>
                <w:color w:val="auto"/>
                <w:highlight w:val="none"/>
              </w:rPr>
            </w:pPr>
            <w:r>
              <w:rPr>
                <w:rFonts w:hint="eastAsia" w:ascii="宋体" w:hAnsi="宋体" w:cs="宋体"/>
                <w:b/>
                <w:bCs/>
                <w:color w:val="auto"/>
                <w:highlight w:val="none"/>
              </w:rPr>
              <w:t>大写：</w:t>
            </w:r>
            <w:r>
              <w:rPr>
                <w:rFonts w:hint="eastAsia" w:ascii="宋体" w:hAnsi="宋体" w:cs="宋体"/>
                <w:b/>
                <w:bCs/>
                <w:color w:val="auto"/>
                <w:highlight w:val="none"/>
                <w:lang w:eastAsia="zh-CN"/>
              </w:rPr>
              <w:t>（</w:t>
            </w:r>
            <w:r>
              <w:rPr>
                <w:rFonts w:hint="eastAsia" w:ascii="宋体" w:hAnsi="宋体" w:cs="宋体"/>
                <w:b/>
                <w:bCs/>
                <w:color w:val="auto"/>
                <w:highlight w:val="none"/>
              </w:rPr>
              <w:t>人民币</w:t>
            </w:r>
            <w:r>
              <w:rPr>
                <w:rFonts w:hint="eastAsia" w:ascii="宋体" w:hAnsi="宋体" w:cs="宋体"/>
                <w:b/>
                <w:bCs/>
                <w:color w:val="auto"/>
                <w:highlight w:val="none"/>
                <w:lang w:eastAsia="zh-CN"/>
              </w:rPr>
              <w:t>）</w:t>
            </w:r>
            <w:r>
              <w:rPr>
                <w:rFonts w:hint="eastAsia" w:ascii="宋体" w:hAnsi="宋体" w:cs="宋体"/>
                <w:b/>
                <w:color w:val="auto"/>
                <w:highlight w:val="none"/>
                <w:u w:val="single"/>
                <w:lang w:val="en-US" w:eastAsia="zh-CN"/>
              </w:rPr>
              <w:t xml:space="preserve"> </w:t>
            </w:r>
            <w:r>
              <w:rPr>
                <w:rFonts w:hint="eastAsia" w:ascii="宋体" w:hAnsi="宋体" w:cs="宋体"/>
                <w:b/>
                <w:bCs/>
                <w:color w:val="auto"/>
                <w:highlight w:val="none"/>
              </w:rPr>
              <w:t xml:space="preserve">                       </w:t>
            </w:r>
          </w:p>
          <w:p w14:paraId="5DF68EEC">
            <w:pPr>
              <w:pStyle w:val="17"/>
              <w:rPr>
                <w:rFonts w:hint="eastAsia" w:ascii="宋体" w:hAnsi="宋体" w:eastAsia="宋体" w:cs="宋体"/>
                <w:b/>
                <w:bCs/>
                <w:color w:val="auto"/>
                <w:highlight w:val="none"/>
                <w:lang w:eastAsia="zh-CN"/>
              </w:rPr>
            </w:pPr>
            <w:r>
              <w:rPr>
                <w:rFonts w:hint="eastAsia" w:ascii="宋体" w:hAnsi="宋体" w:cs="宋体"/>
                <w:b/>
                <w:bCs/>
                <w:color w:val="auto"/>
                <w:highlight w:val="none"/>
              </w:rPr>
              <w:t>小写：</w:t>
            </w:r>
            <w:r>
              <w:rPr>
                <w:rFonts w:hint="eastAsia" w:ascii="宋体" w:hAnsi="宋体" w:cs="宋体"/>
                <w:b/>
                <w:bCs/>
                <w:color w:val="auto"/>
                <w:highlight w:val="none"/>
                <w:lang w:eastAsia="zh-CN"/>
              </w:rPr>
              <w:t>（</w:t>
            </w:r>
            <w:r>
              <w:rPr>
                <w:rFonts w:hint="eastAsia" w:ascii="宋体" w:hAnsi="宋体" w:cs="宋体"/>
                <w:b/>
                <w:bCs/>
                <w:color w:val="auto"/>
                <w:highlight w:val="none"/>
              </w:rPr>
              <w:t>人民币</w:t>
            </w:r>
            <w:r>
              <w:rPr>
                <w:rFonts w:hint="eastAsia" w:ascii="宋体" w:hAnsi="宋体" w:cs="宋体"/>
                <w:b/>
                <w:bCs/>
                <w:color w:val="auto"/>
                <w:highlight w:val="none"/>
                <w:lang w:eastAsia="zh-CN"/>
              </w:rPr>
              <w:t>）</w:t>
            </w:r>
            <w:r>
              <w:rPr>
                <w:rFonts w:hint="eastAsia" w:ascii="宋体" w:hAnsi="宋体" w:cs="宋体"/>
                <w:b/>
                <w:color w:val="auto"/>
                <w:highlight w:val="none"/>
                <w:u w:val="single"/>
                <w:lang w:val="en-US" w:eastAsia="zh-CN"/>
              </w:rPr>
              <w:t xml:space="preserve"> </w:t>
            </w:r>
          </w:p>
        </w:tc>
      </w:tr>
    </w:tbl>
    <w:p w14:paraId="3672D720">
      <w:pPr>
        <w:pStyle w:val="17"/>
        <w:rPr>
          <w:rFonts w:ascii="宋体" w:hAnsi="宋体" w:cs="宋体"/>
          <w:b/>
          <w:bCs/>
          <w:color w:val="auto"/>
          <w:highlight w:val="none"/>
        </w:rPr>
      </w:pPr>
    </w:p>
    <w:p w14:paraId="7F74A045">
      <w:pPr>
        <w:pStyle w:val="17"/>
        <w:rPr>
          <w:rFonts w:ascii="宋体" w:hAnsi="宋体" w:cs="宋体"/>
          <w:b/>
          <w:bCs/>
          <w:color w:val="auto"/>
          <w:highlight w:val="none"/>
        </w:rPr>
      </w:pPr>
    </w:p>
    <w:p w14:paraId="415DD813">
      <w:pPr>
        <w:widowControl/>
        <w:spacing w:line="360" w:lineRule="auto"/>
        <w:jc w:val="left"/>
        <w:rPr>
          <w:rFonts w:ascii="宋体" w:hAnsi="宋体" w:cs="宋体"/>
          <w:color w:val="auto"/>
          <w:szCs w:val="21"/>
          <w:highlight w:val="none"/>
          <w:lang w:val="zh-CN"/>
        </w:rPr>
      </w:pPr>
    </w:p>
    <w:p w14:paraId="1DFC7412">
      <w:pPr>
        <w:widowControl/>
        <w:spacing w:line="360" w:lineRule="auto"/>
        <w:jc w:val="left"/>
        <w:rPr>
          <w:rFonts w:ascii="宋体" w:hAnsi="宋体" w:cs="宋体"/>
          <w:color w:val="auto"/>
          <w:sz w:val="24"/>
          <w:highlight w:val="none"/>
          <w:lang w:val="zh-CN"/>
        </w:rPr>
      </w:pPr>
      <w:r>
        <w:rPr>
          <w:rFonts w:hint="eastAsia" w:ascii="宋体" w:hAnsi="宋体" w:cs="宋体"/>
          <w:color w:val="auto"/>
          <w:sz w:val="24"/>
          <w:szCs w:val="21"/>
          <w:highlight w:val="none"/>
          <w:lang w:val="zh-CN"/>
        </w:rPr>
        <w:t>供应商名称：</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（盖章）</w:t>
      </w:r>
    </w:p>
    <w:p w14:paraId="631AFDCD">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CB9D76D">
      <w:pPr>
        <w:pStyle w:val="18"/>
        <w:ind w:firstLine="482"/>
        <w:rPr>
          <w:rFonts w:ascii="宋体" w:hAnsi="宋体" w:cs="宋体"/>
          <w:b/>
          <w:color w:val="auto"/>
          <w:highlight w:val="none"/>
        </w:rPr>
      </w:pPr>
      <w:r>
        <w:rPr>
          <w:rFonts w:hint="eastAsia" w:ascii="宋体" w:hAnsi="宋体" w:cs="宋体"/>
          <w:b/>
          <w:color w:val="auto"/>
          <w:highlight w:val="none"/>
        </w:rPr>
        <w:t>目录四、资格证明文件</w:t>
      </w:r>
    </w:p>
    <w:p w14:paraId="01EE1536">
      <w:pPr>
        <w:pStyle w:val="266"/>
        <w:rPr>
          <w:color w:val="auto"/>
          <w:highlight w:val="none"/>
        </w:rPr>
      </w:pPr>
      <w:bookmarkStart w:id="8" w:name="_Toc489655335"/>
      <w:r>
        <w:rPr>
          <w:rFonts w:hint="eastAsia"/>
          <w:color w:val="auto"/>
          <w:highlight w:val="none"/>
        </w:rPr>
        <w:t>资格证明文件</w:t>
      </w:r>
      <w:bookmarkEnd w:id="8"/>
    </w:p>
    <w:p w14:paraId="25663D1E">
      <w:pPr>
        <w:pStyle w:val="18"/>
        <w:ind w:firstLine="0" w:firstLineChars="0"/>
        <w:rPr>
          <w:rFonts w:ascii="宋体" w:hAnsi="宋体" w:cs="宋体"/>
          <w:b/>
          <w:color w:val="auto"/>
          <w:highlight w:val="none"/>
        </w:rPr>
      </w:pPr>
    </w:p>
    <w:p w14:paraId="2D8CDE36">
      <w:pPr>
        <w:pStyle w:val="18"/>
        <w:ind w:firstLine="482"/>
        <w:rPr>
          <w:rFonts w:ascii="宋体" w:hAnsi="宋体" w:cs="宋体"/>
          <w:b/>
          <w:color w:val="auto"/>
          <w:highlight w:val="none"/>
        </w:rPr>
      </w:pPr>
      <w:r>
        <w:rPr>
          <w:rFonts w:hint="eastAsia" w:ascii="宋体" w:hAnsi="宋体" w:cs="宋体"/>
          <w:b/>
          <w:color w:val="auto"/>
          <w:highlight w:val="none"/>
        </w:rPr>
        <w:br w:type="page"/>
      </w:r>
      <w:r>
        <w:rPr>
          <w:rFonts w:hint="eastAsia" w:ascii="宋体" w:hAnsi="宋体" w:cs="宋体"/>
          <w:b/>
          <w:color w:val="auto"/>
          <w:highlight w:val="none"/>
        </w:rPr>
        <w:t>目录五、分项报价表格式</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1365"/>
        <w:gridCol w:w="1695"/>
        <w:gridCol w:w="1290"/>
        <w:gridCol w:w="1365"/>
        <w:gridCol w:w="3326"/>
      </w:tblGrid>
      <w:tr w14:paraId="05AA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dxa"/>
          </w:tcPr>
          <w:p w14:paraId="7AF64AC3">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序号</w:t>
            </w:r>
          </w:p>
        </w:tc>
        <w:tc>
          <w:tcPr>
            <w:tcW w:w="1365" w:type="dxa"/>
          </w:tcPr>
          <w:p w14:paraId="405288AB">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项目名称</w:t>
            </w:r>
          </w:p>
        </w:tc>
        <w:tc>
          <w:tcPr>
            <w:tcW w:w="1695" w:type="dxa"/>
          </w:tcPr>
          <w:p w14:paraId="73CE4246">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数量</w:t>
            </w:r>
          </w:p>
        </w:tc>
        <w:tc>
          <w:tcPr>
            <w:tcW w:w="1290" w:type="dxa"/>
          </w:tcPr>
          <w:p w14:paraId="763D8267">
            <w:pPr>
              <w:numPr>
                <w:ilvl w:val="-1"/>
                <w:numId w:val="0"/>
              </w:numPr>
              <w:spacing w:line="360"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综合单价（元）</w:t>
            </w:r>
          </w:p>
        </w:tc>
        <w:tc>
          <w:tcPr>
            <w:tcW w:w="1365" w:type="dxa"/>
          </w:tcPr>
          <w:p w14:paraId="63C8291C">
            <w:pPr>
              <w:numPr>
                <w:ilvl w:val="-1"/>
                <w:numId w:val="0"/>
              </w:numPr>
              <w:spacing w:line="360" w:lineRule="auto"/>
              <w:jc w:val="center"/>
              <w:rPr>
                <w:rFonts w:hint="eastAsia" w:ascii="宋体" w:hAnsi="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合价（元）</w:t>
            </w:r>
          </w:p>
        </w:tc>
        <w:tc>
          <w:tcPr>
            <w:tcW w:w="3326" w:type="dxa"/>
          </w:tcPr>
          <w:p w14:paraId="287543EB">
            <w:pPr>
              <w:numPr>
                <w:ilvl w:val="-1"/>
                <w:numId w:val="0"/>
              </w:numPr>
              <w:spacing w:line="360" w:lineRule="auto"/>
              <w:jc w:val="center"/>
              <w:rPr>
                <w:rFonts w:hint="eastAsia" w:ascii="宋体" w:hAnsi="宋体" w:cs="宋体"/>
                <w:b/>
                <w:bCs/>
                <w:color w:val="auto"/>
                <w:sz w:val="24"/>
                <w:szCs w:val="24"/>
                <w:highlight w:val="none"/>
                <w:vertAlign w:val="baseline"/>
                <w:lang w:eastAsia="zh-CN"/>
              </w:rPr>
            </w:pPr>
            <w:r>
              <w:rPr>
                <w:rFonts w:hint="eastAsia" w:ascii="宋体" w:hAnsi="宋体" w:cs="宋体"/>
                <w:b/>
                <w:bCs/>
                <w:color w:val="auto"/>
                <w:sz w:val="24"/>
                <w:szCs w:val="24"/>
                <w:highlight w:val="none"/>
                <w:vertAlign w:val="baseline"/>
                <w:lang w:eastAsia="zh-CN"/>
              </w:rPr>
              <w:t>备注</w:t>
            </w:r>
          </w:p>
        </w:tc>
      </w:tr>
      <w:tr w14:paraId="5A08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dxa"/>
            <w:vAlign w:val="center"/>
          </w:tcPr>
          <w:p w14:paraId="2CF12351">
            <w:pPr>
              <w:numPr>
                <w:ilvl w:val="-1"/>
                <w:numId w:val="0"/>
              </w:numPr>
              <w:spacing w:line="36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1</w:t>
            </w:r>
          </w:p>
        </w:tc>
        <w:tc>
          <w:tcPr>
            <w:tcW w:w="1365" w:type="dxa"/>
            <w:vAlign w:val="center"/>
          </w:tcPr>
          <w:p w14:paraId="5A392A7F">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eastAsia="zh-CN"/>
              </w:rPr>
              <w:t>材料院教五六楼定制铝合金门窗采购</w:t>
            </w:r>
          </w:p>
        </w:tc>
        <w:tc>
          <w:tcPr>
            <w:tcW w:w="1695" w:type="dxa"/>
            <w:vAlign w:val="center"/>
          </w:tcPr>
          <w:p w14:paraId="37A31C1F">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color w:val="auto"/>
                <w:sz w:val="24"/>
                <w:szCs w:val="24"/>
                <w:highlight w:val="none"/>
                <w:lang w:val="en-US" w:eastAsia="zh-CN"/>
              </w:rPr>
              <w:t>暂定124.7平方米，具体根据现场实际测量尺寸为准。</w:t>
            </w:r>
          </w:p>
        </w:tc>
        <w:tc>
          <w:tcPr>
            <w:tcW w:w="1290" w:type="dxa"/>
            <w:vAlign w:val="center"/>
          </w:tcPr>
          <w:p w14:paraId="4722B756">
            <w:pPr>
              <w:numPr>
                <w:ilvl w:val="-1"/>
                <w:numId w:val="0"/>
              </w:numPr>
              <w:spacing w:line="360" w:lineRule="auto"/>
              <w:rPr>
                <w:rFonts w:hint="eastAsia" w:ascii="宋体" w:hAnsi="宋体" w:cs="宋体"/>
                <w:b/>
                <w:bCs/>
                <w:color w:val="auto"/>
                <w:sz w:val="24"/>
                <w:szCs w:val="24"/>
                <w:highlight w:val="none"/>
                <w:vertAlign w:val="baseline"/>
              </w:rPr>
            </w:pPr>
          </w:p>
        </w:tc>
        <w:tc>
          <w:tcPr>
            <w:tcW w:w="1365" w:type="dxa"/>
            <w:vAlign w:val="center"/>
          </w:tcPr>
          <w:p w14:paraId="102B6929">
            <w:pPr>
              <w:numPr>
                <w:ilvl w:val="-1"/>
                <w:numId w:val="0"/>
              </w:numPr>
              <w:spacing w:line="360" w:lineRule="auto"/>
              <w:rPr>
                <w:rFonts w:hint="eastAsia" w:ascii="宋体" w:hAnsi="宋体" w:cs="宋体"/>
                <w:b/>
                <w:bCs/>
                <w:color w:val="auto"/>
                <w:sz w:val="24"/>
                <w:szCs w:val="24"/>
                <w:highlight w:val="none"/>
                <w:vertAlign w:val="baseline"/>
              </w:rPr>
            </w:pPr>
          </w:p>
        </w:tc>
        <w:tc>
          <w:tcPr>
            <w:tcW w:w="3326" w:type="dxa"/>
            <w:vAlign w:val="center"/>
          </w:tcPr>
          <w:p w14:paraId="448DA049">
            <w:pPr>
              <w:numPr>
                <w:ilvl w:val="-1"/>
                <w:numId w:val="0"/>
              </w:numPr>
              <w:spacing w:line="360" w:lineRule="auto"/>
              <w:rPr>
                <w:rFonts w:hint="eastAsia" w:ascii="宋体" w:hAnsi="宋体" w:cs="宋体"/>
                <w:b/>
                <w:bCs/>
                <w:color w:val="auto"/>
                <w:sz w:val="24"/>
                <w:szCs w:val="24"/>
                <w:highlight w:val="none"/>
                <w:vertAlign w:val="baseline"/>
              </w:rPr>
            </w:pPr>
            <w:r>
              <w:rPr>
                <w:rFonts w:hint="eastAsia" w:ascii="宋体" w:hAnsi="宋体" w:cs="宋体"/>
                <w:color w:val="auto"/>
                <w:sz w:val="24"/>
                <w:szCs w:val="24"/>
                <w:highlight w:val="none"/>
                <w:lang w:val="en-US" w:eastAsia="zh-CN"/>
              </w:rPr>
              <w:t>伟昌90系列，型材表面粉未喷涂处理;隔热断桥;外窗结构型材壁厚不小于1.8mm(需满足新国标要求);玻璃参数:6+9A+6。</w:t>
            </w:r>
          </w:p>
        </w:tc>
      </w:tr>
    </w:tbl>
    <w:p w14:paraId="2DE77F79">
      <w:pPr>
        <w:adjustRightInd w:val="0"/>
        <w:spacing w:line="360" w:lineRule="auto"/>
        <w:jc w:val="left"/>
        <w:rPr>
          <w:rFonts w:ascii="宋体" w:hAnsi="宋体" w:cs="宋体"/>
          <w:color w:val="auto"/>
          <w:sz w:val="24"/>
          <w:szCs w:val="21"/>
          <w:highlight w:val="none"/>
        </w:rPr>
      </w:pPr>
    </w:p>
    <w:p w14:paraId="69081275">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2987ACF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A89214B">
      <w:pPr>
        <w:rPr>
          <w:rFonts w:ascii="宋体" w:hAnsi="宋体" w:cs="宋体"/>
          <w:b/>
          <w:color w:val="auto"/>
          <w:szCs w:val="21"/>
          <w:highlight w:val="none"/>
          <w:lang w:val="zh-CN"/>
        </w:rPr>
      </w:pPr>
    </w:p>
    <w:p w14:paraId="4ECC52F4">
      <w:pPr>
        <w:rPr>
          <w:rFonts w:ascii="宋体" w:hAnsi="宋体" w:cs="宋体"/>
          <w:b/>
          <w:color w:val="auto"/>
          <w:szCs w:val="21"/>
          <w:highlight w:val="none"/>
          <w:lang w:val="zh-CN"/>
        </w:rPr>
      </w:pPr>
    </w:p>
    <w:p w14:paraId="484B15B8">
      <w:pPr>
        <w:pStyle w:val="18"/>
        <w:ind w:firstLine="482"/>
        <w:rPr>
          <w:rFonts w:ascii="宋体" w:hAnsi="宋体" w:cs="宋体"/>
          <w:b/>
          <w:color w:val="auto"/>
          <w:highlight w:val="none"/>
        </w:rPr>
      </w:pPr>
      <w:r>
        <w:rPr>
          <w:rFonts w:hint="eastAsia" w:ascii="宋体" w:hAnsi="宋体" w:cs="宋体"/>
          <w:b/>
          <w:color w:val="auto"/>
          <w:highlight w:val="none"/>
        </w:rPr>
        <w:t>目录六、技术条款偏离表格式</w:t>
      </w:r>
    </w:p>
    <w:p w14:paraId="6BFC0E66">
      <w:pPr>
        <w:pStyle w:val="264"/>
        <w:outlineLvl w:val="9"/>
        <w:rPr>
          <w:rFonts w:ascii="宋体" w:hAnsi="宋体" w:cs="宋体"/>
          <w:color w:val="auto"/>
          <w:highlight w:val="none"/>
        </w:rPr>
      </w:pPr>
      <w:r>
        <w:rPr>
          <w:rFonts w:hint="eastAsia" w:ascii="宋体" w:hAnsi="宋体" w:cs="宋体"/>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A8773D6">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8789427">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3D0A0DE0">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47EACE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A22802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0F2637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91E887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A47DE0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3E6A9896">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26A4715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F09895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BA851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900FD3">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D117671">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1B0A2F8">
            <w:pPr>
              <w:adjustRightInd w:val="0"/>
              <w:jc w:val="center"/>
              <w:rPr>
                <w:rFonts w:ascii="宋体" w:hAnsi="宋体" w:cs="宋体"/>
                <w:color w:val="auto"/>
                <w:szCs w:val="21"/>
                <w:highlight w:val="none"/>
                <w:lang w:val="zh-CN"/>
              </w:rPr>
            </w:pPr>
          </w:p>
        </w:tc>
      </w:tr>
      <w:tr w14:paraId="4DA7CB2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8234381">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2DDD2B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53969B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E3C15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A4EFFB4">
            <w:pPr>
              <w:adjustRightInd w:val="0"/>
              <w:jc w:val="center"/>
              <w:rPr>
                <w:rFonts w:ascii="宋体" w:hAnsi="宋体" w:cs="宋体"/>
                <w:color w:val="auto"/>
                <w:szCs w:val="21"/>
                <w:highlight w:val="none"/>
                <w:lang w:val="zh-CN"/>
              </w:rPr>
            </w:pPr>
          </w:p>
        </w:tc>
      </w:tr>
      <w:tr w14:paraId="416AC09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80B99D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D2CDA3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098F7BB">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9590C5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0360D17">
            <w:pPr>
              <w:adjustRightInd w:val="0"/>
              <w:jc w:val="center"/>
              <w:rPr>
                <w:rFonts w:ascii="宋体" w:hAnsi="宋体" w:cs="宋体"/>
                <w:color w:val="auto"/>
                <w:szCs w:val="21"/>
                <w:highlight w:val="none"/>
                <w:lang w:val="zh-CN"/>
              </w:rPr>
            </w:pPr>
          </w:p>
        </w:tc>
      </w:tr>
      <w:tr w14:paraId="77DED4EC">
        <w:tblPrEx>
          <w:tblCellMar>
            <w:top w:w="0" w:type="dxa"/>
            <w:left w:w="0" w:type="dxa"/>
            <w:bottom w:w="0" w:type="dxa"/>
            <w:right w:w="0" w:type="dxa"/>
          </w:tblCellMar>
        </w:tblPrEx>
        <w:trPr>
          <w:trHeight w:val="482"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D7156E6">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01A47E5">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4D2B60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736D96B">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ADE33FE">
            <w:pPr>
              <w:adjustRightInd w:val="0"/>
              <w:jc w:val="center"/>
              <w:rPr>
                <w:rFonts w:ascii="宋体" w:hAnsi="宋体" w:cs="宋体"/>
                <w:color w:val="auto"/>
                <w:szCs w:val="21"/>
                <w:highlight w:val="none"/>
                <w:lang w:val="zh-CN"/>
              </w:rPr>
            </w:pPr>
          </w:p>
        </w:tc>
      </w:tr>
      <w:tr w14:paraId="2F0F5CC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CB2737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6F88F76">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FC4C52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570197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0054C15">
            <w:pPr>
              <w:adjustRightInd w:val="0"/>
              <w:jc w:val="center"/>
              <w:rPr>
                <w:rFonts w:ascii="宋体" w:hAnsi="宋体" w:cs="宋体"/>
                <w:color w:val="auto"/>
                <w:szCs w:val="21"/>
                <w:highlight w:val="none"/>
                <w:lang w:val="zh-CN"/>
              </w:rPr>
            </w:pPr>
          </w:p>
        </w:tc>
      </w:tr>
      <w:tr w14:paraId="4AB661E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32E76AA">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320835B">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A0CB63A">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9D6915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26FED6">
            <w:pPr>
              <w:adjustRightInd w:val="0"/>
              <w:jc w:val="center"/>
              <w:rPr>
                <w:rFonts w:ascii="宋体" w:hAnsi="宋体" w:cs="宋体"/>
                <w:color w:val="auto"/>
                <w:szCs w:val="21"/>
                <w:highlight w:val="none"/>
                <w:lang w:val="zh-CN"/>
              </w:rPr>
            </w:pPr>
          </w:p>
        </w:tc>
      </w:tr>
    </w:tbl>
    <w:p w14:paraId="7396B927">
      <w:pPr>
        <w:adjustRightInd w:val="0"/>
        <w:spacing w:line="360" w:lineRule="auto"/>
        <w:jc w:val="left"/>
        <w:rPr>
          <w:rFonts w:ascii="宋体" w:hAnsi="宋体" w:cs="宋体"/>
          <w:color w:val="auto"/>
          <w:szCs w:val="21"/>
          <w:highlight w:val="none"/>
          <w:lang w:val="zh-CN"/>
        </w:rPr>
      </w:pPr>
    </w:p>
    <w:p w14:paraId="63149BA0">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077481B9">
      <w:pPr>
        <w:widowControl/>
        <w:spacing w:line="360" w:lineRule="auto"/>
        <w:jc w:val="left"/>
        <w:rPr>
          <w:rFonts w:ascii="宋体" w:hAnsi="宋体" w:cs="宋体"/>
          <w:color w:val="auto"/>
          <w:szCs w:val="21"/>
          <w:highlight w:val="none"/>
          <w:lang w:val="zh-CN"/>
        </w:rPr>
      </w:pPr>
    </w:p>
    <w:p w14:paraId="120E4B40">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6AFEADE1">
      <w:pPr>
        <w:pStyle w:val="18"/>
        <w:widowControl/>
        <w:numPr>
          <w:ilvl w:val="0"/>
          <w:numId w:val="56"/>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232F805F">
      <w:pPr>
        <w:pStyle w:val="18"/>
        <w:widowControl/>
        <w:numPr>
          <w:ilvl w:val="0"/>
          <w:numId w:val="56"/>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7CEE9C81">
      <w:pPr>
        <w:pStyle w:val="18"/>
        <w:widowControl/>
        <w:numPr>
          <w:ilvl w:val="0"/>
          <w:numId w:val="56"/>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6BAACB24">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C65D083">
      <w:pPr>
        <w:pStyle w:val="18"/>
        <w:ind w:firstLine="482"/>
        <w:rPr>
          <w:rFonts w:ascii="宋体" w:hAnsi="宋体" w:cs="宋体"/>
          <w:b/>
          <w:color w:val="auto"/>
          <w:highlight w:val="none"/>
        </w:rPr>
      </w:pPr>
      <w:r>
        <w:rPr>
          <w:rFonts w:hint="eastAsia" w:ascii="宋体" w:hAnsi="宋体" w:cs="宋体"/>
          <w:b/>
          <w:color w:val="auto"/>
          <w:highlight w:val="none"/>
        </w:rPr>
        <w:t>目录七、商务条款偏离表格式</w:t>
      </w:r>
    </w:p>
    <w:p w14:paraId="05EDD33A">
      <w:pPr>
        <w:pStyle w:val="264"/>
        <w:outlineLvl w:val="9"/>
        <w:rPr>
          <w:rFonts w:ascii="宋体" w:hAnsi="宋体" w:cs="宋体"/>
          <w:color w:val="auto"/>
          <w:highlight w:val="none"/>
        </w:rPr>
      </w:pPr>
      <w:r>
        <w:rPr>
          <w:rFonts w:hint="eastAsia" w:ascii="宋体" w:hAnsi="宋体" w:cs="宋体"/>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28FF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06CE8DF">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123B31AA">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9E1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E7D48D6">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69720CE5">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21684563">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2E078179">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3B49044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0DE8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D7B4FA">
            <w:pPr>
              <w:adjustRightInd w:val="0"/>
              <w:jc w:val="center"/>
              <w:rPr>
                <w:rFonts w:ascii="宋体" w:hAnsi="宋体" w:cs="宋体"/>
                <w:color w:val="auto"/>
                <w:szCs w:val="21"/>
                <w:highlight w:val="none"/>
                <w:lang w:val="zh-CN"/>
              </w:rPr>
            </w:pPr>
          </w:p>
        </w:tc>
        <w:tc>
          <w:tcPr>
            <w:tcW w:w="974" w:type="pct"/>
            <w:vAlign w:val="center"/>
          </w:tcPr>
          <w:p w14:paraId="326D931B">
            <w:pPr>
              <w:adjustRightInd w:val="0"/>
              <w:jc w:val="center"/>
              <w:rPr>
                <w:rFonts w:ascii="宋体" w:hAnsi="宋体" w:cs="宋体"/>
                <w:color w:val="auto"/>
                <w:szCs w:val="21"/>
                <w:highlight w:val="none"/>
                <w:lang w:val="zh-CN"/>
              </w:rPr>
            </w:pPr>
          </w:p>
        </w:tc>
        <w:tc>
          <w:tcPr>
            <w:tcW w:w="1515" w:type="pct"/>
            <w:vAlign w:val="center"/>
          </w:tcPr>
          <w:p w14:paraId="228B874C">
            <w:pPr>
              <w:adjustRightInd w:val="0"/>
              <w:jc w:val="center"/>
              <w:rPr>
                <w:rFonts w:ascii="宋体" w:hAnsi="宋体" w:cs="宋体"/>
                <w:color w:val="auto"/>
                <w:szCs w:val="21"/>
                <w:highlight w:val="none"/>
                <w:lang w:val="zh-CN"/>
              </w:rPr>
            </w:pPr>
          </w:p>
        </w:tc>
        <w:tc>
          <w:tcPr>
            <w:tcW w:w="1364" w:type="pct"/>
            <w:gridSpan w:val="2"/>
            <w:vAlign w:val="center"/>
          </w:tcPr>
          <w:p w14:paraId="74BE56C8">
            <w:pPr>
              <w:adjustRightInd w:val="0"/>
              <w:jc w:val="center"/>
              <w:rPr>
                <w:rFonts w:ascii="宋体" w:hAnsi="宋体" w:cs="宋体"/>
                <w:color w:val="auto"/>
                <w:szCs w:val="21"/>
                <w:highlight w:val="none"/>
                <w:lang w:val="zh-CN"/>
              </w:rPr>
            </w:pPr>
          </w:p>
        </w:tc>
        <w:tc>
          <w:tcPr>
            <w:tcW w:w="709" w:type="pct"/>
            <w:vAlign w:val="center"/>
          </w:tcPr>
          <w:p w14:paraId="604C2C9F">
            <w:pPr>
              <w:adjustRightInd w:val="0"/>
              <w:jc w:val="center"/>
              <w:rPr>
                <w:rFonts w:ascii="宋体" w:hAnsi="宋体" w:cs="宋体"/>
                <w:color w:val="auto"/>
                <w:szCs w:val="21"/>
                <w:highlight w:val="none"/>
                <w:lang w:val="zh-CN"/>
              </w:rPr>
            </w:pPr>
          </w:p>
        </w:tc>
      </w:tr>
      <w:tr w14:paraId="63F0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83232D">
            <w:pPr>
              <w:adjustRightInd w:val="0"/>
              <w:jc w:val="center"/>
              <w:rPr>
                <w:rFonts w:ascii="宋体" w:hAnsi="宋体" w:cs="宋体"/>
                <w:color w:val="auto"/>
                <w:szCs w:val="21"/>
                <w:highlight w:val="none"/>
                <w:lang w:val="zh-CN"/>
              </w:rPr>
            </w:pPr>
          </w:p>
        </w:tc>
        <w:tc>
          <w:tcPr>
            <w:tcW w:w="974" w:type="pct"/>
            <w:vAlign w:val="center"/>
          </w:tcPr>
          <w:p w14:paraId="6A317BA6">
            <w:pPr>
              <w:adjustRightInd w:val="0"/>
              <w:jc w:val="center"/>
              <w:rPr>
                <w:rFonts w:ascii="宋体" w:hAnsi="宋体" w:cs="宋体"/>
                <w:color w:val="auto"/>
                <w:szCs w:val="21"/>
                <w:highlight w:val="none"/>
                <w:lang w:val="zh-CN"/>
              </w:rPr>
            </w:pPr>
          </w:p>
        </w:tc>
        <w:tc>
          <w:tcPr>
            <w:tcW w:w="1515" w:type="pct"/>
            <w:vAlign w:val="center"/>
          </w:tcPr>
          <w:p w14:paraId="4EF53C31">
            <w:pPr>
              <w:adjustRightInd w:val="0"/>
              <w:jc w:val="center"/>
              <w:rPr>
                <w:rFonts w:ascii="宋体" w:hAnsi="宋体" w:cs="宋体"/>
                <w:color w:val="auto"/>
                <w:szCs w:val="21"/>
                <w:highlight w:val="none"/>
                <w:lang w:val="zh-CN"/>
              </w:rPr>
            </w:pPr>
          </w:p>
        </w:tc>
        <w:tc>
          <w:tcPr>
            <w:tcW w:w="1364" w:type="pct"/>
            <w:gridSpan w:val="2"/>
            <w:vAlign w:val="center"/>
          </w:tcPr>
          <w:p w14:paraId="000DFC15">
            <w:pPr>
              <w:adjustRightInd w:val="0"/>
              <w:jc w:val="center"/>
              <w:rPr>
                <w:rFonts w:ascii="宋体" w:hAnsi="宋体" w:cs="宋体"/>
                <w:color w:val="auto"/>
                <w:szCs w:val="21"/>
                <w:highlight w:val="none"/>
                <w:lang w:val="zh-CN"/>
              </w:rPr>
            </w:pPr>
          </w:p>
        </w:tc>
        <w:tc>
          <w:tcPr>
            <w:tcW w:w="709" w:type="pct"/>
            <w:vAlign w:val="center"/>
          </w:tcPr>
          <w:p w14:paraId="0AFAE434">
            <w:pPr>
              <w:adjustRightInd w:val="0"/>
              <w:jc w:val="center"/>
              <w:rPr>
                <w:rFonts w:ascii="宋体" w:hAnsi="宋体" w:cs="宋体"/>
                <w:color w:val="auto"/>
                <w:szCs w:val="21"/>
                <w:highlight w:val="none"/>
                <w:lang w:val="zh-CN"/>
              </w:rPr>
            </w:pPr>
          </w:p>
        </w:tc>
      </w:tr>
      <w:tr w14:paraId="176E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08B4C2E">
            <w:pPr>
              <w:adjustRightInd w:val="0"/>
              <w:jc w:val="center"/>
              <w:rPr>
                <w:rFonts w:ascii="宋体" w:hAnsi="宋体" w:cs="宋体"/>
                <w:color w:val="auto"/>
                <w:szCs w:val="21"/>
                <w:highlight w:val="none"/>
                <w:lang w:val="zh-CN"/>
              </w:rPr>
            </w:pPr>
          </w:p>
        </w:tc>
        <w:tc>
          <w:tcPr>
            <w:tcW w:w="974" w:type="pct"/>
            <w:vAlign w:val="center"/>
          </w:tcPr>
          <w:p w14:paraId="681A8921">
            <w:pPr>
              <w:adjustRightInd w:val="0"/>
              <w:jc w:val="center"/>
              <w:rPr>
                <w:rFonts w:ascii="宋体" w:hAnsi="宋体" w:cs="宋体"/>
                <w:color w:val="auto"/>
                <w:szCs w:val="21"/>
                <w:highlight w:val="none"/>
                <w:lang w:val="zh-CN"/>
              </w:rPr>
            </w:pPr>
          </w:p>
        </w:tc>
        <w:tc>
          <w:tcPr>
            <w:tcW w:w="1515" w:type="pct"/>
            <w:vAlign w:val="center"/>
          </w:tcPr>
          <w:p w14:paraId="04733959">
            <w:pPr>
              <w:adjustRightInd w:val="0"/>
              <w:jc w:val="center"/>
              <w:rPr>
                <w:rFonts w:ascii="宋体" w:hAnsi="宋体" w:cs="宋体"/>
                <w:color w:val="auto"/>
                <w:szCs w:val="21"/>
                <w:highlight w:val="none"/>
                <w:lang w:val="zh-CN"/>
              </w:rPr>
            </w:pPr>
          </w:p>
        </w:tc>
        <w:tc>
          <w:tcPr>
            <w:tcW w:w="1364" w:type="pct"/>
            <w:gridSpan w:val="2"/>
            <w:vAlign w:val="center"/>
          </w:tcPr>
          <w:p w14:paraId="66C47B68">
            <w:pPr>
              <w:adjustRightInd w:val="0"/>
              <w:jc w:val="center"/>
              <w:rPr>
                <w:rFonts w:ascii="宋体" w:hAnsi="宋体" w:cs="宋体"/>
                <w:color w:val="auto"/>
                <w:szCs w:val="21"/>
                <w:highlight w:val="none"/>
                <w:lang w:val="zh-CN"/>
              </w:rPr>
            </w:pPr>
          </w:p>
        </w:tc>
        <w:tc>
          <w:tcPr>
            <w:tcW w:w="709" w:type="pct"/>
            <w:vAlign w:val="center"/>
          </w:tcPr>
          <w:p w14:paraId="07647DBF">
            <w:pPr>
              <w:adjustRightInd w:val="0"/>
              <w:jc w:val="center"/>
              <w:rPr>
                <w:rFonts w:ascii="宋体" w:hAnsi="宋体" w:cs="宋体"/>
                <w:color w:val="auto"/>
                <w:szCs w:val="21"/>
                <w:highlight w:val="none"/>
                <w:lang w:val="zh-CN"/>
              </w:rPr>
            </w:pPr>
          </w:p>
        </w:tc>
      </w:tr>
      <w:tr w14:paraId="76541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5BCA7A">
            <w:pPr>
              <w:adjustRightInd w:val="0"/>
              <w:jc w:val="center"/>
              <w:rPr>
                <w:rFonts w:ascii="宋体" w:hAnsi="宋体" w:cs="宋体"/>
                <w:color w:val="auto"/>
                <w:szCs w:val="21"/>
                <w:highlight w:val="none"/>
                <w:lang w:val="zh-CN"/>
              </w:rPr>
            </w:pPr>
          </w:p>
        </w:tc>
        <w:tc>
          <w:tcPr>
            <w:tcW w:w="974" w:type="pct"/>
            <w:vAlign w:val="center"/>
          </w:tcPr>
          <w:p w14:paraId="47AB241A">
            <w:pPr>
              <w:adjustRightInd w:val="0"/>
              <w:jc w:val="center"/>
              <w:rPr>
                <w:rFonts w:ascii="宋体" w:hAnsi="宋体" w:cs="宋体"/>
                <w:color w:val="auto"/>
                <w:szCs w:val="21"/>
                <w:highlight w:val="none"/>
                <w:lang w:val="zh-CN"/>
              </w:rPr>
            </w:pPr>
          </w:p>
        </w:tc>
        <w:tc>
          <w:tcPr>
            <w:tcW w:w="1515" w:type="pct"/>
            <w:vAlign w:val="center"/>
          </w:tcPr>
          <w:p w14:paraId="47BFE111">
            <w:pPr>
              <w:adjustRightInd w:val="0"/>
              <w:jc w:val="center"/>
              <w:rPr>
                <w:rFonts w:ascii="宋体" w:hAnsi="宋体" w:cs="宋体"/>
                <w:color w:val="auto"/>
                <w:szCs w:val="21"/>
                <w:highlight w:val="none"/>
                <w:lang w:val="zh-CN"/>
              </w:rPr>
            </w:pPr>
          </w:p>
        </w:tc>
        <w:tc>
          <w:tcPr>
            <w:tcW w:w="1364" w:type="pct"/>
            <w:gridSpan w:val="2"/>
            <w:vAlign w:val="center"/>
          </w:tcPr>
          <w:p w14:paraId="7D18E8A6">
            <w:pPr>
              <w:adjustRightInd w:val="0"/>
              <w:jc w:val="center"/>
              <w:rPr>
                <w:rFonts w:ascii="宋体" w:hAnsi="宋体" w:cs="宋体"/>
                <w:color w:val="auto"/>
                <w:szCs w:val="21"/>
                <w:highlight w:val="none"/>
                <w:lang w:val="zh-CN"/>
              </w:rPr>
            </w:pPr>
          </w:p>
        </w:tc>
        <w:tc>
          <w:tcPr>
            <w:tcW w:w="709" w:type="pct"/>
            <w:vAlign w:val="center"/>
          </w:tcPr>
          <w:p w14:paraId="41ABE3F7">
            <w:pPr>
              <w:adjustRightInd w:val="0"/>
              <w:jc w:val="center"/>
              <w:rPr>
                <w:rFonts w:ascii="宋体" w:hAnsi="宋体" w:cs="宋体"/>
                <w:color w:val="auto"/>
                <w:szCs w:val="21"/>
                <w:highlight w:val="none"/>
                <w:lang w:val="zh-CN"/>
              </w:rPr>
            </w:pPr>
          </w:p>
        </w:tc>
      </w:tr>
      <w:tr w14:paraId="536E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39B79B1">
            <w:pPr>
              <w:adjustRightInd w:val="0"/>
              <w:jc w:val="center"/>
              <w:rPr>
                <w:rFonts w:ascii="宋体" w:hAnsi="宋体" w:cs="宋体"/>
                <w:color w:val="auto"/>
                <w:szCs w:val="21"/>
                <w:highlight w:val="none"/>
                <w:lang w:val="zh-CN"/>
              </w:rPr>
            </w:pPr>
          </w:p>
        </w:tc>
        <w:tc>
          <w:tcPr>
            <w:tcW w:w="974" w:type="pct"/>
            <w:vAlign w:val="center"/>
          </w:tcPr>
          <w:p w14:paraId="3C92099F">
            <w:pPr>
              <w:adjustRightInd w:val="0"/>
              <w:jc w:val="center"/>
              <w:rPr>
                <w:rFonts w:ascii="宋体" w:hAnsi="宋体" w:cs="宋体"/>
                <w:color w:val="auto"/>
                <w:szCs w:val="21"/>
                <w:highlight w:val="none"/>
                <w:lang w:val="zh-CN"/>
              </w:rPr>
            </w:pPr>
          </w:p>
        </w:tc>
        <w:tc>
          <w:tcPr>
            <w:tcW w:w="1515" w:type="pct"/>
            <w:vAlign w:val="center"/>
          </w:tcPr>
          <w:p w14:paraId="3DC3460E">
            <w:pPr>
              <w:adjustRightInd w:val="0"/>
              <w:jc w:val="center"/>
              <w:rPr>
                <w:rFonts w:ascii="宋体" w:hAnsi="宋体" w:cs="宋体"/>
                <w:color w:val="auto"/>
                <w:szCs w:val="21"/>
                <w:highlight w:val="none"/>
                <w:lang w:val="zh-CN"/>
              </w:rPr>
            </w:pPr>
          </w:p>
        </w:tc>
        <w:tc>
          <w:tcPr>
            <w:tcW w:w="1364" w:type="pct"/>
            <w:gridSpan w:val="2"/>
            <w:vAlign w:val="center"/>
          </w:tcPr>
          <w:p w14:paraId="17C0A72C">
            <w:pPr>
              <w:adjustRightInd w:val="0"/>
              <w:jc w:val="center"/>
              <w:rPr>
                <w:rFonts w:ascii="宋体" w:hAnsi="宋体" w:cs="宋体"/>
                <w:color w:val="auto"/>
                <w:szCs w:val="21"/>
                <w:highlight w:val="none"/>
                <w:lang w:val="zh-CN"/>
              </w:rPr>
            </w:pPr>
          </w:p>
        </w:tc>
        <w:tc>
          <w:tcPr>
            <w:tcW w:w="709" w:type="pct"/>
            <w:vAlign w:val="center"/>
          </w:tcPr>
          <w:p w14:paraId="20A420A8">
            <w:pPr>
              <w:adjustRightInd w:val="0"/>
              <w:jc w:val="center"/>
              <w:rPr>
                <w:rFonts w:ascii="宋体" w:hAnsi="宋体" w:cs="宋体"/>
                <w:color w:val="auto"/>
                <w:szCs w:val="21"/>
                <w:highlight w:val="none"/>
                <w:lang w:val="zh-CN"/>
              </w:rPr>
            </w:pPr>
          </w:p>
        </w:tc>
      </w:tr>
      <w:tr w14:paraId="44F2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00A6506">
            <w:pPr>
              <w:adjustRightInd w:val="0"/>
              <w:jc w:val="center"/>
              <w:rPr>
                <w:rFonts w:ascii="宋体" w:hAnsi="宋体" w:cs="宋体"/>
                <w:color w:val="auto"/>
                <w:szCs w:val="21"/>
                <w:highlight w:val="none"/>
                <w:lang w:val="zh-CN"/>
              </w:rPr>
            </w:pPr>
          </w:p>
        </w:tc>
        <w:tc>
          <w:tcPr>
            <w:tcW w:w="974" w:type="pct"/>
            <w:vAlign w:val="center"/>
          </w:tcPr>
          <w:p w14:paraId="07028598">
            <w:pPr>
              <w:adjustRightInd w:val="0"/>
              <w:jc w:val="center"/>
              <w:rPr>
                <w:rFonts w:ascii="宋体" w:hAnsi="宋体" w:cs="宋体"/>
                <w:color w:val="auto"/>
                <w:szCs w:val="21"/>
                <w:highlight w:val="none"/>
                <w:lang w:val="zh-CN"/>
              </w:rPr>
            </w:pPr>
          </w:p>
        </w:tc>
        <w:tc>
          <w:tcPr>
            <w:tcW w:w="1515" w:type="pct"/>
            <w:vAlign w:val="center"/>
          </w:tcPr>
          <w:p w14:paraId="6A0878D9">
            <w:pPr>
              <w:adjustRightInd w:val="0"/>
              <w:jc w:val="center"/>
              <w:rPr>
                <w:rFonts w:ascii="宋体" w:hAnsi="宋体" w:cs="宋体"/>
                <w:color w:val="auto"/>
                <w:szCs w:val="21"/>
                <w:highlight w:val="none"/>
                <w:lang w:val="zh-CN"/>
              </w:rPr>
            </w:pPr>
          </w:p>
        </w:tc>
        <w:tc>
          <w:tcPr>
            <w:tcW w:w="1364" w:type="pct"/>
            <w:gridSpan w:val="2"/>
            <w:vAlign w:val="center"/>
          </w:tcPr>
          <w:p w14:paraId="16F9D378">
            <w:pPr>
              <w:adjustRightInd w:val="0"/>
              <w:jc w:val="center"/>
              <w:rPr>
                <w:rFonts w:ascii="宋体" w:hAnsi="宋体" w:cs="宋体"/>
                <w:color w:val="auto"/>
                <w:szCs w:val="21"/>
                <w:highlight w:val="none"/>
                <w:lang w:val="zh-CN"/>
              </w:rPr>
            </w:pPr>
          </w:p>
        </w:tc>
        <w:tc>
          <w:tcPr>
            <w:tcW w:w="709" w:type="pct"/>
            <w:vAlign w:val="center"/>
          </w:tcPr>
          <w:p w14:paraId="0D46187F">
            <w:pPr>
              <w:adjustRightInd w:val="0"/>
              <w:jc w:val="center"/>
              <w:rPr>
                <w:rFonts w:ascii="宋体" w:hAnsi="宋体" w:cs="宋体"/>
                <w:color w:val="auto"/>
                <w:szCs w:val="21"/>
                <w:highlight w:val="none"/>
                <w:lang w:val="zh-CN"/>
              </w:rPr>
            </w:pPr>
          </w:p>
        </w:tc>
      </w:tr>
      <w:tr w14:paraId="6B66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A38A9F">
            <w:pPr>
              <w:jc w:val="center"/>
              <w:rPr>
                <w:rFonts w:ascii="宋体" w:hAnsi="宋体" w:cs="宋体"/>
                <w:color w:val="auto"/>
                <w:szCs w:val="21"/>
                <w:highlight w:val="none"/>
              </w:rPr>
            </w:pPr>
          </w:p>
        </w:tc>
        <w:tc>
          <w:tcPr>
            <w:tcW w:w="974" w:type="pct"/>
            <w:vAlign w:val="center"/>
          </w:tcPr>
          <w:p w14:paraId="09748377">
            <w:pPr>
              <w:jc w:val="center"/>
              <w:rPr>
                <w:rFonts w:ascii="宋体" w:hAnsi="宋体" w:cs="宋体"/>
                <w:color w:val="auto"/>
                <w:szCs w:val="21"/>
                <w:highlight w:val="none"/>
              </w:rPr>
            </w:pPr>
          </w:p>
        </w:tc>
        <w:tc>
          <w:tcPr>
            <w:tcW w:w="1515" w:type="pct"/>
            <w:vAlign w:val="center"/>
          </w:tcPr>
          <w:p w14:paraId="698F14AE">
            <w:pPr>
              <w:jc w:val="center"/>
              <w:rPr>
                <w:rFonts w:ascii="宋体" w:hAnsi="宋体" w:cs="宋体"/>
                <w:color w:val="auto"/>
                <w:szCs w:val="21"/>
                <w:highlight w:val="none"/>
              </w:rPr>
            </w:pPr>
          </w:p>
        </w:tc>
        <w:tc>
          <w:tcPr>
            <w:tcW w:w="1364" w:type="pct"/>
            <w:gridSpan w:val="2"/>
            <w:vAlign w:val="center"/>
          </w:tcPr>
          <w:p w14:paraId="12D49C3D">
            <w:pPr>
              <w:jc w:val="center"/>
              <w:rPr>
                <w:rFonts w:ascii="宋体" w:hAnsi="宋体" w:cs="宋体"/>
                <w:color w:val="auto"/>
                <w:szCs w:val="21"/>
                <w:highlight w:val="none"/>
              </w:rPr>
            </w:pPr>
          </w:p>
        </w:tc>
        <w:tc>
          <w:tcPr>
            <w:tcW w:w="709" w:type="pct"/>
            <w:vAlign w:val="center"/>
          </w:tcPr>
          <w:p w14:paraId="79A9B314">
            <w:pPr>
              <w:jc w:val="center"/>
              <w:rPr>
                <w:rFonts w:ascii="宋体" w:hAnsi="宋体" w:cs="宋体"/>
                <w:color w:val="auto"/>
                <w:szCs w:val="21"/>
                <w:highlight w:val="none"/>
              </w:rPr>
            </w:pPr>
          </w:p>
        </w:tc>
      </w:tr>
    </w:tbl>
    <w:p w14:paraId="4B4ECBB9">
      <w:pPr>
        <w:adjustRightInd w:val="0"/>
        <w:spacing w:line="360" w:lineRule="auto"/>
        <w:jc w:val="left"/>
        <w:rPr>
          <w:rFonts w:ascii="宋体" w:hAnsi="宋体" w:cs="宋体"/>
          <w:color w:val="auto"/>
          <w:szCs w:val="21"/>
          <w:highlight w:val="none"/>
          <w:lang w:val="zh-CN"/>
        </w:rPr>
      </w:pPr>
    </w:p>
    <w:p w14:paraId="0A197A24">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7996AF9">
      <w:pPr>
        <w:widowControl/>
        <w:spacing w:line="360" w:lineRule="auto"/>
        <w:jc w:val="left"/>
        <w:rPr>
          <w:rFonts w:ascii="宋体" w:hAnsi="宋体" w:cs="宋体"/>
          <w:color w:val="auto"/>
          <w:szCs w:val="21"/>
          <w:highlight w:val="none"/>
          <w:lang w:val="zh-CN"/>
        </w:rPr>
      </w:pPr>
    </w:p>
    <w:p w14:paraId="62EBF417">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14613B31">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1D5FB07B">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67D1444F">
      <w:pPr>
        <w:pStyle w:val="18"/>
        <w:widowControl/>
        <w:numPr>
          <w:ilvl w:val="0"/>
          <w:numId w:val="57"/>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3CAC9573">
      <w:pPr>
        <w:rPr>
          <w:rFonts w:ascii="宋体" w:hAnsi="宋体" w:cs="宋体"/>
          <w:b/>
          <w:color w:val="auto"/>
          <w:highlight w:val="none"/>
        </w:rPr>
      </w:pPr>
      <w:r>
        <w:rPr>
          <w:rFonts w:hint="eastAsia" w:ascii="宋体" w:hAnsi="宋体" w:cs="宋体"/>
          <w:b/>
          <w:color w:val="auto"/>
          <w:highlight w:val="none"/>
        </w:rPr>
        <w:br w:type="page"/>
      </w:r>
    </w:p>
    <w:p w14:paraId="24C202EF">
      <w:pPr>
        <w:pStyle w:val="18"/>
        <w:ind w:firstLine="482"/>
        <w:rPr>
          <w:rFonts w:ascii="宋体" w:hAnsi="宋体" w:cs="宋体"/>
          <w:b/>
          <w:color w:val="auto"/>
          <w:highlight w:val="none"/>
        </w:rPr>
      </w:pPr>
      <w:r>
        <w:rPr>
          <w:rFonts w:hint="eastAsia" w:ascii="宋体" w:hAnsi="宋体" w:cs="宋体"/>
          <w:b/>
          <w:color w:val="auto"/>
          <w:highlight w:val="none"/>
        </w:rPr>
        <w:t>目录八、方案或承诺</w:t>
      </w:r>
    </w:p>
    <w:p w14:paraId="202625C2">
      <w:pPr>
        <w:spacing w:line="240" w:lineRule="atLeast"/>
        <w:rPr>
          <w:rFonts w:ascii="宋体" w:hAnsi="宋体" w:cs="宋体"/>
          <w:b/>
          <w:color w:val="auto"/>
          <w:highlight w:val="none"/>
        </w:rPr>
      </w:pPr>
    </w:p>
    <w:p w14:paraId="5EDF8150">
      <w:pPr>
        <w:pStyle w:val="41"/>
        <w:rPr>
          <w:rFonts w:ascii="宋体" w:hAnsi="宋体" w:eastAsia="宋体" w:cs="宋体"/>
          <w:color w:val="auto"/>
          <w:highlight w:val="none"/>
        </w:rPr>
      </w:pPr>
      <w:r>
        <w:rPr>
          <w:rFonts w:hint="eastAsia" w:ascii="宋体" w:hAnsi="宋体" w:eastAsia="宋体" w:cs="宋体"/>
          <w:color w:val="auto"/>
          <w:highlight w:val="none"/>
        </w:rPr>
        <w:t>方案或承诺</w:t>
      </w:r>
    </w:p>
    <w:p w14:paraId="675BB20D">
      <w:pPr>
        <w:spacing w:line="240" w:lineRule="atLeast"/>
        <w:rPr>
          <w:rFonts w:ascii="宋体" w:hAnsi="宋体" w:cs="宋体"/>
          <w:color w:val="auto"/>
          <w:sz w:val="36"/>
          <w:szCs w:val="36"/>
          <w:highlight w:val="none"/>
        </w:rPr>
      </w:pPr>
    </w:p>
    <w:p w14:paraId="4B8FA547">
      <w:pPr>
        <w:spacing w:line="240" w:lineRule="atLeast"/>
        <w:rPr>
          <w:rFonts w:ascii="宋体" w:hAnsi="宋体" w:cs="宋体"/>
          <w:color w:val="auto"/>
          <w:sz w:val="36"/>
          <w:szCs w:val="36"/>
          <w:highlight w:val="none"/>
        </w:rPr>
      </w:pPr>
    </w:p>
    <w:p w14:paraId="30A0703E">
      <w:pPr>
        <w:pStyle w:val="43"/>
        <w:ind w:firstLine="720"/>
        <w:rPr>
          <w:rFonts w:cs="宋体"/>
          <w:color w:val="auto"/>
          <w:sz w:val="36"/>
          <w:szCs w:val="36"/>
          <w:highlight w:val="none"/>
        </w:rPr>
      </w:pPr>
    </w:p>
    <w:p w14:paraId="4EA2EC6C">
      <w:pPr>
        <w:rPr>
          <w:rFonts w:ascii="宋体" w:hAnsi="宋体" w:cs="宋体"/>
          <w:color w:val="auto"/>
          <w:highlight w:val="none"/>
        </w:rPr>
      </w:pPr>
    </w:p>
    <w:p w14:paraId="150408F6">
      <w:pPr>
        <w:spacing w:line="240" w:lineRule="atLeast"/>
        <w:rPr>
          <w:rFonts w:ascii="宋体" w:hAnsi="宋体" w:cs="宋体"/>
          <w:color w:val="auto"/>
          <w:sz w:val="36"/>
          <w:szCs w:val="36"/>
          <w:highlight w:val="none"/>
        </w:rPr>
      </w:pPr>
    </w:p>
    <w:p w14:paraId="353C3524">
      <w:pPr>
        <w:pStyle w:val="18"/>
        <w:widowControl/>
        <w:ind w:firstLine="482"/>
        <w:rPr>
          <w:rFonts w:ascii="宋体" w:hAnsi="宋体" w:cs="宋体"/>
          <w:b/>
          <w:color w:val="auto"/>
          <w:highlight w:val="none"/>
        </w:rPr>
      </w:pPr>
      <w:r>
        <w:rPr>
          <w:rFonts w:hint="eastAsia" w:ascii="宋体" w:hAnsi="宋体" w:cs="宋体"/>
          <w:b/>
          <w:color w:val="auto"/>
          <w:highlight w:val="none"/>
        </w:rPr>
        <w:t>目录九、拟投入本项目人员一览表</w:t>
      </w:r>
    </w:p>
    <w:p w14:paraId="0767978A">
      <w:pPr>
        <w:widowControl/>
        <w:adjustRightInd w:val="0"/>
        <w:spacing w:line="440" w:lineRule="exact"/>
        <w:rPr>
          <w:rFonts w:ascii="宋体" w:hAnsi="宋体" w:cs="宋体"/>
          <w:b/>
          <w:bCs/>
          <w:color w:val="auto"/>
          <w:sz w:val="24"/>
          <w:highlight w:val="none"/>
        </w:rPr>
      </w:pPr>
    </w:p>
    <w:p w14:paraId="6DD565C6">
      <w:pPr>
        <w:pStyle w:val="264"/>
        <w:widowControl/>
        <w:outlineLvl w:val="9"/>
        <w:rPr>
          <w:rFonts w:ascii="宋体" w:hAnsi="宋体" w:cs="宋体"/>
          <w:color w:val="auto"/>
          <w:highlight w:val="none"/>
        </w:rPr>
      </w:pPr>
      <w:bookmarkStart w:id="9" w:name="_Toc14092"/>
      <w:bookmarkStart w:id="10" w:name="_Toc32681"/>
      <w:r>
        <w:rPr>
          <w:rFonts w:hint="eastAsia" w:ascii="宋体" w:hAnsi="宋体" w:cs="宋体"/>
          <w:color w:val="auto"/>
          <w:highlight w:val="none"/>
        </w:rPr>
        <w:t>拟投入本项目人员一览表</w:t>
      </w:r>
      <w:bookmarkEnd w:id="9"/>
      <w:bookmarkEnd w:id="10"/>
    </w:p>
    <w:p w14:paraId="1FCDDBA1">
      <w:pPr>
        <w:widowControl/>
        <w:adjustRightInd w:val="0"/>
        <w:spacing w:line="440" w:lineRule="exact"/>
        <w:jc w:val="center"/>
        <w:rPr>
          <w:rFonts w:ascii="宋体" w:hAnsi="宋体" w:cs="宋体"/>
          <w:b/>
          <w:bCs/>
          <w:color w:val="auto"/>
          <w:szCs w:val="21"/>
          <w:highlight w:val="none"/>
        </w:rPr>
      </w:pPr>
    </w:p>
    <w:p w14:paraId="7EC1317E">
      <w:pPr>
        <w:widowControl/>
        <w:adjustRightInd w:val="0"/>
        <w:spacing w:line="440" w:lineRule="exact"/>
        <w:rPr>
          <w:rFonts w:ascii="宋体" w:hAnsi="宋体" w:cs="宋体"/>
          <w:color w:val="auto"/>
          <w:szCs w:val="21"/>
          <w:highlight w:val="none"/>
        </w:rPr>
      </w:pPr>
      <w:r>
        <w:rPr>
          <w:rFonts w:hint="eastAsia" w:ascii="宋体" w:hAnsi="宋体" w:cs="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481F7D6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2869B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0D3131CF">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06E8BBB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5CF0962E">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47DBCA6D">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26ED458C">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1935884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EAEFD41">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3EAA76E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175A273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5B5C9A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9A51ED3">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BE1E6A3">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7817B6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4E35FD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6EE890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07FEB0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844B8C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7B56733">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971A4F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D3EF709">
            <w:pPr>
              <w:widowControl/>
              <w:adjustRightInd w:val="0"/>
              <w:rPr>
                <w:rFonts w:ascii="宋体" w:hAnsi="宋体" w:cs="宋体"/>
                <w:color w:val="auto"/>
                <w:szCs w:val="21"/>
                <w:highlight w:val="none"/>
              </w:rPr>
            </w:pPr>
          </w:p>
        </w:tc>
      </w:tr>
      <w:tr w14:paraId="3479FC9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88671A0">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DC90E3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A5A96A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85A75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7061778">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0F2D15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7965576">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F3A5329">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959138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24E30D1">
            <w:pPr>
              <w:widowControl/>
              <w:adjustRightInd w:val="0"/>
              <w:rPr>
                <w:rFonts w:ascii="宋体" w:hAnsi="宋体" w:cs="宋体"/>
                <w:color w:val="auto"/>
                <w:szCs w:val="21"/>
                <w:highlight w:val="none"/>
              </w:rPr>
            </w:pPr>
          </w:p>
        </w:tc>
      </w:tr>
      <w:tr w14:paraId="1403A7D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BE40F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2A212C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8D0BDF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7AF7B7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1A7D2E8">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FED0DDF">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98F8BE7">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7313401">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3E8667D">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B11B9B2">
            <w:pPr>
              <w:widowControl/>
              <w:adjustRightInd w:val="0"/>
              <w:rPr>
                <w:rFonts w:ascii="宋体" w:hAnsi="宋体" w:cs="宋体"/>
                <w:color w:val="auto"/>
                <w:szCs w:val="21"/>
                <w:highlight w:val="none"/>
              </w:rPr>
            </w:pPr>
          </w:p>
        </w:tc>
      </w:tr>
      <w:tr w14:paraId="68C7DC2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C76A4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36CD54">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357EA97">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6A32A0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E5F054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26FA54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E298E6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5E720CE">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DD3339">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35B5EE0">
            <w:pPr>
              <w:widowControl/>
              <w:adjustRightInd w:val="0"/>
              <w:rPr>
                <w:rFonts w:ascii="宋体" w:hAnsi="宋体" w:cs="宋体"/>
                <w:color w:val="auto"/>
                <w:szCs w:val="21"/>
                <w:highlight w:val="none"/>
              </w:rPr>
            </w:pPr>
          </w:p>
        </w:tc>
      </w:tr>
      <w:tr w14:paraId="38A3840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3A3ED3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4E4EF0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191731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2A1817A">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2862103">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9D6A5C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3E4092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7306671">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002151">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3E443DB">
            <w:pPr>
              <w:widowControl/>
              <w:adjustRightInd w:val="0"/>
              <w:rPr>
                <w:rFonts w:ascii="宋体" w:hAnsi="宋体" w:cs="宋体"/>
                <w:color w:val="auto"/>
                <w:szCs w:val="21"/>
                <w:highlight w:val="none"/>
              </w:rPr>
            </w:pPr>
          </w:p>
        </w:tc>
      </w:tr>
      <w:tr w14:paraId="53FF28F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08B610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7649BC0">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82ACBFD">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F57CA4">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A0D6A9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824D49D">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624596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1AE58FA">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343E7F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E01A19A">
            <w:pPr>
              <w:widowControl/>
              <w:adjustRightInd w:val="0"/>
              <w:rPr>
                <w:rFonts w:ascii="宋体" w:hAnsi="宋体" w:cs="宋体"/>
                <w:color w:val="auto"/>
                <w:szCs w:val="21"/>
                <w:highlight w:val="none"/>
              </w:rPr>
            </w:pPr>
          </w:p>
        </w:tc>
      </w:tr>
      <w:tr w14:paraId="7E473EE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9B2821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0EFF74E">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BD1598F">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A1B37A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3882B5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85FE64B">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588B40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7B4112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65E48B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7121F0">
            <w:pPr>
              <w:widowControl/>
              <w:adjustRightInd w:val="0"/>
              <w:rPr>
                <w:rFonts w:ascii="宋体" w:hAnsi="宋体" w:cs="宋体"/>
                <w:color w:val="auto"/>
                <w:szCs w:val="21"/>
                <w:highlight w:val="none"/>
              </w:rPr>
            </w:pPr>
          </w:p>
        </w:tc>
      </w:tr>
      <w:tr w14:paraId="119C120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D0C099D">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D7FD522">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ABD263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9ADABC7">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F67DC0">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D19EE07">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4353D95">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AA6FBE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75AFE0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0501D23">
            <w:pPr>
              <w:widowControl/>
              <w:adjustRightInd w:val="0"/>
              <w:rPr>
                <w:rFonts w:ascii="宋体" w:hAnsi="宋体" w:cs="宋体"/>
                <w:color w:val="auto"/>
                <w:szCs w:val="21"/>
                <w:highlight w:val="none"/>
              </w:rPr>
            </w:pPr>
          </w:p>
        </w:tc>
      </w:tr>
    </w:tbl>
    <w:p w14:paraId="7E1CE1AF">
      <w:pPr>
        <w:widowControl/>
        <w:adjustRightInd w:val="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rPr>
        <w:t>（公章）</w:t>
      </w:r>
    </w:p>
    <w:p w14:paraId="7A2465DF">
      <w:pPr>
        <w:pStyle w:val="22"/>
        <w:rPr>
          <w:rFonts w:hAnsi="宋体" w:cs="宋体"/>
          <w:color w:val="auto"/>
          <w:szCs w:val="21"/>
          <w:highlight w:val="none"/>
        </w:rPr>
      </w:pPr>
    </w:p>
    <w:p w14:paraId="6F49A7AE">
      <w:pPr>
        <w:pStyle w:val="18"/>
        <w:widowControl/>
        <w:ind w:firstLine="482"/>
        <w:rPr>
          <w:rFonts w:ascii="宋体" w:hAnsi="宋体" w:cs="宋体"/>
          <w:b/>
          <w:color w:val="auto"/>
          <w:highlight w:val="none"/>
        </w:rPr>
      </w:pPr>
      <w:r>
        <w:rPr>
          <w:rFonts w:hint="eastAsia" w:ascii="宋体" w:hAnsi="宋体" w:cs="宋体"/>
          <w:b/>
          <w:color w:val="auto"/>
          <w:highlight w:val="none"/>
        </w:rPr>
        <w:t>说明：如果行数不够，请自行增加。</w:t>
      </w:r>
    </w:p>
    <w:p w14:paraId="694D2EBC">
      <w:pPr>
        <w:spacing w:line="240" w:lineRule="atLeast"/>
        <w:rPr>
          <w:rFonts w:ascii="宋体" w:hAnsi="宋体" w:cs="宋体"/>
          <w:b/>
          <w:color w:val="auto"/>
          <w:highlight w:val="none"/>
        </w:rPr>
      </w:pPr>
    </w:p>
    <w:p w14:paraId="455D9AC2">
      <w:pPr>
        <w:rPr>
          <w:rFonts w:ascii="宋体" w:hAnsi="宋体" w:cs="宋体"/>
          <w:b/>
          <w:color w:val="auto"/>
          <w:highlight w:val="none"/>
        </w:rPr>
      </w:pPr>
      <w:r>
        <w:rPr>
          <w:rFonts w:hint="eastAsia" w:ascii="宋体" w:hAnsi="宋体" w:cs="宋体"/>
          <w:b/>
          <w:color w:val="auto"/>
          <w:highlight w:val="none"/>
        </w:rPr>
        <w:br w:type="page"/>
      </w:r>
    </w:p>
    <w:p w14:paraId="0B9459E3">
      <w:pPr>
        <w:pStyle w:val="262"/>
        <w:rPr>
          <w:rFonts w:ascii="宋体" w:hAnsi="宋体" w:eastAsia="宋体" w:cs="宋体"/>
          <w:color w:val="auto"/>
          <w:highlight w:val="none"/>
        </w:rPr>
      </w:pPr>
      <w:r>
        <w:rPr>
          <w:rFonts w:hint="eastAsia" w:ascii="宋体" w:hAnsi="宋体" w:eastAsia="宋体" w:cs="宋体"/>
          <w:color w:val="auto"/>
          <w:highlight w:val="none"/>
        </w:rPr>
        <w:t>目录十、响应需要的其他证明文件及材料</w:t>
      </w:r>
    </w:p>
    <w:p w14:paraId="0CEBFA84">
      <w:pPr>
        <w:spacing w:line="240" w:lineRule="atLeast"/>
        <w:rPr>
          <w:rFonts w:ascii="宋体" w:hAnsi="宋体" w:cs="宋体"/>
          <w:b/>
          <w:color w:val="auto"/>
          <w:highlight w:val="none"/>
        </w:rPr>
      </w:pPr>
    </w:p>
    <w:p w14:paraId="695C81F8">
      <w:pPr>
        <w:spacing w:line="240" w:lineRule="atLeast"/>
        <w:rPr>
          <w:rFonts w:ascii="宋体" w:hAnsi="宋体" w:cs="宋体"/>
          <w:b/>
          <w:color w:val="auto"/>
          <w:highlight w:val="none"/>
        </w:rPr>
      </w:pPr>
    </w:p>
    <w:p w14:paraId="434B3D26">
      <w:pPr>
        <w:pStyle w:val="266"/>
        <w:rPr>
          <w:color w:val="auto"/>
          <w:highlight w:val="none"/>
        </w:rPr>
      </w:pPr>
      <w:r>
        <w:rPr>
          <w:rFonts w:hint="eastAsia"/>
          <w:color w:val="auto"/>
          <w:highlight w:val="none"/>
        </w:rPr>
        <w:t>响应需要的其他证明文件及材料（若有）</w:t>
      </w:r>
    </w:p>
    <w:p w14:paraId="5D94CC83">
      <w:pPr>
        <w:rPr>
          <w:rFonts w:ascii="宋体" w:hAnsi="宋体" w:cs="宋体"/>
          <w:b/>
          <w:color w:val="auto"/>
          <w:highlight w:val="none"/>
        </w:rPr>
      </w:pPr>
      <w:r>
        <w:rPr>
          <w:rFonts w:hint="eastAsia" w:ascii="宋体" w:hAnsi="宋体" w:cs="宋体"/>
          <w:b/>
          <w:color w:val="auto"/>
          <w:highlight w:val="none"/>
        </w:rPr>
        <w:br w:type="page"/>
      </w:r>
    </w:p>
    <w:p w14:paraId="74E37D7C">
      <w:pPr>
        <w:pStyle w:val="261"/>
        <w:rPr>
          <w:rFonts w:ascii="宋体" w:hAnsi="宋体" w:cs="宋体"/>
          <w:color w:val="auto"/>
          <w:highlight w:val="none"/>
        </w:rPr>
      </w:pPr>
      <w:r>
        <w:rPr>
          <w:rFonts w:hint="eastAsia" w:ascii="宋体" w:hAnsi="宋体" w:cs="宋体"/>
          <w:color w:val="auto"/>
          <w:highlight w:val="none"/>
        </w:rPr>
        <w:t>附件一、无重大违法记录声明格式</w:t>
      </w:r>
    </w:p>
    <w:p w14:paraId="7420F179">
      <w:pPr>
        <w:adjustRightInd w:val="0"/>
        <w:spacing w:line="240" w:lineRule="atLeast"/>
        <w:rPr>
          <w:rFonts w:ascii="宋体" w:hAnsi="宋体" w:cs="宋体"/>
          <w:b/>
          <w:color w:val="auto"/>
          <w:highlight w:val="none"/>
        </w:rPr>
      </w:pPr>
    </w:p>
    <w:p w14:paraId="7865E9B2">
      <w:pPr>
        <w:pStyle w:val="266"/>
        <w:rPr>
          <w:color w:val="auto"/>
          <w:highlight w:val="none"/>
        </w:rPr>
      </w:pPr>
      <w:r>
        <w:rPr>
          <w:rFonts w:hint="eastAsia"/>
          <w:color w:val="auto"/>
          <w:highlight w:val="none"/>
        </w:rPr>
        <w:t>无重大违法记录声明</w:t>
      </w:r>
    </w:p>
    <w:p w14:paraId="1F40BA35">
      <w:pPr>
        <w:spacing w:line="360" w:lineRule="auto"/>
        <w:rPr>
          <w:rFonts w:ascii="宋体" w:hAnsi="宋体" w:cs="宋体"/>
          <w:color w:val="auto"/>
          <w:highlight w:val="none"/>
        </w:rPr>
      </w:pPr>
    </w:p>
    <w:p w14:paraId="644F9B27">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3E1D19F5">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w:t>
      </w:r>
    </w:p>
    <w:p w14:paraId="0CFFC718">
      <w:pPr>
        <w:pStyle w:val="18"/>
        <w:ind w:firstLine="480"/>
        <w:rPr>
          <w:rFonts w:ascii="宋体" w:hAnsi="宋体" w:cs="宋体"/>
          <w:color w:val="auto"/>
          <w:highlight w:val="none"/>
        </w:rPr>
      </w:pPr>
      <w:r>
        <w:rPr>
          <w:rFonts w:hint="eastAsia" w:ascii="宋体" w:hAnsi="宋体" w:cs="宋体"/>
          <w:color w:val="auto"/>
          <w:highlight w:val="none"/>
        </w:rPr>
        <w:t>参加采购活动前3年内在经营活动中</w:t>
      </w:r>
      <w:r>
        <w:rPr>
          <w:rFonts w:hint="eastAsia" w:ascii="宋体" w:hAnsi="宋体" w:cs="宋体"/>
          <w:color w:val="auto"/>
          <w:highlight w:val="none"/>
          <w:u w:val="single"/>
        </w:rPr>
        <w:t xml:space="preserve">     没有     </w:t>
      </w:r>
      <w:r>
        <w:rPr>
          <w:rFonts w:hint="eastAsia" w:ascii="宋体" w:hAnsi="宋体" w:cs="宋体"/>
          <w:color w:val="auto"/>
          <w:highlight w:val="none"/>
        </w:rPr>
        <w:t>（在下划线上如实填写：有或没有）重大违法记录。</w:t>
      </w:r>
    </w:p>
    <w:p w14:paraId="76D0D8D9">
      <w:pPr>
        <w:pStyle w:val="18"/>
        <w:ind w:firstLine="480"/>
        <w:rPr>
          <w:rFonts w:ascii="宋体" w:hAnsi="宋体" w:cs="宋体"/>
          <w:color w:val="auto"/>
          <w:highlight w:val="none"/>
        </w:rPr>
      </w:pPr>
      <w:r>
        <w:rPr>
          <w:rFonts w:hint="eastAsia" w:ascii="宋体" w:hAnsi="宋体" w:cs="宋体"/>
          <w:color w:val="auto"/>
          <w:highlight w:val="none"/>
        </w:rPr>
        <w:t>（说明：所称重大违法记录，是指供应商因违法经营受到刑事处罚或者责令停产停业、吊销许可证或者执照、较大数额罚款等行政处罚。）</w:t>
      </w:r>
    </w:p>
    <w:p w14:paraId="5BB586DE">
      <w:pPr>
        <w:spacing w:line="360" w:lineRule="auto"/>
        <w:rPr>
          <w:rFonts w:ascii="宋体" w:hAnsi="宋体" w:cs="宋体"/>
          <w:color w:val="auto"/>
          <w:sz w:val="24"/>
          <w:szCs w:val="24"/>
          <w:highlight w:val="none"/>
        </w:rPr>
      </w:pPr>
    </w:p>
    <w:p w14:paraId="06C9F444">
      <w:pPr>
        <w:spacing w:line="360" w:lineRule="auto"/>
        <w:rPr>
          <w:rFonts w:ascii="宋体" w:hAnsi="宋体" w:cs="宋体"/>
          <w:color w:val="auto"/>
          <w:sz w:val="24"/>
          <w:szCs w:val="24"/>
          <w:highlight w:val="none"/>
        </w:rPr>
      </w:pPr>
    </w:p>
    <w:p w14:paraId="7C271741">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声明人（公章）：</w:t>
      </w:r>
    </w:p>
    <w:p w14:paraId="622939D3">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1C9B7037">
      <w:pPr>
        <w:pStyle w:val="43"/>
        <w:ind w:left="0" w:leftChars="0" w:firstLine="0" w:firstLineChars="0"/>
        <w:rPr>
          <w:rFonts w:cs="宋体"/>
          <w:color w:val="auto"/>
          <w:highlight w:val="none"/>
        </w:rPr>
      </w:pPr>
    </w:p>
    <w:p w14:paraId="58675D56">
      <w:pPr>
        <w:rPr>
          <w:rFonts w:ascii="宋体" w:hAnsi="宋体" w:cs="宋体"/>
          <w:color w:val="auto"/>
          <w:highlight w:val="none"/>
        </w:rPr>
      </w:pPr>
    </w:p>
    <w:p w14:paraId="62B2E748">
      <w:pPr>
        <w:spacing w:line="360" w:lineRule="auto"/>
        <w:rPr>
          <w:rFonts w:ascii="宋体" w:hAnsi="宋体" w:cs="宋体"/>
          <w:b/>
          <w:color w:val="auto"/>
          <w:highlight w:val="none"/>
        </w:rPr>
      </w:pPr>
    </w:p>
    <w:p w14:paraId="563DAED8">
      <w:pPr>
        <w:pStyle w:val="261"/>
        <w:rPr>
          <w:rFonts w:ascii="宋体" w:hAnsi="宋体" w:cs="宋体"/>
          <w:color w:val="auto"/>
          <w:highlight w:val="none"/>
        </w:rPr>
      </w:pPr>
      <w:r>
        <w:rPr>
          <w:rFonts w:hint="eastAsia" w:ascii="宋体" w:hAnsi="宋体" w:cs="宋体"/>
          <w:color w:val="auto"/>
          <w:highlight w:val="none"/>
        </w:rPr>
        <w:t>附件二、具备履行合同所必需的设备和专业技术能力的声明格式或证明材料</w:t>
      </w:r>
    </w:p>
    <w:p w14:paraId="69D08027">
      <w:pPr>
        <w:pStyle w:val="266"/>
        <w:rPr>
          <w:color w:val="auto"/>
          <w:highlight w:val="none"/>
        </w:rPr>
      </w:pPr>
      <w:r>
        <w:rPr>
          <w:rFonts w:hint="eastAsia"/>
          <w:color w:val="auto"/>
          <w:highlight w:val="none"/>
        </w:rPr>
        <w:t>具备履行合同所必需的设备和专业技术能力的声明</w:t>
      </w:r>
    </w:p>
    <w:p w14:paraId="220AA85A">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7B1B9841">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51092946">
      <w:pPr>
        <w:pStyle w:val="18"/>
        <w:ind w:firstLine="480"/>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07B71416">
      <w:pPr>
        <w:pStyle w:val="18"/>
        <w:ind w:firstLine="480"/>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740F099C">
      <w:pPr>
        <w:spacing w:line="360" w:lineRule="auto"/>
        <w:rPr>
          <w:rFonts w:ascii="宋体" w:hAnsi="宋体" w:cs="宋体"/>
          <w:color w:val="auto"/>
          <w:sz w:val="24"/>
          <w:highlight w:val="none"/>
        </w:rPr>
      </w:pPr>
    </w:p>
    <w:p w14:paraId="6D017479">
      <w:pPr>
        <w:spacing w:line="360" w:lineRule="auto"/>
        <w:rPr>
          <w:rFonts w:ascii="宋体" w:hAnsi="宋体" w:cs="宋体"/>
          <w:color w:val="auto"/>
          <w:sz w:val="24"/>
          <w:highlight w:val="none"/>
        </w:rPr>
      </w:pPr>
    </w:p>
    <w:p w14:paraId="46BC3A68">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声明人（公章）：</w:t>
      </w:r>
    </w:p>
    <w:p w14:paraId="740A05C8">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日期：     年    月    日</w:t>
      </w:r>
    </w:p>
    <w:p w14:paraId="6910EEF9">
      <w:pPr>
        <w:rPr>
          <w:rFonts w:ascii="宋体" w:hAnsi="宋体" w:cs="宋体"/>
          <w:color w:val="auto"/>
          <w:sz w:val="24"/>
          <w:highlight w:val="none"/>
        </w:rPr>
      </w:pPr>
      <w:r>
        <w:rPr>
          <w:rFonts w:hint="eastAsia" w:ascii="宋体" w:hAnsi="宋体" w:cs="宋体"/>
          <w:color w:val="auto"/>
          <w:sz w:val="24"/>
          <w:highlight w:val="none"/>
        </w:rPr>
        <w:br w:type="page"/>
      </w:r>
    </w:p>
    <w:p w14:paraId="1812B128">
      <w:pPr>
        <w:spacing w:line="360" w:lineRule="auto"/>
        <w:ind w:firstLine="6000" w:firstLineChars="2500"/>
        <w:rPr>
          <w:rFonts w:ascii="宋体" w:hAnsi="宋体" w:cs="宋体"/>
          <w:color w:val="auto"/>
          <w:sz w:val="24"/>
          <w:highlight w:val="none"/>
        </w:rPr>
      </w:pPr>
    </w:p>
    <w:p w14:paraId="307E9F3D">
      <w:pPr>
        <w:pStyle w:val="261"/>
        <w:rPr>
          <w:rFonts w:ascii="宋体" w:hAnsi="宋体" w:cs="宋体"/>
          <w:color w:val="auto"/>
          <w:highlight w:val="none"/>
        </w:rPr>
      </w:pPr>
      <w:r>
        <w:rPr>
          <w:rFonts w:hint="eastAsia" w:ascii="宋体" w:hAnsi="宋体" w:cs="宋体"/>
          <w:color w:val="auto"/>
          <w:highlight w:val="none"/>
        </w:rPr>
        <w:t>附件三、承诺书</w:t>
      </w:r>
    </w:p>
    <w:p w14:paraId="030DAE56">
      <w:pPr>
        <w:spacing w:line="360" w:lineRule="auto"/>
        <w:rPr>
          <w:rFonts w:ascii="宋体" w:hAnsi="宋体" w:cs="宋体"/>
          <w:color w:val="auto"/>
          <w:sz w:val="24"/>
          <w:highlight w:val="none"/>
        </w:rPr>
      </w:pPr>
      <w:r>
        <w:rPr>
          <w:rFonts w:hint="eastAsia" w:ascii="宋体" w:hAnsi="宋体" w:cs="宋体"/>
          <w:color w:val="auto"/>
          <w:sz w:val="24"/>
          <w:highlight w:val="none"/>
        </w:rPr>
        <w:t>致：（采购人）</w:t>
      </w:r>
    </w:p>
    <w:p w14:paraId="7A5454FD">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承诺：</w:t>
      </w:r>
    </w:p>
    <w:p w14:paraId="42CFC5F8">
      <w:pPr>
        <w:adjustRightInd w:val="0"/>
        <w:spacing w:line="360" w:lineRule="auto"/>
        <w:ind w:firstLine="480" w:firstLineChars="200"/>
        <w:rPr>
          <w:rFonts w:ascii="宋体" w:hAnsi="宋体" w:cs="宋体"/>
          <w:color w:val="auto"/>
          <w:sz w:val="24"/>
          <w:highlight w:val="none"/>
        </w:rPr>
      </w:pPr>
    </w:p>
    <w:p w14:paraId="56B0D061">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承诺人（公章）：</w:t>
      </w:r>
    </w:p>
    <w:p w14:paraId="6B63CE2E">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日期：    年    月    日</w:t>
      </w: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9E539">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621173E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621173ED">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E8BC9">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66691A6"/>
    <w:multiLevelType w:val="singleLevel"/>
    <w:tmpl w:val="D66691A6"/>
    <w:lvl w:ilvl="0" w:tentative="0">
      <w:start w:val="5"/>
      <w:numFmt w:val="chineseCounting"/>
      <w:suff w:val="space"/>
      <w:lvlText w:val="第%1章"/>
      <w:lvlJc w:val="left"/>
      <w:rPr>
        <w:rFonts w:hint="eastAsia"/>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DF8EC0F"/>
    <w:multiLevelType w:val="singleLevel"/>
    <w:tmpl w:val="FDF8EC0F"/>
    <w:lvl w:ilvl="0" w:tentative="0">
      <w:start w:val="1"/>
      <w:numFmt w:val="chineseCounting"/>
      <w:suff w:val="nothing"/>
      <w:lvlText w:val="%1、"/>
      <w:lvlJc w:val="left"/>
      <w:rPr>
        <w:rFonts w:hint="eastAsia"/>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56" w:firstLine="480"/>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7"/>
  </w:num>
  <w:num w:numId="4">
    <w:abstractNumId w:val="55"/>
  </w:num>
  <w:num w:numId="5">
    <w:abstractNumId w:val="52"/>
  </w:num>
  <w:num w:numId="6">
    <w:abstractNumId w:val="33"/>
  </w:num>
  <w:num w:numId="7">
    <w:abstractNumId w:val="19"/>
  </w:num>
  <w:num w:numId="8">
    <w:abstractNumId w:val="42"/>
  </w:num>
  <w:num w:numId="9">
    <w:abstractNumId w:val="39"/>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8"/>
  </w:num>
  <w:num w:numId="17">
    <w:abstractNumId w:val="51"/>
  </w:num>
  <w:num w:numId="18">
    <w:abstractNumId w:val="40"/>
  </w:num>
  <w:num w:numId="19">
    <w:abstractNumId w:val="32"/>
  </w:num>
  <w:num w:numId="20">
    <w:abstractNumId w:val="36"/>
  </w:num>
  <w:num w:numId="21">
    <w:abstractNumId w:val="13"/>
  </w:num>
  <w:num w:numId="22">
    <w:abstractNumId w:val="24"/>
  </w:num>
  <w:num w:numId="23">
    <w:abstractNumId w:val="31"/>
  </w:num>
  <w:num w:numId="24">
    <w:abstractNumId w:val="43"/>
  </w:num>
  <w:num w:numId="25">
    <w:abstractNumId w:val="26"/>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4"/>
  </w:num>
  <w:num w:numId="33">
    <w:abstractNumId w:val="7"/>
  </w:num>
  <w:num w:numId="34">
    <w:abstractNumId w:val="35"/>
  </w:num>
  <w:num w:numId="35">
    <w:abstractNumId w:val="49"/>
  </w:num>
  <w:num w:numId="36">
    <w:abstractNumId w:val="48"/>
  </w:num>
  <w:num w:numId="37">
    <w:abstractNumId w:val="3"/>
  </w:num>
  <w:num w:numId="38">
    <w:abstractNumId w:val="27"/>
  </w:num>
  <w:num w:numId="39">
    <w:abstractNumId w:val="50"/>
  </w:num>
  <w:num w:numId="40">
    <w:abstractNumId w:val="23"/>
  </w:num>
  <w:num w:numId="41">
    <w:abstractNumId w:val="9"/>
  </w:num>
  <w:num w:numId="42">
    <w:abstractNumId w:val="4"/>
  </w:num>
  <w:num w:numId="43">
    <w:abstractNumId w:val="10"/>
  </w:num>
  <w:num w:numId="44">
    <w:abstractNumId w:val="28"/>
  </w:num>
  <w:num w:numId="45">
    <w:abstractNumId w:val="16"/>
  </w:num>
  <w:num w:numId="46">
    <w:abstractNumId w:val="25"/>
  </w:num>
  <w:num w:numId="47">
    <w:abstractNumId w:val="17"/>
  </w:num>
  <w:num w:numId="48">
    <w:abstractNumId w:val="54"/>
  </w:num>
  <w:num w:numId="49">
    <w:abstractNumId w:val="18"/>
  </w:num>
  <w:num w:numId="50">
    <w:abstractNumId w:val="22"/>
  </w:num>
  <w:num w:numId="51">
    <w:abstractNumId w:val="1"/>
  </w:num>
  <w:num w:numId="52">
    <w:abstractNumId w:val="5"/>
  </w:num>
  <w:num w:numId="53">
    <w:abstractNumId w:val="30"/>
  </w:num>
  <w:num w:numId="54">
    <w:abstractNumId w:val="21"/>
  </w:num>
  <w:num w:numId="55">
    <w:abstractNumId w:val="0"/>
  </w:num>
  <w:num w:numId="56">
    <w:abstractNumId w:val="29"/>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4FEB"/>
    <w:rsid w:val="000603A8"/>
    <w:rsid w:val="00072371"/>
    <w:rsid w:val="00077B10"/>
    <w:rsid w:val="0008213F"/>
    <w:rsid w:val="00086AA1"/>
    <w:rsid w:val="000A3089"/>
    <w:rsid w:val="000A342B"/>
    <w:rsid w:val="000A61ED"/>
    <w:rsid w:val="000A6973"/>
    <w:rsid w:val="000C4F86"/>
    <w:rsid w:val="000E0C2D"/>
    <w:rsid w:val="000F5611"/>
    <w:rsid w:val="00120A4B"/>
    <w:rsid w:val="0014111C"/>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70DD7"/>
    <w:rsid w:val="00271038"/>
    <w:rsid w:val="002A2707"/>
    <w:rsid w:val="002A3A54"/>
    <w:rsid w:val="002D20E2"/>
    <w:rsid w:val="002D223F"/>
    <w:rsid w:val="002D7D8E"/>
    <w:rsid w:val="002E05B3"/>
    <w:rsid w:val="002F2FEE"/>
    <w:rsid w:val="00300310"/>
    <w:rsid w:val="00301983"/>
    <w:rsid w:val="003033FC"/>
    <w:rsid w:val="0030478B"/>
    <w:rsid w:val="00307A95"/>
    <w:rsid w:val="00313589"/>
    <w:rsid w:val="003269B7"/>
    <w:rsid w:val="003345C0"/>
    <w:rsid w:val="00337CC0"/>
    <w:rsid w:val="00341E4E"/>
    <w:rsid w:val="00346C93"/>
    <w:rsid w:val="003567D1"/>
    <w:rsid w:val="00361D2E"/>
    <w:rsid w:val="00387F05"/>
    <w:rsid w:val="0039013E"/>
    <w:rsid w:val="003A766D"/>
    <w:rsid w:val="003B7A90"/>
    <w:rsid w:val="003C6156"/>
    <w:rsid w:val="003D0883"/>
    <w:rsid w:val="003D2072"/>
    <w:rsid w:val="003D59C2"/>
    <w:rsid w:val="0040250A"/>
    <w:rsid w:val="00411A2A"/>
    <w:rsid w:val="00421CCE"/>
    <w:rsid w:val="00423B77"/>
    <w:rsid w:val="004242F5"/>
    <w:rsid w:val="004526E8"/>
    <w:rsid w:val="0046137A"/>
    <w:rsid w:val="00464986"/>
    <w:rsid w:val="00465C30"/>
    <w:rsid w:val="00484E24"/>
    <w:rsid w:val="0049472B"/>
    <w:rsid w:val="004A5AF1"/>
    <w:rsid w:val="004A68BE"/>
    <w:rsid w:val="004B035C"/>
    <w:rsid w:val="004B4FB8"/>
    <w:rsid w:val="004B6B53"/>
    <w:rsid w:val="004D36B6"/>
    <w:rsid w:val="004E4EF1"/>
    <w:rsid w:val="004E7292"/>
    <w:rsid w:val="004F11AB"/>
    <w:rsid w:val="004F692A"/>
    <w:rsid w:val="005114F3"/>
    <w:rsid w:val="00520001"/>
    <w:rsid w:val="005277EE"/>
    <w:rsid w:val="00553C9B"/>
    <w:rsid w:val="00555045"/>
    <w:rsid w:val="00581E47"/>
    <w:rsid w:val="00585734"/>
    <w:rsid w:val="00597415"/>
    <w:rsid w:val="005A7CDA"/>
    <w:rsid w:val="005A7EF9"/>
    <w:rsid w:val="005B5295"/>
    <w:rsid w:val="005C5753"/>
    <w:rsid w:val="005D3AD4"/>
    <w:rsid w:val="005D6EF2"/>
    <w:rsid w:val="00607EC9"/>
    <w:rsid w:val="00636A37"/>
    <w:rsid w:val="0064295D"/>
    <w:rsid w:val="00662F68"/>
    <w:rsid w:val="0066551B"/>
    <w:rsid w:val="00667126"/>
    <w:rsid w:val="00680EDD"/>
    <w:rsid w:val="006A3027"/>
    <w:rsid w:val="006A66A9"/>
    <w:rsid w:val="006C4F85"/>
    <w:rsid w:val="006D41A7"/>
    <w:rsid w:val="006D79F2"/>
    <w:rsid w:val="006D7E45"/>
    <w:rsid w:val="006E0DF4"/>
    <w:rsid w:val="006E4E08"/>
    <w:rsid w:val="006F395E"/>
    <w:rsid w:val="00710EF7"/>
    <w:rsid w:val="0073289E"/>
    <w:rsid w:val="00736626"/>
    <w:rsid w:val="00745D46"/>
    <w:rsid w:val="00750D17"/>
    <w:rsid w:val="00751351"/>
    <w:rsid w:val="007530ED"/>
    <w:rsid w:val="00764880"/>
    <w:rsid w:val="0076676B"/>
    <w:rsid w:val="00785936"/>
    <w:rsid w:val="007862B4"/>
    <w:rsid w:val="00793D4A"/>
    <w:rsid w:val="00794A1C"/>
    <w:rsid w:val="00794F67"/>
    <w:rsid w:val="007A1BC7"/>
    <w:rsid w:val="007A3470"/>
    <w:rsid w:val="007A76D2"/>
    <w:rsid w:val="007B3277"/>
    <w:rsid w:val="007B7E2B"/>
    <w:rsid w:val="007C104D"/>
    <w:rsid w:val="007C7C89"/>
    <w:rsid w:val="007C7E0C"/>
    <w:rsid w:val="007E0FFC"/>
    <w:rsid w:val="008075B0"/>
    <w:rsid w:val="00813CC4"/>
    <w:rsid w:val="00815199"/>
    <w:rsid w:val="00817241"/>
    <w:rsid w:val="00830D14"/>
    <w:rsid w:val="00831BEC"/>
    <w:rsid w:val="0084180E"/>
    <w:rsid w:val="00842C4C"/>
    <w:rsid w:val="008537FF"/>
    <w:rsid w:val="00857996"/>
    <w:rsid w:val="008600B1"/>
    <w:rsid w:val="00871637"/>
    <w:rsid w:val="008750CF"/>
    <w:rsid w:val="0088428D"/>
    <w:rsid w:val="008B191D"/>
    <w:rsid w:val="008B57CF"/>
    <w:rsid w:val="008C5D36"/>
    <w:rsid w:val="008D1BE2"/>
    <w:rsid w:val="008E14D6"/>
    <w:rsid w:val="008E7262"/>
    <w:rsid w:val="008F157A"/>
    <w:rsid w:val="00903A81"/>
    <w:rsid w:val="00921E54"/>
    <w:rsid w:val="00931F61"/>
    <w:rsid w:val="009378E7"/>
    <w:rsid w:val="009408C8"/>
    <w:rsid w:val="009465DD"/>
    <w:rsid w:val="009479A2"/>
    <w:rsid w:val="00950B15"/>
    <w:rsid w:val="00952900"/>
    <w:rsid w:val="00973A28"/>
    <w:rsid w:val="009879AD"/>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6842"/>
    <w:rsid w:val="00A9334D"/>
    <w:rsid w:val="00AA3CA0"/>
    <w:rsid w:val="00AB19D2"/>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454EB"/>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A5A06"/>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72D7"/>
    <w:rsid w:val="00F6031B"/>
    <w:rsid w:val="00F675BD"/>
    <w:rsid w:val="00F711DB"/>
    <w:rsid w:val="00FA066C"/>
    <w:rsid w:val="00FA08FD"/>
    <w:rsid w:val="00FA3C9F"/>
    <w:rsid w:val="00FD12B6"/>
    <w:rsid w:val="00FD3539"/>
    <w:rsid w:val="00FE24B2"/>
    <w:rsid w:val="00FF3C15"/>
    <w:rsid w:val="00FF4851"/>
    <w:rsid w:val="00FF70FB"/>
    <w:rsid w:val="00FF7ADF"/>
    <w:rsid w:val="012B64AF"/>
    <w:rsid w:val="01933E55"/>
    <w:rsid w:val="019C7059"/>
    <w:rsid w:val="01BF6469"/>
    <w:rsid w:val="01F114A6"/>
    <w:rsid w:val="027C6AB9"/>
    <w:rsid w:val="02801659"/>
    <w:rsid w:val="02DF21EF"/>
    <w:rsid w:val="02F456F2"/>
    <w:rsid w:val="030A6CC4"/>
    <w:rsid w:val="0319765F"/>
    <w:rsid w:val="03724869"/>
    <w:rsid w:val="038720C2"/>
    <w:rsid w:val="0397607D"/>
    <w:rsid w:val="042C2C6A"/>
    <w:rsid w:val="045046FF"/>
    <w:rsid w:val="046643CE"/>
    <w:rsid w:val="046A2DF4"/>
    <w:rsid w:val="046F47B3"/>
    <w:rsid w:val="047F24B6"/>
    <w:rsid w:val="057069E3"/>
    <w:rsid w:val="05B80C59"/>
    <w:rsid w:val="05CB3586"/>
    <w:rsid w:val="060D10D2"/>
    <w:rsid w:val="063B3638"/>
    <w:rsid w:val="064063A0"/>
    <w:rsid w:val="06532730"/>
    <w:rsid w:val="066C72D7"/>
    <w:rsid w:val="077A3CEC"/>
    <w:rsid w:val="07B23486"/>
    <w:rsid w:val="07B92A66"/>
    <w:rsid w:val="07EF7321"/>
    <w:rsid w:val="081335B8"/>
    <w:rsid w:val="088017D6"/>
    <w:rsid w:val="08823813"/>
    <w:rsid w:val="08A40BE4"/>
    <w:rsid w:val="08B07D72"/>
    <w:rsid w:val="091D123B"/>
    <w:rsid w:val="094A0A67"/>
    <w:rsid w:val="095D341A"/>
    <w:rsid w:val="096B4234"/>
    <w:rsid w:val="098053F7"/>
    <w:rsid w:val="09865C52"/>
    <w:rsid w:val="099B68C7"/>
    <w:rsid w:val="0A1318AA"/>
    <w:rsid w:val="0A1554BB"/>
    <w:rsid w:val="0A170B9C"/>
    <w:rsid w:val="0A1D4625"/>
    <w:rsid w:val="0AE04FBF"/>
    <w:rsid w:val="0AFB3396"/>
    <w:rsid w:val="0B0D419A"/>
    <w:rsid w:val="0BAA1044"/>
    <w:rsid w:val="0BCE1418"/>
    <w:rsid w:val="0BF57DE5"/>
    <w:rsid w:val="0C06116B"/>
    <w:rsid w:val="0C605006"/>
    <w:rsid w:val="0C7C5409"/>
    <w:rsid w:val="0C9534E4"/>
    <w:rsid w:val="0CB832EC"/>
    <w:rsid w:val="0D4B59D5"/>
    <w:rsid w:val="0DC64FDA"/>
    <w:rsid w:val="0E5626EA"/>
    <w:rsid w:val="0E792F4F"/>
    <w:rsid w:val="0EA24254"/>
    <w:rsid w:val="0ED939EE"/>
    <w:rsid w:val="0EFA6269"/>
    <w:rsid w:val="0F7E2681"/>
    <w:rsid w:val="0FE50224"/>
    <w:rsid w:val="10637A13"/>
    <w:rsid w:val="10AF2C58"/>
    <w:rsid w:val="10C443E8"/>
    <w:rsid w:val="1101240C"/>
    <w:rsid w:val="1115264F"/>
    <w:rsid w:val="111A124B"/>
    <w:rsid w:val="112143B5"/>
    <w:rsid w:val="119D6FA6"/>
    <w:rsid w:val="11ED31A7"/>
    <w:rsid w:val="11F748B7"/>
    <w:rsid w:val="124A36D5"/>
    <w:rsid w:val="12721277"/>
    <w:rsid w:val="127A7296"/>
    <w:rsid w:val="12A83E03"/>
    <w:rsid w:val="12AB56A1"/>
    <w:rsid w:val="12B979DD"/>
    <w:rsid w:val="12DE15D3"/>
    <w:rsid w:val="13070B2A"/>
    <w:rsid w:val="130726B9"/>
    <w:rsid w:val="134358DA"/>
    <w:rsid w:val="1345230E"/>
    <w:rsid w:val="136441CE"/>
    <w:rsid w:val="13B3480E"/>
    <w:rsid w:val="13B8520A"/>
    <w:rsid w:val="14171240"/>
    <w:rsid w:val="14891A12"/>
    <w:rsid w:val="15B33C35"/>
    <w:rsid w:val="160A26DF"/>
    <w:rsid w:val="168340B4"/>
    <w:rsid w:val="17163A31"/>
    <w:rsid w:val="1720639D"/>
    <w:rsid w:val="177B5642"/>
    <w:rsid w:val="178A1D29"/>
    <w:rsid w:val="18056F1E"/>
    <w:rsid w:val="18100480"/>
    <w:rsid w:val="18824714"/>
    <w:rsid w:val="18A62B93"/>
    <w:rsid w:val="18AE6841"/>
    <w:rsid w:val="18E611E1"/>
    <w:rsid w:val="19063631"/>
    <w:rsid w:val="1951749F"/>
    <w:rsid w:val="1959610D"/>
    <w:rsid w:val="195C5947"/>
    <w:rsid w:val="19933EEE"/>
    <w:rsid w:val="19CB13F6"/>
    <w:rsid w:val="19E55985"/>
    <w:rsid w:val="19F85670"/>
    <w:rsid w:val="1A0836F9"/>
    <w:rsid w:val="1A3B37AF"/>
    <w:rsid w:val="1A4426FE"/>
    <w:rsid w:val="1A5852A5"/>
    <w:rsid w:val="1A6C60CD"/>
    <w:rsid w:val="1B1875CE"/>
    <w:rsid w:val="1B391A9C"/>
    <w:rsid w:val="1B835B95"/>
    <w:rsid w:val="1B8B42C2"/>
    <w:rsid w:val="1B9238A2"/>
    <w:rsid w:val="1BA842D2"/>
    <w:rsid w:val="1BAA299A"/>
    <w:rsid w:val="1BCD48DA"/>
    <w:rsid w:val="1BF43C15"/>
    <w:rsid w:val="1C8E057A"/>
    <w:rsid w:val="1CA11867"/>
    <w:rsid w:val="1CBA19FF"/>
    <w:rsid w:val="1CCC6940"/>
    <w:rsid w:val="1CFA1018"/>
    <w:rsid w:val="1D2422D8"/>
    <w:rsid w:val="1D3C0ECB"/>
    <w:rsid w:val="1D632E00"/>
    <w:rsid w:val="1D7F5DED"/>
    <w:rsid w:val="1D88230D"/>
    <w:rsid w:val="1DAC1F34"/>
    <w:rsid w:val="1E036392"/>
    <w:rsid w:val="1EF63F47"/>
    <w:rsid w:val="1EFE06D6"/>
    <w:rsid w:val="1F951903"/>
    <w:rsid w:val="1FED554B"/>
    <w:rsid w:val="200636BC"/>
    <w:rsid w:val="203B42C4"/>
    <w:rsid w:val="20672B60"/>
    <w:rsid w:val="207E43F5"/>
    <w:rsid w:val="209D7852"/>
    <w:rsid w:val="20C067BC"/>
    <w:rsid w:val="20F3093F"/>
    <w:rsid w:val="21AF7EF2"/>
    <w:rsid w:val="21C30CB0"/>
    <w:rsid w:val="21D104C4"/>
    <w:rsid w:val="21E6112F"/>
    <w:rsid w:val="22017635"/>
    <w:rsid w:val="220D3C83"/>
    <w:rsid w:val="222334A6"/>
    <w:rsid w:val="225E628C"/>
    <w:rsid w:val="228C2DF9"/>
    <w:rsid w:val="229D231D"/>
    <w:rsid w:val="22C059B1"/>
    <w:rsid w:val="23325476"/>
    <w:rsid w:val="235E3DED"/>
    <w:rsid w:val="241E2177"/>
    <w:rsid w:val="2445396E"/>
    <w:rsid w:val="24613E12"/>
    <w:rsid w:val="247D6DFF"/>
    <w:rsid w:val="2557368E"/>
    <w:rsid w:val="2561056D"/>
    <w:rsid w:val="25643BBA"/>
    <w:rsid w:val="25F06DC4"/>
    <w:rsid w:val="25F75F3E"/>
    <w:rsid w:val="25FE6C33"/>
    <w:rsid w:val="26203303"/>
    <w:rsid w:val="2629095F"/>
    <w:rsid w:val="26B03760"/>
    <w:rsid w:val="26CD578F"/>
    <w:rsid w:val="27DE4458"/>
    <w:rsid w:val="27E70AD2"/>
    <w:rsid w:val="27E9484A"/>
    <w:rsid w:val="283006CB"/>
    <w:rsid w:val="283F5126"/>
    <w:rsid w:val="28920A3E"/>
    <w:rsid w:val="290E1117"/>
    <w:rsid w:val="291B6C85"/>
    <w:rsid w:val="293B10D5"/>
    <w:rsid w:val="29945580"/>
    <w:rsid w:val="29FD7462"/>
    <w:rsid w:val="2A337FFE"/>
    <w:rsid w:val="2A9860B3"/>
    <w:rsid w:val="2AB32EED"/>
    <w:rsid w:val="2ABC4498"/>
    <w:rsid w:val="2B1C0A93"/>
    <w:rsid w:val="2B1E2A5D"/>
    <w:rsid w:val="2B2140BD"/>
    <w:rsid w:val="2B807FB3"/>
    <w:rsid w:val="2B867186"/>
    <w:rsid w:val="2B9C1C62"/>
    <w:rsid w:val="2BB65425"/>
    <w:rsid w:val="2BDB3C20"/>
    <w:rsid w:val="2BFF27DA"/>
    <w:rsid w:val="2C1E2460"/>
    <w:rsid w:val="2C4C35F9"/>
    <w:rsid w:val="2C8132A3"/>
    <w:rsid w:val="2D900EBE"/>
    <w:rsid w:val="2DB27BB8"/>
    <w:rsid w:val="2DE31D62"/>
    <w:rsid w:val="2E165C6D"/>
    <w:rsid w:val="2E3D769E"/>
    <w:rsid w:val="2EDD678B"/>
    <w:rsid w:val="2EEC39D8"/>
    <w:rsid w:val="2EED10C4"/>
    <w:rsid w:val="2F057E2F"/>
    <w:rsid w:val="2F3321FA"/>
    <w:rsid w:val="2F544C9F"/>
    <w:rsid w:val="2F751905"/>
    <w:rsid w:val="2FE029D7"/>
    <w:rsid w:val="2FFB046F"/>
    <w:rsid w:val="304B06CD"/>
    <w:rsid w:val="305A25CD"/>
    <w:rsid w:val="30AD0B0B"/>
    <w:rsid w:val="30B8216E"/>
    <w:rsid w:val="30D56E57"/>
    <w:rsid w:val="30E16A06"/>
    <w:rsid w:val="312507C7"/>
    <w:rsid w:val="31B00187"/>
    <w:rsid w:val="31BB7257"/>
    <w:rsid w:val="31BC4D7D"/>
    <w:rsid w:val="31F01307"/>
    <w:rsid w:val="31FC517A"/>
    <w:rsid w:val="321B1AA4"/>
    <w:rsid w:val="3240775C"/>
    <w:rsid w:val="3243100D"/>
    <w:rsid w:val="32676A97"/>
    <w:rsid w:val="32966A35"/>
    <w:rsid w:val="32D36F23"/>
    <w:rsid w:val="32F6394B"/>
    <w:rsid w:val="33637328"/>
    <w:rsid w:val="338F44F8"/>
    <w:rsid w:val="33945FB2"/>
    <w:rsid w:val="33995376"/>
    <w:rsid w:val="339C4E66"/>
    <w:rsid w:val="33B00E90"/>
    <w:rsid w:val="33B201E6"/>
    <w:rsid w:val="33B43DDA"/>
    <w:rsid w:val="3400559E"/>
    <w:rsid w:val="34017A8A"/>
    <w:rsid w:val="34EE0000"/>
    <w:rsid w:val="350902DA"/>
    <w:rsid w:val="350B7DFE"/>
    <w:rsid w:val="351C000D"/>
    <w:rsid w:val="35775243"/>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8D1222"/>
    <w:rsid w:val="3892621E"/>
    <w:rsid w:val="38B663C8"/>
    <w:rsid w:val="38C904AC"/>
    <w:rsid w:val="38CA2129"/>
    <w:rsid w:val="38E05B90"/>
    <w:rsid w:val="39241B86"/>
    <w:rsid w:val="39365645"/>
    <w:rsid w:val="395C1320"/>
    <w:rsid w:val="39715022"/>
    <w:rsid w:val="39E400CE"/>
    <w:rsid w:val="3A744447"/>
    <w:rsid w:val="3AA30888"/>
    <w:rsid w:val="3AC779BA"/>
    <w:rsid w:val="3ADD5E57"/>
    <w:rsid w:val="3AFB3576"/>
    <w:rsid w:val="3BC44F5A"/>
    <w:rsid w:val="3BD74CEB"/>
    <w:rsid w:val="3BED091B"/>
    <w:rsid w:val="3C301AFA"/>
    <w:rsid w:val="3C60699C"/>
    <w:rsid w:val="3C667DC0"/>
    <w:rsid w:val="3CBC20D5"/>
    <w:rsid w:val="3CF60458"/>
    <w:rsid w:val="3D042809"/>
    <w:rsid w:val="3E854E75"/>
    <w:rsid w:val="3E8743FE"/>
    <w:rsid w:val="3ECB7D32"/>
    <w:rsid w:val="3F087854"/>
    <w:rsid w:val="3F4E53C5"/>
    <w:rsid w:val="3F620D12"/>
    <w:rsid w:val="3F992808"/>
    <w:rsid w:val="3FB57FB8"/>
    <w:rsid w:val="3FB83028"/>
    <w:rsid w:val="3FBE048B"/>
    <w:rsid w:val="3FEB6F5A"/>
    <w:rsid w:val="40426BD7"/>
    <w:rsid w:val="4067627C"/>
    <w:rsid w:val="409265EE"/>
    <w:rsid w:val="411E6EBB"/>
    <w:rsid w:val="415218E2"/>
    <w:rsid w:val="415E6EA2"/>
    <w:rsid w:val="41C059B7"/>
    <w:rsid w:val="41C9151C"/>
    <w:rsid w:val="41F221ED"/>
    <w:rsid w:val="424B2DC1"/>
    <w:rsid w:val="429D02B3"/>
    <w:rsid w:val="431C742A"/>
    <w:rsid w:val="437E1E93"/>
    <w:rsid w:val="43853221"/>
    <w:rsid w:val="43BA5BDA"/>
    <w:rsid w:val="444255B6"/>
    <w:rsid w:val="444F53BD"/>
    <w:rsid w:val="44737C99"/>
    <w:rsid w:val="44ED5664"/>
    <w:rsid w:val="44F364BA"/>
    <w:rsid w:val="45101210"/>
    <w:rsid w:val="456A6701"/>
    <w:rsid w:val="45A1630C"/>
    <w:rsid w:val="45D264C6"/>
    <w:rsid w:val="45D756FD"/>
    <w:rsid w:val="45F24ED8"/>
    <w:rsid w:val="46592743"/>
    <w:rsid w:val="46AA2657"/>
    <w:rsid w:val="473A796F"/>
    <w:rsid w:val="47726C6E"/>
    <w:rsid w:val="477F157F"/>
    <w:rsid w:val="47C87B80"/>
    <w:rsid w:val="48616533"/>
    <w:rsid w:val="486C49B0"/>
    <w:rsid w:val="489610DE"/>
    <w:rsid w:val="48D26651"/>
    <w:rsid w:val="48E73DE4"/>
    <w:rsid w:val="490F6AC5"/>
    <w:rsid w:val="494476DB"/>
    <w:rsid w:val="495518E8"/>
    <w:rsid w:val="496658A3"/>
    <w:rsid w:val="496F29A9"/>
    <w:rsid w:val="498521CD"/>
    <w:rsid w:val="498B355B"/>
    <w:rsid w:val="49A454A8"/>
    <w:rsid w:val="49B22A94"/>
    <w:rsid w:val="49BC0661"/>
    <w:rsid w:val="49BF63F4"/>
    <w:rsid w:val="49C66341"/>
    <w:rsid w:val="49E21C32"/>
    <w:rsid w:val="49EF440A"/>
    <w:rsid w:val="4A54394D"/>
    <w:rsid w:val="4A6C0C97"/>
    <w:rsid w:val="4A8E3303"/>
    <w:rsid w:val="4A946440"/>
    <w:rsid w:val="4AA743C5"/>
    <w:rsid w:val="4B1E03E7"/>
    <w:rsid w:val="4B30329B"/>
    <w:rsid w:val="4B5F107B"/>
    <w:rsid w:val="4BA95F1B"/>
    <w:rsid w:val="4BC15012"/>
    <w:rsid w:val="4BD9754E"/>
    <w:rsid w:val="4BE920DE"/>
    <w:rsid w:val="4C054A64"/>
    <w:rsid w:val="4C4C4730"/>
    <w:rsid w:val="4C6D6F48"/>
    <w:rsid w:val="4CA961D2"/>
    <w:rsid w:val="4CC56D84"/>
    <w:rsid w:val="4D371A30"/>
    <w:rsid w:val="4D502AF2"/>
    <w:rsid w:val="4D8602C2"/>
    <w:rsid w:val="4D8B1037"/>
    <w:rsid w:val="4DA30E74"/>
    <w:rsid w:val="4DF23BA9"/>
    <w:rsid w:val="4DF47921"/>
    <w:rsid w:val="4E0336C0"/>
    <w:rsid w:val="4E0C23A2"/>
    <w:rsid w:val="4E235B10"/>
    <w:rsid w:val="4E922C96"/>
    <w:rsid w:val="4E934692"/>
    <w:rsid w:val="4EA053B3"/>
    <w:rsid w:val="4EC77780"/>
    <w:rsid w:val="4EF3271A"/>
    <w:rsid w:val="4F8A257E"/>
    <w:rsid w:val="4FA94B75"/>
    <w:rsid w:val="4FD55530"/>
    <w:rsid w:val="4FD95020"/>
    <w:rsid w:val="5006632F"/>
    <w:rsid w:val="50106568"/>
    <w:rsid w:val="50212524"/>
    <w:rsid w:val="504656BE"/>
    <w:rsid w:val="50616DC4"/>
    <w:rsid w:val="50AF3052"/>
    <w:rsid w:val="50B667D3"/>
    <w:rsid w:val="50E023DF"/>
    <w:rsid w:val="512E27E4"/>
    <w:rsid w:val="525210BA"/>
    <w:rsid w:val="526F57C8"/>
    <w:rsid w:val="527E5A0B"/>
    <w:rsid w:val="52860D64"/>
    <w:rsid w:val="529F262B"/>
    <w:rsid w:val="52C84ED8"/>
    <w:rsid w:val="5314255F"/>
    <w:rsid w:val="531C721E"/>
    <w:rsid w:val="53402E60"/>
    <w:rsid w:val="535029F5"/>
    <w:rsid w:val="535675C7"/>
    <w:rsid w:val="536F0303"/>
    <w:rsid w:val="537312E8"/>
    <w:rsid w:val="53C15FC4"/>
    <w:rsid w:val="53F71F19"/>
    <w:rsid w:val="5402266C"/>
    <w:rsid w:val="541C3078"/>
    <w:rsid w:val="543842E0"/>
    <w:rsid w:val="54803E83"/>
    <w:rsid w:val="54A67309"/>
    <w:rsid w:val="55230AEC"/>
    <w:rsid w:val="55EB160A"/>
    <w:rsid w:val="563228AA"/>
    <w:rsid w:val="563A1A2F"/>
    <w:rsid w:val="563B3C13"/>
    <w:rsid w:val="56C43C09"/>
    <w:rsid w:val="56CA3A4F"/>
    <w:rsid w:val="56EA18C1"/>
    <w:rsid w:val="57106FCA"/>
    <w:rsid w:val="573B6127"/>
    <w:rsid w:val="57A23F4A"/>
    <w:rsid w:val="57A46D66"/>
    <w:rsid w:val="57B42F13"/>
    <w:rsid w:val="58070251"/>
    <w:rsid w:val="582C5F09"/>
    <w:rsid w:val="584C2108"/>
    <w:rsid w:val="5875340D"/>
    <w:rsid w:val="588013BA"/>
    <w:rsid w:val="58827087"/>
    <w:rsid w:val="58D520FD"/>
    <w:rsid w:val="58F5454D"/>
    <w:rsid w:val="592D018B"/>
    <w:rsid w:val="592F3F03"/>
    <w:rsid w:val="59745DBA"/>
    <w:rsid w:val="59DD570D"/>
    <w:rsid w:val="5A253D2B"/>
    <w:rsid w:val="5A7B154E"/>
    <w:rsid w:val="5ABF258C"/>
    <w:rsid w:val="5AD3266C"/>
    <w:rsid w:val="5B372BFB"/>
    <w:rsid w:val="5B3E564A"/>
    <w:rsid w:val="5B4E6197"/>
    <w:rsid w:val="5B7F1DF1"/>
    <w:rsid w:val="5BCF7320"/>
    <w:rsid w:val="5BDE1EE0"/>
    <w:rsid w:val="5C027B35"/>
    <w:rsid w:val="5C292E8C"/>
    <w:rsid w:val="5C6F779B"/>
    <w:rsid w:val="5CA761D1"/>
    <w:rsid w:val="5CD2438D"/>
    <w:rsid w:val="5CFF31EA"/>
    <w:rsid w:val="5CFF599B"/>
    <w:rsid w:val="5D24191A"/>
    <w:rsid w:val="5DB91881"/>
    <w:rsid w:val="5DC559D7"/>
    <w:rsid w:val="5E007347"/>
    <w:rsid w:val="5E394EDC"/>
    <w:rsid w:val="5E4F64AE"/>
    <w:rsid w:val="5E6466ED"/>
    <w:rsid w:val="5E8D14E1"/>
    <w:rsid w:val="5E954808"/>
    <w:rsid w:val="5E9640DD"/>
    <w:rsid w:val="5EB84053"/>
    <w:rsid w:val="5EC92704"/>
    <w:rsid w:val="5EF84D97"/>
    <w:rsid w:val="5F4C0C3F"/>
    <w:rsid w:val="5F4C3A48"/>
    <w:rsid w:val="5F541C6B"/>
    <w:rsid w:val="5FB77779"/>
    <w:rsid w:val="605303A5"/>
    <w:rsid w:val="60687CFB"/>
    <w:rsid w:val="60695F4D"/>
    <w:rsid w:val="613227E3"/>
    <w:rsid w:val="61614E76"/>
    <w:rsid w:val="61EE1413"/>
    <w:rsid w:val="62375BD7"/>
    <w:rsid w:val="62451DF4"/>
    <w:rsid w:val="629507FE"/>
    <w:rsid w:val="62A019CE"/>
    <w:rsid w:val="630C2BBF"/>
    <w:rsid w:val="633C633C"/>
    <w:rsid w:val="633F2F95"/>
    <w:rsid w:val="63626C83"/>
    <w:rsid w:val="63BA086D"/>
    <w:rsid w:val="63F024E1"/>
    <w:rsid w:val="64276A3B"/>
    <w:rsid w:val="643C74D4"/>
    <w:rsid w:val="6497136C"/>
    <w:rsid w:val="64BB664B"/>
    <w:rsid w:val="64C45DE1"/>
    <w:rsid w:val="64D03589"/>
    <w:rsid w:val="652977A7"/>
    <w:rsid w:val="65420B1A"/>
    <w:rsid w:val="65817895"/>
    <w:rsid w:val="65F91C13"/>
    <w:rsid w:val="66613222"/>
    <w:rsid w:val="66AD6467"/>
    <w:rsid w:val="671F556E"/>
    <w:rsid w:val="679715F1"/>
    <w:rsid w:val="67B56BC3"/>
    <w:rsid w:val="67E27EFB"/>
    <w:rsid w:val="67E934CF"/>
    <w:rsid w:val="68295FC1"/>
    <w:rsid w:val="686F7E78"/>
    <w:rsid w:val="6888718C"/>
    <w:rsid w:val="68CC0163"/>
    <w:rsid w:val="69054339"/>
    <w:rsid w:val="69154ABB"/>
    <w:rsid w:val="697119CE"/>
    <w:rsid w:val="69A1255C"/>
    <w:rsid w:val="6A040A94"/>
    <w:rsid w:val="6A31115D"/>
    <w:rsid w:val="6A786D8C"/>
    <w:rsid w:val="6A927A03"/>
    <w:rsid w:val="6ACE4BFE"/>
    <w:rsid w:val="6AF503DD"/>
    <w:rsid w:val="6B603B25"/>
    <w:rsid w:val="6B7457A6"/>
    <w:rsid w:val="6C6121CE"/>
    <w:rsid w:val="6C863145"/>
    <w:rsid w:val="6D0244F4"/>
    <w:rsid w:val="6D2B7C00"/>
    <w:rsid w:val="6D5E4661"/>
    <w:rsid w:val="6DFB0400"/>
    <w:rsid w:val="6E1219CA"/>
    <w:rsid w:val="6E2D0DB9"/>
    <w:rsid w:val="6EA83AB1"/>
    <w:rsid w:val="6EB74327"/>
    <w:rsid w:val="6F0A08FB"/>
    <w:rsid w:val="6F7A7103"/>
    <w:rsid w:val="6FB70357"/>
    <w:rsid w:val="6FDC61FC"/>
    <w:rsid w:val="7009478C"/>
    <w:rsid w:val="70205EFC"/>
    <w:rsid w:val="70813A4D"/>
    <w:rsid w:val="7082071E"/>
    <w:rsid w:val="70A029A4"/>
    <w:rsid w:val="70A703CB"/>
    <w:rsid w:val="70E33C39"/>
    <w:rsid w:val="7169742F"/>
    <w:rsid w:val="717F0164"/>
    <w:rsid w:val="71A16BC9"/>
    <w:rsid w:val="72624905"/>
    <w:rsid w:val="728C28C5"/>
    <w:rsid w:val="728C7879"/>
    <w:rsid w:val="734D7008"/>
    <w:rsid w:val="7371347D"/>
    <w:rsid w:val="744C5512"/>
    <w:rsid w:val="74547A54"/>
    <w:rsid w:val="74591FEB"/>
    <w:rsid w:val="748B4BCA"/>
    <w:rsid w:val="74CF1C9F"/>
    <w:rsid w:val="74E00EDF"/>
    <w:rsid w:val="757C1E26"/>
    <w:rsid w:val="75CF430F"/>
    <w:rsid w:val="75EF25F8"/>
    <w:rsid w:val="75F2239C"/>
    <w:rsid w:val="76373B19"/>
    <w:rsid w:val="765D5772"/>
    <w:rsid w:val="768076F4"/>
    <w:rsid w:val="76BD44A5"/>
    <w:rsid w:val="77456248"/>
    <w:rsid w:val="774E334F"/>
    <w:rsid w:val="77BB1199"/>
    <w:rsid w:val="77FA652A"/>
    <w:rsid w:val="78283BA0"/>
    <w:rsid w:val="78866B18"/>
    <w:rsid w:val="788E6CCB"/>
    <w:rsid w:val="792C76C0"/>
    <w:rsid w:val="79312F28"/>
    <w:rsid w:val="79BF22E2"/>
    <w:rsid w:val="79DF2984"/>
    <w:rsid w:val="7A094544"/>
    <w:rsid w:val="7A234B1F"/>
    <w:rsid w:val="7A320D06"/>
    <w:rsid w:val="7AF81F4F"/>
    <w:rsid w:val="7B0004F2"/>
    <w:rsid w:val="7B1A0DD3"/>
    <w:rsid w:val="7B1C3E77"/>
    <w:rsid w:val="7B3960C4"/>
    <w:rsid w:val="7B5353D8"/>
    <w:rsid w:val="7B8C08E9"/>
    <w:rsid w:val="7BD77DB7"/>
    <w:rsid w:val="7CA62856"/>
    <w:rsid w:val="7CCD4D16"/>
    <w:rsid w:val="7D1961AD"/>
    <w:rsid w:val="7D3812BF"/>
    <w:rsid w:val="7D3927A9"/>
    <w:rsid w:val="7D553A71"/>
    <w:rsid w:val="7D7603A0"/>
    <w:rsid w:val="7DA67B57"/>
    <w:rsid w:val="7DC7562D"/>
    <w:rsid w:val="7E0D1B42"/>
    <w:rsid w:val="7E696CC0"/>
    <w:rsid w:val="7EB51837"/>
    <w:rsid w:val="7EDE320A"/>
    <w:rsid w:val="7F13473F"/>
    <w:rsid w:val="7F264BB1"/>
    <w:rsid w:val="7F403EC5"/>
    <w:rsid w:val="7F9F628A"/>
    <w:rsid w:val="7FA507A0"/>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8"/>
    <w:qFormat/>
    <w:uiPriority w:val="0"/>
    <w:pPr>
      <w:spacing w:before="120" w:after="120" w:line="360" w:lineRule="auto"/>
      <w:outlineLvl w:val="2"/>
    </w:pPr>
    <w:rPr>
      <w:rFonts w:ascii="Times New Roman" w:hAnsi="Times New Roman"/>
      <w:b/>
    </w:rPr>
  </w:style>
  <w:style w:type="paragraph" w:styleId="7">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5"/>
    <w:unhideWhenUsed/>
    <w:qFormat/>
    <w:uiPriority w:val="0"/>
    <w:pPr>
      <w:jc w:val="left"/>
    </w:pPr>
  </w:style>
  <w:style w:type="paragraph" w:styleId="18">
    <w:name w:val="Body Text"/>
    <w:basedOn w:val="1"/>
    <w:link w:val="76"/>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7"/>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5"/>
    <w:qFormat/>
    <w:uiPriority w:val="0"/>
    <w:rPr>
      <w:rFonts w:ascii="Times New Roman" w:hAnsi="Times New Roman" w:eastAsia="宋体" w:cs="Times New Roman"/>
      <w:b/>
      <w:bCs/>
      <w:sz w:val="32"/>
      <w:szCs w:val="32"/>
    </w:rPr>
  </w:style>
  <w:style w:type="character" w:customStyle="1" w:styleId="69">
    <w:name w:val="标题 4 字符"/>
    <w:link w:val="7"/>
    <w:qFormat/>
    <w:uiPriority w:val="9"/>
    <w:rPr>
      <w:rFonts w:ascii="Calibri Light" w:hAnsi="Calibri Light" w:eastAsia="黑体" w:cs="Times New Roman"/>
      <w:b/>
      <w:bCs/>
      <w:sz w:val="28"/>
      <w:szCs w:val="28"/>
    </w:rPr>
  </w:style>
  <w:style w:type="character" w:customStyle="1" w:styleId="70">
    <w:name w:val="标题 5 字符"/>
    <w:link w:val="8"/>
    <w:qFormat/>
    <w:uiPriority w:val="9"/>
    <w:rPr>
      <w:rFonts w:ascii="Arial" w:hAnsi="Arial" w:eastAsia="Arial" w:cs="Arial"/>
      <w:b/>
      <w:bCs/>
      <w:sz w:val="24"/>
      <w:szCs w:val="24"/>
    </w:rPr>
  </w:style>
  <w:style w:type="character" w:customStyle="1" w:styleId="71">
    <w:name w:val="标题 6 字符"/>
    <w:link w:val="9"/>
    <w:qFormat/>
    <w:uiPriority w:val="9"/>
    <w:rPr>
      <w:rFonts w:ascii="Arial" w:hAnsi="Arial" w:eastAsia="Arial" w:cs="Arial"/>
      <w:b/>
      <w:bCs/>
      <w:sz w:val="22"/>
      <w:szCs w:val="22"/>
    </w:rPr>
  </w:style>
  <w:style w:type="character" w:customStyle="1" w:styleId="72">
    <w:name w:val="标题 7 字符"/>
    <w:link w:val="10"/>
    <w:qFormat/>
    <w:uiPriority w:val="9"/>
    <w:rPr>
      <w:rFonts w:ascii="Arial" w:hAnsi="Arial" w:eastAsia="Arial" w:cs="Arial"/>
      <w:b/>
      <w:bCs/>
      <w:i/>
      <w:iCs/>
      <w:sz w:val="22"/>
      <w:szCs w:val="22"/>
    </w:rPr>
  </w:style>
  <w:style w:type="character" w:customStyle="1" w:styleId="73">
    <w:name w:val="标题 8 字符"/>
    <w:link w:val="11"/>
    <w:qFormat/>
    <w:uiPriority w:val="9"/>
    <w:rPr>
      <w:rFonts w:ascii="Arial" w:hAnsi="Arial" w:eastAsia="Arial" w:cs="Arial"/>
      <w:i/>
      <w:iCs/>
      <w:sz w:val="22"/>
      <w:szCs w:val="22"/>
    </w:rPr>
  </w:style>
  <w:style w:type="character" w:customStyle="1" w:styleId="74">
    <w:name w:val="标题 9 字符"/>
    <w:link w:val="12"/>
    <w:qFormat/>
    <w:uiPriority w:val="9"/>
    <w:rPr>
      <w:rFonts w:ascii="Arial" w:hAnsi="Arial" w:eastAsia="Arial" w:cs="Arial"/>
      <w:i/>
      <w:iCs/>
      <w:sz w:val="21"/>
      <w:szCs w:val="21"/>
    </w:rPr>
  </w:style>
  <w:style w:type="character" w:customStyle="1" w:styleId="75">
    <w:name w:val="批注文字 字符"/>
    <w:link w:val="17"/>
    <w:qFormat/>
    <w:uiPriority w:val="0"/>
    <w:rPr>
      <w:rFonts w:ascii="Calibri" w:hAnsi="Calibri" w:eastAsia="宋体" w:cs="Times New Roman"/>
      <w:sz w:val="21"/>
      <w:szCs w:val="22"/>
    </w:rPr>
  </w:style>
  <w:style w:type="character" w:customStyle="1" w:styleId="76">
    <w:name w:val="正文文本 字符"/>
    <w:link w:val="18"/>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4"/>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正文文本首行缩进1"/>
    <w:basedOn w:val="272"/>
    <w:qFormat/>
    <w:uiPriority w:val="99"/>
    <w:pPr>
      <w:ind w:firstLine="360"/>
    </w:pPr>
  </w:style>
  <w:style w:type="paragraph" w:customStyle="1" w:styleId="272">
    <w:name w:val="正文文本1"/>
    <w:basedOn w:val="1"/>
    <w:next w:val="1"/>
    <w:qFormat/>
    <w:uiPriority w:val="0"/>
    <w:pPr>
      <w:jc w:val="center"/>
    </w:pPr>
    <w:rPr>
      <w:rFonts w:eastAsia="幼圆"/>
      <w:b/>
      <w:bCs/>
      <w:sz w:val="44"/>
      <w:lang w:eastAsia="en-US"/>
    </w:rPr>
  </w:style>
  <w:style w:type="table" w:customStyle="1" w:styleId="273">
    <w:name w:val="网格型1"/>
    <w:basedOn w:val="274"/>
    <w:qFormat/>
    <w:uiPriority w:val="0"/>
    <w:pPr>
      <w:widowControl w:val="0"/>
      <w:jc w:val="both"/>
    </w:pPr>
  </w:style>
  <w:style w:type="table" w:customStyle="1" w:styleId="274">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13813</Words>
  <Characters>14478</Characters>
  <Lines>127</Lines>
  <Paragraphs>35</Paragraphs>
  <TotalTime>11</TotalTime>
  <ScaleCrop>false</ScaleCrop>
  <LinksUpToDate>false</LinksUpToDate>
  <CharactersWithSpaces>15197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楚楚</cp:lastModifiedBy>
  <dcterms:modified xsi:type="dcterms:W3CDTF">2026-10-08T06:15:44Z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2F932E2B3B96490A99A9EE80995D13AD_13</vt:lpwstr>
  </property>
  <property fmtid="{D5CDD505-2E9C-101B-9397-08002B2CF9AE}" pid="4" name="KSOTemplateDocerSaveRecord">
    <vt:lpwstr>eyJoZGlkIjoiMTEyZGI1OGUyOTZjNjcwYzVhNjY4OWJiMDQwNzJhYmYiLCJ1c2VySWQiOiI0NjcwNzgxMjMifQ==</vt:lpwstr>
  </property>
</Properties>
</file>