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EA1FE5">
      <w:pPr>
        <w:spacing w:line="360" w:lineRule="auto"/>
        <w:jc w:val="center"/>
        <w:rPr>
          <w:rFonts w:ascii="宋体" w:hAnsi="宋体"/>
          <w:b/>
          <w:color w:val="000000" w:themeColor="text1"/>
          <w:sz w:val="44"/>
          <w:highlight w:val="none"/>
          <w:shd w:val="clear" w:color="auto" w:fill="FFFFFF"/>
          <w14:textFill>
            <w14:solidFill>
              <w14:schemeClr w14:val="tx1"/>
            </w14:solidFill>
          </w14:textFill>
        </w:rPr>
      </w:pPr>
    </w:p>
    <w:p w14:paraId="5E055EC6">
      <w:pPr>
        <w:pStyle w:val="17"/>
        <w:ind w:firstLine="480"/>
        <w:jc w:val="center"/>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s="宋体"/>
          <w:b/>
          <w:color w:val="000000" w:themeColor="text1"/>
          <w:sz w:val="44"/>
          <w:highlight w:val="none"/>
          <w:shd w:val="clear" w:color="auto" w:fill="FFFFFF"/>
          <w:lang w:eastAsia="zh-CN"/>
          <w14:textFill>
            <w14:solidFill>
              <w14:schemeClr w14:val="tx1"/>
            </w14:solidFill>
          </w14:textFill>
        </w:rPr>
        <w:t>南京邮电大学集成电路科学与工程学院集成电路教学平台采购项目</w:t>
      </w:r>
    </w:p>
    <w:p w14:paraId="7E4328CF">
      <w:pPr>
        <w:pStyle w:val="17"/>
        <w:ind w:firstLine="480"/>
        <w:jc w:val="center"/>
        <w:rPr>
          <w:rFonts w:ascii="宋体" w:hAnsi="宋体"/>
          <w:color w:val="000000" w:themeColor="text1"/>
          <w:highlight w:val="none"/>
          <w14:textFill>
            <w14:solidFill>
              <w14:schemeClr w14:val="tx1"/>
            </w14:solidFill>
          </w14:textFill>
        </w:rPr>
      </w:pPr>
    </w:p>
    <w:p w14:paraId="4C46EB59">
      <w:pPr>
        <w:pStyle w:val="17"/>
        <w:ind w:firstLine="480"/>
        <w:jc w:val="center"/>
        <w:rPr>
          <w:rFonts w:ascii="宋体" w:hAnsi="宋体"/>
          <w:color w:val="000000" w:themeColor="text1"/>
          <w:highlight w:val="none"/>
          <w14:textFill>
            <w14:solidFill>
              <w14:schemeClr w14:val="tx1"/>
            </w14:solidFill>
          </w14:textFill>
        </w:rPr>
      </w:pPr>
    </w:p>
    <w:p w14:paraId="5C5B02C0">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2D89FD5D">
      <w:pPr>
        <w:spacing w:line="360" w:lineRule="auto"/>
        <w:jc w:val="center"/>
        <w:rPr>
          <w:rFonts w:ascii="宋体" w:hAnsi="宋体" w:cs="宋体"/>
          <w:b/>
          <w:color w:val="000000" w:themeColor="text1"/>
          <w:sz w:val="32"/>
          <w:highlight w:val="none"/>
          <w:shd w:val="clear" w:color="auto" w:fill="FFFFFF"/>
          <w14:textFill>
            <w14:solidFill>
              <w14:schemeClr w14:val="tx1"/>
            </w14:solidFill>
          </w14:textFill>
        </w:rPr>
      </w:pPr>
    </w:p>
    <w:p w14:paraId="07048F24">
      <w:pPr>
        <w:spacing w:line="360" w:lineRule="auto"/>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07382107">
      <w:pPr>
        <w:spacing w:line="360" w:lineRule="auto"/>
        <w:jc w:val="center"/>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28"/>
          <w:highlight w:val="none"/>
          <w14:textFill>
            <w14:solidFill>
              <w14:schemeClr w14:val="tx1"/>
            </w14:solidFill>
          </w14:textFill>
        </w:rPr>
        <w:t>项目编号：</w:t>
      </w:r>
      <w:r>
        <w:rPr>
          <w:rFonts w:hint="eastAsia" w:ascii="宋体" w:hAnsi="宋体"/>
          <w:b/>
          <w:color w:val="auto"/>
          <w:w w:val="90"/>
          <w:kern w:val="0"/>
          <w:sz w:val="32"/>
          <w:szCs w:val="32"/>
          <w:highlight w:val="none"/>
        </w:rPr>
        <w:t>NYCG2025-H058（0675-256JOC004707）</w:t>
      </w:r>
    </w:p>
    <w:p w14:paraId="0BDF471B">
      <w:pPr>
        <w:spacing w:line="360" w:lineRule="auto"/>
        <w:jc w:val="center"/>
        <w:rPr>
          <w:rFonts w:ascii="宋体" w:hAnsi="宋体" w:cs="宋体"/>
          <w:b/>
          <w:color w:val="000000" w:themeColor="text1"/>
          <w:sz w:val="36"/>
          <w:highlight w:val="none"/>
          <w14:textFill>
            <w14:solidFill>
              <w14:schemeClr w14:val="tx1"/>
            </w14:solidFill>
          </w14:textFill>
        </w:rPr>
      </w:pPr>
    </w:p>
    <w:p w14:paraId="36DF98CA">
      <w:pPr>
        <w:spacing w:line="360" w:lineRule="auto"/>
        <w:jc w:val="center"/>
        <w:rPr>
          <w:rFonts w:ascii="宋体" w:hAnsi="宋体" w:cs="宋体"/>
          <w:b/>
          <w:color w:val="000000" w:themeColor="text1"/>
          <w:sz w:val="36"/>
          <w:highlight w:val="none"/>
          <w14:textFill>
            <w14:solidFill>
              <w14:schemeClr w14:val="tx1"/>
            </w14:solidFill>
          </w14:textFill>
        </w:rPr>
      </w:pPr>
    </w:p>
    <w:p w14:paraId="77BF95E1">
      <w:pPr>
        <w:pStyle w:val="17"/>
        <w:ind w:firstLine="480"/>
        <w:jc w:val="center"/>
        <w:rPr>
          <w:rFonts w:ascii="宋体" w:hAnsi="宋体"/>
          <w:color w:val="000000" w:themeColor="text1"/>
          <w:highlight w:val="none"/>
          <w14:textFill>
            <w14:solidFill>
              <w14:schemeClr w14:val="tx1"/>
            </w14:solidFill>
          </w14:textFill>
        </w:rPr>
      </w:pPr>
    </w:p>
    <w:p w14:paraId="04FA27DC">
      <w:pPr>
        <w:spacing w:line="360" w:lineRule="auto"/>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采购人：</w:t>
      </w:r>
      <w:r>
        <w:rPr>
          <w:rFonts w:hint="eastAsia" w:ascii="宋体" w:hAnsi="宋体"/>
          <w:b/>
          <w:color w:val="000000" w:themeColor="text1"/>
          <w:sz w:val="36"/>
          <w:szCs w:val="36"/>
          <w:highlight w:val="none"/>
          <w14:textFill>
            <w14:solidFill>
              <w14:schemeClr w14:val="tx1"/>
            </w14:solidFill>
          </w14:textFill>
        </w:rPr>
        <w:t>南京邮电大学</w:t>
      </w:r>
    </w:p>
    <w:p w14:paraId="52FBCF91">
      <w:pPr>
        <w:spacing w:line="360" w:lineRule="auto"/>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采购</w:t>
      </w:r>
      <w:r>
        <w:rPr>
          <w:rFonts w:ascii="宋体" w:hAnsi="宋体" w:cs="宋体"/>
          <w:b/>
          <w:color w:val="000000" w:themeColor="text1"/>
          <w:sz w:val="36"/>
          <w:highlight w:val="none"/>
          <w14:textFill>
            <w14:solidFill>
              <w14:schemeClr w14:val="tx1"/>
            </w14:solidFill>
          </w14:textFill>
        </w:rPr>
        <w:t>代理机构：</w:t>
      </w:r>
      <w:r>
        <w:rPr>
          <w:rFonts w:hint="eastAsia" w:ascii="宋体" w:hAnsi="宋体" w:cs="宋体"/>
          <w:b/>
          <w:color w:val="000000" w:themeColor="text1"/>
          <w:sz w:val="36"/>
          <w:highlight w:val="none"/>
          <w14:textFill>
            <w14:solidFill>
              <w14:schemeClr w14:val="tx1"/>
            </w14:solidFill>
          </w14:textFill>
        </w:rPr>
        <w:t>江苏海外集团国际工程咨询有限公司</w:t>
      </w:r>
      <w:r>
        <w:rPr>
          <w:rFonts w:ascii="宋体" w:hAnsi="宋体" w:cs="宋体"/>
          <w:b/>
          <w:color w:val="000000" w:themeColor="text1"/>
          <w:sz w:val="36"/>
          <w:highlight w:val="none"/>
          <w14:textFill>
            <w14:solidFill>
              <w14:schemeClr w14:val="tx1"/>
            </w14:solidFill>
          </w14:textFill>
        </w:rPr>
        <w:t xml:space="preserve"> </w:t>
      </w:r>
    </w:p>
    <w:p w14:paraId="7E51FB71">
      <w:pPr>
        <w:jc w:val="left"/>
        <w:rPr>
          <w:rFonts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日期：二〇二</w:t>
      </w:r>
      <w:r>
        <w:rPr>
          <w:rFonts w:hint="eastAsia" w:ascii="宋体" w:hAnsi="宋体" w:cs="宋体"/>
          <w:b/>
          <w:color w:val="000000" w:themeColor="text1"/>
          <w:sz w:val="36"/>
          <w:highlight w:val="none"/>
          <w14:textFill>
            <w14:solidFill>
              <w14:schemeClr w14:val="tx1"/>
            </w14:solidFill>
          </w14:textFill>
        </w:rPr>
        <w:t>五</w:t>
      </w:r>
      <w:r>
        <w:rPr>
          <w:rFonts w:ascii="宋体" w:hAnsi="宋体" w:cs="宋体"/>
          <w:b/>
          <w:color w:val="000000" w:themeColor="text1"/>
          <w:sz w:val="36"/>
          <w:highlight w:val="none"/>
          <w14:textFill>
            <w14:solidFill>
              <w14:schemeClr w14:val="tx1"/>
            </w14:solidFill>
          </w14:textFill>
        </w:rPr>
        <w:t>年</w:t>
      </w:r>
      <w:r>
        <w:rPr>
          <w:rFonts w:hint="eastAsia" w:ascii="宋体" w:hAnsi="宋体" w:cs="宋体"/>
          <w:b/>
          <w:color w:val="000000" w:themeColor="text1"/>
          <w:sz w:val="36"/>
          <w:highlight w:val="none"/>
          <w:lang w:val="en-US" w:eastAsia="zh-CN"/>
          <w14:textFill>
            <w14:solidFill>
              <w14:schemeClr w14:val="tx1"/>
            </w14:solidFill>
          </w14:textFill>
        </w:rPr>
        <w:t>十</w:t>
      </w:r>
      <w:r>
        <w:rPr>
          <w:rFonts w:ascii="宋体" w:hAnsi="宋体" w:cs="宋体"/>
          <w:b/>
          <w:color w:val="000000" w:themeColor="text1"/>
          <w:sz w:val="36"/>
          <w:highlight w:val="none"/>
          <w14:textFill>
            <w14:solidFill>
              <w14:schemeClr w14:val="tx1"/>
            </w14:solidFill>
          </w14:textFill>
        </w:rPr>
        <w:t>月</w:t>
      </w:r>
    </w:p>
    <w:p w14:paraId="73EEE01B">
      <w:pPr>
        <w:jc w:val="center"/>
        <w:outlineLvl w:val="0"/>
        <w:rPr>
          <w:rFonts w:ascii="宋体" w:hAnsi="宋体" w:cs="黑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br w:type="page"/>
      </w: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14:paraId="5D46D8AE">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08F8A538">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color w:val="000000" w:themeColor="text1"/>
          <w:highlight w:val="none"/>
          <w14:textFill>
            <w14:solidFill>
              <w14:schemeClr w14:val="tx1"/>
            </w14:solidFill>
          </w14:textFill>
        </w:rPr>
        <w:t>NYCG2025-H058（0675-256JOC004707）</w:t>
      </w:r>
      <w:r>
        <w:rPr>
          <w:color w:val="000000" w:themeColor="text1"/>
          <w:highlight w:val="none"/>
          <w14:textFill>
            <w14:solidFill>
              <w14:schemeClr w14:val="tx1"/>
            </w14:solidFill>
          </w14:textFill>
        </w:rPr>
        <w:t>；</w:t>
      </w:r>
    </w:p>
    <w:p w14:paraId="76A00601">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color w:val="000000" w:themeColor="text1"/>
          <w:highlight w:val="none"/>
          <w14:textFill>
            <w14:solidFill>
              <w14:schemeClr w14:val="tx1"/>
            </w14:solidFill>
          </w14:textFill>
        </w:rPr>
        <w:t>南京邮电大学</w:t>
      </w:r>
      <w:r>
        <w:rPr>
          <w:rFonts w:hint="eastAsia"/>
          <w:color w:val="000000" w:themeColor="text1"/>
          <w:highlight w:val="none"/>
          <w:lang w:eastAsia="zh-CN"/>
          <w14:textFill>
            <w14:solidFill>
              <w14:schemeClr w14:val="tx1"/>
            </w14:solidFill>
          </w14:textFill>
        </w:rPr>
        <w:t>集成电路科学与工程学院集成电路教学平台采购项目</w:t>
      </w:r>
      <w:r>
        <w:rPr>
          <w:color w:val="000000" w:themeColor="text1"/>
          <w:highlight w:val="none"/>
          <w14:textFill>
            <w14:solidFill>
              <w14:schemeClr w14:val="tx1"/>
            </w14:solidFill>
          </w14:textFill>
        </w:rPr>
        <w:t>；</w:t>
      </w:r>
    </w:p>
    <w:p w14:paraId="413B893E">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74</w:t>
      </w:r>
      <w:r>
        <w:rPr>
          <w:color w:val="000000" w:themeColor="text1"/>
          <w:highlight w:val="none"/>
          <w14:textFill>
            <w14:solidFill>
              <w14:schemeClr w14:val="tx1"/>
            </w14:solidFill>
          </w14:textFill>
        </w:rPr>
        <w:t>万元；</w:t>
      </w:r>
    </w:p>
    <w:p w14:paraId="576DE37F">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lang w:val="en-US" w:eastAsia="zh-CN"/>
          <w14:textFill>
            <w14:solidFill>
              <w14:schemeClr w14:val="tx1"/>
            </w14:solidFill>
          </w14:textFill>
        </w:rPr>
        <w:t>74</w:t>
      </w:r>
      <w:r>
        <w:rPr>
          <w:rFonts w:hint="eastAsia"/>
          <w:color w:val="000000" w:themeColor="text1"/>
          <w:highlight w:val="none"/>
          <w14:textFill>
            <w14:solidFill>
              <w14:schemeClr w14:val="tx1"/>
            </w14:solidFill>
          </w14:textFill>
        </w:rPr>
        <w:t>万元，响应报价超过单价最高限价的，响应文件作无效处理。</w:t>
      </w:r>
    </w:p>
    <w:p w14:paraId="2C5D5CEA">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58D8BD01">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ascii="宋体" w:hAnsi="宋体" w:cs="宋体"/>
          <w:color w:val="auto"/>
          <w:szCs w:val="21"/>
          <w:highlight w:val="none"/>
        </w:rPr>
        <w:t>本次采购为集成电路科学与工程学院集成电路教学平台采购</w:t>
      </w:r>
      <w:r>
        <w:rPr>
          <w:color w:val="000000" w:themeColor="text1"/>
          <w:highlight w:val="none"/>
          <w14:textFill>
            <w14:solidFill>
              <w14:schemeClr w14:val="tx1"/>
            </w14:solidFill>
          </w14:textFill>
        </w:rPr>
        <w:t>，具体详见采购文件。</w:t>
      </w:r>
    </w:p>
    <w:p w14:paraId="0E8F26C1">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合同履行期限：</w:t>
      </w:r>
      <w:r>
        <w:rPr>
          <w:rFonts w:hint="eastAsia"/>
          <w:color w:val="000000" w:themeColor="text1"/>
          <w:highlight w:val="none"/>
          <w14:textFill>
            <w14:solidFill>
              <w14:schemeClr w14:val="tx1"/>
            </w14:solidFill>
          </w14:textFill>
        </w:rPr>
        <w:t>合同签订生效后，90个日历日内安装、调试结束，验收合格，交付采购人使用。</w:t>
      </w:r>
    </w:p>
    <w:p w14:paraId="757E1B75">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14:paraId="1B049A49">
      <w:pPr>
        <w:pStyle w:val="17"/>
        <w:numPr>
          <w:ilvl w:val="0"/>
          <w:numId w:val="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本项目是否接受进口产品响应：不接受。</w:t>
      </w:r>
    </w:p>
    <w:p w14:paraId="0DC600B3">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53F35AB3">
      <w:pPr>
        <w:pStyle w:val="17"/>
        <w:numPr>
          <w:ilvl w:val="0"/>
          <w:numId w:val="4"/>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020313F8">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69F28F90">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2025年4月至2025年9月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1F5D6BA4">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3F635C05">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2025年4月至2025年9月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0CD5D70">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5639F7D4">
      <w:pPr>
        <w:pStyle w:val="17"/>
        <w:numPr>
          <w:ilvl w:val="0"/>
          <w:numId w:val="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4556DF93">
      <w:pPr>
        <w:pStyle w:val="17"/>
        <w:numPr>
          <w:ilvl w:val="0"/>
          <w:numId w:val="4"/>
        </w:numPr>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无。</w:t>
      </w:r>
    </w:p>
    <w:p w14:paraId="010B73A3">
      <w:pPr>
        <w:pStyle w:val="17"/>
        <w:numPr>
          <w:ilvl w:val="0"/>
          <w:numId w:val="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08DEACC2">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584E613A">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3D6E962C">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w:t>
      </w:r>
    </w:p>
    <w:p w14:paraId="2B68A30D">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6FCFC664">
      <w:pPr>
        <w:pStyle w:val="17"/>
        <w:numPr>
          <w:ilvl w:val="0"/>
          <w:numId w:val="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时间：2025年</w:t>
      </w:r>
      <w:r>
        <w:rPr>
          <w:rFonts w:hint="eastAsia"/>
          <w:color w:val="000000" w:themeColor="text1"/>
          <w:highlight w:val="none"/>
          <w:lang w:val="en-US" w:eastAsia="zh-CN"/>
          <w14:textFill>
            <w14:solidFill>
              <w14:schemeClr w14:val="tx1"/>
            </w14:solidFill>
          </w14:textFill>
        </w:rPr>
        <w:t>10</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15</w:t>
      </w:r>
      <w:r>
        <w:rPr>
          <w:color w:val="000000" w:themeColor="text1"/>
          <w:highlight w:val="none"/>
          <w14:textFill>
            <w14:solidFill>
              <w14:schemeClr w14:val="tx1"/>
            </w14:solidFill>
          </w14:textFill>
        </w:rPr>
        <w:t>日上午09:00至2025年</w:t>
      </w:r>
      <w:r>
        <w:rPr>
          <w:rFonts w:hint="eastAsia"/>
          <w:color w:val="000000" w:themeColor="text1"/>
          <w:highlight w:val="none"/>
          <w:lang w:val="en-US" w:eastAsia="zh-CN"/>
          <w14:textFill>
            <w14:solidFill>
              <w14:schemeClr w14:val="tx1"/>
            </w14:solidFill>
          </w14:textFill>
        </w:rPr>
        <w:t>10</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22</w:t>
      </w:r>
      <w:r>
        <w:rPr>
          <w:color w:val="000000" w:themeColor="text1"/>
          <w:highlight w:val="none"/>
          <w14:textFill>
            <w14:solidFill>
              <w14:schemeClr w14:val="tx1"/>
            </w14:solidFill>
          </w14:textFill>
        </w:rPr>
        <w:t>日17:00（北京时间）</w:t>
      </w:r>
    </w:p>
    <w:p w14:paraId="414D71AC">
      <w:pPr>
        <w:pStyle w:val="17"/>
        <w:numPr>
          <w:ilvl w:val="0"/>
          <w:numId w:val="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获取方式：</w:t>
      </w:r>
      <w:r>
        <w:rPr>
          <w:rFonts w:hint="eastAsia"/>
          <w:color w:val="000000" w:themeColor="text1"/>
          <w:highlight w:val="none"/>
          <w:lang w:eastAsia="zh-CN"/>
          <w14:textFill>
            <w14:solidFill>
              <w14:schemeClr w14:val="tx1"/>
            </w14:solidFill>
          </w14:textFill>
        </w:rPr>
        <w:t>供应商</w:t>
      </w:r>
      <w:r>
        <w:rPr>
          <w:rFonts w:hint="eastAsia"/>
          <w:color w:val="000000" w:themeColor="text1"/>
          <w:highlight w:val="none"/>
          <w14:textFill>
            <w14:solidFill>
              <w14:schemeClr w14:val="tx1"/>
            </w14:solidFill>
          </w14:textFill>
        </w:rPr>
        <w:t>登录https://www.joccon.cn/hwzb/平台免费获取</w:t>
      </w:r>
      <w:r>
        <w:rPr>
          <w:rFonts w:hint="eastAsia"/>
          <w:color w:val="000000" w:themeColor="text1"/>
          <w:highlight w:val="none"/>
          <w:lang w:eastAsia="zh-CN"/>
          <w14:textFill>
            <w14:solidFill>
              <w14:schemeClr w14:val="tx1"/>
            </w14:solidFill>
          </w14:textFill>
        </w:rPr>
        <w:t>采购</w:t>
      </w:r>
      <w:r>
        <w:rPr>
          <w:rFonts w:hint="eastAsia"/>
          <w:color w:val="000000" w:themeColor="text1"/>
          <w:highlight w:val="none"/>
          <w14:textFill>
            <w14:solidFill>
              <w14:schemeClr w14:val="tx1"/>
            </w14:solidFill>
          </w14:textFill>
        </w:rPr>
        <w:t>文件。在获取</w:t>
      </w:r>
      <w:r>
        <w:rPr>
          <w:rFonts w:hint="eastAsia"/>
          <w:color w:val="000000" w:themeColor="text1"/>
          <w:highlight w:val="none"/>
          <w:lang w:eastAsia="zh-CN"/>
          <w14:textFill>
            <w14:solidFill>
              <w14:schemeClr w14:val="tx1"/>
            </w14:solidFill>
          </w14:textFill>
        </w:rPr>
        <w:t>采购</w:t>
      </w:r>
      <w:r>
        <w:rPr>
          <w:rFonts w:hint="eastAsia"/>
          <w:color w:val="000000" w:themeColor="text1"/>
          <w:highlight w:val="none"/>
          <w14:textFill>
            <w14:solidFill>
              <w14:schemeClr w14:val="tx1"/>
            </w14:solidFill>
          </w14:textFill>
        </w:rPr>
        <w:t>文件前，前往https://www.joccon.cn/hwzb/（江苏海外电子招投标平台）免费注册，平台审核通过后可以登录平台参与项目。</w:t>
      </w:r>
      <w:r>
        <w:rPr>
          <w:color w:val="000000" w:themeColor="text1"/>
          <w:highlight w:val="none"/>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w:t>
      </w:r>
      <w:r>
        <w:rPr>
          <w:rFonts w:hint="eastAsia" w:ascii="宋体" w:hAnsi="宋体" w:cs="宋体"/>
          <w:color w:val="auto"/>
          <w:szCs w:val="21"/>
          <w:highlight w:val="none"/>
        </w:rPr>
        <w:t>需提供（1）企业营业执照；（2）企业介绍信或法人授权委托书（包含身份证）</w:t>
      </w:r>
      <w:r>
        <w:rPr>
          <w:rFonts w:hint="eastAsia" w:ascii="宋体" w:hAnsi="宋体" w:cs="宋体"/>
          <w:color w:val="auto"/>
          <w:szCs w:val="21"/>
          <w:highlight w:val="none"/>
          <w:lang w:eastAsia="zh-CN"/>
        </w:rPr>
        <w:t>。）</w:t>
      </w:r>
    </w:p>
    <w:p w14:paraId="583F6C4C">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05D49153">
      <w:pPr>
        <w:pStyle w:val="1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平台服务费每包500元，不予退还</w:t>
      </w:r>
      <w:r>
        <w:rPr>
          <w:color w:val="000000" w:themeColor="text1"/>
          <w:highlight w:val="none"/>
          <w14:textFill>
            <w14:solidFill>
              <w14:schemeClr w14:val="tx1"/>
            </w14:solidFill>
          </w14:textFill>
        </w:rPr>
        <w:t>。</w:t>
      </w:r>
    </w:p>
    <w:p w14:paraId="7E17302C">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548032F4">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lang w:val="en-US" w:eastAsia="zh-CN"/>
          <w14:textFill>
            <w14:solidFill>
              <w14:schemeClr w14:val="tx1"/>
            </w14:solidFill>
          </w14:textFill>
        </w:rPr>
        <w:t>10</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29</w:t>
      </w:r>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13</w:t>
      </w:r>
      <w:r>
        <w:rPr>
          <w:color w:val="000000" w:themeColor="text1"/>
          <w:highlight w:val="none"/>
          <w:u w:val="single"/>
          <w14:textFill>
            <w14:solidFill>
              <w14:schemeClr w14:val="tx1"/>
            </w14:solidFill>
          </w14:textFill>
        </w:rPr>
        <w:t>时</w:t>
      </w:r>
      <w:r>
        <w:rPr>
          <w:rFonts w:hint="eastAsia"/>
          <w:color w:val="000000" w:themeColor="text1"/>
          <w:highlight w:val="none"/>
          <w:u w:val="single"/>
          <w14:textFill>
            <w14:solidFill>
              <w14:schemeClr w14:val="tx1"/>
            </w14:solidFill>
          </w14:textFill>
        </w:rPr>
        <w:t>30</w:t>
      </w:r>
      <w:r>
        <w:rPr>
          <w:color w:val="000000" w:themeColor="text1"/>
          <w:highlight w:val="none"/>
          <w:u w:val="single"/>
          <w14:textFill>
            <w14:solidFill>
              <w14:schemeClr w14:val="tx1"/>
            </w14:solidFill>
          </w14:textFill>
        </w:rPr>
        <w:t>分；</w:t>
      </w:r>
    </w:p>
    <w:p w14:paraId="2DC8CFC5">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2025年</w:t>
      </w:r>
      <w:r>
        <w:rPr>
          <w:rFonts w:hint="eastAsia"/>
          <w:color w:val="000000" w:themeColor="text1"/>
          <w:highlight w:val="none"/>
          <w:u w:val="single"/>
          <w:lang w:val="en-US" w:eastAsia="zh-CN"/>
          <w14:textFill>
            <w14:solidFill>
              <w14:schemeClr w14:val="tx1"/>
            </w14:solidFill>
          </w14:textFill>
        </w:rPr>
        <w:t>10</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29</w:t>
      </w:r>
      <w:bookmarkStart w:id="15" w:name="_GoBack"/>
      <w:bookmarkEnd w:id="15"/>
      <w:r>
        <w:rPr>
          <w:color w:val="000000" w:themeColor="text1"/>
          <w:highlight w:val="none"/>
          <w:u w:val="single"/>
          <w14:textFill>
            <w14:solidFill>
              <w14:schemeClr w14:val="tx1"/>
            </w14:solidFill>
          </w14:textFill>
        </w:rPr>
        <w:t>日</w:t>
      </w:r>
      <w:r>
        <w:rPr>
          <w:rFonts w:hint="eastAsia"/>
          <w:color w:val="000000" w:themeColor="text1"/>
          <w:highlight w:val="none"/>
          <w:u w:val="single"/>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14:textFill>
            <w14:solidFill>
              <w14:schemeClr w14:val="tx1"/>
            </w14:solidFill>
          </w14:textFill>
        </w:rPr>
        <w:t>00</w:t>
      </w:r>
      <w:r>
        <w:rPr>
          <w:color w:val="000000" w:themeColor="text1"/>
          <w:highlight w:val="none"/>
          <w:u w:val="single"/>
          <w14:textFill>
            <w14:solidFill>
              <w14:schemeClr w14:val="tx1"/>
            </w14:solidFill>
          </w14:textFill>
        </w:rPr>
        <w:t>分。</w:t>
      </w:r>
    </w:p>
    <w:p w14:paraId="376E6A7B">
      <w:pPr>
        <w:pStyle w:val="17"/>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w:t>
      </w:r>
      <w:r>
        <w:rPr>
          <w:rFonts w:hint="eastAsia"/>
          <w:color w:val="000000" w:themeColor="text1"/>
          <w:highlight w:val="none"/>
          <w14:textFill>
            <w14:solidFill>
              <w14:schemeClr w14:val="tx1"/>
            </w14:solidFill>
          </w14:textFill>
        </w:rPr>
        <w:t>南京市建邺区云龙山路56号大唐科技大厦A座高区14楼开标二厅</w:t>
      </w:r>
      <w:r>
        <w:rPr>
          <w:rFonts w:hint="eastAsia"/>
          <w:color w:val="000000" w:themeColor="text1"/>
          <w:highlight w:val="none"/>
          <w:lang w:eastAsia="zh-CN"/>
          <w14:textFill>
            <w14:solidFill>
              <w14:schemeClr w14:val="tx1"/>
            </w14:solidFill>
          </w14:textFill>
        </w:rPr>
        <w:t>。</w:t>
      </w:r>
    </w:p>
    <w:p w14:paraId="6D5C0D37">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仪式。</w:t>
      </w:r>
    </w:p>
    <w:p w14:paraId="5C71571A">
      <w:pPr>
        <w:pStyle w:val="17"/>
        <w:numPr>
          <w:ilvl w:val="0"/>
          <w:numId w:val="2"/>
        </w:numPr>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14:paraId="56DE3344">
      <w:pPr>
        <w:pStyle w:val="17"/>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14:paraId="286C0903">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1B5F4A8C">
      <w:pPr>
        <w:pStyle w:val="17"/>
        <w:numPr>
          <w:ilvl w:val="0"/>
          <w:numId w:val="7"/>
        </w:numPr>
        <w:ind w:firstLineChars="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伍份（壹份正本、肆份副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1F1EEB38">
      <w:pPr>
        <w:pStyle w:val="17"/>
        <w:numPr>
          <w:ilvl w:val="0"/>
          <w:numId w:val="7"/>
        </w:numPr>
        <w:ind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落实政府采购政策满足的资格要求：本项目为非预留份额的采购项目或采购包，执行价格扣除优惠政策。</w:t>
      </w:r>
    </w:p>
    <w:p w14:paraId="2A069E9A">
      <w:pPr>
        <w:pStyle w:val="17"/>
        <w:numPr>
          <w:ilvl w:val="0"/>
          <w:numId w:val="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本项目采购标的所属行业为:根据《关于印发中小企业划型标准规定的通知》工信部联企业（2011）300 号）及《国家统计局关于印发统计上大中小微型企业划分办法（2017））的通知》国统字（2017）213 号）等文件规定，本项目所属行业为：软件和信息技术服务业。</w:t>
      </w:r>
    </w:p>
    <w:p w14:paraId="58E0D4BE">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p>
    <w:p w14:paraId="60E632CE">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4A25BBA1">
      <w:pPr>
        <w:pStyle w:val="17"/>
        <w:numPr>
          <w:ilvl w:val="0"/>
          <w:numId w:val="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07A71CF9">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1、采购人信息</w:t>
      </w:r>
    </w:p>
    <w:p w14:paraId="7FB740E6">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720FB3D0">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403B8C12">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02F9565B">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698C6A10">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2、采购代理机构信息</w:t>
      </w:r>
    </w:p>
    <w:p w14:paraId="25B8C26D">
      <w:pPr>
        <w:pStyle w:val="17"/>
        <w:ind w:firstLine="480"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名 称：江苏海外集团国际工程咨询有限公司</w:t>
      </w:r>
    </w:p>
    <w:p w14:paraId="4F591755">
      <w:pPr>
        <w:pStyle w:val="17"/>
        <w:ind w:firstLine="480"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 址：南京市建邺区云龙山路56号大唐科技大厦A座高区15楼</w:t>
      </w:r>
    </w:p>
    <w:p w14:paraId="4A7785BC">
      <w:pPr>
        <w:pStyle w:val="17"/>
        <w:ind w:firstLine="480"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联系方式：025-84795941</w:t>
      </w:r>
    </w:p>
    <w:p w14:paraId="5B28C6B0">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3、项目联系方式</w:t>
      </w:r>
    </w:p>
    <w:p w14:paraId="531F40A9">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项目联系人： </w:t>
      </w:r>
      <w:r>
        <w:rPr>
          <w:rFonts w:hint="eastAsia" w:ascii="宋体" w:hAnsi="宋体" w:cs="宋体"/>
          <w:color w:val="auto"/>
          <w:szCs w:val="21"/>
          <w:highlight w:val="none"/>
        </w:rPr>
        <w:t>孙夏卉 任艳秋  陶冉  周兵</w:t>
      </w:r>
    </w:p>
    <w:p w14:paraId="61E4B518">
      <w:pPr>
        <w:pStyle w:val="17"/>
        <w:ind w:firstLine="480"/>
        <w:rPr>
          <w:rFonts w:ascii="宋体" w:hAnsi="宋体" w:cs="宋体"/>
          <w:color w:val="auto"/>
          <w:szCs w:val="21"/>
          <w:highlight w:val="none"/>
        </w:rPr>
      </w:pPr>
      <w:r>
        <w:rPr>
          <w:color w:val="000000" w:themeColor="text1"/>
          <w:highlight w:val="none"/>
          <w14:textFill>
            <w14:solidFill>
              <w14:schemeClr w14:val="tx1"/>
            </w14:solidFill>
          </w14:textFill>
        </w:rPr>
        <w:t>电话：</w:t>
      </w:r>
      <w:r>
        <w:rPr>
          <w:rFonts w:hint="eastAsia" w:ascii="宋体" w:hAnsi="宋体" w:cs="宋体"/>
          <w:color w:val="auto"/>
          <w:szCs w:val="21"/>
          <w:highlight w:val="none"/>
        </w:rPr>
        <w:t>025-84795991、</w:t>
      </w:r>
      <w:r>
        <w:rPr>
          <w:rFonts w:ascii="宋体" w:hAnsi="宋体" w:cs="宋体"/>
          <w:color w:val="auto"/>
          <w:szCs w:val="21"/>
          <w:highlight w:val="none"/>
        </w:rPr>
        <w:t>025-84795941</w:t>
      </w:r>
    </w:p>
    <w:p w14:paraId="23CCDA36">
      <w:pPr>
        <w:pStyle w:val="17"/>
        <w:ind w:firstLine="480"/>
        <w:rPr>
          <w:rFonts w:ascii="宋体" w:hAnsi="宋体" w:cs="宋体"/>
          <w:color w:val="auto"/>
          <w:szCs w:val="21"/>
          <w:highlight w:val="none"/>
        </w:rPr>
      </w:pPr>
      <w:r>
        <w:rPr>
          <w:rFonts w:hint="eastAsia" w:ascii="宋体" w:hAnsi="宋体" w:cs="宋体"/>
          <w:color w:val="auto"/>
          <w:szCs w:val="21"/>
          <w:highlight w:val="none"/>
        </w:rPr>
        <w:t>邮 箱：sxh@jocite.com</w:t>
      </w:r>
    </w:p>
    <w:p w14:paraId="160FD811">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35393796"/>
      <w:bookmarkStart w:id="3" w:name="_Toc28359085"/>
      <w:bookmarkStart w:id="4" w:name="_Toc28359008"/>
      <w:bookmarkStart w:id="5" w:name="_Toc35393627"/>
    </w:p>
    <w:bookmarkEnd w:id="2"/>
    <w:bookmarkEnd w:id="3"/>
    <w:bookmarkEnd w:id="4"/>
    <w:bookmarkEnd w:id="5"/>
    <w:p w14:paraId="1CF767CB">
      <w:pPr>
        <w:rPr>
          <w:rFonts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14:paraId="60474CBA">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第二章  </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14:paraId="2F0716D3">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0FE95DC5">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40F942D5">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w:t>
      </w:r>
      <w:r>
        <w:rPr>
          <w:color w:val="000000" w:themeColor="text1"/>
          <w:highlight w:val="none"/>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43E08894">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5072863E">
      <w:pPr>
        <w:pStyle w:val="17"/>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7DC48181">
      <w:pPr>
        <w:pStyle w:val="17"/>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是指本采购文件中所述相关</w:t>
      </w: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w:t>
      </w:r>
    </w:p>
    <w:p w14:paraId="12A1B095">
      <w:pPr>
        <w:pStyle w:val="17"/>
        <w:numPr>
          <w:ilvl w:val="0"/>
          <w:numId w:val="9"/>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用户或使用单位</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是指接受服务的单位。</w:t>
      </w:r>
    </w:p>
    <w:p w14:paraId="4A9C00F2">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2AA5D43D">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0D64E451">
      <w:pPr>
        <w:pStyle w:val="17"/>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11AF7343">
      <w:pPr>
        <w:pStyle w:val="17"/>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77B0F2E7">
      <w:pPr>
        <w:pStyle w:val="17"/>
        <w:widowControl/>
        <w:numPr>
          <w:ilvl w:val="0"/>
          <w:numId w:val="1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7861F2AC">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19E724BE">
      <w:pPr>
        <w:pStyle w:val="17"/>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53545524">
      <w:pPr>
        <w:pStyle w:val="17"/>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227CA39D">
      <w:pPr>
        <w:pStyle w:val="17"/>
        <w:numPr>
          <w:ilvl w:val="0"/>
          <w:numId w:val="1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4F9760E3">
      <w:pPr>
        <w:pStyle w:val="17"/>
        <w:numPr>
          <w:ilvl w:val="0"/>
          <w:numId w:val="8"/>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08C0F7CC">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486FC399">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39BAE95A">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5E6832A3">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0F692009">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691C513D">
      <w:pPr>
        <w:pStyle w:val="17"/>
        <w:numPr>
          <w:ilvl w:val="0"/>
          <w:numId w:val="1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457F8547">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1B5D29D1">
      <w:pPr>
        <w:pStyle w:val="17"/>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306B1761">
      <w:pPr>
        <w:pStyle w:val="17"/>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39780BD2">
      <w:pPr>
        <w:pStyle w:val="17"/>
        <w:numPr>
          <w:ilvl w:val="0"/>
          <w:numId w:val="1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7AC84B6F">
      <w:pPr>
        <w:pStyle w:val="17"/>
        <w:numPr>
          <w:ilvl w:val="0"/>
          <w:numId w:val="12"/>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0DF793CD">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2F804102">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采购代理服务费按照国家发展和改革委员会下发的《关于降低部分建设项目收费标准规范收费行为等有关问题的通知》（发改价格[2011]534 号）所列采购代理服务费收费标准下浮</w:t>
      </w:r>
      <w:r>
        <w:rPr>
          <w:color w:val="000000" w:themeColor="text1"/>
          <w:highlight w:val="none"/>
          <w:u w:val="single"/>
          <w14:textFill>
            <w14:solidFill>
              <w14:schemeClr w14:val="tx1"/>
            </w14:solidFill>
          </w14:textFill>
        </w:rPr>
        <w:t xml:space="preserve"> 4</w:t>
      </w:r>
      <w:r>
        <w:rPr>
          <w:rFonts w:hint="eastAsia"/>
          <w:color w:val="000000" w:themeColor="text1"/>
          <w:highlight w:val="none"/>
          <w:u w:val="single"/>
          <w:lang w:val="en-US" w:eastAsia="zh-CN"/>
          <w14:textFill>
            <w14:solidFill>
              <w14:schemeClr w14:val="tx1"/>
            </w14:solidFill>
          </w14:textFill>
        </w:rPr>
        <w:t>5</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%（优惠率）收取。代理服务费包括所供服务相关的所有费用，工程类采购代理项目报价包含编制工程量清单、确定控制价等所有费用。</w:t>
      </w:r>
    </w:p>
    <w:p w14:paraId="77606B6A">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070AC9A4">
      <w:pPr>
        <w:pStyle w:val="17"/>
        <w:numPr>
          <w:ilvl w:val="0"/>
          <w:numId w:val="1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14:paraId="4A262EB4">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4246EFDC">
      <w:pPr>
        <w:pStyle w:val="17"/>
        <w:numPr>
          <w:ilvl w:val="0"/>
          <w:numId w:val="1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69742A76">
      <w:pPr>
        <w:pStyle w:val="17"/>
        <w:numPr>
          <w:ilvl w:val="0"/>
          <w:numId w:val="1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453407F2">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784B4AB7">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 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39E1D05F">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66ACC351">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★法定代表人授权委托书及授权委托人的身份证复印件（有授权委托的），或法定代表人身份证复印件（无授权委托的）；</w:t>
      </w:r>
    </w:p>
    <w:p w14:paraId="69D16D5B">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0A6EC10F">
      <w:pPr>
        <w:pStyle w:val="17"/>
        <w:widowControl/>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12E87A22">
      <w:pPr>
        <w:pStyle w:val="17"/>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00D9BD4A">
      <w:pPr>
        <w:pStyle w:val="17"/>
        <w:numPr>
          <w:ilvl w:val="0"/>
          <w:numId w:val="1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46960F84">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6BA84581">
      <w:pPr>
        <w:pStyle w:val="17"/>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41629770">
      <w:pPr>
        <w:pStyle w:val="17"/>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1D265218">
      <w:pPr>
        <w:pStyle w:val="17"/>
        <w:numPr>
          <w:ilvl w:val="0"/>
          <w:numId w:val="1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137B1B4D">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4BD12CF8">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74DDD8F3">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7E69B21C">
      <w:pPr>
        <w:pStyle w:val="17"/>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06EC6D82">
      <w:pPr>
        <w:pStyle w:val="17"/>
        <w:widowControl/>
        <w:numPr>
          <w:ilvl w:val="0"/>
          <w:numId w:val="1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56C3DC0B">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6ADA68F2">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163FBC79">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614DA8AC">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5E931E35">
      <w:pPr>
        <w:pStyle w:val="17"/>
        <w:numPr>
          <w:ilvl w:val="0"/>
          <w:numId w:val="2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4426F28A">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0B8AD17F">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03ABD1E1">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7F89D7D2">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32D94A82">
      <w:pPr>
        <w:pStyle w:val="17"/>
        <w:numPr>
          <w:ilvl w:val="0"/>
          <w:numId w:val="2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十日内响应有效。</w:t>
      </w:r>
    </w:p>
    <w:p w14:paraId="2DE69E39">
      <w:pPr>
        <w:pStyle w:val="17"/>
        <w:numPr>
          <w:ilvl w:val="0"/>
          <w:numId w:val="2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43C0087A">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14:paraId="5D0D6AFB">
      <w:pPr>
        <w:pStyle w:val="17"/>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51D8D341">
      <w:pPr>
        <w:pStyle w:val="17"/>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020ACA90">
      <w:pPr>
        <w:pStyle w:val="17"/>
        <w:numPr>
          <w:ilvl w:val="0"/>
          <w:numId w:val="2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13C3669B">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2650D2D1">
      <w:pPr>
        <w:pStyle w:val="17"/>
        <w:numPr>
          <w:ilvl w:val="0"/>
          <w:numId w:val="2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6AF0449C">
      <w:pPr>
        <w:pStyle w:val="17"/>
        <w:numPr>
          <w:ilvl w:val="0"/>
          <w:numId w:val="2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31FC1C42">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32D9FF80">
      <w:pPr>
        <w:pStyle w:val="17"/>
        <w:numPr>
          <w:ilvl w:val="0"/>
          <w:numId w:val="2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2F14612D">
      <w:pPr>
        <w:pStyle w:val="17"/>
        <w:numPr>
          <w:ilvl w:val="0"/>
          <w:numId w:val="2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0F7E899D">
      <w:pPr>
        <w:pStyle w:val="17"/>
        <w:numPr>
          <w:ilvl w:val="0"/>
          <w:numId w:val="1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7F9CED69">
      <w:pPr>
        <w:pStyle w:val="17"/>
        <w:numPr>
          <w:ilvl w:val="0"/>
          <w:numId w:val="2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245992CE">
      <w:pPr>
        <w:pStyle w:val="17"/>
        <w:numPr>
          <w:ilvl w:val="0"/>
          <w:numId w:val="2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26054464">
      <w:pPr>
        <w:pStyle w:val="17"/>
        <w:numPr>
          <w:ilvl w:val="0"/>
          <w:numId w:val="8"/>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213872CA">
      <w:pPr>
        <w:pStyle w:val="17"/>
        <w:numPr>
          <w:ilvl w:val="0"/>
          <w:numId w:val="26"/>
        </w:numPr>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09A01FBA">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61B024B4">
      <w:pPr>
        <w:pStyle w:val="17"/>
        <w:numPr>
          <w:ilvl w:val="0"/>
          <w:numId w:val="2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735CE452">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5A513F0C">
      <w:pPr>
        <w:pStyle w:val="17"/>
        <w:numPr>
          <w:ilvl w:val="0"/>
          <w:numId w:val="27"/>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61B9299F">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15E86DFF">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0BD75EDF">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1EC85B78">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14:paraId="77503557">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44DD0C9D">
      <w:pPr>
        <w:pStyle w:val="17"/>
        <w:numPr>
          <w:ilvl w:val="0"/>
          <w:numId w:val="2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14:paraId="4C1E3B45">
      <w:pPr>
        <w:pStyle w:val="17"/>
        <w:ind w:left="48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19.10.1</w:t>
      </w:r>
      <w:r>
        <w:rPr>
          <w:rFonts w:hint="eastAsia"/>
          <w:color w:val="000000" w:themeColor="text1"/>
          <w:highlight w:val="none"/>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56BADCC9">
      <w:pPr>
        <w:pStyle w:val="17"/>
        <w:ind w:left="48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19.10.2</w:t>
      </w:r>
      <w:r>
        <w:rPr>
          <w:rFonts w:hint="eastAsia"/>
          <w:color w:val="000000" w:themeColor="text1"/>
          <w:highlight w:val="none"/>
          <w14:textFill>
            <w14:solidFill>
              <w14:schemeClr w14:val="tx1"/>
            </w14:solidFill>
          </w14:textFill>
        </w:rPr>
        <w:t>除1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所列两个条件的，可转为单一来源方式采购。</w:t>
      </w:r>
    </w:p>
    <w:p w14:paraId="07463649">
      <w:pPr>
        <w:pStyle w:val="17"/>
        <w:ind w:firstLineChars="17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w:t>
      </w:r>
    </w:p>
    <w:p w14:paraId="23F1A7B0">
      <w:pPr>
        <w:pStyle w:val="17"/>
        <w:ind w:left="480"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w:t>
      </w:r>
      <w:r>
        <w:rPr>
          <w:rFonts w:hint="eastAsia"/>
          <w:color w:val="000000" w:themeColor="text1"/>
          <w:highlight w:val="none"/>
          <w:lang w:eastAsia="zh-CN"/>
          <w14:textFill>
            <w14:solidFill>
              <w14:schemeClr w14:val="tx1"/>
            </w14:solidFill>
          </w14:textFill>
        </w:rPr>
        <w:t>采取随机抽取方式确定1个供应商获得成交人推荐资格，其他同品牌供应商不作为成交候选人</w:t>
      </w:r>
      <w:r>
        <w:rPr>
          <w:rFonts w:hint="eastAsia"/>
          <w:color w:val="000000" w:themeColor="text1"/>
          <w:highlight w:val="none"/>
          <w14:textFill>
            <w14:solidFill>
              <w14:schemeClr w14:val="tx1"/>
            </w14:solidFill>
          </w14:textFill>
        </w:rPr>
        <w:t>。</w:t>
      </w:r>
    </w:p>
    <w:p w14:paraId="46F98C17">
      <w:pPr>
        <w:pStyle w:val="17"/>
        <w:ind w:left="480" w:firstLine="4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6444B1D3">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6EAA0543">
      <w:pPr>
        <w:pStyle w:val="17"/>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7D5D83BA">
      <w:pPr>
        <w:pStyle w:val="17"/>
        <w:numPr>
          <w:ilvl w:val="0"/>
          <w:numId w:val="2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14:paraId="5DE9D706">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1849DB03">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3AB7878F">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5EE25961">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03C7B4E0">
      <w:pPr>
        <w:pStyle w:val="17"/>
        <w:numPr>
          <w:ilvl w:val="0"/>
          <w:numId w:val="3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424D5352">
      <w:pPr>
        <w:pStyle w:val="17"/>
        <w:numPr>
          <w:ilvl w:val="0"/>
          <w:numId w:val="2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14:paraId="554BC28D">
      <w:pPr>
        <w:pStyle w:val="17"/>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782D0AE9">
      <w:pPr>
        <w:pStyle w:val="17"/>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14:paraId="7F15A160">
      <w:pPr>
        <w:pStyle w:val="17"/>
        <w:numPr>
          <w:ilvl w:val="0"/>
          <w:numId w:val="3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14:paraId="2F547AB1">
      <w:pPr>
        <w:pStyle w:val="17"/>
        <w:numPr>
          <w:ilvl w:val="0"/>
          <w:numId w:val="3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14:paraId="0A091DA5">
      <w:pPr>
        <w:pStyle w:val="17"/>
        <w:numPr>
          <w:ilvl w:val="0"/>
          <w:numId w:val="3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网站（www.creditchina.gov.cn）列入失信被执行人、重大税收违法失信主体、严重违法失信行为记录名单进行查询，以确定供应商是否具备响应资格。查询结果将以网页打印的形式留存并归档。</w:t>
      </w:r>
    </w:p>
    <w:p w14:paraId="0D7E9138">
      <w:pPr>
        <w:pStyle w:val="17"/>
        <w:widowControl/>
        <w:numPr>
          <w:ilvl w:val="0"/>
          <w:numId w:val="3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14:paraId="7F38AF04">
      <w:pPr>
        <w:pStyle w:val="17"/>
        <w:widowControl/>
        <w:numPr>
          <w:ilvl w:val="0"/>
          <w:numId w:val="3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14:paraId="7E84420F">
      <w:pPr>
        <w:pStyle w:val="17"/>
        <w:widowControl/>
        <w:numPr>
          <w:ilvl w:val="0"/>
          <w:numId w:val="33"/>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436F21CE">
      <w:pPr>
        <w:pStyle w:val="17"/>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4ACA1982">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2E316A52">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76143701">
      <w:pPr>
        <w:pStyle w:val="17"/>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5D1D3C17">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62BCE72E">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14:paraId="1E762DD5">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14:paraId="6DB25CA9">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3FC47B1C">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2326F4D7">
      <w:pPr>
        <w:pStyle w:val="17"/>
        <w:widowControl/>
        <w:numPr>
          <w:ilvl w:val="0"/>
          <w:numId w:val="34"/>
        </w:numPr>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2AEDD1D1">
      <w:pPr>
        <w:pStyle w:val="17"/>
        <w:widowControl/>
        <w:numPr>
          <w:ilvl w:val="0"/>
          <w:numId w:val="3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55C1AD65">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50575C95">
      <w:pPr>
        <w:pStyle w:val="17"/>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14:paraId="4022D65E">
      <w:pPr>
        <w:pStyle w:val="17"/>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14:paraId="0C78C893">
      <w:pPr>
        <w:pStyle w:val="17"/>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3B2C6921">
      <w:pPr>
        <w:pStyle w:val="17"/>
        <w:widowControl/>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769DAE44">
      <w:pPr>
        <w:pStyle w:val="17"/>
        <w:widowControl/>
        <w:numPr>
          <w:ilvl w:val="0"/>
          <w:numId w:val="3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4C69297C">
      <w:pPr>
        <w:pStyle w:val="17"/>
        <w:numPr>
          <w:ilvl w:val="0"/>
          <w:numId w:val="31"/>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7220359E">
      <w:pPr>
        <w:pStyle w:val="17"/>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14:paraId="4EC1B21A">
      <w:pPr>
        <w:pStyle w:val="17"/>
        <w:numPr>
          <w:ilvl w:val="0"/>
          <w:numId w:val="3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40087EFE">
      <w:pPr>
        <w:pStyle w:val="17"/>
        <w:numPr>
          <w:ilvl w:val="0"/>
          <w:numId w:val="3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4270857F">
      <w:pPr>
        <w:pStyle w:val="17"/>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006EB55A">
      <w:pPr>
        <w:pStyle w:val="17"/>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1FD512E6">
      <w:pPr>
        <w:pStyle w:val="17"/>
        <w:widowControl/>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15FC984C">
      <w:pPr>
        <w:pStyle w:val="17"/>
        <w:widowControl/>
        <w:numPr>
          <w:ilvl w:val="0"/>
          <w:numId w:val="3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3FB3419F">
      <w:pPr>
        <w:pStyle w:val="17"/>
        <w:widowControl/>
        <w:numPr>
          <w:ilvl w:val="0"/>
          <w:numId w:val="2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1E9E66BD">
      <w:pPr>
        <w:pStyle w:val="17"/>
        <w:widowControl/>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3C4A6A1F">
      <w:pPr>
        <w:pStyle w:val="17"/>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751778F9">
      <w:pPr>
        <w:pStyle w:val="17"/>
        <w:numPr>
          <w:ilvl w:val="0"/>
          <w:numId w:val="3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2B54FD31">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6B5EC442">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6355197A">
      <w:pPr>
        <w:pStyle w:val="17"/>
        <w:numPr>
          <w:ilvl w:val="0"/>
          <w:numId w:val="4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14:paraId="3B705196">
      <w:pPr>
        <w:pStyle w:val="17"/>
        <w:numPr>
          <w:ilvl w:val="0"/>
          <w:numId w:val="4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14:paraId="49BD9ECC">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0FF0E3B3">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0E73A4AF">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49F4C940">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7AD43E49">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14:paraId="37615327">
      <w:pPr>
        <w:pStyle w:val="17"/>
        <w:numPr>
          <w:ilvl w:val="0"/>
          <w:numId w:val="3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5FB43F67">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28BE0022">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14:paraId="59F41DAB">
      <w:pPr>
        <w:pStyle w:val="17"/>
        <w:numPr>
          <w:ilvl w:val="0"/>
          <w:numId w:val="26"/>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4D0C1A0C">
      <w:pPr>
        <w:pStyle w:val="17"/>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5B8C6A91">
      <w:pPr>
        <w:pStyle w:val="17"/>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0ECCB420">
      <w:pPr>
        <w:pStyle w:val="17"/>
        <w:numPr>
          <w:ilvl w:val="0"/>
          <w:numId w:val="4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58275E71">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0DE28A86">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39930CF1">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31DE7376">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21326510">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550E5B11">
      <w:pPr>
        <w:pStyle w:val="17"/>
        <w:numPr>
          <w:ilvl w:val="0"/>
          <w:numId w:val="42"/>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0E8CDF68">
      <w:pPr>
        <w:pStyle w:val="17"/>
        <w:numPr>
          <w:ilvl w:val="0"/>
          <w:numId w:val="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492893EA">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03EA37AA">
      <w:pPr>
        <w:pStyle w:val="17"/>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1247312C">
      <w:pPr>
        <w:pStyle w:val="17"/>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442084C2">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35F6B3AD">
      <w:pPr>
        <w:pStyle w:val="17"/>
        <w:numPr>
          <w:ilvl w:val="0"/>
          <w:numId w:val="44"/>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0B1D9D2D">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337D7853">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7A5FA90F">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7526CAFA">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5CCE2E63">
      <w:pPr>
        <w:pStyle w:val="17"/>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28E2FC7A">
      <w:pPr>
        <w:pStyle w:val="17"/>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74F7F99F">
      <w:pPr>
        <w:pStyle w:val="17"/>
        <w:numPr>
          <w:ilvl w:val="0"/>
          <w:numId w:val="46"/>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6B4C4405">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246B4892">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7D92C467">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70746E9D">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3AF5BB69">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5CFAD3CA">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77B30D83">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51BD943A">
      <w:pPr>
        <w:pStyle w:val="17"/>
        <w:numPr>
          <w:ilvl w:val="0"/>
          <w:numId w:val="4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58968DF9">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389DC479">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46EBE79E">
      <w:pPr>
        <w:pStyle w:val="17"/>
        <w:numPr>
          <w:ilvl w:val="0"/>
          <w:numId w:val="45"/>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5FDE7597">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604F52CB">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60BFC154">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43A57A9D">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4006BA5D">
      <w:pPr>
        <w:pStyle w:val="17"/>
        <w:numPr>
          <w:ilvl w:val="0"/>
          <w:numId w:val="4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0EBF910F">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40A9B2FA">
      <w:pPr>
        <w:pStyle w:val="17"/>
        <w:numPr>
          <w:ilvl w:val="0"/>
          <w:numId w:val="4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3D69F03A">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质疑供应商对代理机构的答复不满意，或者代理机构未在规定时间内作出答复的，可</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14:paraId="13BE81DB">
      <w:pPr>
        <w:pStyle w:val="17"/>
        <w:numPr>
          <w:ilvl w:val="0"/>
          <w:numId w:val="4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03FF31A1">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2C1BDF2C">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4059E1BD">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24B49B55">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5AE13F96">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356F14EF">
      <w:pPr>
        <w:pStyle w:val="17"/>
        <w:numPr>
          <w:ilvl w:val="0"/>
          <w:numId w:val="5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707802D3">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06EF4BD3">
      <w:pPr>
        <w:pStyle w:val="17"/>
        <w:numPr>
          <w:ilvl w:val="0"/>
          <w:numId w:val="43"/>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5430321B">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58083D13">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47CEA7C0">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37C9D617">
      <w:pPr>
        <w:pStyle w:val="17"/>
        <w:numPr>
          <w:ilvl w:val="0"/>
          <w:numId w:val="5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1352B51D">
      <w:pPr>
        <w:widowControl/>
        <w:numPr>
          <w:ilvl w:val="0"/>
          <w:numId w:val="43"/>
        </w:numPr>
        <w:spacing w:line="360" w:lineRule="auto"/>
        <w:rPr>
          <w:rFonts w:ascii="宋体" w:hAnsi="宋体"/>
          <w:b/>
          <w:kern w:val="0"/>
          <w:sz w:val="24"/>
          <w:szCs w:val="24"/>
          <w:highlight w:val="none"/>
        </w:rPr>
      </w:pPr>
      <w:r>
        <w:rPr>
          <w:rFonts w:hint="eastAsia" w:ascii="宋体" w:hAnsi="宋体"/>
          <w:b/>
          <w:kern w:val="0"/>
          <w:sz w:val="24"/>
          <w:szCs w:val="24"/>
          <w:highlight w:val="none"/>
        </w:rPr>
        <w:t>政策功能</w:t>
      </w:r>
    </w:p>
    <w:p w14:paraId="3317612C">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29.1 政府采购促进中小企业发展，小企业（含小型、微型企业）提供的产品和服务在评选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p>
    <w:p w14:paraId="450F640C">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29.2 政府采购支持监狱和戒毒企业发展政策，监狱和戒毒企业提供的产品和服务在评选时将获得优势，参加参选的监狱和戒毒企业，应当提供由省级以上监狱管理局、戒毒管理局（含新疆生产建设兵团）出具的属于监狱企业的证明文件，监狱和戒毒企业享受政府采购支持政策的要求详见财库〔2014〕68号。</w:t>
      </w:r>
    </w:p>
    <w:p w14:paraId="6BD17293">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29.3 政府采购促进残疾人就业政策，残疾人福利性单位提供的产品和服务在评选时将获得优势，参加参选的残疾人福利性单位，应当提供《残疾人福利性单位声明函》，残疾人福利性单位享受政府采购支持政策的要求详见财库〔2017〕141号。</w:t>
      </w:r>
    </w:p>
    <w:p w14:paraId="481C5824">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6AF1A5A8">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w:t>
      </w:r>
      <w:r>
        <w:rPr>
          <w:rFonts w:ascii="宋体" w:hAnsi="宋体"/>
          <w:kern w:val="0"/>
          <w:sz w:val="24"/>
          <w:szCs w:val="24"/>
          <w:highlight w:val="none"/>
        </w:rPr>
        <w:t>.</w:t>
      </w:r>
      <w:r>
        <w:rPr>
          <w:rFonts w:hint="eastAsia" w:ascii="宋体" w:hAnsi="宋体"/>
          <w:kern w:val="0"/>
          <w:sz w:val="24"/>
          <w:szCs w:val="24"/>
          <w:highlight w:val="none"/>
        </w:rPr>
        <w:t>5 提供的产品属于信息安全产品的，供应商应当选择经国家认证的信息安全产品参选，并提供由中国信息安全认证中心按国家标准认证颁发的有效认证证书复印件。</w:t>
      </w:r>
    </w:p>
    <w:p w14:paraId="5094363B">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w:t>
      </w:r>
      <w:r>
        <w:rPr>
          <w:rFonts w:ascii="宋体" w:hAnsi="宋体"/>
          <w:kern w:val="0"/>
          <w:sz w:val="24"/>
          <w:szCs w:val="24"/>
          <w:highlight w:val="none"/>
        </w:rPr>
        <w:t>.</w:t>
      </w:r>
      <w:r>
        <w:rPr>
          <w:rFonts w:hint="eastAsia" w:ascii="宋体" w:hAnsi="宋体"/>
          <w:kern w:val="0"/>
          <w:sz w:val="24"/>
          <w:szCs w:val="24"/>
          <w:highlight w:val="none"/>
        </w:rPr>
        <w:t>6 提供的产品属于政府强制采购节能产品的，供应商应当选择依据国家标准中二级能效（水效）指标认证的节能产品参选，并提供有效的节能产品认证证书复印件。</w:t>
      </w:r>
    </w:p>
    <w:p w14:paraId="1BE36B10">
      <w:pPr>
        <w:widowControl/>
        <w:spacing w:line="360" w:lineRule="auto"/>
        <w:ind w:firstLine="480" w:firstLineChars="200"/>
        <w:rPr>
          <w:rFonts w:hint="eastAsia" w:ascii="宋体" w:hAnsi="宋体"/>
          <w:kern w:val="0"/>
          <w:sz w:val="24"/>
          <w:szCs w:val="24"/>
          <w:highlight w:val="none"/>
        </w:rPr>
      </w:pPr>
      <w:r>
        <w:rPr>
          <w:rFonts w:hint="eastAsia" w:ascii="宋体" w:hAnsi="宋体"/>
          <w:kern w:val="0"/>
          <w:sz w:val="24"/>
          <w:szCs w:val="24"/>
          <w:highlight w:val="none"/>
        </w:rPr>
        <w:t>29.7提供的产品属于环境标志产品的，供应商应当选择依据相关标准的最新版本认证的环境标志产品参选，并提供有效的环境标志产品认证证书复印件。</w:t>
      </w:r>
    </w:p>
    <w:p w14:paraId="6537F51B">
      <w:pPr>
        <w:pStyle w:val="17"/>
        <w:numPr>
          <w:ilvl w:val="0"/>
          <w:numId w:val="0"/>
        </w:numPr>
        <w:ind w:left="480" w:leftChars="0"/>
        <w:rPr>
          <w:rFonts w:hint="default" w:eastAsia="宋体"/>
          <w:color w:val="000000" w:themeColor="text1"/>
          <w:highlight w:val="none"/>
          <w:lang w:val="en-US" w:eastAsia="zh-CN"/>
          <w14:textFill>
            <w14:solidFill>
              <w14:schemeClr w14:val="tx1"/>
            </w14:solidFill>
          </w14:textFill>
        </w:rPr>
      </w:pPr>
    </w:p>
    <w:p w14:paraId="77B477B6">
      <w:pPr>
        <w:rPr>
          <w:rFonts w:ascii="宋体" w:hAnsi="宋体" w:cs="黑体"/>
          <w:b/>
          <w:color w:val="000000" w:themeColor="text1"/>
          <w:sz w:val="36"/>
          <w:highlight w:val="none"/>
          <w14:textFill>
            <w14:solidFill>
              <w14:schemeClr w14:val="tx1"/>
            </w14:solidFill>
          </w14:textFill>
        </w:rPr>
      </w:pPr>
      <w:r>
        <w:rPr>
          <w:rFonts w:ascii="宋体" w:hAnsi="宋体" w:cs="黑体"/>
          <w:b/>
          <w:color w:val="000000" w:themeColor="text1"/>
          <w:sz w:val="36"/>
          <w:highlight w:val="none"/>
          <w14:textFill>
            <w14:solidFill>
              <w14:schemeClr w14:val="tx1"/>
            </w14:solidFill>
          </w14:textFill>
        </w:rPr>
        <w:br w:type="page"/>
      </w:r>
    </w:p>
    <w:p w14:paraId="7C352E0F">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6BC0A663">
      <w:pPr>
        <w:pStyle w:val="17"/>
        <w:numPr>
          <w:ilvl w:val="0"/>
          <w:numId w:val="5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1D3B2DB6">
      <w:pPr>
        <w:pStyle w:val="1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0D610361">
      <w:pPr>
        <w:pStyle w:val="1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评审委员会根据供应商总得分由高到低的顺序推荐前三名作为成交候选人。总得分相同的，按响应报价由低到高顺序排列；总得分及响应报价相同的，由评审委员会按照评审因素的量化指标评审得分最高的</w:t>
      </w:r>
      <w:r>
        <w:rPr>
          <w:rFonts w:hint="eastAsia"/>
          <w:color w:val="000000" w:themeColor="text1"/>
          <w:highlight w:val="none"/>
          <w:lang w:eastAsia="zh-CN"/>
          <w14:textFill>
            <w14:solidFill>
              <w14:schemeClr w14:val="tx1"/>
            </w14:solidFill>
          </w14:textFill>
        </w:rPr>
        <w:t>供应商</w:t>
      </w:r>
      <w:r>
        <w:rPr>
          <w:rFonts w:hint="eastAsia"/>
          <w:color w:val="000000" w:themeColor="text1"/>
          <w:highlight w:val="none"/>
          <w14:textFill>
            <w14:solidFill>
              <w14:schemeClr w14:val="tx1"/>
            </w14:solidFill>
          </w14:textFill>
        </w:rPr>
        <w:t>为排名第一的成交候选人。</w:t>
      </w:r>
    </w:p>
    <w:p w14:paraId="74C99DEA">
      <w:pPr>
        <w:pStyle w:val="17"/>
        <w:numPr>
          <w:ilvl w:val="0"/>
          <w:numId w:val="52"/>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421CE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14:paraId="71BA09E9">
            <w:pPr>
              <w:widowControl/>
              <w:adjustRightInd w:val="0"/>
              <w:snapToGrid w:val="0"/>
              <w:spacing w:line="300" w:lineRule="auto"/>
              <w:jc w:val="center"/>
              <w:rPr>
                <w:rFonts w:ascii="宋体" w:hAnsi="宋体"/>
                <w:color w:val="auto"/>
                <w:kern w:val="0"/>
                <w:szCs w:val="21"/>
                <w:highlight w:val="none"/>
              </w:rPr>
            </w:pPr>
            <w:r>
              <w:rPr>
                <w:rFonts w:hint="eastAsia" w:ascii="宋体" w:hAnsi="宋体" w:cs="仿宋"/>
                <w:b/>
                <w:bCs/>
                <w:color w:val="auto"/>
                <w:szCs w:val="21"/>
                <w:highlight w:val="none"/>
              </w:rPr>
              <w:t>评分因素</w:t>
            </w:r>
          </w:p>
        </w:tc>
        <w:tc>
          <w:tcPr>
            <w:tcW w:w="6741" w:type="dxa"/>
            <w:vAlign w:val="center"/>
          </w:tcPr>
          <w:p w14:paraId="78A6163E">
            <w:pPr>
              <w:widowControl/>
              <w:adjustRightInd w:val="0"/>
              <w:snapToGrid w:val="0"/>
              <w:spacing w:line="300" w:lineRule="auto"/>
              <w:jc w:val="center"/>
              <w:rPr>
                <w:rFonts w:ascii="宋体" w:hAnsi="宋体"/>
                <w:color w:val="auto"/>
                <w:kern w:val="0"/>
                <w:szCs w:val="21"/>
                <w:highlight w:val="none"/>
              </w:rPr>
            </w:pPr>
            <w:r>
              <w:rPr>
                <w:rFonts w:hint="eastAsia" w:ascii="宋体" w:hAnsi="宋体" w:cs="仿宋"/>
                <w:b/>
                <w:bCs/>
                <w:color w:val="auto"/>
                <w:szCs w:val="21"/>
                <w:highlight w:val="none"/>
              </w:rPr>
              <w:t>评审标准分值</w:t>
            </w:r>
          </w:p>
        </w:tc>
      </w:tr>
      <w:tr w14:paraId="43B93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5EAC517">
            <w:pPr>
              <w:adjustRightInd w:val="0"/>
              <w:snapToGrid w:val="0"/>
              <w:spacing w:line="300" w:lineRule="auto"/>
              <w:jc w:val="center"/>
              <w:rPr>
                <w:rFonts w:ascii="宋体" w:hAnsi="宋体" w:cs="仿宋"/>
                <w:b/>
                <w:bCs/>
                <w:szCs w:val="21"/>
                <w:highlight w:val="none"/>
              </w:rPr>
            </w:pPr>
            <w:r>
              <w:rPr>
                <w:rFonts w:hint="eastAsia" w:ascii="宋体" w:hAnsi="宋体" w:cs="仿宋"/>
                <w:b/>
                <w:bCs/>
                <w:szCs w:val="21"/>
                <w:highlight w:val="none"/>
              </w:rPr>
              <w:t>响应报价</w:t>
            </w:r>
          </w:p>
          <w:p w14:paraId="645292DD">
            <w:pPr>
              <w:widowControl/>
              <w:adjustRightInd w:val="0"/>
              <w:snapToGrid w:val="0"/>
              <w:spacing w:line="300" w:lineRule="auto"/>
              <w:jc w:val="center"/>
              <w:rPr>
                <w:rFonts w:ascii="宋体" w:hAnsi="宋体"/>
                <w:color w:val="auto"/>
                <w:kern w:val="0"/>
                <w:szCs w:val="21"/>
                <w:highlight w:val="none"/>
              </w:rPr>
            </w:pPr>
            <w:r>
              <w:rPr>
                <w:rFonts w:hint="eastAsia" w:ascii="宋体" w:hAnsi="宋体" w:cs="仿宋"/>
                <w:b/>
                <w:bCs/>
                <w:szCs w:val="21"/>
                <w:highlight w:val="none"/>
              </w:rPr>
              <w:t>（</w:t>
            </w:r>
            <w:r>
              <w:rPr>
                <w:rFonts w:hint="eastAsia" w:ascii="宋体" w:hAnsi="宋体" w:cs="仿宋"/>
                <w:b/>
                <w:bCs/>
                <w:szCs w:val="21"/>
                <w:highlight w:val="none"/>
                <w:lang w:val="en-US" w:eastAsia="zh-CN"/>
              </w:rPr>
              <w:t>30</w:t>
            </w:r>
            <w:r>
              <w:rPr>
                <w:rFonts w:hint="eastAsia" w:ascii="宋体" w:hAnsi="宋体" w:cs="仿宋"/>
                <w:b/>
                <w:bCs/>
                <w:szCs w:val="21"/>
                <w:highlight w:val="none"/>
              </w:rPr>
              <w:t>分）</w:t>
            </w:r>
          </w:p>
        </w:tc>
        <w:tc>
          <w:tcPr>
            <w:tcW w:w="6741" w:type="dxa"/>
            <w:vAlign w:val="center"/>
          </w:tcPr>
          <w:p w14:paraId="2031E495">
            <w:pPr>
              <w:adjustRightInd w:val="0"/>
              <w:snapToGrid w:val="0"/>
              <w:spacing w:line="300" w:lineRule="auto"/>
              <w:jc w:val="left"/>
              <w:rPr>
                <w:rFonts w:ascii="宋体" w:hAnsi="宋体"/>
                <w:color w:val="auto"/>
                <w:szCs w:val="21"/>
                <w:highlight w:val="none"/>
              </w:rPr>
            </w:pPr>
            <w:r>
              <w:rPr>
                <w:rFonts w:hint="eastAsia" w:ascii="宋体" w:hAnsi="宋体"/>
                <w:szCs w:val="21"/>
                <w:highlight w:val="none"/>
              </w:rPr>
              <w:t>价格分采用低价优先法计算，即满足采购文件要求且报价最低的供应商报价为评审基准价，其价格分为满分</w:t>
            </w:r>
            <w:r>
              <w:rPr>
                <w:rFonts w:hint="eastAsia" w:ascii="宋体" w:hAnsi="宋体"/>
                <w:szCs w:val="21"/>
                <w:highlight w:val="none"/>
                <w:lang w:val="en-US" w:eastAsia="zh-CN"/>
              </w:rPr>
              <w:t>30</w:t>
            </w:r>
            <w:r>
              <w:rPr>
                <w:rFonts w:hint="eastAsia" w:ascii="宋体" w:hAnsi="宋体"/>
                <w:szCs w:val="21"/>
                <w:highlight w:val="none"/>
              </w:rPr>
              <w:t>分，其它供应商的价格分统一按照以下公式计算：报价得分=(最低报价/该单位的响应报价)*</w:t>
            </w:r>
            <w:r>
              <w:rPr>
                <w:rFonts w:hint="eastAsia" w:ascii="宋体" w:hAnsi="宋体"/>
                <w:szCs w:val="21"/>
                <w:highlight w:val="none"/>
                <w:lang w:val="en-US" w:eastAsia="zh-CN"/>
              </w:rPr>
              <w:t>30</w:t>
            </w:r>
            <w:r>
              <w:rPr>
                <w:rFonts w:hint="eastAsia" w:ascii="宋体" w:hAnsi="宋体"/>
                <w:szCs w:val="21"/>
                <w:highlight w:val="none"/>
              </w:rPr>
              <w:t>。</w:t>
            </w:r>
          </w:p>
        </w:tc>
      </w:tr>
      <w:tr w14:paraId="6D140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gridSpan w:val="2"/>
            <w:vAlign w:val="center"/>
          </w:tcPr>
          <w:p w14:paraId="63ACCF46">
            <w:pPr>
              <w:widowControl/>
              <w:adjustRightInd w:val="0"/>
              <w:snapToGrid w:val="0"/>
              <w:jc w:val="left"/>
              <w:rPr>
                <w:rFonts w:ascii="宋体" w:hAnsi="宋体"/>
                <w:b/>
                <w:bCs/>
                <w:szCs w:val="21"/>
                <w:highlight w:val="none"/>
              </w:rPr>
            </w:pPr>
            <w:r>
              <w:rPr>
                <w:rFonts w:hint="eastAsia" w:ascii="宋体" w:hAnsi="宋体"/>
                <w:b/>
                <w:bCs/>
                <w:szCs w:val="21"/>
                <w:highlight w:val="none"/>
              </w:rPr>
              <w:t>启动异常低价审查的情形和具体要求：</w:t>
            </w:r>
          </w:p>
          <w:p w14:paraId="66A19E40">
            <w:pPr>
              <w:widowControl/>
              <w:adjustRightInd w:val="0"/>
              <w:snapToGrid w:val="0"/>
              <w:jc w:val="left"/>
              <w:rPr>
                <w:rFonts w:ascii="宋体" w:hAnsi="宋体"/>
                <w:szCs w:val="21"/>
                <w:highlight w:val="none"/>
              </w:rPr>
            </w:pPr>
            <w:r>
              <w:rPr>
                <w:rFonts w:hint="eastAsia" w:ascii="宋体" w:hAnsi="宋体"/>
                <w:szCs w:val="21"/>
                <w:highlight w:val="none"/>
              </w:rPr>
              <w:t>(一)评审过程中出现下列情形之一的，评审委员会应当启动异常低价响应审查程序:</w:t>
            </w:r>
          </w:p>
          <w:p w14:paraId="60827C4E">
            <w:pPr>
              <w:widowControl/>
              <w:adjustRightInd w:val="0"/>
              <w:snapToGrid w:val="0"/>
              <w:jc w:val="left"/>
              <w:rPr>
                <w:rFonts w:ascii="宋体" w:hAnsi="宋体"/>
                <w:szCs w:val="21"/>
                <w:highlight w:val="none"/>
              </w:rPr>
            </w:pPr>
            <w:r>
              <w:rPr>
                <w:rFonts w:hint="eastAsia" w:ascii="宋体" w:hAnsi="宋体"/>
                <w:szCs w:val="21"/>
                <w:highlight w:val="none"/>
              </w:rPr>
              <w:t>1.响应报价低于采购项目预算50%的，即响应报价&lt;采购项目预算x50%；</w:t>
            </w:r>
          </w:p>
          <w:p w14:paraId="7D52D20D">
            <w:pPr>
              <w:widowControl/>
              <w:adjustRightInd w:val="0"/>
              <w:snapToGrid w:val="0"/>
              <w:jc w:val="left"/>
              <w:rPr>
                <w:rFonts w:ascii="宋体" w:hAnsi="宋体"/>
                <w:szCs w:val="21"/>
                <w:highlight w:val="none"/>
              </w:rPr>
            </w:pPr>
            <w:r>
              <w:rPr>
                <w:rFonts w:hint="eastAsia" w:ascii="宋体" w:hAnsi="宋体"/>
                <w:szCs w:val="21"/>
                <w:highlight w:val="none"/>
              </w:rPr>
              <w:t>2.响应报价低于采购项目最高限价45%的，即响应报价&lt;采购项目最高限价x45%；</w:t>
            </w:r>
          </w:p>
          <w:p w14:paraId="7E5DB121">
            <w:pPr>
              <w:widowControl/>
              <w:adjustRightInd w:val="0"/>
              <w:snapToGrid w:val="0"/>
              <w:jc w:val="left"/>
              <w:rPr>
                <w:rFonts w:ascii="宋体" w:hAnsi="宋体"/>
                <w:szCs w:val="21"/>
                <w:highlight w:val="none"/>
              </w:rPr>
            </w:pPr>
            <w:r>
              <w:rPr>
                <w:rFonts w:hint="eastAsia" w:ascii="宋体" w:hAnsi="宋体"/>
                <w:szCs w:val="21"/>
                <w:highlight w:val="none"/>
              </w:rPr>
              <w:t>3.评审委员会认定的供应商报价过低、有可能影响产品质量或者不能诚信履约的其他情形。</w:t>
            </w:r>
          </w:p>
          <w:p w14:paraId="26861EFF">
            <w:pPr>
              <w:adjustRightInd w:val="0"/>
              <w:snapToGrid w:val="0"/>
              <w:spacing w:line="300" w:lineRule="auto"/>
              <w:jc w:val="left"/>
              <w:rPr>
                <w:rFonts w:ascii="宋体" w:hAnsi="宋体"/>
                <w:color w:val="auto"/>
                <w:szCs w:val="21"/>
                <w:highlight w:val="none"/>
              </w:rPr>
            </w:pPr>
            <w:r>
              <w:rPr>
                <w:rFonts w:hint="eastAsia" w:ascii="宋体" w:hAnsi="宋体"/>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08AD2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555" w:type="dxa"/>
            <w:vAlign w:val="center"/>
          </w:tcPr>
          <w:p w14:paraId="7FFAC4BF">
            <w:pPr>
              <w:adjustRightInd w:val="0"/>
              <w:snapToGrid w:val="0"/>
              <w:spacing w:line="300" w:lineRule="auto"/>
              <w:jc w:val="center"/>
              <w:rPr>
                <w:rFonts w:ascii="宋体" w:hAnsi="宋体" w:cs="仿宋"/>
                <w:b/>
                <w:bCs/>
                <w:color w:val="auto"/>
                <w:szCs w:val="21"/>
                <w:highlight w:val="none"/>
              </w:rPr>
            </w:pPr>
            <w:r>
              <w:rPr>
                <w:rFonts w:hint="eastAsia" w:ascii="宋体" w:hAnsi="宋体" w:cs="仿宋"/>
                <w:b/>
                <w:bCs/>
                <w:color w:val="auto"/>
                <w:szCs w:val="21"/>
                <w:highlight w:val="none"/>
              </w:rPr>
              <w:t>技术响应</w:t>
            </w:r>
          </w:p>
          <w:p w14:paraId="65E8F798">
            <w:pPr>
              <w:adjustRightInd w:val="0"/>
              <w:snapToGrid w:val="0"/>
              <w:spacing w:line="300" w:lineRule="auto"/>
              <w:jc w:val="center"/>
              <w:rPr>
                <w:rFonts w:ascii="宋体" w:hAnsi="宋体" w:cs="仿宋"/>
                <w:color w:val="auto"/>
                <w:szCs w:val="21"/>
                <w:highlight w:val="none"/>
              </w:rPr>
            </w:pPr>
            <w:r>
              <w:rPr>
                <w:rFonts w:hint="eastAsia" w:ascii="宋体" w:hAnsi="宋体" w:cs="仿宋"/>
                <w:b/>
                <w:bCs/>
                <w:color w:val="auto"/>
                <w:szCs w:val="21"/>
                <w:highlight w:val="none"/>
              </w:rPr>
              <w:t>（</w:t>
            </w:r>
            <w:r>
              <w:rPr>
                <w:rFonts w:hint="eastAsia" w:ascii="宋体" w:hAnsi="宋体" w:cs="仿宋"/>
                <w:b/>
                <w:bCs/>
                <w:color w:val="auto"/>
                <w:szCs w:val="21"/>
                <w:highlight w:val="none"/>
                <w:lang w:val="en-US" w:eastAsia="zh-CN"/>
              </w:rPr>
              <w:t>44</w:t>
            </w:r>
            <w:r>
              <w:rPr>
                <w:rFonts w:hint="eastAsia" w:ascii="宋体" w:hAnsi="宋体" w:cs="仿宋"/>
                <w:b/>
                <w:bCs/>
                <w:color w:val="auto"/>
                <w:szCs w:val="21"/>
                <w:highlight w:val="none"/>
              </w:rPr>
              <w:t>分）</w:t>
            </w:r>
          </w:p>
        </w:tc>
        <w:tc>
          <w:tcPr>
            <w:tcW w:w="6741" w:type="dxa"/>
            <w:vAlign w:val="center"/>
          </w:tcPr>
          <w:p w14:paraId="6B949F7F">
            <w:pPr>
              <w:rPr>
                <w:rFonts w:ascii="宋体" w:hAnsi="宋体" w:cs="宋体"/>
                <w:szCs w:val="21"/>
                <w:highlight w:val="none"/>
              </w:rPr>
            </w:pPr>
            <w:r>
              <w:rPr>
                <w:rFonts w:hint="eastAsia" w:ascii="宋体" w:hAnsi="宋体" w:cs="宋体"/>
                <w:szCs w:val="21"/>
                <w:highlight w:val="none"/>
              </w:rPr>
              <w:t>根据对采购文件第四章“三、技术要求”响应情况进行评分，全部满足得</w:t>
            </w:r>
            <w:r>
              <w:rPr>
                <w:rFonts w:hint="eastAsia" w:ascii="宋体" w:hAnsi="宋体" w:cs="宋体"/>
                <w:szCs w:val="21"/>
                <w:highlight w:val="none"/>
                <w:lang w:val="en-US" w:eastAsia="zh-CN"/>
              </w:rPr>
              <w:t>44</w:t>
            </w:r>
            <w:r>
              <w:rPr>
                <w:rFonts w:hint="eastAsia" w:ascii="宋体" w:hAnsi="宋体" w:cs="宋体"/>
                <w:szCs w:val="21"/>
                <w:highlight w:val="none"/>
              </w:rPr>
              <w:t>分，采购文件中标注“★”为实质性指标</w:t>
            </w:r>
            <w:r>
              <w:rPr>
                <w:rFonts w:hint="eastAsia" w:ascii="宋体" w:hAnsi="宋体"/>
                <w:color w:val="auto"/>
                <w:kern w:val="0"/>
                <w:szCs w:val="21"/>
                <w:highlight w:val="none"/>
                <w:lang w:val="en-US" w:eastAsia="zh-CN"/>
              </w:rPr>
              <w:t>（2项）</w:t>
            </w:r>
            <w:r>
              <w:rPr>
                <w:rFonts w:hint="eastAsia" w:ascii="宋体" w:hAnsi="宋体" w:cs="宋体"/>
                <w:szCs w:val="21"/>
                <w:highlight w:val="none"/>
              </w:rPr>
              <w:t>，不满足为无效响应。</w:t>
            </w:r>
          </w:p>
          <w:p w14:paraId="15C61854">
            <w:pPr>
              <w:rPr>
                <w:rFonts w:hint="default" w:ascii="宋体" w:hAnsi="宋体" w:eastAsia="宋体" w:cs="宋体"/>
                <w:szCs w:val="21"/>
                <w:highlight w:val="none"/>
                <w:lang w:val="en-US" w:eastAsia="zh-CN"/>
              </w:rPr>
            </w:pPr>
            <w:r>
              <w:rPr>
                <w:rFonts w:hint="eastAsia" w:ascii="宋体" w:hAnsi="宋体" w:cs="宋体"/>
                <w:szCs w:val="21"/>
                <w:highlight w:val="none"/>
              </w:rPr>
              <w:t>标▲号技术指标为重要技术条款</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17项</w:t>
            </w:r>
            <w:r>
              <w:rPr>
                <w:rFonts w:hint="eastAsia" w:ascii="宋体" w:hAnsi="宋体"/>
                <w:color w:val="auto"/>
                <w:kern w:val="0"/>
                <w:szCs w:val="21"/>
                <w:highlight w:val="none"/>
                <w:lang w:eastAsia="zh-CN"/>
              </w:rPr>
              <w:t>）</w:t>
            </w:r>
            <w:r>
              <w:rPr>
                <w:rFonts w:hint="eastAsia" w:ascii="宋体" w:hAnsi="宋体" w:cs="宋体"/>
                <w:szCs w:val="21"/>
                <w:highlight w:val="none"/>
              </w:rPr>
              <w:t>，每有一项负偏离扣</w:t>
            </w:r>
            <w:r>
              <w:rPr>
                <w:rFonts w:hint="eastAsia" w:ascii="宋体" w:hAnsi="宋体" w:cs="宋体"/>
                <w:szCs w:val="21"/>
                <w:highlight w:val="none"/>
                <w:lang w:val="en-US" w:eastAsia="zh-CN"/>
              </w:rPr>
              <w:t>2</w:t>
            </w:r>
            <w:r>
              <w:rPr>
                <w:rFonts w:hint="eastAsia" w:ascii="宋体" w:hAnsi="宋体" w:cs="宋体"/>
                <w:szCs w:val="21"/>
                <w:highlight w:val="none"/>
              </w:rPr>
              <w:t>分；其他未标记的指标项为一般技术条款</w:t>
            </w:r>
            <w:r>
              <w:rPr>
                <w:rFonts w:hint="eastAsia" w:ascii="宋体" w:hAnsi="宋体" w:cs="宋体"/>
                <w:szCs w:val="21"/>
                <w:highlight w:val="none"/>
                <w:lang w:eastAsia="zh-CN"/>
              </w:rPr>
              <w:t>（</w:t>
            </w:r>
            <w:r>
              <w:rPr>
                <w:rFonts w:hint="eastAsia" w:ascii="宋体" w:hAnsi="宋体" w:cs="宋体"/>
                <w:szCs w:val="21"/>
                <w:highlight w:val="none"/>
                <w:lang w:val="en-US" w:eastAsia="zh-CN"/>
              </w:rPr>
              <w:t>100项）</w:t>
            </w:r>
            <w:r>
              <w:rPr>
                <w:rFonts w:hint="eastAsia" w:ascii="宋体" w:hAnsi="宋体" w:cs="宋体"/>
                <w:szCs w:val="21"/>
                <w:highlight w:val="none"/>
              </w:rPr>
              <w:t>，每有一项负偏离扣</w:t>
            </w:r>
            <w:r>
              <w:rPr>
                <w:rFonts w:hint="eastAsia" w:ascii="宋体" w:hAnsi="宋体" w:cs="宋体"/>
                <w:szCs w:val="21"/>
                <w:highlight w:val="none"/>
                <w:lang w:val="en-US" w:eastAsia="zh-CN"/>
              </w:rPr>
              <w:t>0.1</w:t>
            </w:r>
            <w:r>
              <w:rPr>
                <w:rFonts w:hint="eastAsia" w:ascii="宋体" w:hAnsi="宋体" w:cs="宋体"/>
                <w:szCs w:val="21"/>
                <w:highlight w:val="none"/>
              </w:rPr>
              <w:t>分</w:t>
            </w:r>
            <w:r>
              <w:rPr>
                <w:rFonts w:hint="eastAsia" w:ascii="宋体" w:hAnsi="宋体" w:cs="宋体"/>
                <w:szCs w:val="21"/>
                <w:highlight w:val="none"/>
                <w:lang w:eastAsia="zh-CN"/>
              </w:rPr>
              <w:t>，</w:t>
            </w:r>
            <w:r>
              <w:rPr>
                <w:rFonts w:hint="eastAsia"/>
                <w:highlight w:val="none"/>
                <w:lang w:val="en-US" w:eastAsia="zh-CN"/>
              </w:rPr>
              <w:t>偏离超过50项响应无效</w:t>
            </w:r>
            <w:r>
              <w:rPr>
                <w:rFonts w:hint="eastAsia" w:ascii="宋体" w:hAnsi="宋体" w:cs="宋体"/>
                <w:szCs w:val="21"/>
                <w:highlight w:val="none"/>
                <w:lang w:val="en-US" w:eastAsia="zh-CN"/>
              </w:rPr>
              <w:t>。</w:t>
            </w:r>
          </w:p>
          <w:p w14:paraId="206BBE91">
            <w:pPr>
              <w:pStyle w:val="16"/>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注：</w:t>
            </w:r>
          </w:p>
          <w:p w14:paraId="21C3BF3D">
            <w:pPr>
              <w:pStyle w:val="16"/>
              <w:numPr>
                <w:ilvl w:val="0"/>
                <w:numId w:val="53"/>
              </w:numPr>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凡标有最低一级序号的指标项即为一项技术条款，无论是否隶属于上一级编号；</w:t>
            </w:r>
          </w:p>
          <w:p w14:paraId="5BD18A8B">
            <w:pPr>
              <w:pStyle w:val="16"/>
              <w:numPr>
                <w:ilvl w:val="0"/>
                <w:numId w:val="53"/>
              </w:numPr>
              <w:pBdr>
                <w:top w:val="none" w:color="000000" w:sz="0" w:space="0"/>
                <w:left w:val="none" w:color="000000" w:sz="0" w:space="0"/>
                <w:right w:val="none" w:color="000000" w:sz="0" w:space="0"/>
              </w:pBdr>
              <w:rPr>
                <w:rFonts w:ascii="宋体" w:hAnsi="宋体" w:cs="宋体"/>
                <w:b/>
                <w:bCs/>
                <w:szCs w:val="21"/>
                <w:highlight w:val="none"/>
              </w:rPr>
            </w:pPr>
            <w:r>
              <w:rPr>
                <w:rFonts w:hint="eastAsia" w:ascii="宋体" w:hAnsi="宋体" w:cs="宋体"/>
                <w:b/>
                <w:bCs/>
                <w:szCs w:val="21"/>
                <w:highlight w:val="none"/>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可</w:t>
            </w:r>
            <w:r>
              <w:rPr>
                <w:rFonts w:hint="eastAsia" w:ascii="宋体" w:hAnsi="宋体" w:cs="宋体"/>
                <w:szCs w:val="21"/>
                <w:highlight w:val="none"/>
              </w:rPr>
              <w:t>：</w:t>
            </w:r>
            <w:r>
              <w:rPr>
                <w:rFonts w:hint="eastAsia" w:ascii="宋体" w:hAnsi="宋体" w:cs="宋体"/>
                <w:b/>
                <w:bCs/>
                <w:szCs w:val="21"/>
                <w:highlight w:val="none"/>
              </w:rPr>
              <w:t>加</w:t>
            </w:r>
            <w:r>
              <w:rPr>
                <w:rFonts w:hint="eastAsia"/>
                <w:b/>
                <w:bCs/>
                <w:highlight w:val="none"/>
              </w:rPr>
              <w:t>“</w:t>
            </w:r>
            <w:r>
              <w:rPr>
                <w:rFonts w:hint="eastAsia" w:ascii="宋体" w:hAnsi="宋体" w:cs="宋体"/>
                <w:b/>
                <w:bCs/>
                <w:highlight w:val="none"/>
              </w:rPr>
              <w:t>★</w:t>
            </w:r>
            <w:r>
              <w:rPr>
                <w:rFonts w:hint="eastAsia"/>
                <w:b/>
                <w:bCs/>
                <w:highlight w:val="none"/>
              </w:rPr>
              <w:t>”</w:t>
            </w:r>
            <w:r>
              <w:rPr>
                <w:rFonts w:hint="eastAsia" w:ascii="宋体" w:hAnsi="宋体" w:cs="宋体"/>
                <w:b/>
                <w:bCs/>
                <w:szCs w:val="21"/>
                <w:highlight w:val="none"/>
              </w:rPr>
              <w:t>未提供佐证材料或提供的佐证材料不满足要求，按无效标处理；“▲”未提供佐证材料或提供的佐证材料不满足要求的，按负偏离扣分处理。</w:t>
            </w:r>
          </w:p>
          <w:p w14:paraId="3CF5E32C">
            <w:pPr>
              <w:rPr>
                <w:rFonts w:ascii="宋体" w:hAnsi="宋体" w:cs="宋体"/>
                <w:b/>
                <w:bCs/>
                <w:szCs w:val="21"/>
                <w:highlight w:val="none"/>
              </w:rPr>
            </w:pPr>
            <w:r>
              <w:rPr>
                <w:rFonts w:hint="eastAsia" w:ascii="宋体" w:hAnsi="宋体" w:cs="宋体"/>
                <w:b/>
                <w:bCs/>
                <w:szCs w:val="21"/>
                <w:highlight w:val="none"/>
              </w:rPr>
              <w:t>（3）一般技术条款以技术规格偏离表应答为准。</w:t>
            </w:r>
          </w:p>
          <w:p w14:paraId="608CC636">
            <w:pPr>
              <w:widowControl/>
              <w:adjustRightInd w:val="0"/>
              <w:snapToGrid w:val="0"/>
              <w:jc w:val="left"/>
              <w:rPr>
                <w:rFonts w:hint="eastAsia" w:ascii="宋体" w:hAnsi="宋体"/>
                <w:color w:val="auto"/>
                <w:kern w:val="0"/>
                <w:szCs w:val="21"/>
                <w:highlight w:val="none"/>
              </w:rPr>
            </w:pPr>
            <w:r>
              <w:rPr>
                <w:rFonts w:hint="eastAsia" w:ascii="宋体" w:hAnsi="宋体" w:cs="宋体"/>
                <w:b/>
                <w:bCs/>
                <w:szCs w:val="21"/>
                <w:highlight w:val="none"/>
              </w:rPr>
              <w:t>所有证明材料应在技术规格偏离表中注明证明材料页码。</w:t>
            </w:r>
          </w:p>
        </w:tc>
      </w:tr>
      <w:tr w14:paraId="37203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1555" w:type="dxa"/>
            <w:vAlign w:val="center"/>
          </w:tcPr>
          <w:p w14:paraId="6B0B56D7">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szCs w:val="21"/>
                <w:highlight w:val="none"/>
              </w:rPr>
            </w:pPr>
            <w:r>
              <w:rPr>
                <w:rFonts w:hint="eastAsia" w:ascii="宋体" w:hAnsi="宋体" w:cs="宋体"/>
                <w:b/>
                <w:szCs w:val="21"/>
                <w:highlight w:val="none"/>
              </w:rPr>
              <w:t>业绩</w:t>
            </w:r>
          </w:p>
          <w:p w14:paraId="62110B23">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仿宋"/>
                <w:color w:val="auto"/>
                <w:szCs w:val="21"/>
                <w:highlight w:val="none"/>
              </w:rPr>
            </w:pPr>
            <w:r>
              <w:rPr>
                <w:rFonts w:hint="eastAsia" w:ascii="宋体" w:hAnsi="宋体" w:cs="宋体"/>
                <w:b/>
                <w:szCs w:val="21"/>
                <w:highlight w:val="none"/>
              </w:rPr>
              <w:t>（</w:t>
            </w:r>
            <w:r>
              <w:rPr>
                <w:rFonts w:hint="eastAsia" w:ascii="宋体" w:hAnsi="宋体" w:cs="宋体"/>
                <w:b/>
                <w:szCs w:val="21"/>
                <w:highlight w:val="none"/>
                <w:lang w:val="en-US" w:eastAsia="zh-CN"/>
              </w:rPr>
              <w:t>6</w:t>
            </w:r>
            <w:r>
              <w:rPr>
                <w:rFonts w:hint="eastAsia" w:ascii="宋体" w:hAnsi="宋体" w:cs="宋体"/>
                <w:b/>
                <w:szCs w:val="21"/>
                <w:highlight w:val="none"/>
              </w:rPr>
              <w:t>分）</w:t>
            </w:r>
          </w:p>
        </w:tc>
        <w:tc>
          <w:tcPr>
            <w:tcW w:w="6741" w:type="dxa"/>
            <w:vAlign w:val="center"/>
          </w:tcPr>
          <w:p w14:paraId="1F984AF5">
            <w:pPr>
              <w:rPr>
                <w:rFonts w:ascii="宋体" w:hAnsi="宋体"/>
                <w:color w:val="auto"/>
                <w:szCs w:val="21"/>
                <w:highlight w:val="none"/>
              </w:rPr>
            </w:pPr>
            <w:r>
              <w:rPr>
                <w:rFonts w:hint="eastAsia" w:ascii="宋体" w:hAnsi="宋体" w:cs="宋体"/>
                <w:szCs w:val="21"/>
                <w:highlight w:val="none"/>
              </w:rPr>
              <w:t>供应商</w:t>
            </w:r>
            <w:r>
              <w:rPr>
                <w:rFonts w:hint="eastAsia" w:ascii="宋体" w:hAnsi="宋体" w:cs="宋体"/>
                <w:szCs w:val="21"/>
                <w:highlight w:val="none"/>
                <w:lang w:eastAsia="zh-CN"/>
              </w:rPr>
              <w:t>或拟投产品</w:t>
            </w:r>
            <w:r>
              <w:rPr>
                <w:rFonts w:hint="eastAsia" w:ascii="宋体" w:hAnsi="宋体" w:cs="宋体"/>
                <w:szCs w:val="21"/>
                <w:highlight w:val="none"/>
              </w:rPr>
              <w:t>自2022年9月1日以来（以合同签订时间为准）具有同类产品业绩，每提供一个业绩得2分，最多得</w:t>
            </w:r>
            <w:r>
              <w:rPr>
                <w:rFonts w:hint="eastAsia" w:ascii="宋体" w:hAnsi="宋体" w:cs="宋体"/>
                <w:szCs w:val="21"/>
                <w:highlight w:val="none"/>
                <w:lang w:val="en-US" w:eastAsia="zh-CN"/>
              </w:rPr>
              <w:t>6</w:t>
            </w:r>
            <w:r>
              <w:rPr>
                <w:rFonts w:hint="eastAsia" w:ascii="宋体" w:hAnsi="宋体" w:cs="宋体"/>
                <w:szCs w:val="21"/>
                <w:highlight w:val="none"/>
              </w:rPr>
              <w:t>分。（提供合同复印件并加盖供应商公章，合同需包括合同名称、项目内容、盖章、日期等关键内容，缺一不可。）</w:t>
            </w:r>
          </w:p>
        </w:tc>
      </w:tr>
      <w:tr w14:paraId="0DFDD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555" w:type="dxa"/>
            <w:shd w:val="clear" w:color="auto" w:fill="auto"/>
            <w:vAlign w:val="center"/>
          </w:tcPr>
          <w:p w14:paraId="13890C5C">
            <w:pPr>
              <w:adjustRightInd w:val="0"/>
              <w:snapToGrid w:val="0"/>
              <w:spacing w:line="300" w:lineRule="auto"/>
              <w:jc w:val="center"/>
              <w:rPr>
                <w:rFonts w:ascii="宋体" w:hAnsi="宋体" w:cs="仿宋"/>
                <w:b/>
                <w:bCs/>
                <w:color w:val="auto"/>
                <w:szCs w:val="21"/>
                <w:highlight w:val="none"/>
              </w:rPr>
            </w:pPr>
            <w:r>
              <w:rPr>
                <w:rFonts w:hint="eastAsia" w:ascii="宋体" w:hAnsi="宋体" w:cs="仿宋"/>
                <w:b/>
                <w:bCs/>
                <w:color w:val="auto"/>
                <w:szCs w:val="21"/>
                <w:highlight w:val="none"/>
              </w:rPr>
              <w:t>质保期</w:t>
            </w:r>
          </w:p>
          <w:p w14:paraId="014C94BA">
            <w:pPr>
              <w:adjustRightInd w:val="0"/>
              <w:snapToGrid w:val="0"/>
              <w:spacing w:line="300" w:lineRule="auto"/>
              <w:jc w:val="center"/>
              <w:rPr>
                <w:rFonts w:ascii="宋体" w:hAnsi="宋体" w:eastAsia="宋体" w:cs="仿宋"/>
                <w:color w:val="auto"/>
                <w:kern w:val="2"/>
                <w:sz w:val="21"/>
                <w:szCs w:val="21"/>
                <w:highlight w:val="none"/>
                <w:lang w:val="en-US" w:eastAsia="zh-CN" w:bidi="ar-SA"/>
              </w:rPr>
            </w:pPr>
            <w:r>
              <w:rPr>
                <w:rFonts w:hint="eastAsia" w:ascii="宋体" w:hAnsi="宋体" w:cs="仿宋"/>
                <w:b/>
                <w:bCs/>
                <w:color w:val="auto"/>
                <w:szCs w:val="21"/>
                <w:highlight w:val="none"/>
              </w:rPr>
              <w:t>（</w:t>
            </w:r>
            <w:r>
              <w:rPr>
                <w:rFonts w:hint="eastAsia" w:ascii="宋体" w:hAnsi="宋体" w:cs="仿宋"/>
                <w:b/>
                <w:bCs/>
                <w:color w:val="auto"/>
                <w:szCs w:val="21"/>
                <w:highlight w:val="none"/>
                <w:lang w:val="en-US" w:eastAsia="zh-CN"/>
              </w:rPr>
              <w:t>1</w:t>
            </w:r>
            <w:r>
              <w:rPr>
                <w:rFonts w:hint="eastAsia" w:ascii="宋体" w:hAnsi="宋体" w:cs="仿宋"/>
                <w:b/>
                <w:bCs/>
                <w:color w:val="auto"/>
                <w:szCs w:val="21"/>
                <w:highlight w:val="none"/>
              </w:rPr>
              <w:t>分）</w:t>
            </w:r>
          </w:p>
        </w:tc>
        <w:tc>
          <w:tcPr>
            <w:tcW w:w="6741" w:type="dxa"/>
            <w:shd w:val="clear" w:color="auto" w:fill="auto"/>
            <w:vAlign w:val="center"/>
          </w:tcPr>
          <w:p w14:paraId="6D6A60F0">
            <w:pPr>
              <w:adjustRightInd w:val="0"/>
              <w:snapToGrid w:val="0"/>
              <w:spacing w:line="300" w:lineRule="auto"/>
              <w:jc w:val="left"/>
              <w:rPr>
                <w:rFonts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在满足采购文件要求的基础上，每增加1年免费</w:t>
            </w:r>
            <w:r>
              <w:rPr>
                <w:rFonts w:hint="eastAsia" w:ascii="宋体" w:hAnsi="宋体"/>
                <w:color w:val="auto"/>
                <w:szCs w:val="21"/>
                <w:highlight w:val="none"/>
                <w:lang w:eastAsia="zh-CN"/>
              </w:rPr>
              <w:t>原厂</w:t>
            </w:r>
            <w:r>
              <w:rPr>
                <w:rFonts w:hint="eastAsia" w:ascii="宋体" w:hAnsi="宋体"/>
                <w:color w:val="auto"/>
                <w:szCs w:val="21"/>
                <w:highlight w:val="none"/>
              </w:rPr>
              <w:t>质保</w:t>
            </w:r>
            <w:r>
              <w:rPr>
                <w:rFonts w:hint="eastAsia" w:ascii="宋体" w:hAnsi="宋体"/>
                <w:color w:val="auto"/>
                <w:szCs w:val="21"/>
                <w:highlight w:val="none"/>
                <w:lang w:eastAsia="zh-CN"/>
              </w:rPr>
              <w:t>的</w:t>
            </w:r>
            <w:r>
              <w:rPr>
                <w:rFonts w:hint="eastAsia" w:ascii="宋体" w:hAnsi="宋体"/>
                <w:color w:val="auto"/>
                <w:szCs w:val="21"/>
                <w:highlight w:val="none"/>
              </w:rPr>
              <w:t>得</w:t>
            </w:r>
            <w:r>
              <w:rPr>
                <w:rFonts w:hint="eastAsia" w:ascii="宋体" w:hAnsi="宋体"/>
                <w:color w:val="auto"/>
                <w:szCs w:val="21"/>
                <w:highlight w:val="none"/>
                <w:lang w:val="en-US" w:eastAsia="zh-CN"/>
              </w:rPr>
              <w:t>0.5</w:t>
            </w:r>
            <w:r>
              <w:rPr>
                <w:rFonts w:hint="eastAsia" w:ascii="宋体" w:hAnsi="宋体"/>
                <w:color w:val="auto"/>
                <w:szCs w:val="21"/>
                <w:highlight w:val="none"/>
              </w:rPr>
              <w:t>分，最多</w:t>
            </w:r>
            <w:r>
              <w:rPr>
                <w:rFonts w:hint="eastAsia" w:ascii="宋体" w:hAnsi="宋体"/>
                <w:color w:val="auto"/>
                <w:szCs w:val="21"/>
                <w:highlight w:val="none"/>
                <w:lang w:val="en-US" w:eastAsia="zh-CN"/>
              </w:rPr>
              <w:t>1</w:t>
            </w:r>
            <w:r>
              <w:rPr>
                <w:rFonts w:hint="eastAsia" w:ascii="宋体" w:hAnsi="宋体"/>
                <w:color w:val="auto"/>
                <w:szCs w:val="21"/>
                <w:highlight w:val="none"/>
              </w:rPr>
              <w:t>分。（提供</w:t>
            </w:r>
            <w:r>
              <w:rPr>
                <w:rFonts w:hint="eastAsia" w:ascii="宋体" w:hAnsi="宋体"/>
                <w:color w:val="auto"/>
                <w:szCs w:val="21"/>
                <w:highlight w:val="none"/>
                <w:lang w:eastAsia="zh-CN"/>
              </w:rPr>
              <w:t>质保</w:t>
            </w:r>
            <w:r>
              <w:rPr>
                <w:rFonts w:hint="eastAsia" w:ascii="宋体" w:hAnsi="宋体"/>
                <w:color w:val="auto"/>
                <w:szCs w:val="21"/>
                <w:highlight w:val="none"/>
              </w:rPr>
              <w:t>承诺加盖</w:t>
            </w:r>
            <w:r>
              <w:rPr>
                <w:rFonts w:hint="eastAsia" w:ascii="宋体" w:hAnsi="宋体"/>
                <w:color w:val="auto"/>
                <w:szCs w:val="21"/>
                <w:highlight w:val="none"/>
                <w:lang w:eastAsia="zh-CN"/>
              </w:rPr>
              <w:t>供应商</w:t>
            </w:r>
            <w:r>
              <w:rPr>
                <w:rFonts w:hint="eastAsia" w:ascii="宋体" w:hAnsi="宋体"/>
                <w:color w:val="auto"/>
                <w:szCs w:val="21"/>
                <w:highlight w:val="none"/>
              </w:rPr>
              <w:t>公章</w:t>
            </w:r>
            <w:r>
              <w:rPr>
                <w:rFonts w:hint="eastAsia" w:ascii="宋体" w:hAnsi="宋体"/>
                <w:color w:val="auto"/>
                <w:szCs w:val="21"/>
                <w:highlight w:val="none"/>
                <w:lang w:eastAsia="zh-CN"/>
              </w:rPr>
              <w:t>，格式自拟</w:t>
            </w:r>
            <w:r>
              <w:rPr>
                <w:rFonts w:hint="eastAsia" w:ascii="宋体" w:hAnsi="宋体"/>
                <w:color w:val="auto"/>
                <w:szCs w:val="21"/>
                <w:highlight w:val="none"/>
              </w:rPr>
              <w:t>。）</w:t>
            </w:r>
          </w:p>
        </w:tc>
      </w:tr>
      <w:tr w14:paraId="2AD25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1555" w:type="dxa"/>
            <w:shd w:val="clear" w:color="auto" w:fill="auto"/>
            <w:vAlign w:val="center"/>
          </w:tcPr>
          <w:p w14:paraId="5A3749B1">
            <w:pPr>
              <w:adjustRightInd w:val="0"/>
              <w:snapToGrid w:val="0"/>
              <w:spacing w:line="300" w:lineRule="auto"/>
              <w:jc w:val="center"/>
              <w:rPr>
                <w:rFonts w:ascii="宋体" w:hAnsi="宋体" w:cs="仿宋"/>
                <w:b/>
                <w:bCs/>
                <w:color w:val="auto"/>
                <w:szCs w:val="21"/>
                <w:highlight w:val="none"/>
                <w:lang w:bidi="zh-CN"/>
              </w:rPr>
            </w:pPr>
            <w:r>
              <w:rPr>
                <w:rFonts w:hint="eastAsia" w:ascii="宋体" w:hAnsi="宋体" w:cs="仿宋"/>
                <w:b/>
                <w:bCs/>
                <w:color w:val="auto"/>
                <w:szCs w:val="21"/>
                <w:highlight w:val="none"/>
                <w:lang w:bidi="zh-CN"/>
              </w:rPr>
              <w:t>响应时间</w:t>
            </w:r>
          </w:p>
          <w:p w14:paraId="4929C5E3">
            <w:pPr>
              <w:adjustRightInd w:val="0"/>
              <w:snapToGrid w:val="0"/>
              <w:spacing w:line="300" w:lineRule="auto"/>
              <w:jc w:val="center"/>
              <w:rPr>
                <w:rFonts w:hint="eastAsia" w:ascii="宋体" w:hAnsi="宋体" w:eastAsia="宋体" w:cs="仿宋"/>
                <w:color w:val="auto"/>
                <w:kern w:val="2"/>
                <w:sz w:val="21"/>
                <w:szCs w:val="21"/>
                <w:highlight w:val="none"/>
                <w:lang w:val="en-US" w:eastAsia="zh-CN" w:bidi="zh-CN"/>
              </w:rPr>
            </w:pPr>
            <w:r>
              <w:rPr>
                <w:rFonts w:hint="eastAsia" w:ascii="宋体" w:hAnsi="宋体" w:cs="仿宋"/>
                <w:b/>
                <w:bCs/>
                <w:color w:val="auto"/>
                <w:szCs w:val="21"/>
                <w:highlight w:val="none"/>
                <w:lang w:bidi="zh-CN"/>
              </w:rPr>
              <w:t>（</w:t>
            </w:r>
            <w:r>
              <w:rPr>
                <w:rFonts w:hint="eastAsia" w:ascii="宋体" w:hAnsi="宋体" w:cs="仿宋"/>
                <w:b/>
                <w:bCs/>
                <w:color w:val="auto"/>
                <w:szCs w:val="21"/>
                <w:highlight w:val="none"/>
                <w:lang w:val="en-US" w:bidi="zh-CN"/>
              </w:rPr>
              <w:t>1</w:t>
            </w:r>
            <w:r>
              <w:rPr>
                <w:rFonts w:hint="eastAsia" w:ascii="宋体" w:hAnsi="宋体" w:cs="仿宋"/>
                <w:b/>
                <w:bCs/>
                <w:color w:val="auto"/>
                <w:szCs w:val="21"/>
                <w:highlight w:val="none"/>
                <w:lang w:bidi="zh-CN"/>
              </w:rPr>
              <w:t>分）</w:t>
            </w:r>
          </w:p>
        </w:tc>
        <w:tc>
          <w:tcPr>
            <w:tcW w:w="6741" w:type="dxa"/>
            <w:shd w:val="clear" w:color="auto" w:fill="auto"/>
            <w:vAlign w:val="center"/>
          </w:tcPr>
          <w:p w14:paraId="3CE51788">
            <w:pPr>
              <w:adjustRightInd w:val="0"/>
              <w:snapToGrid w:val="0"/>
              <w:spacing w:line="300" w:lineRule="auto"/>
              <w:jc w:val="left"/>
              <w:rPr>
                <w:rFonts w:hint="eastAsia" w:ascii="宋体" w:hAnsi="宋体"/>
                <w:color w:val="auto"/>
                <w:szCs w:val="21"/>
                <w:highlight w:val="none"/>
                <w:lang w:eastAsia="zh-CN"/>
              </w:rPr>
            </w:pPr>
            <w:r>
              <w:rPr>
                <w:rFonts w:hint="eastAsia" w:ascii="宋体" w:hAnsi="宋体"/>
                <w:color w:val="auto"/>
                <w:szCs w:val="21"/>
                <w:highlight w:val="none"/>
              </w:rPr>
              <w:t>供应商能承诺</w:t>
            </w:r>
            <w:r>
              <w:rPr>
                <w:rFonts w:hint="eastAsia" w:ascii="宋体" w:hAnsi="宋体"/>
                <w:color w:val="auto"/>
                <w:szCs w:val="21"/>
                <w:highlight w:val="none"/>
                <w:lang w:eastAsia="zh-CN"/>
              </w:rPr>
              <w:t>在满足</w:t>
            </w:r>
            <w:r>
              <w:rPr>
                <w:rFonts w:hint="eastAsia" w:ascii="宋体" w:hAnsi="宋体"/>
                <w:color w:val="auto"/>
                <w:szCs w:val="21"/>
                <w:highlight w:val="none"/>
              </w:rPr>
              <w:t>采购人要求</w:t>
            </w:r>
            <w:r>
              <w:rPr>
                <w:rFonts w:hint="eastAsia" w:ascii="宋体" w:hAnsi="宋体"/>
                <w:color w:val="auto"/>
                <w:szCs w:val="21"/>
                <w:highlight w:val="none"/>
                <w:lang w:eastAsia="zh-CN"/>
              </w:rPr>
              <w:t>的基础上：</w:t>
            </w:r>
          </w:p>
          <w:p w14:paraId="5910C8E7">
            <w:pPr>
              <w:adjustRightInd w:val="0"/>
              <w:snapToGrid w:val="0"/>
              <w:spacing w:line="300" w:lineRule="auto"/>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3</w:t>
            </w:r>
            <w:r>
              <w:rPr>
                <w:rFonts w:hint="eastAsia" w:ascii="宋体" w:hAnsi="宋体"/>
                <w:color w:val="auto"/>
                <w:szCs w:val="21"/>
                <w:highlight w:val="none"/>
              </w:rPr>
              <w:t>个小时内作出响应，在</w:t>
            </w:r>
            <w:r>
              <w:rPr>
                <w:rFonts w:hint="eastAsia" w:ascii="宋体" w:hAnsi="宋体"/>
                <w:color w:val="auto"/>
                <w:szCs w:val="21"/>
                <w:highlight w:val="none"/>
                <w:lang w:val="en-US" w:eastAsia="zh-CN"/>
              </w:rPr>
              <w:t>6</w:t>
            </w:r>
            <w:r>
              <w:rPr>
                <w:rFonts w:hint="eastAsia" w:ascii="宋体" w:hAnsi="宋体"/>
                <w:color w:val="auto"/>
                <w:szCs w:val="21"/>
                <w:highlight w:val="none"/>
              </w:rPr>
              <w:t>小时内赶到现场</w:t>
            </w:r>
            <w:r>
              <w:rPr>
                <w:rFonts w:hint="eastAsia" w:ascii="宋体" w:hAnsi="宋体"/>
                <w:color w:val="auto"/>
                <w:szCs w:val="21"/>
                <w:highlight w:val="none"/>
                <w:lang w:eastAsia="zh-CN"/>
              </w:rPr>
              <w:t>的得</w:t>
            </w:r>
            <w:r>
              <w:rPr>
                <w:rFonts w:hint="eastAsia" w:ascii="宋体" w:hAnsi="宋体"/>
                <w:color w:val="auto"/>
                <w:szCs w:val="21"/>
                <w:highlight w:val="none"/>
                <w:lang w:val="en-US" w:eastAsia="zh-CN"/>
              </w:rPr>
              <w:t>1分；</w:t>
            </w:r>
          </w:p>
          <w:p w14:paraId="7C9F5775">
            <w:pPr>
              <w:adjustRightInd w:val="0"/>
              <w:snapToGrid w:val="0"/>
              <w:spacing w:line="300" w:lineRule="auto"/>
              <w:jc w:val="lef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6</w:t>
            </w:r>
            <w:r>
              <w:rPr>
                <w:rFonts w:hint="eastAsia" w:ascii="宋体" w:hAnsi="宋体"/>
                <w:color w:val="auto"/>
                <w:szCs w:val="21"/>
                <w:highlight w:val="none"/>
              </w:rPr>
              <w:t>个小时内作出响应，在</w:t>
            </w:r>
            <w:r>
              <w:rPr>
                <w:rFonts w:hint="eastAsia" w:ascii="宋体" w:hAnsi="宋体"/>
                <w:color w:val="auto"/>
                <w:szCs w:val="21"/>
                <w:highlight w:val="none"/>
                <w:lang w:val="en-US" w:eastAsia="zh-CN"/>
              </w:rPr>
              <w:t>12</w:t>
            </w:r>
            <w:r>
              <w:rPr>
                <w:rFonts w:hint="eastAsia" w:ascii="宋体" w:hAnsi="宋体"/>
                <w:color w:val="auto"/>
                <w:szCs w:val="21"/>
                <w:highlight w:val="none"/>
              </w:rPr>
              <w:t>小时内赶到现场</w:t>
            </w:r>
            <w:r>
              <w:rPr>
                <w:rFonts w:hint="eastAsia" w:ascii="宋体" w:hAnsi="宋体"/>
                <w:color w:val="auto"/>
                <w:szCs w:val="21"/>
                <w:highlight w:val="none"/>
                <w:lang w:eastAsia="zh-CN"/>
              </w:rPr>
              <w:t>的得</w:t>
            </w:r>
            <w:r>
              <w:rPr>
                <w:rFonts w:hint="eastAsia" w:ascii="宋体" w:hAnsi="宋体"/>
                <w:color w:val="auto"/>
                <w:szCs w:val="21"/>
                <w:highlight w:val="none"/>
                <w:lang w:val="en-US" w:eastAsia="zh-CN"/>
              </w:rPr>
              <w:t>0.5分；</w:t>
            </w:r>
          </w:p>
          <w:p w14:paraId="09B6FB55">
            <w:pPr>
              <w:adjustRightInd w:val="0"/>
              <w:snapToGrid w:val="0"/>
              <w:spacing w:line="300" w:lineRule="auto"/>
              <w:jc w:val="left"/>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其余不得分。（提供</w:t>
            </w:r>
            <w:r>
              <w:rPr>
                <w:rFonts w:hint="eastAsia" w:ascii="宋体" w:hAnsi="宋体"/>
                <w:color w:val="auto"/>
                <w:szCs w:val="21"/>
                <w:highlight w:val="none"/>
                <w:lang w:eastAsia="zh-CN"/>
              </w:rPr>
              <w:t>响应时间</w:t>
            </w:r>
            <w:r>
              <w:rPr>
                <w:rFonts w:hint="eastAsia" w:ascii="宋体" w:hAnsi="宋体"/>
                <w:color w:val="auto"/>
                <w:szCs w:val="21"/>
                <w:highlight w:val="none"/>
              </w:rPr>
              <w:t>承诺加盖</w:t>
            </w:r>
            <w:r>
              <w:rPr>
                <w:rFonts w:hint="eastAsia" w:ascii="宋体" w:hAnsi="宋体"/>
                <w:color w:val="auto"/>
                <w:szCs w:val="21"/>
                <w:highlight w:val="none"/>
                <w:lang w:eastAsia="zh-CN"/>
              </w:rPr>
              <w:t>供应商</w:t>
            </w:r>
            <w:r>
              <w:rPr>
                <w:rFonts w:hint="eastAsia" w:ascii="宋体" w:hAnsi="宋体"/>
                <w:color w:val="auto"/>
                <w:szCs w:val="21"/>
                <w:highlight w:val="none"/>
              </w:rPr>
              <w:t>公章</w:t>
            </w:r>
            <w:r>
              <w:rPr>
                <w:rFonts w:hint="eastAsia" w:ascii="宋体" w:hAnsi="宋体"/>
                <w:color w:val="auto"/>
                <w:szCs w:val="21"/>
                <w:highlight w:val="none"/>
                <w:lang w:eastAsia="zh-CN"/>
              </w:rPr>
              <w:t>，格式自拟</w:t>
            </w:r>
            <w:r>
              <w:rPr>
                <w:rFonts w:hint="eastAsia" w:ascii="宋体" w:hAnsi="宋体"/>
                <w:color w:val="auto"/>
                <w:szCs w:val="21"/>
                <w:highlight w:val="none"/>
              </w:rPr>
              <w:t>。）</w:t>
            </w:r>
          </w:p>
        </w:tc>
      </w:tr>
      <w:tr w14:paraId="12C7E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0146DE6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szCs w:val="21"/>
                <w:highlight w:val="none"/>
              </w:rPr>
            </w:pPr>
            <w:r>
              <w:rPr>
                <w:rFonts w:hint="eastAsia" w:ascii="宋体" w:hAnsi="宋体" w:cs="宋体"/>
                <w:b/>
                <w:bCs/>
                <w:szCs w:val="21"/>
                <w:highlight w:val="none"/>
              </w:rPr>
              <w:t>售后服务</w:t>
            </w:r>
          </w:p>
          <w:p w14:paraId="51489C9D">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color w:val="auto"/>
                <w:szCs w:val="21"/>
                <w:highlight w:val="none"/>
                <w:lang w:bidi="zh-CN"/>
              </w:rPr>
            </w:pPr>
            <w:r>
              <w:rPr>
                <w:rFonts w:hint="eastAsia" w:ascii="宋体" w:hAnsi="宋体" w:cs="宋体"/>
                <w:b/>
                <w:bCs/>
                <w:szCs w:val="21"/>
                <w:highlight w:val="none"/>
              </w:rPr>
              <w:t>（5分）</w:t>
            </w:r>
          </w:p>
        </w:tc>
        <w:tc>
          <w:tcPr>
            <w:tcW w:w="6741" w:type="dxa"/>
            <w:vAlign w:val="center"/>
          </w:tcPr>
          <w:p w14:paraId="2D8A530D">
            <w:pPr>
              <w:rPr>
                <w:rFonts w:ascii="宋体" w:hAnsi="宋体" w:cs="宋体"/>
                <w:szCs w:val="21"/>
                <w:highlight w:val="none"/>
              </w:rPr>
            </w:pPr>
            <w:r>
              <w:rPr>
                <w:rFonts w:hint="eastAsia" w:ascii="宋体" w:hAnsi="宋体" w:cs="宋体"/>
                <w:szCs w:val="21"/>
                <w:highlight w:val="none"/>
              </w:rPr>
              <w:t>根据提供的售后服务方案（内容包括但不限于服务体系及服务内容、故障解决方案及响应时间、专业技术人员及服务保障等）进行评审：</w:t>
            </w:r>
          </w:p>
          <w:p w14:paraId="197C8C24">
            <w:pPr>
              <w:rPr>
                <w:rFonts w:ascii="宋体" w:hAnsi="宋体" w:cs="宋体"/>
                <w:szCs w:val="21"/>
                <w:highlight w:val="none"/>
              </w:rPr>
            </w:pPr>
            <w:r>
              <w:rPr>
                <w:rFonts w:hint="eastAsia" w:ascii="宋体" w:hAnsi="宋体" w:cs="宋体"/>
                <w:szCs w:val="21"/>
                <w:highlight w:val="none"/>
              </w:rPr>
              <w:t>售后服务体系完善，专业技术人员充足、承诺解决问题周期短、维修便利的得5分；</w:t>
            </w:r>
          </w:p>
          <w:p w14:paraId="1FB74B9D">
            <w:pPr>
              <w:rPr>
                <w:rFonts w:ascii="宋体" w:hAnsi="宋体" w:cs="宋体"/>
                <w:szCs w:val="21"/>
                <w:highlight w:val="none"/>
              </w:rPr>
            </w:pPr>
            <w:r>
              <w:rPr>
                <w:rFonts w:hint="eastAsia" w:ascii="宋体" w:hAnsi="宋体" w:cs="宋体"/>
                <w:szCs w:val="21"/>
                <w:highlight w:val="none"/>
              </w:rPr>
              <w:t>售后服务体系完善，专业技术人员较充足、承诺解决问题周期较短、维修较便利的得4分；</w:t>
            </w:r>
          </w:p>
          <w:p w14:paraId="7C9FD92B">
            <w:pPr>
              <w:rPr>
                <w:rFonts w:ascii="宋体" w:hAnsi="宋体" w:cs="宋体"/>
                <w:szCs w:val="21"/>
                <w:highlight w:val="none"/>
              </w:rPr>
            </w:pPr>
            <w:r>
              <w:rPr>
                <w:rFonts w:hint="eastAsia" w:ascii="宋体" w:hAnsi="宋体" w:cs="宋体"/>
                <w:szCs w:val="21"/>
                <w:highlight w:val="none"/>
              </w:rPr>
              <w:t>售后服务体系较完善，专业技术人员充足性一般、承诺解决问题周期较短、维修便利性一般的得2分；</w:t>
            </w:r>
          </w:p>
          <w:p w14:paraId="1B0110BD">
            <w:pPr>
              <w:rPr>
                <w:rFonts w:ascii="宋体" w:hAnsi="宋体" w:cs="宋体"/>
                <w:szCs w:val="21"/>
                <w:highlight w:val="none"/>
              </w:rPr>
            </w:pPr>
            <w:r>
              <w:rPr>
                <w:rFonts w:hint="eastAsia" w:ascii="宋体" w:hAnsi="宋体" w:cs="宋体"/>
                <w:szCs w:val="21"/>
                <w:highlight w:val="none"/>
              </w:rPr>
              <w:t>售后服务方案简单，需进一步修改完善方可满足项目要求得1分；</w:t>
            </w:r>
          </w:p>
          <w:p w14:paraId="1547BC2D">
            <w:pPr>
              <w:rPr>
                <w:rFonts w:ascii="宋体" w:hAnsi="宋体"/>
                <w:color w:val="auto"/>
                <w:szCs w:val="21"/>
                <w:highlight w:val="none"/>
              </w:rPr>
            </w:pPr>
            <w:r>
              <w:rPr>
                <w:rFonts w:hint="eastAsia" w:ascii="宋体" w:hAnsi="宋体" w:cs="宋体"/>
                <w:szCs w:val="21"/>
                <w:highlight w:val="none"/>
              </w:rPr>
              <w:t>不满足</w:t>
            </w:r>
            <w:r>
              <w:rPr>
                <w:rFonts w:hint="eastAsia" w:ascii="宋体" w:hAnsi="宋体" w:cs="宋体"/>
                <w:szCs w:val="21"/>
                <w:highlight w:val="none"/>
                <w:lang w:eastAsia="zh-CN"/>
              </w:rPr>
              <w:t>服务</w:t>
            </w:r>
            <w:r>
              <w:rPr>
                <w:rFonts w:hint="eastAsia" w:ascii="宋体" w:hAnsi="宋体" w:cs="宋体"/>
                <w:szCs w:val="21"/>
                <w:highlight w:val="none"/>
              </w:rPr>
              <w:t>要求或未提供方案介绍的不得分。</w:t>
            </w:r>
          </w:p>
        </w:tc>
      </w:tr>
      <w:tr w14:paraId="6BA1A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7849338">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szCs w:val="21"/>
                <w:highlight w:val="none"/>
              </w:rPr>
            </w:pPr>
            <w:r>
              <w:rPr>
                <w:rFonts w:hint="eastAsia" w:ascii="宋体" w:hAnsi="宋体" w:cs="宋体"/>
                <w:b/>
                <w:szCs w:val="21"/>
                <w:highlight w:val="none"/>
              </w:rPr>
              <w:t>培训方案</w:t>
            </w:r>
          </w:p>
          <w:p w14:paraId="684A9BE8">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color w:val="auto"/>
                <w:szCs w:val="21"/>
                <w:highlight w:val="none"/>
              </w:rPr>
            </w:pPr>
            <w:r>
              <w:rPr>
                <w:rFonts w:hint="eastAsia" w:ascii="宋体" w:hAnsi="宋体" w:cs="宋体"/>
                <w:b/>
                <w:szCs w:val="21"/>
                <w:highlight w:val="none"/>
              </w:rPr>
              <w:t>（5分）</w:t>
            </w:r>
          </w:p>
        </w:tc>
        <w:tc>
          <w:tcPr>
            <w:tcW w:w="6741" w:type="dxa"/>
            <w:vAlign w:val="center"/>
          </w:tcPr>
          <w:p w14:paraId="598B00B1">
            <w:pPr>
              <w:rPr>
                <w:rFonts w:ascii="宋体" w:hAnsi="宋体" w:cs="宋体"/>
                <w:szCs w:val="21"/>
                <w:highlight w:val="none"/>
              </w:rPr>
            </w:pPr>
            <w:r>
              <w:rPr>
                <w:rFonts w:hint="eastAsia" w:ascii="宋体" w:hAnsi="宋体" w:cs="宋体"/>
                <w:szCs w:val="21"/>
                <w:highlight w:val="none"/>
              </w:rPr>
              <w:t xml:space="preserve">根据提供的免费培训方案（包括但不限于频次安排和内容安排等） </w:t>
            </w:r>
          </w:p>
          <w:p w14:paraId="309F95A8">
            <w:pPr>
              <w:rPr>
                <w:rFonts w:ascii="宋体" w:hAnsi="宋体" w:cs="宋体"/>
                <w:szCs w:val="21"/>
                <w:highlight w:val="none"/>
              </w:rPr>
            </w:pPr>
            <w:r>
              <w:rPr>
                <w:rFonts w:hint="eastAsia" w:ascii="宋体" w:hAnsi="宋体" w:cs="宋体"/>
                <w:szCs w:val="21"/>
                <w:highlight w:val="none"/>
              </w:rPr>
              <w:t xml:space="preserve">进行综合评审： </w:t>
            </w:r>
          </w:p>
          <w:p w14:paraId="553DD1C8">
            <w:pPr>
              <w:rPr>
                <w:rFonts w:ascii="宋体" w:hAnsi="宋体" w:cs="宋体"/>
                <w:szCs w:val="21"/>
                <w:highlight w:val="none"/>
              </w:rPr>
            </w:pPr>
            <w:r>
              <w:rPr>
                <w:rFonts w:hint="eastAsia" w:ascii="宋体" w:hAnsi="宋体" w:cs="宋体"/>
                <w:szCs w:val="21"/>
                <w:highlight w:val="none"/>
              </w:rPr>
              <w:t xml:space="preserve">方案详细、培训时间长、培训内容丰富的，得 5 分； </w:t>
            </w:r>
          </w:p>
          <w:p w14:paraId="7FC07EE5">
            <w:pPr>
              <w:rPr>
                <w:rFonts w:ascii="宋体" w:hAnsi="宋体" w:cs="宋体"/>
                <w:szCs w:val="21"/>
                <w:highlight w:val="none"/>
              </w:rPr>
            </w:pPr>
            <w:r>
              <w:rPr>
                <w:rFonts w:hint="eastAsia" w:ascii="宋体" w:hAnsi="宋体" w:cs="宋体"/>
                <w:szCs w:val="21"/>
                <w:highlight w:val="none"/>
              </w:rPr>
              <w:t>方案较为详细、培训时间较长、培训内容较为丰富的，得 4 分；</w:t>
            </w:r>
          </w:p>
          <w:p w14:paraId="09567748">
            <w:pPr>
              <w:rPr>
                <w:rFonts w:ascii="宋体" w:hAnsi="宋体" w:cs="宋体"/>
                <w:szCs w:val="21"/>
                <w:highlight w:val="none"/>
              </w:rPr>
            </w:pPr>
            <w:r>
              <w:rPr>
                <w:rFonts w:hint="eastAsia" w:ascii="宋体" w:hAnsi="宋体" w:cs="宋体"/>
                <w:szCs w:val="21"/>
                <w:highlight w:val="none"/>
              </w:rPr>
              <w:t xml:space="preserve">具备基本方案、培训时间和内容一般的，得 2 分； </w:t>
            </w:r>
          </w:p>
          <w:p w14:paraId="6D6264F6">
            <w:pPr>
              <w:rPr>
                <w:rFonts w:ascii="宋体" w:hAnsi="宋体" w:cs="宋体"/>
                <w:szCs w:val="21"/>
                <w:highlight w:val="none"/>
              </w:rPr>
            </w:pPr>
            <w:r>
              <w:rPr>
                <w:rFonts w:hint="eastAsia" w:ascii="宋体" w:hAnsi="宋体" w:cs="宋体"/>
                <w:szCs w:val="21"/>
                <w:highlight w:val="none"/>
              </w:rPr>
              <w:t xml:space="preserve">方案简单、培训时间和内容仅基本满足项目需求的，得 1 分； </w:t>
            </w:r>
          </w:p>
          <w:p w14:paraId="3D8579F5">
            <w:pPr>
              <w:rPr>
                <w:rFonts w:ascii="宋体" w:hAnsi="宋体"/>
                <w:color w:val="auto"/>
                <w:szCs w:val="21"/>
                <w:highlight w:val="none"/>
              </w:rPr>
            </w:pPr>
            <w:r>
              <w:rPr>
                <w:rFonts w:hint="eastAsia" w:ascii="宋体" w:hAnsi="宋体" w:cs="宋体"/>
                <w:szCs w:val="21"/>
                <w:highlight w:val="none"/>
              </w:rPr>
              <w:t>不满足培训要求或未提供方案介绍的不得分。</w:t>
            </w:r>
          </w:p>
        </w:tc>
      </w:tr>
      <w:tr w14:paraId="3844C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2" w:hRule="atLeast"/>
          <w:jc w:val="center"/>
        </w:trPr>
        <w:tc>
          <w:tcPr>
            <w:tcW w:w="1555" w:type="dxa"/>
            <w:vAlign w:val="center"/>
          </w:tcPr>
          <w:p w14:paraId="0158C399">
            <w:pPr>
              <w:adjustRightInd w:val="0"/>
              <w:snapToGrid w:val="0"/>
              <w:spacing w:line="300" w:lineRule="auto"/>
              <w:jc w:val="center"/>
              <w:rPr>
                <w:rFonts w:ascii="宋体" w:hAnsi="宋体" w:cs="仿宋"/>
                <w:b/>
                <w:bCs/>
                <w:color w:val="auto"/>
                <w:szCs w:val="21"/>
                <w:highlight w:val="none"/>
                <w:lang w:bidi="zh-CN"/>
              </w:rPr>
            </w:pPr>
            <w:r>
              <w:rPr>
                <w:rFonts w:hint="eastAsia" w:ascii="宋体" w:hAnsi="宋体" w:cs="仿宋"/>
                <w:b/>
                <w:bCs/>
                <w:color w:val="auto"/>
                <w:szCs w:val="21"/>
                <w:highlight w:val="none"/>
                <w:lang w:bidi="zh-CN"/>
              </w:rPr>
              <w:t>演示视频</w:t>
            </w:r>
          </w:p>
          <w:p w14:paraId="4EBE98F9">
            <w:pPr>
              <w:autoSpaceDE w:val="0"/>
              <w:autoSpaceDN w:val="0"/>
              <w:adjustRightInd w:val="0"/>
              <w:snapToGrid w:val="0"/>
              <w:spacing w:line="300" w:lineRule="auto"/>
              <w:jc w:val="center"/>
              <w:rPr>
                <w:rFonts w:ascii="宋体" w:hAnsi="宋体" w:cs="仿宋"/>
                <w:color w:val="auto"/>
                <w:szCs w:val="21"/>
                <w:highlight w:val="none"/>
                <w:lang w:bidi="zh-CN"/>
              </w:rPr>
            </w:pPr>
            <w:r>
              <w:rPr>
                <w:rFonts w:hint="eastAsia" w:ascii="宋体" w:hAnsi="宋体" w:cs="仿宋"/>
                <w:b/>
                <w:bCs/>
                <w:color w:val="auto"/>
                <w:szCs w:val="21"/>
                <w:highlight w:val="none"/>
                <w:lang w:bidi="zh-CN"/>
              </w:rPr>
              <w:t>（</w:t>
            </w:r>
            <w:r>
              <w:rPr>
                <w:rFonts w:hint="eastAsia" w:ascii="宋体" w:hAnsi="宋体" w:cs="仿宋"/>
                <w:b/>
                <w:bCs/>
                <w:color w:val="auto"/>
                <w:szCs w:val="21"/>
                <w:highlight w:val="none"/>
                <w:lang w:val="en-US" w:bidi="zh-CN"/>
              </w:rPr>
              <w:t>8</w:t>
            </w:r>
            <w:r>
              <w:rPr>
                <w:rFonts w:hint="eastAsia" w:ascii="宋体" w:hAnsi="宋体" w:cs="仿宋"/>
                <w:b/>
                <w:bCs/>
                <w:color w:val="auto"/>
                <w:szCs w:val="21"/>
                <w:highlight w:val="none"/>
                <w:lang w:bidi="zh-CN"/>
              </w:rPr>
              <w:t>分）</w:t>
            </w:r>
          </w:p>
        </w:tc>
        <w:tc>
          <w:tcPr>
            <w:tcW w:w="6741" w:type="dxa"/>
            <w:vAlign w:val="center"/>
          </w:tcPr>
          <w:p w14:paraId="1D9CA25F">
            <w:pPr>
              <w:widowControl/>
              <w:snapToGrid w:val="0"/>
              <w:spacing w:line="300" w:lineRule="auto"/>
              <w:jc w:val="left"/>
              <w:rPr>
                <w:rFonts w:ascii="宋体" w:hAnsi="宋体"/>
                <w:color w:val="auto"/>
                <w:szCs w:val="21"/>
                <w:highlight w:val="none"/>
              </w:rPr>
            </w:pPr>
            <w:r>
              <w:rPr>
                <w:rFonts w:hint="eastAsia" w:ascii="宋体" w:hAnsi="宋体"/>
                <w:color w:val="auto"/>
                <w:szCs w:val="21"/>
                <w:highlight w:val="none"/>
              </w:rPr>
              <w:t>根据供应商提供的集成电路教学平台的演示视频进行评分：</w:t>
            </w:r>
          </w:p>
          <w:p w14:paraId="43B383A6">
            <w:pPr>
              <w:adjustRightInd w:val="0"/>
              <w:snapToGrid w:val="0"/>
              <w:spacing w:line="300" w:lineRule="auto"/>
              <w:jc w:val="left"/>
              <w:rPr>
                <w:rFonts w:hint="eastAsia" w:ascii="宋体" w:hAnsi="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1</w:t>
            </w:r>
            <w:r>
              <w:rPr>
                <w:rFonts w:hint="eastAsia" w:ascii="宋体" w:hAnsi="宋体"/>
                <w:color w:val="auto"/>
                <w:szCs w:val="21"/>
                <w:highlight w:val="none"/>
                <w:lang w:eastAsia="zh-CN"/>
              </w:rPr>
              <w:t>）矩阵键盘控制数字信号发生器；</w:t>
            </w:r>
          </w:p>
          <w:p w14:paraId="05081DF2">
            <w:pPr>
              <w:adjustRightInd w:val="0"/>
              <w:snapToGrid w:val="0"/>
              <w:spacing w:line="300" w:lineRule="auto"/>
              <w:jc w:val="left"/>
              <w:rPr>
                <w:rFonts w:hint="eastAsia" w:ascii="宋体" w:hAnsi="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）使用按键修改数字滤波器的参数并显示在LCD上；</w:t>
            </w:r>
          </w:p>
          <w:p w14:paraId="34D0CA32">
            <w:pPr>
              <w:adjustRightInd w:val="0"/>
              <w:snapToGrid w:val="0"/>
              <w:spacing w:line="300" w:lineRule="auto"/>
              <w:jc w:val="left"/>
              <w:rPr>
                <w:rFonts w:hint="eastAsia" w:ascii="宋体" w:hAnsi="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3</w:t>
            </w:r>
            <w:r>
              <w:rPr>
                <w:rFonts w:hint="eastAsia" w:ascii="宋体" w:hAnsi="宋体"/>
                <w:color w:val="auto"/>
                <w:szCs w:val="21"/>
                <w:highlight w:val="none"/>
                <w:lang w:eastAsia="zh-CN"/>
              </w:rPr>
              <w:t>）SOPC中通过矩阵键盘和LCD实现简易计算器；</w:t>
            </w:r>
          </w:p>
          <w:p w14:paraId="186256AF">
            <w:pPr>
              <w:adjustRightInd w:val="0"/>
              <w:snapToGrid w:val="0"/>
              <w:spacing w:line="300" w:lineRule="auto"/>
              <w:jc w:val="left"/>
              <w:rPr>
                <w:rFonts w:hint="eastAsia" w:ascii="宋体" w:hAnsi="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4</w:t>
            </w:r>
            <w:r>
              <w:rPr>
                <w:rFonts w:hint="eastAsia" w:ascii="宋体" w:hAnsi="宋体"/>
                <w:color w:val="auto"/>
                <w:szCs w:val="21"/>
                <w:highlight w:val="none"/>
                <w:lang w:eastAsia="zh-CN"/>
              </w:rPr>
              <w:t>）RTC掉电存储读取系统时间和RAM随机存储；</w:t>
            </w:r>
          </w:p>
          <w:p w14:paraId="6E4D5FCC">
            <w:pPr>
              <w:adjustRightInd w:val="0"/>
              <w:snapToGrid w:val="0"/>
              <w:spacing w:line="300" w:lineRule="auto"/>
              <w:jc w:val="left"/>
              <w:rPr>
                <w:rFonts w:hint="eastAsia" w:ascii="宋体" w:hAnsi="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5</w:t>
            </w:r>
            <w:r>
              <w:rPr>
                <w:rFonts w:hint="eastAsia" w:ascii="宋体" w:hAnsi="宋体"/>
                <w:color w:val="auto"/>
                <w:szCs w:val="21"/>
                <w:highlight w:val="none"/>
                <w:lang w:eastAsia="zh-CN"/>
              </w:rPr>
              <w:t>）通过汇编或者C语言控制DAC以及ADC的实现并将数据在屏幕显示；</w:t>
            </w:r>
          </w:p>
          <w:p w14:paraId="7C2F4BF8">
            <w:pPr>
              <w:adjustRightInd w:val="0"/>
              <w:snapToGrid w:val="0"/>
              <w:spacing w:line="300" w:lineRule="auto"/>
              <w:jc w:val="left"/>
              <w:rPr>
                <w:rFonts w:hint="eastAsia" w:ascii="宋体" w:hAnsi="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6</w:t>
            </w:r>
            <w:r>
              <w:rPr>
                <w:rFonts w:hint="eastAsia" w:ascii="宋体" w:hAnsi="宋体"/>
                <w:color w:val="auto"/>
                <w:szCs w:val="21"/>
                <w:highlight w:val="none"/>
                <w:lang w:eastAsia="zh-CN"/>
              </w:rPr>
              <w:t>）通过矩阵键盘控制步进电机的运行并显示参数在屏幕上；</w:t>
            </w:r>
          </w:p>
          <w:p w14:paraId="2DECE1CD">
            <w:pPr>
              <w:adjustRightInd w:val="0"/>
              <w:snapToGrid w:val="0"/>
              <w:spacing w:line="300" w:lineRule="auto"/>
              <w:jc w:val="left"/>
              <w:rPr>
                <w:rFonts w:hint="eastAsia" w:ascii="宋体" w:hAnsi="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7</w:t>
            </w:r>
            <w:r>
              <w:rPr>
                <w:rFonts w:hint="eastAsia" w:ascii="宋体" w:hAnsi="宋体"/>
                <w:color w:val="auto"/>
                <w:szCs w:val="21"/>
                <w:highlight w:val="none"/>
                <w:lang w:eastAsia="zh-CN"/>
              </w:rPr>
              <w:t>）编码器译码器的FPGA通过FPGA读取数字温湿度的值并显示；</w:t>
            </w:r>
          </w:p>
          <w:p w14:paraId="25E7D3EC">
            <w:pPr>
              <w:adjustRightInd w:val="0"/>
              <w:snapToGrid w:val="0"/>
              <w:spacing w:line="300" w:lineRule="auto"/>
              <w:jc w:val="left"/>
              <w:rPr>
                <w:rFonts w:hint="eastAsia" w:ascii="宋体" w:hAnsi="宋体"/>
                <w:color w:val="auto"/>
                <w:szCs w:val="21"/>
                <w:highlight w:val="none"/>
                <w:lang w:eastAsia="zh-CN"/>
              </w:rPr>
            </w:pP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8</w:t>
            </w:r>
            <w:r>
              <w:rPr>
                <w:rFonts w:hint="eastAsia" w:ascii="宋体" w:hAnsi="宋体"/>
                <w:color w:val="auto"/>
                <w:szCs w:val="21"/>
                <w:highlight w:val="none"/>
                <w:lang w:eastAsia="zh-CN"/>
              </w:rPr>
              <w:t>）通过LoongIDE使用C语言在1C102软核上调试运行数字电路实验。</w:t>
            </w:r>
          </w:p>
          <w:p w14:paraId="75695A49">
            <w:pPr>
              <w:adjustRightInd w:val="0"/>
              <w:snapToGrid w:val="0"/>
              <w:spacing w:line="300" w:lineRule="auto"/>
              <w:jc w:val="left"/>
              <w:rPr>
                <w:rFonts w:hint="eastAsia" w:ascii="宋体" w:hAnsi="宋体"/>
                <w:b/>
                <w:bCs/>
                <w:color w:val="auto"/>
                <w:szCs w:val="21"/>
                <w:highlight w:val="none"/>
              </w:rPr>
            </w:pPr>
            <w:r>
              <w:rPr>
                <w:rFonts w:hint="eastAsia" w:ascii="宋体" w:hAnsi="宋体"/>
                <w:b/>
                <w:bCs/>
                <w:color w:val="auto"/>
                <w:szCs w:val="21"/>
                <w:highlight w:val="none"/>
              </w:rPr>
              <w:t>针对上述</w:t>
            </w:r>
            <w:r>
              <w:rPr>
                <w:rFonts w:hint="eastAsia" w:ascii="宋体" w:hAnsi="宋体"/>
                <w:b/>
                <w:bCs/>
                <w:color w:val="auto"/>
                <w:szCs w:val="21"/>
                <w:highlight w:val="none"/>
                <w:lang w:val="en-US" w:eastAsia="zh-CN"/>
              </w:rPr>
              <w:t>八</w:t>
            </w:r>
            <w:r>
              <w:rPr>
                <w:rFonts w:hint="eastAsia" w:ascii="宋体" w:hAnsi="宋体"/>
                <w:b/>
                <w:bCs/>
                <w:color w:val="auto"/>
                <w:szCs w:val="21"/>
                <w:highlight w:val="none"/>
                <w:lang w:eastAsia="zh-CN"/>
              </w:rPr>
              <w:t>项内容</w:t>
            </w:r>
            <w:r>
              <w:rPr>
                <w:rFonts w:hint="eastAsia" w:ascii="宋体" w:hAnsi="宋体"/>
                <w:b/>
                <w:bCs/>
                <w:color w:val="auto"/>
                <w:szCs w:val="21"/>
                <w:highlight w:val="none"/>
              </w:rPr>
              <w:t>进行视频</w:t>
            </w:r>
            <w:r>
              <w:rPr>
                <w:rFonts w:hint="eastAsia" w:ascii="宋体" w:hAnsi="宋体"/>
                <w:b/>
                <w:bCs/>
                <w:color w:val="auto"/>
                <w:szCs w:val="21"/>
                <w:highlight w:val="none"/>
                <w:lang w:eastAsia="zh-CN"/>
              </w:rPr>
              <w:t>演示</w:t>
            </w:r>
            <w:r>
              <w:rPr>
                <w:rFonts w:hint="eastAsia" w:ascii="宋体" w:hAnsi="宋体"/>
                <w:b/>
                <w:bCs/>
                <w:color w:val="auto"/>
                <w:szCs w:val="21"/>
                <w:highlight w:val="none"/>
              </w:rPr>
              <w:t>，视频中每</w:t>
            </w:r>
            <w:r>
              <w:rPr>
                <w:rFonts w:hint="eastAsia" w:ascii="宋体" w:hAnsi="宋体"/>
                <w:b/>
                <w:bCs/>
                <w:color w:val="auto"/>
                <w:szCs w:val="21"/>
                <w:highlight w:val="none"/>
                <w:lang w:eastAsia="zh-CN"/>
              </w:rPr>
              <w:t>成功演示</w:t>
            </w:r>
            <w:r>
              <w:rPr>
                <w:rFonts w:hint="eastAsia" w:ascii="宋体" w:hAnsi="宋体"/>
                <w:b/>
                <w:bCs/>
                <w:color w:val="auto"/>
                <w:szCs w:val="21"/>
                <w:highlight w:val="none"/>
              </w:rPr>
              <w:t>上述一</w:t>
            </w:r>
            <w:r>
              <w:rPr>
                <w:rFonts w:hint="eastAsia" w:ascii="宋体" w:hAnsi="宋体"/>
                <w:b/>
                <w:bCs/>
                <w:color w:val="auto"/>
                <w:szCs w:val="21"/>
                <w:highlight w:val="none"/>
                <w:lang w:eastAsia="zh-CN"/>
              </w:rPr>
              <w:t>项内容的</w:t>
            </w:r>
            <w:r>
              <w:rPr>
                <w:rFonts w:hint="eastAsia" w:ascii="宋体" w:hAnsi="宋体"/>
                <w:b/>
                <w:bCs/>
                <w:color w:val="auto"/>
                <w:szCs w:val="21"/>
                <w:highlight w:val="none"/>
              </w:rPr>
              <w:t>得</w:t>
            </w:r>
            <w:r>
              <w:rPr>
                <w:rFonts w:hint="eastAsia" w:ascii="宋体" w:hAnsi="宋体"/>
                <w:b/>
                <w:bCs/>
                <w:color w:val="auto"/>
                <w:szCs w:val="21"/>
                <w:highlight w:val="none"/>
                <w:lang w:val="en-US" w:eastAsia="zh-CN"/>
              </w:rPr>
              <w:t>1</w:t>
            </w:r>
            <w:r>
              <w:rPr>
                <w:rFonts w:hint="eastAsia" w:ascii="宋体" w:hAnsi="宋体"/>
                <w:b/>
                <w:bCs/>
                <w:color w:val="auto"/>
                <w:szCs w:val="21"/>
                <w:highlight w:val="none"/>
              </w:rPr>
              <w:t>分，满分</w:t>
            </w:r>
            <w:r>
              <w:rPr>
                <w:rFonts w:hint="eastAsia" w:ascii="宋体" w:hAnsi="宋体"/>
                <w:b/>
                <w:bCs/>
                <w:color w:val="auto"/>
                <w:szCs w:val="21"/>
                <w:highlight w:val="none"/>
                <w:lang w:val="en-US" w:eastAsia="zh-CN"/>
              </w:rPr>
              <w:t>8</w:t>
            </w:r>
            <w:r>
              <w:rPr>
                <w:rFonts w:hint="eastAsia" w:ascii="宋体" w:hAnsi="宋体"/>
                <w:b/>
                <w:bCs/>
                <w:color w:val="auto"/>
                <w:szCs w:val="21"/>
                <w:highlight w:val="none"/>
              </w:rPr>
              <w:t>分。</w:t>
            </w:r>
          </w:p>
          <w:p w14:paraId="09CBD3E0">
            <w:pPr>
              <w:widowControl/>
              <w:snapToGrid w:val="0"/>
              <w:spacing w:line="300" w:lineRule="auto"/>
              <w:jc w:val="left"/>
              <w:rPr>
                <w:rFonts w:hint="eastAsia" w:ascii="宋体" w:hAnsi="宋体"/>
                <w:color w:val="auto"/>
                <w:szCs w:val="21"/>
                <w:highlight w:val="none"/>
              </w:rPr>
            </w:pPr>
            <w:r>
              <w:rPr>
                <w:rFonts w:hint="eastAsia" w:ascii="宋体" w:hAnsi="宋体"/>
                <w:b/>
                <w:bCs/>
                <w:color w:val="auto"/>
                <w:szCs w:val="21"/>
                <w:highlight w:val="none"/>
              </w:rPr>
              <w:t>（要求演示视频随响应文件电子档一同提交，</w:t>
            </w:r>
            <w:r>
              <w:rPr>
                <w:rFonts w:hint="eastAsia" w:ascii="宋体" w:hAnsi="宋体"/>
                <w:b/>
                <w:bCs/>
                <w:color w:val="auto"/>
                <w:szCs w:val="21"/>
                <w:highlight w:val="none"/>
                <w:lang w:eastAsia="zh-CN"/>
              </w:rPr>
              <w:t>视频时长不超过</w:t>
            </w:r>
            <w:r>
              <w:rPr>
                <w:rFonts w:hint="eastAsia" w:ascii="宋体" w:hAnsi="宋体"/>
                <w:b/>
                <w:bCs/>
                <w:color w:val="auto"/>
                <w:szCs w:val="21"/>
                <w:highlight w:val="none"/>
                <w:lang w:val="en-US" w:eastAsia="zh-CN"/>
              </w:rPr>
              <w:t>10分钟，</w:t>
            </w:r>
            <w:r>
              <w:rPr>
                <w:rFonts w:hint="eastAsia" w:ascii="宋体" w:hAnsi="宋体"/>
                <w:b/>
                <w:bCs/>
                <w:color w:val="auto"/>
                <w:szCs w:val="21"/>
                <w:highlight w:val="none"/>
              </w:rPr>
              <w:t>不满足的不得分）</w:t>
            </w:r>
          </w:p>
        </w:tc>
      </w:tr>
    </w:tbl>
    <w:p w14:paraId="0B5D4512">
      <w:pPr>
        <w:rPr>
          <w:rFonts w:ascii="宋体"/>
          <w:b/>
          <w:color w:val="auto"/>
          <w:highlight w:val="none"/>
        </w:rPr>
      </w:pPr>
      <w:r>
        <w:rPr>
          <w:rFonts w:hint="eastAsia" w:ascii="宋体"/>
          <w:b/>
          <w:color w:val="auto"/>
          <w:highlight w:val="none"/>
        </w:rPr>
        <w:t>所有认证、证明和业绩均以有效清晰的证明文件的复印件为依据，原件备查。</w:t>
      </w:r>
      <w:r>
        <w:rPr>
          <w:rFonts w:hint="eastAsia" w:ascii="宋体"/>
          <w:b/>
          <w:bCs/>
          <w:color w:val="auto"/>
          <w:highlight w:val="none"/>
        </w:rPr>
        <w:t>并在评审索引表中详细标明其所在参选文件中的页码和位置。无相关材料证实的，评选委员会有权做负偏离处理。</w:t>
      </w:r>
    </w:p>
    <w:p w14:paraId="7FB3DCD7">
      <w:pPr>
        <w:rPr>
          <w:rFonts w:ascii="宋体"/>
          <w:b/>
          <w:color w:val="auto"/>
          <w:highlight w:val="none"/>
        </w:rPr>
      </w:pPr>
      <w:r>
        <w:rPr>
          <w:rFonts w:hint="eastAsia" w:ascii="宋体"/>
          <w:b/>
          <w:color w:val="auto"/>
          <w:highlight w:val="none"/>
        </w:rPr>
        <w:t>说明：</w:t>
      </w:r>
    </w:p>
    <w:p w14:paraId="233ED0B3">
      <w:pPr>
        <w:adjustRightInd w:val="0"/>
        <w:snapToGrid w:val="0"/>
        <w:spacing w:line="360" w:lineRule="auto"/>
        <w:ind w:firstLine="420" w:firstLineChars="200"/>
        <w:rPr>
          <w:rFonts w:ascii="宋体" w:cs="宋体"/>
          <w:b/>
          <w:color w:val="auto"/>
          <w:kern w:val="0"/>
          <w:szCs w:val="21"/>
          <w:highlight w:val="none"/>
        </w:rPr>
      </w:pPr>
      <w:r>
        <w:rPr>
          <w:rFonts w:hint="eastAsia" w:ascii="宋体" w:cs="宋体"/>
          <w:color w:val="auto"/>
          <w:kern w:val="0"/>
          <w:szCs w:val="21"/>
          <w:highlight w:val="none"/>
        </w:rPr>
        <w:t>价格标部分优惠政策如下：</w:t>
      </w:r>
    </w:p>
    <w:p w14:paraId="14AA6EF2">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1.对国家认定的节能产品和环保产品分别给予参选价的5.00%、5.00%价格扣除，用扣除后的价格参与评审（特别说明：节能、环保产品必须纳入“中国政府采购网http://www.ccgp.gov.cn”等官方网站“节能、环保产品查询系统”，且以提供的证书复印件为准）。</w:t>
      </w:r>
    </w:p>
    <w:p w14:paraId="78FFC0BE">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2.小微企业的价格扣除</w:t>
      </w:r>
    </w:p>
    <w:p w14:paraId="0837D58F">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2.1、对小微企业生产的产品给予参选价的10.00%价格扣除，用扣除后的价格参与评审。</w:t>
      </w:r>
    </w:p>
    <w:p w14:paraId="1951FEB7">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2.2、大中型企业和其他自然人、法人或者其他组织与小型、微型企业组成联合体共同参加参选，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p>
    <w:p w14:paraId="00849A54">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2.3、小企业（含小型、微型企业）应当同时符合以下条件：</w:t>
      </w:r>
    </w:p>
    <w:p w14:paraId="77DF94C1">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（1）供应商为小企业，且符合中小企业划分标准；</w:t>
      </w:r>
    </w:p>
    <w:p w14:paraId="76024AAB">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（2）提供本企业制造的货物、承担的工程或者服务，或者提供其他小企业制造的货物。如果提供的货物为大中型企业注册商标的货物，视同大中型企业。</w:t>
      </w:r>
    </w:p>
    <w:p w14:paraId="081812D5">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3.监狱和戒毒企业的价格扣除</w:t>
      </w:r>
    </w:p>
    <w:p w14:paraId="1B3F0E6F">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3.1.本项目对监狱和戒毒企业（简称监狱企业），给予10%的价格扣除，用扣除后的价格参与评审。</w:t>
      </w:r>
    </w:p>
    <w:p w14:paraId="591CB13A">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3.2.监狱企业需提供由省级以上监狱管理局、戒毒管理局（含新疆生产建设兵团）出具的属于监狱企业的证明文件。</w:t>
      </w:r>
    </w:p>
    <w:p w14:paraId="141AA8D5">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3.3.监狱企业标准请参照《关于政府采购支持监狱企业发展有关问题的通知》（财库〔2014〕68号）。</w:t>
      </w:r>
    </w:p>
    <w:p w14:paraId="19B02429">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4.残疾人福利性单位的价格扣除</w:t>
      </w:r>
    </w:p>
    <w:p w14:paraId="1A4E86B7">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4.1.本项目对残疾人福利性单位，给予10%的价格扣除，用扣除后的价格参与评审。</w:t>
      </w:r>
    </w:p>
    <w:p w14:paraId="4AD4190B">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4.2.残疾人福利单位需按照采购文件的要求提供《残疾人福利性单位声明函》。</w:t>
      </w:r>
    </w:p>
    <w:p w14:paraId="6451A6CE">
      <w:pPr>
        <w:adjustRightInd w:val="0"/>
        <w:snapToGrid w:val="0"/>
        <w:spacing w:line="360" w:lineRule="auto"/>
        <w:ind w:firstLine="420" w:firstLineChars="200"/>
        <w:rPr>
          <w:rFonts w:ascii="宋体" w:cs="宋体"/>
          <w:color w:val="auto"/>
          <w:kern w:val="0"/>
          <w:szCs w:val="21"/>
          <w:highlight w:val="none"/>
        </w:rPr>
      </w:pPr>
      <w:r>
        <w:rPr>
          <w:rFonts w:hint="eastAsia" w:ascii="宋体" w:cs="宋体"/>
          <w:color w:val="auto"/>
          <w:kern w:val="0"/>
          <w:szCs w:val="21"/>
          <w:highlight w:val="none"/>
        </w:rPr>
        <w:t>4.3.残疾人福利单位标准请参照《关于促进残疾人就业政府采购政策的通知》（财库〔2017〕141号）。</w:t>
      </w:r>
    </w:p>
    <w:p w14:paraId="6A078406">
      <w:pPr>
        <w:adjustRightInd w:val="0"/>
        <w:snapToGrid w:val="0"/>
        <w:spacing w:line="360" w:lineRule="auto"/>
        <w:ind w:firstLine="420" w:firstLineChars="200"/>
        <w:rPr>
          <w:rFonts w:ascii="宋体" w:hAnsi="宋体" w:cs="宋体"/>
          <w:b/>
          <w:color w:val="auto"/>
          <w:kern w:val="0"/>
          <w:szCs w:val="21"/>
          <w:highlight w:val="none"/>
        </w:rPr>
      </w:pPr>
      <w:r>
        <w:rPr>
          <w:rFonts w:hint="eastAsia" w:ascii="宋体" w:cs="宋体"/>
          <w:color w:val="auto"/>
          <w:kern w:val="0"/>
          <w:szCs w:val="21"/>
          <w:highlight w:val="none"/>
        </w:rPr>
        <w:t>5.监狱企业、残疾人福利单位属于小型、微型企业的，不重复享受政策。</w:t>
      </w:r>
    </w:p>
    <w:p w14:paraId="1D7B65F5">
      <w:pPr>
        <w:adjustRightInd w:val="0"/>
        <w:snapToGrid w:val="0"/>
        <w:spacing w:line="360" w:lineRule="auto"/>
        <w:ind w:firstLine="420" w:firstLineChars="200"/>
        <w:rPr>
          <w:rFonts w:ascii="宋体" w:hAnsi="宋体"/>
          <w:color w:val="auto"/>
          <w:highlight w:val="none"/>
        </w:rPr>
      </w:pPr>
      <w:r>
        <w:rPr>
          <w:rFonts w:hint="eastAsia" w:ascii="宋体" w:hAnsi="宋体" w:cs="宋体"/>
          <w:color w:val="auto"/>
          <w:kern w:val="0"/>
          <w:szCs w:val="21"/>
          <w:highlight w:val="none"/>
        </w:rPr>
        <w:t>6.</w:t>
      </w:r>
      <w:r>
        <w:rPr>
          <w:rFonts w:hint="eastAsia" w:ascii="宋体" w:hAnsi="宋体"/>
          <w:bCs/>
          <w:color w:val="auto"/>
          <w:highlight w:val="none"/>
        </w:rPr>
        <w:t>所有认证、证明和业绩除上表要求外均须提供有效的证明材料复印件加盖公章，原件备查</w:t>
      </w:r>
      <w:r>
        <w:rPr>
          <w:rFonts w:hint="eastAsia" w:ascii="宋体" w:hAnsi="宋体"/>
          <w:color w:val="auto"/>
          <w:highlight w:val="none"/>
        </w:rPr>
        <w:t>。</w:t>
      </w:r>
    </w:p>
    <w:p w14:paraId="2E1B7BC8">
      <w:pPr>
        <w:adjustRightInd w:val="0"/>
        <w:snapToGrid w:val="0"/>
        <w:spacing w:line="360" w:lineRule="auto"/>
        <w:ind w:firstLine="420" w:firstLineChars="200"/>
        <w:rPr>
          <w:rFonts w:ascii="宋体" w:hAnsi="宋体"/>
          <w:color w:val="auto"/>
          <w:highlight w:val="none"/>
        </w:rPr>
      </w:pPr>
    </w:p>
    <w:p w14:paraId="532FFC7F">
      <w:pPr>
        <w:rPr>
          <w:rFonts w:ascii="宋体" w:hAnsi="宋体" w:cs="黑体"/>
          <w:b/>
          <w:color w:val="000000" w:themeColor="text1"/>
          <w:sz w:val="36"/>
          <w:highlight w:val="none"/>
          <w14:textFill>
            <w14:solidFill>
              <w14:schemeClr w14:val="tx1"/>
            </w14:solidFill>
          </w14:textFill>
        </w:rPr>
      </w:pPr>
      <w:r>
        <w:rPr>
          <w:rFonts w:hint="eastAsia" w:ascii="宋体" w:hAnsi="宋体" w:cs="黑体"/>
          <w:b/>
          <w:color w:val="000000" w:themeColor="text1"/>
          <w:sz w:val="36"/>
          <w:highlight w:val="none"/>
          <w14:textFill>
            <w14:solidFill>
              <w14:schemeClr w14:val="tx1"/>
            </w14:solidFill>
          </w14:textFill>
        </w:rPr>
        <w:br w:type="page"/>
      </w:r>
    </w:p>
    <w:p w14:paraId="7FC80547">
      <w:pPr>
        <w:pStyle w:val="261"/>
        <w:numPr>
          <w:ilvl w:val="0"/>
          <w:numId w:val="54"/>
        </w:num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采购需求</w:t>
      </w:r>
    </w:p>
    <w:p w14:paraId="16D5C0BF">
      <w:pPr>
        <w:adjustRightInd w:val="0"/>
        <w:snapToGrid w:val="0"/>
        <w:spacing w:line="360" w:lineRule="auto"/>
        <w:rPr>
          <w:rFonts w:ascii="宋体" w:hAnsi="宋体"/>
          <w:b/>
          <w:color w:val="auto"/>
          <w:sz w:val="28"/>
          <w:szCs w:val="28"/>
          <w:highlight w:val="none"/>
          <w:lang w:val="zh-CN"/>
        </w:rPr>
      </w:pPr>
      <w:r>
        <w:rPr>
          <w:rFonts w:hint="eastAsia" w:ascii="宋体" w:hAnsi="宋体"/>
          <w:b/>
          <w:color w:val="auto"/>
          <w:sz w:val="28"/>
          <w:szCs w:val="28"/>
          <w:highlight w:val="none"/>
          <w:lang w:val="zh-CN"/>
        </w:rPr>
        <w:t>（一）货物清单</w:t>
      </w:r>
    </w:p>
    <w:tbl>
      <w:tblPr>
        <w:tblStyle w:val="4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2"/>
        <w:gridCol w:w="2222"/>
        <w:gridCol w:w="1059"/>
        <w:gridCol w:w="1195"/>
        <w:gridCol w:w="3099"/>
        <w:gridCol w:w="1347"/>
      </w:tblGrid>
      <w:tr w14:paraId="143FB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708" w:type="dxa"/>
            <w:vAlign w:val="center"/>
          </w:tcPr>
          <w:p w14:paraId="5FE8BB07">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序号</w:t>
            </w:r>
          </w:p>
        </w:tc>
        <w:tc>
          <w:tcPr>
            <w:tcW w:w="2124" w:type="dxa"/>
            <w:vAlign w:val="center"/>
          </w:tcPr>
          <w:p w14:paraId="798F89DE">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名称</w:t>
            </w:r>
          </w:p>
        </w:tc>
        <w:tc>
          <w:tcPr>
            <w:tcW w:w="996" w:type="dxa"/>
            <w:vAlign w:val="center"/>
          </w:tcPr>
          <w:p w14:paraId="5E1BFC07">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数量</w:t>
            </w:r>
          </w:p>
        </w:tc>
        <w:tc>
          <w:tcPr>
            <w:tcW w:w="1129" w:type="dxa"/>
            <w:vAlign w:val="center"/>
          </w:tcPr>
          <w:p w14:paraId="4584E297">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是否核心产品</w:t>
            </w:r>
          </w:p>
        </w:tc>
        <w:tc>
          <w:tcPr>
            <w:tcW w:w="2976" w:type="dxa"/>
            <w:vAlign w:val="center"/>
          </w:tcPr>
          <w:p w14:paraId="286AEAF3">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功能/型号/规格</w:t>
            </w:r>
          </w:p>
        </w:tc>
        <w:tc>
          <w:tcPr>
            <w:tcW w:w="1276" w:type="dxa"/>
            <w:vAlign w:val="center"/>
          </w:tcPr>
          <w:p w14:paraId="7505D1F9">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总价</w:t>
            </w:r>
          </w:p>
          <w:p w14:paraId="40791B69">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（万元）</w:t>
            </w:r>
          </w:p>
        </w:tc>
      </w:tr>
      <w:tr w14:paraId="02EEE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jc w:val="center"/>
        </w:trPr>
        <w:tc>
          <w:tcPr>
            <w:tcW w:w="708" w:type="dxa"/>
            <w:vAlign w:val="center"/>
          </w:tcPr>
          <w:p w14:paraId="091D9E4B">
            <w:pPr>
              <w:adjustRightInd w:val="0"/>
              <w:snapToGrid w:val="0"/>
              <w:jc w:val="center"/>
              <w:rPr>
                <w:rFonts w:ascii="宋体" w:hAnsi="宋体" w:cs="宋体"/>
                <w:color w:val="auto"/>
                <w:szCs w:val="21"/>
                <w:highlight w:val="none"/>
              </w:rPr>
            </w:pPr>
            <w:r>
              <w:rPr>
                <w:rFonts w:ascii="宋体" w:hAnsi="宋体" w:cs="宋体"/>
                <w:color w:val="auto"/>
                <w:szCs w:val="21"/>
                <w:highlight w:val="none"/>
              </w:rPr>
              <w:t>1</w:t>
            </w:r>
          </w:p>
        </w:tc>
        <w:tc>
          <w:tcPr>
            <w:tcW w:w="2124" w:type="dxa"/>
            <w:vAlign w:val="center"/>
          </w:tcPr>
          <w:p w14:paraId="1DEE24CB">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集成电路教学平台采购</w:t>
            </w:r>
          </w:p>
        </w:tc>
        <w:tc>
          <w:tcPr>
            <w:tcW w:w="996" w:type="dxa"/>
            <w:vAlign w:val="center"/>
          </w:tcPr>
          <w:p w14:paraId="0A97829F">
            <w:pPr>
              <w:adjustRightInd w:val="0"/>
              <w:snapToGrid w:val="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24</w:t>
            </w:r>
          </w:p>
        </w:tc>
        <w:tc>
          <w:tcPr>
            <w:tcW w:w="1129" w:type="dxa"/>
            <w:vAlign w:val="center"/>
          </w:tcPr>
          <w:p w14:paraId="38A23709">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是</w:t>
            </w:r>
          </w:p>
        </w:tc>
        <w:tc>
          <w:tcPr>
            <w:tcW w:w="2976" w:type="dxa"/>
            <w:vAlign w:val="center"/>
          </w:tcPr>
          <w:p w14:paraId="2FE878FC">
            <w:pPr>
              <w:adjustRightInd w:val="0"/>
              <w:snapToGrid w:val="0"/>
              <w:jc w:val="lef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集成电路教学平</w:t>
            </w:r>
            <w:r>
              <w:rPr>
                <w:rFonts w:hint="eastAsia" w:ascii="宋体" w:hAnsi="宋体" w:cs="宋体"/>
                <w:color w:val="auto"/>
                <w:szCs w:val="21"/>
                <w:highlight w:val="none"/>
                <w:lang w:val="en-US" w:eastAsia="zh-CN"/>
              </w:rPr>
              <w:t>台，</w:t>
            </w:r>
            <w:r>
              <w:rPr>
                <w:rFonts w:hint="eastAsia" w:ascii="宋体" w:hAnsi="宋体" w:cs="宋体"/>
                <w:color w:val="auto"/>
                <w:szCs w:val="21"/>
                <w:highlight w:val="none"/>
              </w:rPr>
              <w:t>可以开展数字逻辑、数</w:t>
            </w:r>
            <w:r>
              <w:rPr>
                <w:rFonts w:hint="eastAsia" w:ascii="宋体" w:hAnsi="宋体" w:cs="宋体"/>
                <w:color w:val="auto"/>
                <w:szCs w:val="21"/>
                <w:highlight w:val="none"/>
                <w:lang w:val="en-US" w:eastAsia="zh-CN"/>
              </w:rPr>
              <w:t>字</w:t>
            </w:r>
            <w:r>
              <w:rPr>
                <w:rFonts w:hint="eastAsia" w:ascii="宋体" w:hAnsi="宋体" w:cs="宋体"/>
                <w:color w:val="auto"/>
                <w:szCs w:val="21"/>
                <w:highlight w:val="none"/>
              </w:rPr>
              <w:t>集成电路设计、SOC设计</w:t>
            </w:r>
            <w:r>
              <w:rPr>
                <w:rFonts w:hint="eastAsia" w:ascii="宋体" w:hAnsi="宋体" w:cs="宋体"/>
                <w:color w:val="auto"/>
                <w:szCs w:val="21"/>
                <w:highlight w:val="none"/>
                <w:lang w:val="en-US" w:eastAsia="zh-CN"/>
              </w:rPr>
              <w:t>等实验课</w:t>
            </w:r>
          </w:p>
        </w:tc>
        <w:tc>
          <w:tcPr>
            <w:tcW w:w="1276" w:type="dxa"/>
            <w:vAlign w:val="center"/>
          </w:tcPr>
          <w:p w14:paraId="461206FD">
            <w:pPr>
              <w:adjustRightInd w:val="0"/>
              <w:snapToGrid w:val="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74</w:t>
            </w:r>
          </w:p>
        </w:tc>
      </w:tr>
      <w:tr w14:paraId="7AD75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jc w:val="center"/>
        </w:trPr>
        <w:tc>
          <w:tcPr>
            <w:tcW w:w="4957" w:type="dxa"/>
            <w:gridSpan w:val="4"/>
            <w:vAlign w:val="center"/>
          </w:tcPr>
          <w:p w14:paraId="1CB72AF0">
            <w:pPr>
              <w:adjustRightInd w:val="0"/>
              <w:snapToGrid w:val="0"/>
              <w:jc w:val="center"/>
              <w:rPr>
                <w:rFonts w:ascii="宋体" w:hAnsi="宋体" w:cs="宋体"/>
                <w:color w:val="auto"/>
                <w:szCs w:val="21"/>
                <w:highlight w:val="none"/>
              </w:rPr>
            </w:pPr>
            <w:r>
              <w:rPr>
                <w:rFonts w:hint="eastAsia" w:ascii="宋体" w:hAnsi="宋体" w:cs="宋体"/>
                <w:b/>
                <w:color w:val="auto"/>
                <w:szCs w:val="21"/>
                <w:highlight w:val="none"/>
              </w:rPr>
              <w:t>总价超过此价格的报价作无效标处理</w:t>
            </w:r>
          </w:p>
        </w:tc>
        <w:tc>
          <w:tcPr>
            <w:tcW w:w="2976" w:type="dxa"/>
            <w:vAlign w:val="center"/>
          </w:tcPr>
          <w:p w14:paraId="5323F1DB">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总计</w:t>
            </w:r>
          </w:p>
        </w:tc>
        <w:tc>
          <w:tcPr>
            <w:tcW w:w="1276" w:type="dxa"/>
            <w:vAlign w:val="center"/>
          </w:tcPr>
          <w:p w14:paraId="7B99EB97">
            <w:pPr>
              <w:adjustRightInd w:val="0"/>
              <w:snapToGrid w:val="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74</w:t>
            </w:r>
          </w:p>
        </w:tc>
      </w:tr>
    </w:tbl>
    <w:p w14:paraId="7263B5FF">
      <w:pPr>
        <w:adjustRightInd w:val="0"/>
        <w:snapToGrid w:val="0"/>
        <w:spacing w:line="360" w:lineRule="auto"/>
        <w:ind w:firstLine="420" w:firstLineChars="200"/>
        <w:rPr>
          <w:rFonts w:ascii="宋体" w:hAnsi="宋体" w:cs="宋体"/>
          <w:color w:val="auto"/>
          <w:szCs w:val="21"/>
          <w:highlight w:val="none"/>
        </w:rPr>
      </w:pPr>
    </w:p>
    <w:p w14:paraId="4CD53A58">
      <w:pPr>
        <w:adjustRightInd w:val="0"/>
        <w:snapToGrid w:val="0"/>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（二）商务要求</w:t>
      </w:r>
    </w:p>
    <w:p w14:paraId="05F35436">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1.付款方式：</w:t>
      </w:r>
    </w:p>
    <w:p w14:paraId="2EDC2F1F">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到货并安装调试完毕，验收合格后30日内付至合同总价的100%。</w:t>
      </w:r>
    </w:p>
    <w:p w14:paraId="738F06BD">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2.质保期：</w:t>
      </w:r>
    </w:p>
    <w:p w14:paraId="00D5213D">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提供三年免费原厂质保服务和升级，质保期内产生的一切费用（包括维修费、运费和报关费用）由</w:t>
      </w:r>
      <w:r>
        <w:rPr>
          <w:rFonts w:hint="eastAsia" w:ascii="宋体" w:hAnsi="宋体" w:cs="宋体"/>
          <w:color w:val="auto"/>
          <w:szCs w:val="21"/>
          <w:highlight w:val="none"/>
          <w:lang w:eastAsia="zh-CN"/>
        </w:rPr>
        <w:t>成交供应商</w:t>
      </w:r>
      <w:r>
        <w:rPr>
          <w:rFonts w:hint="eastAsia" w:ascii="宋体" w:hAnsi="宋体" w:cs="宋体"/>
          <w:color w:val="auto"/>
          <w:szCs w:val="21"/>
          <w:highlight w:val="none"/>
        </w:rPr>
        <w:t>承担，质保期从验收合格之日起计算。</w:t>
      </w:r>
      <w:r>
        <w:rPr>
          <w:rFonts w:hint="eastAsia" w:ascii="宋体" w:hAnsi="宋体" w:cs="宋体"/>
          <w:color w:val="auto"/>
          <w:szCs w:val="21"/>
          <w:highlight w:val="none"/>
          <w:lang w:eastAsia="zh-CN"/>
        </w:rPr>
        <w:t>质保</w:t>
      </w:r>
      <w:r>
        <w:rPr>
          <w:rFonts w:hint="eastAsia" w:ascii="宋体" w:hAnsi="宋体" w:cs="宋体"/>
          <w:color w:val="auto"/>
          <w:szCs w:val="21"/>
          <w:highlight w:val="none"/>
        </w:rPr>
        <w:t>期后应提供系统维护、扩充、升级等方面的技术支持服务。</w:t>
      </w:r>
    </w:p>
    <w:p w14:paraId="3ADADDB3">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3.培训要求：</w:t>
      </w:r>
    </w:p>
    <w:p w14:paraId="1DDDAD0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供应商免费提供培训。</w:t>
      </w:r>
    </w:p>
    <w:p w14:paraId="6B01F706">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4.交货期：</w:t>
      </w:r>
    </w:p>
    <w:p w14:paraId="1B2F7EC8">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合同签订生效后，</w:t>
      </w:r>
      <w:r>
        <w:rPr>
          <w:rFonts w:hint="eastAsia" w:ascii="宋体" w:hAnsi="宋体" w:cs="宋体"/>
          <w:color w:val="auto"/>
          <w:szCs w:val="21"/>
          <w:highlight w:val="none"/>
          <w:lang w:val="en-US" w:eastAsia="zh-CN"/>
        </w:rPr>
        <w:t>90</w:t>
      </w:r>
      <w:r>
        <w:rPr>
          <w:rFonts w:hint="eastAsia" w:ascii="宋体" w:hAnsi="宋体" w:cs="宋体"/>
          <w:color w:val="auto"/>
          <w:szCs w:val="21"/>
          <w:highlight w:val="none"/>
        </w:rPr>
        <w:t>个日历日内安装、调试结束，验收合格，交付采购人使用。</w:t>
      </w:r>
    </w:p>
    <w:p w14:paraId="5309ABBE">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交货方式：按采购人要求运送到指定地点进行安装调试、达到验收标准。</w:t>
      </w:r>
    </w:p>
    <w:p w14:paraId="2437532A">
      <w:pPr>
        <w:adjustRightInd w:val="0"/>
        <w:snapToGrid w:val="0"/>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交货地点：南京邮电大学校内指定地点。</w:t>
      </w:r>
    </w:p>
    <w:p w14:paraId="5A43E60A">
      <w:pPr>
        <w:adjustRightInd w:val="0"/>
        <w:snapToGrid w:val="0"/>
        <w:spacing w:line="360" w:lineRule="auto"/>
        <w:rPr>
          <w:rFonts w:ascii="宋体" w:hAnsi="宋体" w:cs="宋体"/>
          <w:b/>
          <w:color w:val="auto"/>
          <w:szCs w:val="21"/>
          <w:highlight w:val="none"/>
        </w:rPr>
      </w:pPr>
      <w:r>
        <w:rPr>
          <w:rFonts w:hint="eastAsia" w:ascii="宋体" w:hAnsi="宋体" w:cs="宋体"/>
          <w:b/>
          <w:color w:val="auto"/>
          <w:szCs w:val="21"/>
          <w:highlight w:val="none"/>
        </w:rPr>
        <w:t>5、售后服务要求：</w:t>
      </w:r>
    </w:p>
    <w:p w14:paraId="5B9B9775">
      <w:pPr>
        <w:adjustRightInd w:val="0"/>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提供全天候远程技术服务，若设备发生故障，卖方工程师应在收到用户的维修服务要求后</w:t>
      </w:r>
      <w:r>
        <w:rPr>
          <w:rFonts w:hint="eastAsia" w:ascii="宋体" w:hAnsi="宋体" w:cs="宋体"/>
          <w:color w:val="auto"/>
          <w:szCs w:val="21"/>
          <w:highlight w:val="none"/>
          <w:lang w:val="en-US" w:eastAsia="zh-CN"/>
        </w:rPr>
        <w:t>12</w:t>
      </w:r>
      <w:r>
        <w:rPr>
          <w:rFonts w:hint="eastAsia" w:ascii="宋体" w:hAnsi="宋体" w:cs="宋体"/>
          <w:color w:val="auto"/>
          <w:szCs w:val="21"/>
          <w:highlight w:val="none"/>
        </w:rPr>
        <w:t xml:space="preserve">个小时内作出响应，在24小时内赶到现场，查找原因，提供解决方案，解除故障完全恢复正常使用为止。产品须常年提供技术支持。 </w:t>
      </w:r>
    </w:p>
    <w:p w14:paraId="05950ABF">
      <w:pPr>
        <w:adjustRightInd w:val="0"/>
        <w:snapToGrid w:val="0"/>
        <w:spacing w:line="360" w:lineRule="auto"/>
        <w:jc w:val="left"/>
        <w:rPr>
          <w:rFonts w:ascii="宋体" w:hAnsi="宋体" w:cs="宋体"/>
          <w:b/>
          <w:color w:val="auto"/>
          <w:szCs w:val="21"/>
          <w:highlight w:val="none"/>
        </w:rPr>
      </w:pPr>
      <w:r>
        <w:rPr>
          <w:rFonts w:hint="eastAsia" w:ascii="宋体" w:hAnsi="宋体" w:cs="宋体"/>
          <w:b/>
          <w:color w:val="auto"/>
          <w:szCs w:val="21"/>
          <w:highlight w:val="none"/>
        </w:rPr>
        <w:t>6、知识产权的归属和处理方式</w:t>
      </w:r>
    </w:p>
    <w:p w14:paraId="75AF95A9">
      <w:pPr>
        <w:adjustRightInd w:val="0"/>
        <w:snapToGrid w:val="0"/>
        <w:spacing w:line="360" w:lineRule="auto"/>
        <w:ind w:firstLine="420" w:firstLineChars="200"/>
        <w:rPr>
          <w:rFonts w:ascii="宋体" w:hAnsi="宋体" w:cs="宋体"/>
          <w:bCs/>
          <w:color w:val="auto"/>
          <w:szCs w:val="21"/>
          <w:highlight w:val="none"/>
        </w:rPr>
      </w:pPr>
      <w:r>
        <w:rPr>
          <w:rFonts w:hint="eastAsia" w:ascii="宋体" w:hAnsi="宋体" w:cs="宋体"/>
          <w:color w:val="auto"/>
          <w:szCs w:val="21"/>
          <w:highlight w:val="none"/>
          <w:lang w:eastAsia="zh-CN"/>
        </w:rPr>
        <w:t>成交供应商</w:t>
      </w:r>
      <w:r>
        <w:rPr>
          <w:rFonts w:hint="eastAsia" w:ascii="宋体" w:hAnsi="宋体" w:cs="宋体"/>
          <w:bCs/>
          <w:color w:val="auto"/>
          <w:szCs w:val="21"/>
          <w:highlight w:val="none"/>
        </w:rPr>
        <w:t>为执行本项目而提供的设备、技术资料、软件的使用权归采购人所有，该使用权不受时间限制。</w:t>
      </w:r>
      <w:r>
        <w:rPr>
          <w:rFonts w:hint="eastAsia" w:ascii="宋体" w:hAnsi="宋体" w:cs="宋体"/>
          <w:color w:val="auto"/>
          <w:szCs w:val="21"/>
          <w:highlight w:val="none"/>
          <w:lang w:eastAsia="zh-CN"/>
        </w:rPr>
        <w:t>成交供应商</w:t>
      </w:r>
      <w:r>
        <w:rPr>
          <w:rFonts w:hint="eastAsia" w:ascii="宋体" w:hAnsi="宋体" w:cs="宋体"/>
          <w:bCs/>
          <w:color w:val="auto"/>
          <w:szCs w:val="21"/>
          <w:highlight w:val="none"/>
        </w:rPr>
        <w:t>应保证，采购人在中华人民共和国使用该货物或货物的任何一部分时，免受第三方提出的侵犯其专利权、商标权或其他知识产权的指控。如发生此类纠纷，由</w:t>
      </w:r>
      <w:r>
        <w:rPr>
          <w:rFonts w:hint="eastAsia" w:ascii="宋体" w:hAnsi="宋体" w:cs="宋体"/>
          <w:color w:val="auto"/>
          <w:szCs w:val="21"/>
          <w:highlight w:val="none"/>
          <w:lang w:eastAsia="zh-CN"/>
        </w:rPr>
        <w:t>成交供应商</w:t>
      </w:r>
      <w:r>
        <w:rPr>
          <w:rFonts w:hint="eastAsia" w:ascii="宋体" w:hAnsi="宋体" w:cs="宋体"/>
          <w:bCs/>
          <w:color w:val="auto"/>
          <w:szCs w:val="21"/>
          <w:highlight w:val="none"/>
        </w:rPr>
        <w:t>承担一切责任，并赔偿采购人因此遭受的一切损失。采购人无法继续使用该设备或设备使用限制超过本项目约定范围的，</w:t>
      </w:r>
      <w:r>
        <w:rPr>
          <w:rFonts w:hint="eastAsia" w:ascii="宋体" w:hAnsi="宋体" w:cs="宋体"/>
          <w:color w:val="auto"/>
          <w:szCs w:val="21"/>
          <w:highlight w:val="none"/>
          <w:lang w:eastAsia="zh-CN"/>
        </w:rPr>
        <w:t>成交供应商</w:t>
      </w:r>
      <w:r>
        <w:rPr>
          <w:rFonts w:hint="eastAsia" w:ascii="宋体" w:hAnsi="宋体" w:cs="宋体"/>
          <w:bCs/>
          <w:color w:val="auto"/>
          <w:szCs w:val="21"/>
          <w:highlight w:val="none"/>
        </w:rPr>
        <w:t>应当退还全部或部分已付金额。</w:t>
      </w:r>
    </w:p>
    <w:p w14:paraId="79E86059">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77134D81">
      <w:pPr>
        <w:adjustRightInd w:val="0"/>
        <w:snapToGrid w:val="0"/>
        <w:spacing w:line="360" w:lineRule="auto"/>
        <w:rPr>
          <w:szCs w:val="24"/>
          <w:highlight w:val="none"/>
        </w:rPr>
      </w:pPr>
      <w:r>
        <w:rPr>
          <w:rFonts w:hint="eastAsia" w:ascii="宋体" w:hAnsi="宋体" w:cs="宋体"/>
          <w:b/>
          <w:color w:val="auto"/>
          <w:sz w:val="28"/>
          <w:szCs w:val="28"/>
          <w:highlight w:val="none"/>
        </w:rPr>
        <w:t>（三）</w:t>
      </w:r>
      <w:r>
        <w:rPr>
          <w:rFonts w:ascii="宋体" w:hAnsi="宋体" w:cs="宋体"/>
          <w:b/>
          <w:color w:val="auto"/>
          <w:sz w:val="28"/>
          <w:szCs w:val="28"/>
          <w:highlight w:val="none"/>
        </w:rPr>
        <w:t>技术</w:t>
      </w:r>
      <w:r>
        <w:rPr>
          <w:rFonts w:hint="eastAsia" w:ascii="宋体" w:hAnsi="宋体" w:cs="宋体"/>
          <w:b/>
          <w:color w:val="auto"/>
          <w:sz w:val="28"/>
          <w:szCs w:val="28"/>
          <w:highlight w:val="none"/>
        </w:rPr>
        <w:t>参数要求</w:t>
      </w:r>
    </w:p>
    <w:p w14:paraId="364B57FA">
      <w:pPr>
        <w:numPr>
          <w:ilvl w:val="0"/>
          <w:numId w:val="55"/>
        </w:numPr>
        <w:tabs>
          <w:tab w:val="left" w:pos="540"/>
        </w:tabs>
        <w:spacing w:before="312" w:beforeLines="100" w:line="460" w:lineRule="exact"/>
        <w:rPr>
          <w:b/>
          <w:sz w:val="21"/>
          <w:szCs w:val="21"/>
          <w:highlight w:val="none"/>
        </w:rPr>
      </w:pPr>
      <w:r>
        <w:rPr>
          <w:rFonts w:hint="eastAsia"/>
          <w:b/>
          <w:sz w:val="21"/>
          <w:szCs w:val="21"/>
          <w:highlight w:val="none"/>
          <w:lang w:val="en-US" w:eastAsia="zh-CN"/>
        </w:rPr>
        <w:t>主要技术参数</w:t>
      </w:r>
    </w:p>
    <w:p w14:paraId="7EA20417">
      <w:pPr>
        <w:keepNext w:val="0"/>
        <w:keepLines w:val="0"/>
        <w:pageBreakBefore w:val="0"/>
        <w:widowControl w:val="0"/>
        <w:numPr>
          <w:ilvl w:val="1"/>
          <w:numId w:val="55"/>
        </w:numPr>
        <w:kinsoku/>
        <w:wordWrap/>
        <w:overflowPunct/>
        <w:topLinePunct w:val="0"/>
        <w:autoSpaceDE/>
        <w:autoSpaceDN/>
        <w:bidi w:val="0"/>
        <w:adjustRightInd/>
        <w:snapToGrid/>
        <w:spacing w:line="460" w:lineRule="exact"/>
        <w:ind w:left="850" w:leftChars="0" w:hanging="453" w:firstLineChars="0"/>
        <w:textAlignment w:val="auto"/>
        <w:rPr>
          <w:rFonts w:hint="eastAsia"/>
          <w:highlight w:val="none"/>
          <w:lang w:val="it-IT" w:eastAsia="zh-CN"/>
        </w:rPr>
      </w:pPr>
      <w:r>
        <w:rPr>
          <w:rFonts w:hint="eastAsia"/>
          <w:highlight w:val="none"/>
          <w:lang w:val="en-US" w:eastAsia="zh-CN"/>
        </w:rPr>
        <w:t>★实验平台</w:t>
      </w:r>
      <w:r>
        <w:rPr>
          <w:rFonts w:hint="eastAsia"/>
          <w:highlight w:val="none"/>
          <w:lang w:val="it-IT" w:eastAsia="zh-CN"/>
        </w:rPr>
        <w:t>可以同时</w:t>
      </w:r>
      <w:r>
        <w:rPr>
          <w:rFonts w:hint="eastAsia"/>
          <w:highlight w:val="none"/>
          <w:lang w:val="en-US" w:eastAsia="zh-CN"/>
        </w:rPr>
        <w:t>用于《数字电子技术基础实验》、《微处理器设计与应用》、《SOC设计》</w:t>
      </w:r>
      <w:r>
        <w:rPr>
          <w:rFonts w:hint="eastAsia"/>
          <w:highlight w:val="none"/>
          <w:lang w:val="it-IT" w:eastAsia="zh-CN"/>
        </w:rPr>
        <w:t>实验。处理器核心板具有独立电源系统，并引出所有接口，做成独立小板，可拆卸，方便进行二次开发、课程设计、毕业设计，参加电子竞赛。</w:t>
      </w:r>
    </w:p>
    <w:p w14:paraId="541E62E9">
      <w:pPr>
        <w:keepNext w:val="0"/>
        <w:keepLines w:val="0"/>
        <w:pageBreakBefore w:val="0"/>
        <w:widowControl w:val="0"/>
        <w:numPr>
          <w:ilvl w:val="1"/>
          <w:numId w:val="55"/>
        </w:numPr>
        <w:kinsoku/>
        <w:wordWrap/>
        <w:overflowPunct/>
        <w:topLinePunct w:val="0"/>
        <w:autoSpaceDE/>
        <w:autoSpaceDN/>
        <w:bidi w:val="0"/>
        <w:adjustRightInd/>
        <w:snapToGrid/>
        <w:spacing w:line="460" w:lineRule="exact"/>
        <w:ind w:left="850" w:leftChars="0" w:hanging="453" w:firstLineChars="0"/>
        <w:textAlignment w:val="auto"/>
        <w:rPr>
          <w:rFonts w:hint="eastAsia"/>
          <w:highlight w:val="none"/>
          <w:lang w:val="it-IT" w:eastAsia="zh-CN"/>
        </w:rPr>
      </w:pPr>
      <w:r>
        <w:rPr>
          <w:rFonts w:hint="eastAsia"/>
          <w:highlight w:val="none"/>
          <w:lang w:val="it-IT" w:eastAsia="zh-CN"/>
        </w:rPr>
        <w:t>底板：为核心板、扩展模块提供电源与支撑作用，规格统一，可根据需求拼接N块底板。</w:t>
      </w:r>
    </w:p>
    <w:p w14:paraId="21322945">
      <w:pPr>
        <w:keepNext w:val="0"/>
        <w:keepLines w:val="0"/>
        <w:pageBreakBefore w:val="0"/>
        <w:widowControl w:val="0"/>
        <w:numPr>
          <w:ilvl w:val="1"/>
          <w:numId w:val="55"/>
        </w:numPr>
        <w:kinsoku/>
        <w:wordWrap/>
        <w:overflowPunct/>
        <w:topLinePunct w:val="0"/>
        <w:autoSpaceDE/>
        <w:autoSpaceDN/>
        <w:bidi w:val="0"/>
        <w:adjustRightInd/>
        <w:snapToGrid/>
        <w:spacing w:line="460" w:lineRule="exact"/>
        <w:ind w:left="850" w:leftChars="0" w:hanging="453" w:firstLineChars="0"/>
        <w:textAlignment w:val="auto"/>
        <w:rPr>
          <w:rFonts w:hint="eastAsia"/>
          <w:highlight w:val="none"/>
          <w:lang w:val="it-IT" w:eastAsia="zh-CN"/>
        </w:rPr>
      </w:pPr>
      <w:r>
        <w:rPr>
          <w:rFonts w:hint="eastAsia"/>
          <w:highlight w:val="none"/>
          <w:lang w:val="it-IT" w:eastAsia="zh-CN"/>
        </w:rPr>
        <w:t>核心板：具有独立的电源系统、人机交互接口、存储资源、配置调试接口，可以实现包括数字信号处理，信号控制等功能。</w:t>
      </w:r>
    </w:p>
    <w:p w14:paraId="331FEBF2">
      <w:pPr>
        <w:keepNext w:val="0"/>
        <w:keepLines w:val="0"/>
        <w:pageBreakBefore w:val="0"/>
        <w:widowControl w:val="0"/>
        <w:numPr>
          <w:ilvl w:val="1"/>
          <w:numId w:val="55"/>
        </w:numPr>
        <w:kinsoku/>
        <w:wordWrap/>
        <w:overflowPunct/>
        <w:topLinePunct w:val="0"/>
        <w:autoSpaceDE/>
        <w:autoSpaceDN/>
        <w:bidi w:val="0"/>
        <w:adjustRightInd/>
        <w:snapToGrid/>
        <w:spacing w:line="460" w:lineRule="exact"/>
        <w:ind w:left="850" w:leftChars="0" w:hanging="453" w:firstLineChars="0"/>
        <w:textAlignment w:val="auto"/>
        <w:rPr>
          <w:rFonts w:hint="eastAsia"/>
          <w:highlight w:val="none"/>
          <w:lang w:val="it-IT" w:eastAsia="zh-CN"/>
        </w:rPr>
      </w:pPr>
      <w:r>
        <w:rPr>
          <w:rFonts w:hint="eastAsia"/>
          <w:highlight w:val="none"/>
          <w:lang w:val="it-IT" w:eastAsia="zh-CN"/>
        </w:rPr>
        <w:t>扩展模块：模块丰富，接口统一，可根据需求，自由组合在底板上，便于教学与培训。</w:t>
      </w:r>
    </w:p>
    <w:p w14:paraId="14961617">
      <w:pPr>
        <w:keepNext w:val="0"/>
        <w:keepLines w:val="0"/>
        <w:pageBreakBefore w:val="0"/>
        <w:widowControl w:val="0"/>
        <w:numPr>
          <w:ilvl w:val="1"/>
          <w:numId w:val="55"/>
        </w:numPr>
        <w:kinsoku/>
        <w:wordWrap/>
        <w:overflowPunct/>
        <w:topLinePunct w:val="0"/>
        <w:autoSpaceDE/>
        <w:autoSpaceDN/>
        <w:bidi w:val="0"/>
        <w:adjustRightInd/>
        <w:snapToGrid/>
        <w:spacing w:line="460" w:lineRule="exact"/>
        <w:ind w:left="850" w:leftChars="0" w:hanging="453" w:firstLineChars="0"/>
        <w:textAlignment w:val="auto"/>
        <w:rPr>
          <w:highlight w:val="none"/>
        </w:rPr>
      </w:pPr>
      <w:r>
        <w:rPr>
          <w:rFonts w:hint="eastAsia"/>
          <w:highlight w:val="none"/>
          <w:lang w:val="en-US" w:eastAsia="zh-CN"/>
        </w:rPr>
        <w:t>★实验平台整体架构</w:t>
      </w:r>
      <w:r>
        <w:rPr>
          <w:rFonts w:hint="eastAsia"/>
          <w:highlight w:val="none"/>
          <w:lang w:val="it-IT" w:eastAsia="zh-CN"/>
        </w:rPr>
        <w:t>：</w:t>
      </w:r>
      <w:r>
        <w:rPr>
          <w:rFonts w:hint="eastAsia"/>
          <w:highlight w:val="none"/>
          <w:lang w:val="en-US" w:eastAsia="zh-CN"/>
        </w:rPr>
        <w:t>自主指令集LA132IP软核</w:t>
      </w:r>
      <w:r>
        <w:rPr>
          <w:rFonts w:hint="eastAsia"/>
          <w:highlight w:val="none"/>
          <w:lang w:val="it-IT" w:eastAsia="zh-CN"/>
        </w:rPr>
        <w:t>+FPGA</w:t>
      </w:r>
      <w:r>
        <w:rPr>
          <w:rFonts w:hint="eastAsia"/>
          <w:highlight w:val="none"/>
          <w:lang w:val="en-US" w:eastAsia="zh-CN"/>
        </w:rPr>
        <w:t>核心板+数字电路模块+EDA/SOPC实验外围电路架构。</w:t>
      </w:r>
    </w:p>
    <w:p w14:paraId="5D80EE88">
      <w:pPr>
        <w:numPr>
          <w:ilvl w:val="0"/>
          <w:numId w:val="55"/>
        </w:numPr>
        <w:tabs>
          <w:tab w:val="left" w:pos="540"/>
        </w:tabs>
        <w:spacing w:before="312" w:beforeLines="100" w:line="460" w:lineRule="exact"/>
        <w:rPr>
          <w:b/>
          <w:sz w:val="21"/>
          <w:szCs w:val="21"/>
          <w:highlight w:val="none"/>
        </w:rPr>
      </w:pPr>
      <w:r>
        <w:rPr>
          <w:rFonts w:hint="eastAsia"/>
          <w:b/>
          <w:sz w:val="21"/>
          <w:szCs w:val="21"/>
          <w:highlight w:val="none"/>
          <w:lang w:val="en-US" w:eastAsia="zh-CN"/>
        </w:rPr>
        <w:t>32位自主指令集IP软核指标要求</w:t>
      </w:r>
    </w:p>
    <w:p w14:paraId="01AB354B">
      <w:pPr>
        <w:keepNext w:val="0"/>
        <w:keepLines w:val="0"/>
        <w:pageBreakBefore w:val="0"/>
        <w:widowControl w:val="0"/>
        <w:numPr>
          <w:ilvl w:val="1"/>
          <w:numId w:val="55"/>
        </w:numPr>
        <w:tabs>
          <w:tab w:val="left" w:pos="540"/>
        </w:tabs>
        <w:kinsoku/>
        <w:wordWrap/>
        <w:overflowPunct/>
        <w:topLinePunct w:val="0"/>
        <w:autoSpaceDE/>
        <w:autoSpaceDN/>
        <w:bidi w:val="0"/>
        <w:adjustRightInd/>
        <w:snapToGrid/>
        <w:spacing w:line="460" w:lineRule="exact"/>
        <w:ind w:left="850" w:leftChars="0" w:hanging="453" w:firstLineChars="0"/>
        <w:textAlignment w:val="auto"/>
        <w:rPr>
          <w:rFonts w:hint="eastAsia"/>
          <w:highlight w:val="none"/>
          <w:lang w:val="en-US" w:eastAsia="zh-CN"/>
        </w:rPr>
      </w:pPr>
      <w:r>
        <w:rPr>
          <w:rFonts w:hint="eastAsia"/>
          <w:bCs/>
          <w:sz w:val="21"/>
          <w:szCs w:val="21"/>
          <w:highlight w:val="none"/>
          <w:lang w:val="en-US" w:eastAsia="zh-CN"/>
        </w:rPr>
        <w:t>32位自主指令集架构CPU</w:t>
      </w:r>
      <w:r>
        <w:rPr>
          <w:rFonts w:hint="eastAsia"/>
          <w:bCs/>
          <w:sz w:val="21"/>
          <w:szCs w:val="21"/>
          <w:highlight w:val="none"/>
        </w:rPr>
        <w:t>；</w:t>
      </w:r>
    </w:p>
    <w:p w14:paraId="2482585E">
      <w:pPr>
        <w:keepNext w:val="0"/>
        <w:keepLines w:val="0"/>
        <w:pageBreakBefore w:val="0"/>
        <w:widowControl w:val="0"/>
        <w:numPr>
          <w:ilvl w:val="1"/>
          <w:numId w:val="55"/>
        </w:numPr>
        <w:tabs>
          <w:tab w:val="left" w:pos="540"/>
        </w:tabs>
        <w:kinsoku/>
        <w:wordWrap/>
        <w:overflowPunct/>
        <w:topLinePunct w:val="0"/>
        <w:autoSpaceDE/>
        <w:autoSpaceDN/>
        <w:bidi w:val="0"/>
        <w:adjustRightInd/>
        <w:snapToGrid/>
        <w:spacing w:line="460" w:lineRule="exact"/>
        <w:ind w:left="850" w:leftChars="0" w:hanging="453" w:firstLineChars="0"/>
        <w:textAlignment w:val="auto"/>
        <w:rPr>
          <w:rFonts w:hint="eastAsia"/>
          <w:highlight w:val="none"/>
          <w:lang w:val="en-US" w:eastAsia="zh-CN"/>
        </w:rPr>
      </w:pPr>
      <w:r>
        <w:rPr>
          <w:rFonts w:hint="eastAsia"/>
          <w:highlight w:val="none"/>
          <w:lang w:val="en-US" w:eastAsia="zh-CN"/>
        </w:rPr>
        <w:t>多总线可选至少包含：APB总线、AXI总线；</w:t>
      </w:r>
    </w:p>
    <w:p w14:paraId="41D720AB">
      <w:pPr>
        <w:keepNext w:val="0"/>
        <w:keepLines w:val="0"/>
        <w:pageBreakBefore w:val="0"/>
        <w:widowControl w:val="0"/>
        <w:numPr>
          <w:ilvl w:val="1"/>
          <w:numId w:val="55"/>
        </w:numPr>
        <w:tabs>
          <w:tab w:val="left" w:pos="540"/>
        </w:tabs>
        <w:kinsoku/>
        <w:wordWrap/>
        <w:overflowPunct/>
        <w:topLinePunct w:val="0"/>
        <w:autoSpaceDE/>
        <w:autoSpaceDN/>
        <w:bidi w:val="0"/>
        <w:adjustRightInd/>
        <w:snapToGrid/>
        <w:spacing w:line="460" w:lineRule="exact"/>
        <w:ind w:left="850" w:leftChars="0" w:hanging="453" w:firstLineChars="0"/>
        <w:textAlignment w:val="auto"/>
        <w:rPr>
          <w:rFonts w:hint="eastAsia"/>
          <w:highlight w:val="none"/>
          <w:lang w:val="en-US" w:eastAsia="zh-CN"/>
        </w:rPr>
      </w:pPr>
      <w:r>
        <w:rPr>
          <w:rFonts w:hint="eastAsia"/>
          <w:highlight w:val="none"/>
          <w:lang w:val="en-US" w:eastAsia="zh-CN"/>
        </w:rPr>
        <w:t>至少可配置flash和ram；</w:t>
      </w:r>
    </w:p>
    <w:p w14:paraId="512BE261">
      <w:pPr>
        <w:keepNext w:val="0"/>
        <w:keepLines w:val="0"/>
        <w:pageBreakBefore w:val="0"/>
        <w:widowControl w:val="0"/>
        <w:numPr>
          <w:ilvl w:val="1"/>
          <w:numId w:val="55"/>
        </w:numPr>
        <w:tabs>
          <w:tab w:val="left" w:pos="540"/>
        </w:tabs>
        <w:kinsoku/>
        <w:wordWrap/>
        <w:overflowPunct/>
        <w:topLinePunct w:val="0"/>
        <w:autoSpaceDE/>
        <w:autoSpaceDN/>
        <w:bidi w:val="0"/>
        <w:adjustRightInd/>
        <w:snapToGrid/>
        <w:spacing w:line="460" w:lineRule="exact"/>
        <w:ind w:left="850" w:leftChars="0" w:hanging="453" w:firstLineChars="0"/>
        <w:textAlignment w:val="auto"/>
        <w:rPr>
          <w:bCs/>
          <w:sz w:val="21"/>
          <w:szCs w:val="21"/>
          <w:highlight w:val="none"/>
        </w:rPr>
      </w:pPr>
      <w:r>
        <w:rPr>
          <w:rFonts w:hint="eastAsia"/>
          <w:highlight w:val="none"/>
          <w:lang w:val="en-US" w:eastAsia="zh-CN"/>
        </w:rPr>
        <w:t>丰富的外设:至少包含高速时钟、GPIO、I2C、SPI、UART；</w:t>
      </w:r>
    </w:p>
    <w:p w14:paraId="29FF0C63">
      <w:pPr>
        <w:numPr>
          <w:ilvl w:val="0"/>
          <w:numId w:val="55"/>
        </w:numPr>
        <w:tabs>
          <w:tab w:val="left" w:pos="540"/>
        </w:tabs>
        <w:spacing w:before="312" w:beforeLines="100" w:line="460" w:lineRule="exact"/>
        <w:rPr>
          <w:b/>
          <w:sz w:val="21"/>
          <w:szCs w:val="21"/>
          <w:highlight w:val="none"/>
        </w:rPr>
      </w:pPr>
      <w:r>
        <w:rPr>
          <w:rFonts w:hint="eastAsia"/>
          <w:b/>
          <w:sz w:val="21"/>
          <w:szCs w:val="21"/>
          <w:highlight w:val="none"/>
          <w:lang w:val="en-US" w:eastAsia="zh-CN"/>
        </w:rPr>
        <w:t>核心指标要求</w:t>
      </w:r>
    </w:p>
    <w:p w14:paraId="3BD615A1">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▲主控：国产FPGA至少有138240个逻辑单元</w:t>
      </w:r>
      <w:r>
        <w:rPr>
          <w:rFonts w:hint="eastAsia"/>
          <w:bCs/>
          <w:sz w:val="21"/>
          <w:szCs w:val="21"/>
          <w:highlight w:val="none"/>
          <w:lang w:eastAsia="zh-CN"/>
        </w:rPr>
        <w:t>、</w:t>
      </w:r>
      <w:r>
        <w:rPr>
          <w:rFonts w:hint="eastAsia"/>
          <w:bCs/>
          <w:sz w:val="21"/>
          <w:szCs w:val="21"/>
          <w:highlight w:val="none"/>
        </w:rPr>
        <w:t>1080KbSSRAM</w:t>
      </w:r>
      <w:r>
        <w:rPr>
          <w:rFonts w:hint="eastAsia"/>
          <w:bCs/>
          <w:sz w:val="21"/>
          <w:szCs w:val="21"/>
          <w:highlight w:val="none"/>
          <w:lang w:eastAsia="zh-CN"/>
        </w:rPr>
        <w:t>、</w:t>
      </w:r>
      <w:r>
        <w:rPr>
          <w:rFonts w:hint="eastAsia"/>
          <w:bCs/>
          <w:sz w:val="21"/>
          <w:szCs w:val="21"/>
          <w:highlight w:val="none"/>
        </w:rPr>
        <w:t>6120KbBSRAM</w:t>
      </w:r>
      <w:r>
        <w:rPr>
          <w:rFonts w:hint="eastAsia"/>
          <w:bCs/>
          <w:sz w:val="21"/>
          <w:szCs w:val="21"/>
          <w:highlight w:val="none"/>
          <w:lang w:eastAsia="zh-CN"/>
        </w:rPr>
        <w:t>、</w:t>
      </w:r>
      <w:r>
        <w:rPr>
          <w:rFonts w:hint="eastAsia"/>
          <w:bCs/>
          <w:sz w:val="21"/>
          <w:szCs w:val="21"/>
          <w:highlight w:val="none"/>
        </w:rPr>
        <w:t>8路Transceivers</w:t>
      </w:r>
      <w:r>
        <w:rPr>
          <w:rFonts w:hint="eastAsia"/>
          <w:bCs/>
          <w:sz w:val="21"/>
          <w:szCs w:val="21"/>
          <w:highlight w:val="none"/>
          <w:lang w:eastAsia="zh-CN"/>
        </w:rPr>
        <w:t>、</w:t>
      </w:r>
      <w:r>
        <w:rPr>
          <w:rFonts w:hint="eastAsia"/>
          <w:bCs/>
          <w:sz w:val="21"/>
          <w:szCs w:val="21"/>
          <w:highlight w:val="none"/>
        </w:rPr>
        <w:t>IO引脚297</w:t>
      </w:r>
      <w:r>
        <w:rPr>
          <w:rFonts w:hint="eastAsia"/>
          <w:bCs/>
          <w:sz w:val="21"/>
          <w:szCs w:val="21"/>
          <w:highlight w:val="none"/>
          <w:lang w:eastAsia="zh-CN"/>
        </w:rPr>
        <w:t>、</w:t>
      </w:r>
      <w:r>
        <w:rPr>
          <w:rFonts w:hint="eastAsia"/>
          <w:bCs/>
          <w:sz w:val="21"/>
          <w:szCs w:val="21"/>
          <w:highlight w:val="none"/>
        </w:rPr>
        <w:t>1333M DDR3，传输通道至少4路输出、4路输入。至少IO引脚298，不低于8Gb DDR3。</w:t>
      </w:r>
    </w:p>
    <w:p w14:paraId="7794051B">
      <w:pPr>
        <w:numPr>
          <w:ilvl w:val="-1"/>
          <w:numId w:val="0"/>
        </w:numPr>
        <w:tabs>
          <w:tab w:val="left" w:pos="540"/>
        </w:tabs>
        <w:spacing w:line="460" w:lineRule="exact"/>
        <w:ind w:left="397" w:firstLine="420" w:firstLineChars="200"/>
        <w:rPr>
          <w:rFonts w:hint="eastAsia"/>
          <w:bCs/>
          <w:sz w:val="21"/>
          <w:szCs w:val="21"/>
          <w:highlight w:val="none"/>
        </w:rPr>
      </w:pPr>
      <w:r>
        <w:rPr>
          <w:rFonts w:hint="eastAsia"/>
          <w:bCs/>
          <w:sz w:val="21"/>
          <w:szCs w:val="21"/>
          <w:highlight w:val="none"/>
        </w:rPr>
        <w:t>核心板资源：</w:t>
      </w:r>
    </w:p>
    <w:p w14:paraId="0ED70516">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内存：不低于8Gb DDR3 SDRAM,速度可达1066Mb/s；</w:t>
      </w:r>
    </w:p>
    <w:p w14:paraId="1E25EA9F">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存储: 不低于128Mb QSPI Flash；</w:t>
      </w:r>
    </w:p>
    <w:p w14:paraId="281498D5">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时钟：不低于50MHz系统时钟；</w:t>
      </w:r>
    </w:p>
    <w:p w14:paraId="01E51300">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调试接口：至少包含1路10Pin标准JTAG接口；</w:t>
      </w:r>
    </w:p>
    <w:p w14:paraId="58A411AA">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通讯接口：至少包含1路USB-UART接口；</w:t>
      </w:r>
    </w:p>
    <w:p w14:paraId="1AE8E13F">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按键；至少包含4个通用按键；</w:t>
      </w:r>
    </w:p>
    <w:p w14:paraId="253B0AA0">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LED灯：至少包含4个通用LED灯；</w:t>
      </w:r>
    </w:p>
    <w:p w14:paraId="138504CB">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电源：5V/12V电源接口，核心板可以独立供电使用；</w:t>
      </w:r>
    </w:p>
    <w:p w14:paraId="625A0FA7">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扩展接口：扩展IO可二次开发与设计。</w:t>
      </w:r>
    </w:p>
    <w:p w14:paraId="5535046F">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▲主控：FPGA核心板,不低于有100000个逻辑单元, 传输通道4路输出、4路输入，IO引脚285，8Gb DDR3。</w:t>
      </w:r>
    </w:p>
    <w:p w14:paraId="45661E6A">
      <w:pPr>
        <w:numPr>
          <w:ilvl w:val="-1"/>
          <w:numId w:val="0"/>
        </w:numPr>
        <w:tabs>
          <w:tab w:val="left" w:pos="540"/>
        </w:tabs>
        <w:spacing w:line="460" w:lineRule="exact"/>
        <w:ind w:left="397" w:firstLine="420" w:firstLineChars="200"/>
        <w:rPr>
          <w:rFonts w:hint="eastAsia"/>
          <w:bCs/>
          <w:sz w:val="21"/>
          <w:szCs w:val="21"/>
          <w:highlight w:val="none"/>
        </w:rPr>
      </w:pPr>
      <w:r>
        <w:rPr>
          <w:rFonts w:hint="eastAsia"/>
          <w:bCs/>
          <w:sz w:val="21"/>
          <w:szCs w:val="21"/>
          <w:highlight w:val="none"/>
        </w:rPr>
        <w:t>核心板资源：</w:t>
      </w:r>
    </w:p>
    <w:p w14:paraId="61146588">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内存：不低于8Gb DDR3 SDRAM,速度可达1066Mb/s；</w:t>
      </w:r>
    </w:p>
    <w:p w14:paraId="7D0C06B8">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存储: 不低于128Mb QSPI Flash；</w:t>
      </w:r>
    </w:p>
    <w:p w14:paraId="094FDE7B">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时钟：不低于50MHz系统时钟；</w:t>
      </w:r>
    </w:p>
    <w:p w14:paraId="5EE7F919">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调试接口：至少包含1路10Pin标准JTAG接口；</w:t>
      </w:r>
    </w:p>
    <w:p w14:paraId="670311CA">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通讯接口：至少包含1路USB-UART接口；</w:t>
      </w:r>
    </w:p>
    <w:p w14:paraId="33A07E58">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按键；至少包含4个通用按键；</w:t>
      </w:r>
    </w:p>
    <w:p w14:paraId="265F827D">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LED灯：至少包含4个通用LED灯；</w:t>
      </w:r>
    </w:p>
    <w:p w14:paraId="5819BE4D">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电源：12V电源接口，核心板可以独立供电使用；</w:t>
      </w:r>
    </w:p>
    <w:p w14:paraId="0A7E047C">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扩展接口：扩展IO可二次开发与设计。</w:t>
      </w:r>
    </w:p>
    <w:p w14:paraId="39F604D8">
      <w:pPr>
        <w:numPr>
          <w:ilvl w:val="1"/>
          <w:numId w:val="55"/>
        </w:numPr>
        <w:tabs>
          <w:tab w:val="left" w:pos="540"/>
        </w:tabs>
        <w:spacing w:line="460" w:lineRule="exact"/>
        <w:ind w:left="850" w:leftChars="0" w:hanging="453" w:firstLineChars="0"/>
        <w:rPr>
          <w:rFonts w:hint="eastAsia"/>
          <w:bCs/>
          <w:sz w:val="21"/>
          <w:szCs w:val="21"/>
          <w:highlight w:val="none"/>
        </w:rPr>
      </w:pPr>
      <w:r>
        <w:rPr>
          <w:rFonts w:hint="eastAsia"/>
          <w:bCs/>
          <w:sz w:val="21"/>
          <w:szCs w:val="21"/>
          <w:highlight w:val="none"/>
        </w:rPr>
        <w:t>底板：</w:t>
      </w:r>
    </w:p>
    <w:p w14:paraId="77BAF69C">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软核LA-JTAG接口：不少于1个2.54mm x7pin 座子；</w:t>
      </w:r>
    </w:p>
    <w:p w14:paraId="2A552F19">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FPGA下载口：不少于1个标准的2.54mm x5pin 座子；</w:t>
      </w:r>
    </w:p>
    <w:p w14:paraId="7FE8B1A3">
      <w:pPr>
        <w:numPr>
          <w:ilvl w:val="1"/>
          <w:numId w:val="55"/>
        </w:numPr>
        <w:tabs>
          <w:tab w:val="left" w:pos="540"/>
        </w:tabs>
        <w:spacing w:line="460" w:lineRule="exact"/>
        <w:ind w:left="850" w:leftChars="0" w:hanging="453" w:firstLineChars="0"/>
        <w:rPr>
          <w:rFonts w:hint="eastAsia"/>
          <w:bCs/>
          <w:sz w:val="21"/>
          <w:szCs w:val="21"/>
          <w:highlight w:val="none"/>
        </w:rPr>
      </w:pPr>
      <w:r>
        <w:rPr>
          <w:rFonts w:hint="eastAsia"/>
          <w:bCs/>
          <w:sz w:val="21"/>
          <w:szCs w:val="21"/>
          <w:highlight w:val="none"/>
        </w:rPr>
        <w:t>微机平台模块</w:t>
      </w:r>
    </w:p>
    <w:p w14:paraId="2C97FF34">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USB2.0：不少于1个USB Slave芯片，对外mini USB接口；</w:t>
      </w:r>
    </w:p>
    <w:p w14:paraId="6F19D4E8">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网口：不少于1个10M/100M/1000M芯片，对外RJ45接口；</w:t>
      </w:r>
    </w:p>
    <w:p w14:paraId="2ACA97FF">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HDMI输出：不少于一路 FPGA直接产生HDMI信号输出显示，标准HDMI接口；</w:t>
      </w:r>
    </w:p>
    <w:p w14:paraId="2E21004F">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不少于一路音频输入、输出。</w:t>
      </w:r>
    </w:p>
    <w:p w14:paraId="3FB71E4F">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数电平台模块</w:t>
      </w:r>
    </w:p>
    <w:p w14:paraId="30178106">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数码管：不少于8位7段共阳；</w:t>
      </w:r>
    </w:p>
    <w:p w14:paraId="2D45879E">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LED：不少于8个；</w:t>
      </w:r>
    </w:p>
    <w:p w14:paraId="266E2076">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拨码：不少于8个拨码开关；</w:t>
      </w:r>
    </w:p>
    <w:p w14:paraId="0477BB9B">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IC座：不少于1个24pin IC座；</w:t>
      </w:r>
    </w:p>
    <w:p w14:paraId="12FD3A2A">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信号源：不少于1个555电路产生100Hz方波；</w:t>
      </w:r>
    </w:p>
    <w:p w14:paraId="47FB7991">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分频电路：不少于1路可以实现 2,4,8,16分频；</w:t>
      </w:r>
    </w:p>
    <w:p w14:paraId="5C219504">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分立DA/AD电路：不少于8位分段电压输入实现DA/AD功能；</w:t>
      </w:r>
    </w:p>
    <w:p w14:paraId="62B81816">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Norflash平台模块</w:t>
      </w:r>
    </w:p>
    <w:p w14:paraId="75BC1AE4">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Norflash芯片：不少于1片128Mb ；</w:t>
      </w:r>
    </w:p>
    <w:p w14:paraId="26F8C382">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传感器平台模块</w:t>
      </w:r>
    </w:p>
    <w:p w14:paraId="1BBD6098">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蜂鸣器：不少于1个；</w:t>
      </w:r>
    </w:p>
    <w:p w14:paraId="1DAD00AD">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不少于1个Camera接口；</w:t>
      </w:r>
    </w:p>
    <w:p w14:paraId="5F2FB739">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ATK模块接口：不少于1个IIC传感器接口；</w:t>
      </w:r>
    </w:p>
    <w:p w14:paraId="0B7CC870">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数字温度传感器接口 ：不少于1个单线传感器接口；</w:t>
      </w:r>
    </w:p>
    <w:p w14:paraId="104D23BF">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数字光强接口：不少于1个传感器接口；</w:t>
      </w:r>
    </w:p>
    <w:p w14:paraId="1ECC0820">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存储平台模块</w:t>
      </w:r>
    </w:p>
    <w:p w14:paraId="3BFCCBEF">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RTC:不少于1个IIC接口RTC时钟芯片电路；</w:t>
      </w:r>
    </w:p>
    <w:p w14:paraId="73B15683">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EEPROM：不少于1片64Kb；</w:t>
      </w:r>
    </w:p>
    <w:p w14:paraId="255466D3">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QSPI Flash：不少于1片128Mb；</w:t>
      </w:r>
    </w:p>
    <w:p w14:paraId="3E71B39A">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电机模块</w:t>
      </w:r>
    </w:p>
    <w:p w14:paraId="1DAE0ECD">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直流电机:不少于1个5V直流电机，支持控制正反转+速度；</w:t>
      </w:r>
    </w:p>
    <w:p w14:paraId="4D6612A6">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步进电机：不少于1个4相位步进电机，支持控制正反转+速度；</w:t>
      </w:r>
    </w:p>
    <w:p w14:paraId="66A15DFE">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通信接口模块</w:t>
      </w:r>
    </w:p>
    <w:p w14:paraId="6AC3EA08">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UART：不少于一个UART转USB芯片，mini USB接口；</w:t>
      </w:r>
    </w:p>
    <w:p w14:paraId="01B1C397">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CAN：不少于一个CAN芯片；</w:t>
      </w:r>
    </w:p>
    <w:p w14:paraId="0D5DF54D">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RS485：不少于一个RS485芯片；</w:t>
      </w:r>
    </w:p>
    <w:p w14:paraId="587FB80D">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矩阵按键模块</w:t>
      </w:r>
    </w:p>
    <w:p w14:paraId="35A0F24B">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按键：不少于4x4矩阵按键；</w:t>
      </w:r>
    </w:p>
    <w:p w14:paraId="4F787B39">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串行AD/DA模块</w:t>
      </w:r>
    </w:p>
    <w:p w14:paraId="03BC698D">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ADC：不少于1路8位ADC，最大转换速度为40KSPS，模拟输入范围0V~5V，SMA输入；</w:t>
      </w:r>
    </w:p>
    <w:p w14:paraId="65BC9AA9">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DAC：不少于1路10位DAC，最大转换速度为1.2MSPS，模拟输入范围0V~5V，SMA输出；</w:t>
      </w:r>
    </w:p>
    <w:p w14:paraId="19AE3522">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寸LCD屏模块</w:t>
      </w:r>
    </w:p>
    <w:p w14:paraId="2A63D228">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至少一个7寸分辨率1024x600 RGB LCD屏幕+电容触摸；</w:t>
      </w:r>
    </w:p>
    <w:p w14:paraId="4A40AD8B">
      <w:pPr>
        <w:numPr>
          <w:ilvl w:val="1"/>
          <w:numId w:val="55"/>
        </w:numPr>
        <w:tabs>
          <w:tab w:val="left" w:pos="540"/>
        </w:tabs>
        <w:spacing w:line="460" w:lineRule="exact"/>
        <w:ind w:left="850" w:leftChars="0" w:hanging="453" w:firstLineChars="0"/>
        <w:rPr>
          <w:rFonts w:hint="eastAsia"/>
          <w:bCs/>
          <w:sz w:val="21"/>
          <w:szCs w:val="21"/>
          <w:highlight w:val="none"/>
        </w:rPr>
      </w:pPr>
      <w:r>
        <w:rPr>
          <w:rFonts w:hint="eastAsia"/>
          <w:bCs/>
          <w:sz w:val="21"/>
          <w:szCs w:val="21"/>
          <w:highlight w:val="none"/>
        </w:rPr>
        <w:t>128x64 LCD，8x8 LED点阵屏模块</w:t>
      </w:r>
    </w:p>
    <w:p w14:paraId="3CE4A3C1">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lang w:val="en-US" w:eastAsia="zh-CN"/>
        </w:rPr>
        <w:t>1</w:t>
      </w:r>
      <w:r>
        <w:rPr>
          <w:rFonts w:hint="eastAsia"/>
          <w:bCs/>
          <w:sz w:val="21"/>
          <w:szCs w:val="21"/>
          <w:highlight w:val="none"/>
        </w:rPr>
        <w:t>个分辨率128x64 LCD屏；</w:t>
      </w:r>
    </w:p>
    <w:p w14:paraId="2CB3CF2B">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1个8x8 LED点阵屏；</w:t>
      </w:r>
    </w:p>
    <w:p w14:paraId="58E4C2C6">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并行AD/DA模块</w:t>
      </w:r>
    </w:p>
    <w:p w14:paraId="5FB33CFB">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ADC：不少于1路8位高速ADC，最大转换速度为32MSPS，模拟输入范围-5V~5V，SMA输入；</w:t>
      </w:r>
    </w:p>
    <w:p w14:paraId="5AEB3BC2">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DAC：不少于1路8位高速DAC，最大转换速度为125MSPS，模拟输入范围-5V~5V，SMA输出；</w:t>
      </w:r>
    </w:p>
    <w:p w14:paraId="14266B3C">
      <w:pPr>
        <w:numPr>
          <w:ilvl w:val="1"/>
          <w:numId w:val="55"/>
        </w:numPr>
        <w:tabs>
          <w:tab w:val="left" w:pos="540"/>
        </w:tabs>
        <w:spacing w:line="460" w:lineRule="exact"/>
        <w:ind w:left="850" w:leftChars="0" w:hanging="453" w:firstLineChars="0"/>
        <w:rPr>
          <w:rFonts w:hint="eastAsia"/>
          <w:bCs/>
          <w:sz w:val="21"/>
          <w:szCs w:val="21"/>
          <w:highlight w:val="none"/>
        </w:rPr>
      </w:pPr>
      <w:r>
        <w:rPr>
          <w:rFonts w:hint="eastAsia"/>
          <w:bCs/>
          <w:sz w:val="21"/>
          <w:szCs w:val="21"/>
          <w:highlight w:val="none"/>
        </w:rPr>
        <w:t>其他板模块</w:t>
      </w:r>
    </w:p>
    <w:p w14:paraId="5549FC01">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至少一个400孔面包板；</w:t>
      </w:r>
    </w:p>
    <w:p w14:paraId="706B038C">
      <w:pPr>
        <w:numPr>
          <w:ilvl w:val="1"/>
          <w:numId w:val="55"/>
        </w:numPr>
        <w:tabs>
          <w:tab w:val="left" w:pos="540"/>
        </w:tabs>
        <w:spacing w:line="460" w:lineRule="exact"/>
        <w:ind w:left="850" w:leftChars="0" w:hanging="453" w:firstLineChars="0"/>
        <w:rPr>
          <w:rFonts w:hint="eastAsia"/>
          <w:bCs/>
          <w:sz w:val="21"/>
          <w:szCs w:val="21"/>
          <w:highlight w:val="none"/>
        </w:rPr>
      </w:pPr>
      <w:r>
        <w:rPr>
          <w:rFonts w:hint="eastAsia"/>
          <w:bCs/>
          <w:sz w:val="21"/>
          <w:szCs w:val="21"/>
          <w:highlight w:val="none"/>
        </w:rPr>
        <w:t>下载器</w:t>
      </w:r>
    </w:p>
    <w:p w14:paraId="4D49582E">
      <w:pPr>
        <w:keepNext w:val="0"/>
        <w:keepLines w:val="0"/>
        <w:pageBreakBefore w:val="0"/>
        <w:widowControl w:val="0"/>
        <w:numPr>
          <w:ilvl w:val="0"/>
          <w:numId w:val="0"/>
        </w:numPr>
        <w:tabs>
          <w:tab w:val="left" w:pos="540"/>
        </w:tabs>
        <w:kinsoku/>
        <w:wordWrap/>
        <w:overflowPunct/>
        <w:topLinePunct w:val="0"/>
        <w:autoSpaceDE/>
        <w:autoSpaceDN/>
        <w:bidi w:val="0"/>
        <w:adjustRightInd/>
        <w:snapToGrid/>
        <w:spacing w:line="460" w:lineRule="exact"/>
        <w:ind w:left="420" w:leftChars="200" w:firstLine="420" w:firstLineChars="200"/>
        <w:textAlignment w:val="auto"/>
        <w:rPr>
          <w:rFonts w:hint="eastAsia"/>
          <w:bCs/>
          <w:sz w:val="21"/>
          <w:szCs w:val="21"/>
          <w:highlight w:val="none"/>
        </w:rPr>
      </w:pPr>
      <w:r>
        <w:rPr>
          <w:rFonts w:hint="eastAsia"/>
          <w:bCs/>
          <w:sz w:val="21"/>
          <w:szCs w:val="21"/>
          <w:highlight w:val="none"/>
        </w:rPr>
        <w:t>调试接口:JTAG，虚拟串口；开发环境:基于VSCode的扩展LAIDE，OpenOCD；LoongArch32，LoongArch64系列FPGA软核与芯片；操作系统:Windows、Linux</w:t>
      </w:r>
      <w:r>
        <w:rPr>
          <w:rFonts w:hint="eastAsia"/>
          <w:bCs/>
          <w:sz w:val="21"/>
          <w:szCs w:val="21"/>
          <w:highlight w:val="none"/>
          <w:lang w:eastAsia="zh-CN"/>
        </w:rPr>
        <w:t>。</w:t>
      </w:r>
    </w:p>
    <w:p w14:paraId="00F1797D">
      <w:pPr>
        <w:numPr>
          <w:ilvl w:val="0"/>
          <w:numId w:val="55"/>
        </w:numPr>
        <w:tabs>
          <w:tab w:val="left" w:pos="540"/>
        </w:tabs>
        <w:spacing w:before="312" w:beforeLines="100" w:line="460" w:lineRule="exact"/>
        <w:rPr>
          <w:b/>
          <w:sz w:val="21"/>
          <w:szCs w:val="21"/>
          <w:highlight w:val="none"/>
        </w:rPr>
      </w:pPr>
      <w:r>
        <w:rPr>
          <w:rFonts w:hint="eastAsia"/>
          <w:b/>
          <w:sz w:val="21"/>
          <w:szCs w:val="21"/>
          <w:highlight w:val="none"/>
          <w:lang w:val="en-US" w:eastAsia="zh-CN"/>
        </w:rPr>
        <w:t>课程资源</w:t>
      </w:r>
    </w:p>
    <w:p w14:paraId="5773A73D">
      <w:pPr>
        <w:numPr>
          <w:ilvl w:val="1"/>
          <w:numId w:val="55"/>
        </w:numPr>
        <w:tabs>
          <w:tab w:val="left" w:pos="540"/>
        </w:tabs>
        <w:spacing w:line="460" w:lineRule="exact"/>
        <w:rPr>
          <w:rFonts w:hint="eastAsia"/>
          <w:bCs/>
          <w:sz w:val="21"/>
          <w:szCs w:val="21"/>
          <w:highlight w:val="none"/>
        </w:rPr>
      </w:pPr>
      <w:r>
        <w:rPr>
          <w:rFonts w:hint="eastAsia"/>
          <w:bCs/>
          <w:sz w:val="21"/>
          <w:szCs w:val="21"/>
          <w:highlight w:val="none"/>
        </w:rPr>
        <w:t>数字电路综合实验至少包含：</w:t>
      </w:r>
    </w:p>
    <w:p w14:paraId="18053E79">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数码管显示数字钟设计；</w:t>
      </w:r>
    </w:p>
    <w:p w14:paraId="0DA72224">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矩阵键盘的控制与按键消抖实验；</w:t>
      </w:r>
    </w:p>
    <w:p w14:paraId="606FB62C">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LED显示十字路口交通灯自动控制器设计；</w:t>
      </w:r>
    </w:p>
    <w:p w14:paraId="3BB073F1">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LCD显示屏的驱动实验；</w:t>
      </w:r>
    </w:p>
    <w:p w14:paraId="0A3E738B">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存储器设计；</w:t>
      </w:r>
    </w:p>
    <w:p w14:paraId="638F9AE9">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FIFO模块设计；</w:t>
      </w:r>
    </w:p>
    <w:p w14:paraId="30F5F865">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模数转换器设计；</w:t>
      </w:r>
    </w:p>
    <w:p w14:paraId="1001BAD8">
      <w:pPr>
        <w:numPr>
          <w:ilvl w:val="2"/>
          <w:numId w:val="55"/>
        </w:numPr>
        <w:tabs>
          <w:tab w:val="left" w:pos="540"/>
        </w:tabs>
        <w:spacing w:line="460" w:lineRule="exact"/>
        <w:ind w:left="1508" w:leftChars="0" w:hanging="708" w:firstLineChars="0"/>
        <w:rPr>
          <w:bCs/>
          <w:sz w:val="21"/>
          <w:szCs w:val="21"/>
          <w:highlight w:val="none"/>
        </w:rPr>
      </w:pPr>
      <w:r>
        <w:rPr>
          <w:rFonts w:hint="eastAsia"/>
          <w:bCs/>
          <w:sz w:val="21"/>
          <w:szCs w:val="21"/>
          <w:highlight w:val="none"/>
        </w:rPr>
        <w:t>数模转换器设计；</w:t>
      </w:r>
    </w:p>
    <w:p w14:paraId="130AAFAD">
      <w:pPr>
        <w:numPr>
          <w:ilvl w:val="1"/>
          <w:numId w:val="55"/>
        </w:numPr>
        <w:tabs>
          <w:tab w:val="left" w:pos="540"/>
        </w:tabs>
        <w:spacing w:line="460" w:lineRule="exact"/>
        <w:rPr>
          <w:bCs/>
          <w:sz w:val="21"/>
          <w:szCs w:val="21"/>
          <w:highlight w:val="none"/>
        </w:rPr>
      </w:pPr>
      <w:r>
        <w:rPr>
          <w:rFonts w:hint="eastAsia"/>
          <w:bCs/>
          <w:sz w:val="21"/>
          <w:szCs w:val="21"/>
          <w:highlight w:val="none"/>
        </w:rPr>
        <w:t>基于软核的微机原理与接口技术实验至少包含</w:t>
      </w:r>
      <w:r>
        <w:rPr>
          <w:rFonts w:hint="eastAsia"/>
          <w:bCs/>
          <w:sz w:val="21"/>
          <w:szCs w:val="21"/>
          <w:highlight w:val="none"/>
          <w:lang w:eastAsia="zh-CN"/>
        </w:rPr>
        <w:t>：</w:t>
      </w:r>
    </w:p>
    <w:p w14:paraId="62422CA5">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GPIO实验；</w:t>
      </w:r>
    </w:p>
    <w:p w14:paraId="37680A4F">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外部中断实验；</w:t>
      </w:r>
    </w:p>
    <w:p w14:paraId="58BC40AD">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UART实验-轮询方式；</w:t>
      </w:r>
    </w:p>
    <w:p w14:paraId="3DACD8F9">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中断控制器实验；</w:t>
      </w:r>
    </w:p>
    <w:p w14:paraId="43C7B669">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通用定时器实验；</w:t>
      </w:r>
    </w:p>
    <w:p w14:paraId="73A55A74">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直接存储访问控制器实验；</w:t>
      </w:r>
    </w:p>
    <w:p w14:paraId="260C3666">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SPI主机接口实验；</w:t>
      </w:r>
    </w:p>
    <w:p w14:paraId="68D5C63D">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IIC主机接口实验；</w:t>
      </w:r>
    </w:p>
    <w:p w14:paraId="6820BC4F">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USB2.0从机设计</w:t>
      </w:r>
      <w:r>
        <w:rPr>
          <w:rFonts w:hint="eastAsia"/>
          <w:bCs/>
          <w:sz w:val="21"/>
          <w:szCs w:val="21"/>
          <w:highlight w:val="none"/>
          <w:lang w:eastAsia="zh-CN"/>
        </w:rPr>
        <w:t>；</w:t>
      </w:r>
    </w:p>
    <w:p w14:paraId="67259ED7">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▲Norflash应用设计</w:t>
      </w:r>
      <w:r>
        <w:rPr>
          <w:rFonts w:hint="eastAsia"/>
          <w:bCs/>
          <w:sz w:val="21"/>
          <w:szCs w:val="21"/>
          <w:highlight w:val="none"/>
          <w:lang w:eastAsia="zh-CN"/>
        </w:rPr>
        <w:t>；</w:t>
      </w:r>
    </w:p>
    <w:p w14:paraId="4C5AFB82">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▲外挂ROM应用实验</w:t>
      </w:r>
      <w:r>
        <w:rPr>
          <w:rFonts w:hint="eastAsia"/>
          <w:bCs/>
          <w:sz w:val="21"/>
          <w:szCs w:val="21"/>
          <w:highlight w:val="none"/>
          <w:lang w:eastAsia="zh-CN"/>
        </w:rPr>
        <w:t>；</w:t>
      </w:r>
    </w:p>
    <w:p w14:paraId="7B73610A">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▲网口应用设计</w:t>
      </w:r>
      <w:r>
        <w:rPr>
          <w:rFonts w:hint="eastAsia"/>
          <w:bCs/>
          <w:sz w:val="21"/>
          <w:szCs w:val="21"/>
          <w:highlight w:val="none"/>
          <w:lang w:eastAsia="zh-CN"/>
        </w:rPr>
        <w:t>；</w:t>
      </w:r>
    </w:p>
    <w:p w14:paraId="7C298D41">
      <w:pPr>
        <w:numPr>
          <w:ilvl w:val="2"/>
          <w:numId w:val="55"/>
        </w:numPr>
        <w:tabs>
          <w:tab w:val="left" w:pos="540"/>
        </w:tabs>
        <w:spacing w:line="460" w:lineRule="exact"/>
        <w:ind w:left="1508" w:leftChars="0" w:hanging="708" w:firstLineChars="0"/>
        <w:rPr>
          <w:bCs/>
          <w:sz w:val="21"/>
          <w:szCs w:val="21"/>
          <w:highlight w:val="none"/>
        </w:rPr>
      </w:pPr>
      <w:r>
        <w:rPr>
          <w:rFonts w:hint="eastAsia"/>
          <w:bCs/>
          <w:sz w:val="21"/>
          <w:szCs w:val="21"/>
          <w:highlight w:val="none"/>
        </w:rPr>
        <w:t>▲LCD显示屏驱动设计</w:t>
      </w:r>
      <w:r>
        <w:rPr>
          <w:rFonts w:hint="eastAsia"/>
          <w:bCs/>
          <w:sz w:val="21"/>
          <w:szCs w:val="21"/>
          <w:highlight w:val="none"/>
          <w:lang w:eastAsia="zh-CN"/>
        </w:rPr>
        <w:t>。</w:t>
      </w:r>
    </w:p>
    <w:p w14:paraId="75419E84">
      <w:pPr>
        <w:numPr>
          <w:ilvl w:val="1"/>
          <w:numId w:val="55"/>
        </w:numPr>
        <w:tabs>
          <w:tab w:val="left" w:pos="540"/>
        </w:tabs>
        <w:spacing w:line="460" w:lineRule="exact"/>
        <w:rPr>
          <w:bCs/>
          <w:sz w:val="21"/>
          <w:szCs w:val="21"/>
          <w:highlight w:val="none"/>
        </w:rPr>
      </w:pPr>
      <w:r>
        <w:rPr>
          <w:rFonts w:hint="eastAsia"/>
          <w:bCs/>
          <w:sz w:val="21"/>
          <w:szCs w:val="21"/>
          <w:highlight w:val="none"/>
        </w:rPr>
        <w:t>基于软核的片上系统(SOC)实验至少包含</w:t>
      </w:r>
      <w:r>
        <w:rPr>
          <w:rFonts w:hint="eastAsia"/>
          <w:bCs/>
          <w:sz w:val="21"/>
          <w:szCs w:val="21"/>
          <w:highlight w:val="none"/>
          <w:lang w:eastAsia="zh-CN"/>
        </w:rPr>
        <w:t>：</w:t>
      </w:r>
    </w:p>
    <w:p w14:paraId="48E89763">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基于FPGA的CPU 软核与 APB 总线实验</w:t>
      </w:r>
      <w:r>
        <w:rPr>
          <w:rFonts w:hint="eastAsia"/>
          <w:bCs/>
          <w:sz w:val="21"/>
          <w:szCs w:val="21"/>
          <w:highlight w:val="none"/>
          <w:lang w:eastAsia="zh-CN"/>
        </w:rPr>
        <w:t>；</w:t>
      </w:r>
      <w:r>
        <w:rPr>
          <w:rFonts w:hint="eastAsia"/>
          <w:bCs/>
          <w:sz w:val="21"/>
          <w:szCs w:val="21"/>
          <w:highlight w:val="none"/>
        </w:rPr>
        <w:t xml:space="preserve">                  </w:t>
      </w:r>
    </w:p>
    <w:p w14:paraId="76C3B256">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基于FPGA的 GPIO 控制器设计</w:t>
      </w:r>
      <w:r>
        <w:rPr>
          <w:rFonts w:hint="eastAsia"/>
          <w:bCs/>
          <w:sz w:val="21"/>
          <w:szCs w:val="21"/>
          <w:highlight w:val="none"/>
          <w:lang w:eastAsia="zh-CN"/>
        </w:rPr>
        <w:t>；</w:t>
      </w:r>
    </w:p>
    <w:p w14:paraId="1309A481">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基于FPGA的脉宽调制信号发生模块设计</w:t>
      </w:r>
      <w:r>
        <w:rPr>
          <w:rFonts w:hint="eastAsia"/>
          <w:bCs/>
          <w:sz w:val="21"/>
          <w:szCs w:val="21"/>
          <w:highlight w:val="none"/>
          <w:lang w:eastAsia="zh-CN"/>
        </w:rPr>
        <w:t>；</w:t>
      </w:r>
      <w:r>
        <w:rPr>
          <w:rFonts w:hint="eastAsia"/>
          <w:bCs/>
          <w:sz w:val="21"/>
          <w:szCs w:val="21"/>
          <w:highlight w:val="none"/>
        </w:rPr>
        <w:t xml:space="preserve">                  </w:t>
      </w:r>
    </w:p>
    <w:p w14:paraId="704A95B1">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基于FPGA的定时器模块设计</w:t>
      </w:r>
      <w:r>
        <w:rPr>
          <w:rFonts w:hint="eastAsia"/>
          <w:bCs/>
          <w:sz w:val="21"/>
          <w:szCs w:val="21"/>
          <w:highlight w:val="none"/>
          <w:lang w:eastAsia="zh-CN"/>
        </w:rPr>
        <w:t>；</w:t>
      </w:r>
    </w:p>
    <w:p w14:paraId="730F30F3">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基于FPGA的中断控制器设计</w:t>
      </w:r>
      <w:r>
        <w:rPr>
          <w:rFonts w:hint="eastAsia"/>
          <w:bCs/>
          <w:sz w:val="21"/>
          <w:szCs w:val="21"/>
          <w:highlight w:val="none"/>
          <w:lang w:eastAsia="zh-CN"/>
        </w:rPr>
        <w:t>；</w:t>
      </w:r>
    </w:p>
    <w:p w14:paraId="25461782">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基于FPGA的 FIFO 模块设计</w:t>
      </w:r>
      <w:r>
        <w:rPr>
          <w:rFonts w:hint="eastAsia"/>
          <w:bCs/>
          <w:sz w:val="21"/>
          <w:szCs w:val="21"/>
          <w:highlight w:val="none"/>
          <w:lang w:eastAsia="zh-CN"/>
        </w:rPr>
        <w:t>；</w:t>
      </w:r>
    </w:p>
    <w:p w14:paraId="485D1C25">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基于FPGA的UART 控制器设计</w:t>
      </w:r>
      <w:r>
        <w:rPr>
          <w:rFonts w:hint="eastAsia"/>
          <w:bCs/>
          <w:sz w:val="21"/>
          <w:szCs w:val="21"/>
          <w:highlight w:val="none"/>
          <w:lang w:eastAsia="zh-CN"/>
        </w:rPr>
        <w:t>；</w:t>
      </w:r>
    </w:p>
    <w:p w14:paraId="1ECBE39A">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基于FPGA的 IIC 控制器设计</w:t>
      </w:r>
      <w:r>
        <w:rPr>
          <w:rFonts w:hint="eastAsia"/>
          <w:bCs/>
          <w:sz w:val="21"/>
          <w:szCs w:val="21"/>
          <w:highlight w:val="none"/>
          <w:lang w:eastAsia="zh-CN"/>
        </w:rPr>
        <w:t>；</w:t>
      </w:r>
    </w:p>
    <w:p w14:paraId="1680EADF">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▲基于FPGA的SPI 控制器设计</w:t>
      </w:r>
      <w:r>
        <w:rPr>
          <w:rFonts w:hint="eastAsia"/>
          <w:bCs/>
          <w:sz w:val="21"/>
          <w:szCs w:val="21"/>
          <w:highlight w:val="none"/>
          <w:lang w:eastAsia="zh-CN"/>
        </w:rPr>
        <w:t>；</w:t>
      </w:r>
    </w:p>
    <w:p w14:paraId="53136C23">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▲基于FPGA的LCD 显示屏驱动模块设计</w:t>
      </w:r>
      <w:r>
        <w:rPr>
          <w:rFonts w:hint="eastAsia"/>
          <w:bCs/>
          <w:sz w:val="21"/>
          <w:szCs w:val="21"/>
          <w:highlight w:val="none"/>
          <w:lang w:eastAsia="zh-CN"/>
        </w:rPr>
        <w:t>；</w:t>
      </w:r>
      <w:r>
        <w:rPr>
          <w:rFonts w:hint="eastAsia"/>
          <w:bCs/>
          <w:sz w:val="21"/>
          <w:szCs w:val="21"/>
          <w:highlight w:val="none"/>
        </w:rPr>
        <w:t xml:space="preserve">                 </w:t>
      </w:r>
    </w:p>
    <w:p w14:paraId="26DA0FA7">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基于FPGA的AXI 总线实验</w:t>
      </w:r>
      <w:r>
        <w:rPr>
          <w:rFonts w:hint="eastAsia"/>
          <w:bCs/>
          <w:sz w:val="21"/>
          <w:szCs w:val="21"/>
          <w:highlight w:val="none"/>
          <w:lang w:eastAsia="zh-CN"/>
        </w:rPr>
        <w:t>；</w:t>
      </w:r>
    </w:p>
    <w:p w14:paraId="6A0C5292">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 xml:space="preserve">▲基于FPGA的USB2.0 从机驱动模块设计 </w:t>
      </w:r>
      <w:r>
        <w:rPr>
          <w:rFonts w:hint="eastAsia"/>
          <w:bCs/>
          <w:sz w:val="21"/>
          <w:szCs w:val="21"/>
          <w:highlight w:val="none"/>
          <w:lang w:eastAsia="zh-CN"/>
        </w:rPr>
        <w:t>；</w:t>
      </w:r>
      <w:r>
        <w:rPr>
          <w:rFonts w:hint="eastAsia"/>
          <w:bCs/>
          <w:sz w:val="21"/>
          <w:szCs w:val="21"/>
          <w:highlight w:val="none"/>
        </w:rPr>
        <w:t xml:space="preserve">               </w:t>
      </w:r>
    </w:p>
    <w:p w14:paraId="6114D78A">
      <w:pPr>
        <w:numPr>
          <w:ilvl w:val="2"/>
          <w:numId w:val="55"/>
        </w:numPr>
        <w:tabs>
          <w:tab w:val="left" w:pos="540"/>
        </w:tabs>
        <w:spacing w:line="460" w:lineRule="exact"/>
        <w:ind w:left="1508" w:leftChars="0" w:hanging="708" w:firstLineChars="0"/>
        <w:rPr>
          <w:rFonts w:hint="eastAsia"/>
          <w:bCs/>
          <w:sz w:val="21"/>
          <w:szCs w:val="21"/>
          <w:highlight w:val="none"/>
        </w:rPr>
      </w:pPr>
      <w:r>
        <w:rPr>
          <w:rFonts w:hint="eastAsia"/>
          <w:bCs/>
          <w:sz w:val="21"/>
          <w:szCs w:val="21"/>
          <w:highlight w:val="none"/>
        </w:rPr>
        <w:t>▲基于FPGA的网口驱动模块设计</w:t>
      </w:r>
      <w:r>
        <w:rPr>
          <w:rFonts w:hint="eastAsia"/>
          <w:bCs/>
          <w:sz w:val="21"/>
          <w:szCs w:val="21"/>
          <w:highlight w:val="none"/>
          <w:lang w:eastAsia="zh-CN"/>
        </w:rPr>
        <w:t>；</w:t>
      </w:r>
    </w:p>
    <w:p w14:paraId="0D5CC1F6">
      <w:pPr>
        <w:numPr>
          <w:ilvl w:val="2"/>
          <w:numId w:val="55"/>
        </w:numPr>
        <w:tabs>
          <w:tab w:val="left" w:pos="540"/>
        </w:tabs>
        <w:spacing w:line="460" w:lineRule="exact"/>
        <w:ind w:left="1508" w:leftChars="0" w:hanging="708" w:firstLineChars="0"/>
        <w:rPr>
          <w:bCs/>
          <w:sz w:val="21"/>
          <w:szCs w:val="21"/>
          <w:highlight w:val="none"/>
        </w:rPr>
      </w:pPr>
      <w:r>
        <w:rPr>
          <w:rFonts w:hint="eastAsia"/>
          <w:bCs/>
          <w:sz w:val="21"/>
          <w:szCs w:val="21"/>
          <w:highlight w:val="none"/>
        </w:rPr>
        <w:t>▲基于FPGA的直接存储访问控制器设计</w:t>
      </w:r>
      <w:r>
        <w:rPr>
          <w:rFonts w:hint="eastAsia"/>
          <w:bCs/>
          <w:sz w:val="21"/>
          <w:szCs w:val="21"/>
          <w:highlight w:val="none"/>
          <w:lang w:eastAsia="zh-CN"/>
        </w:rPr>
        <w:t>。</w:t>
      </w:r>
    </w:p>
    <w:p w14:paraId="47641B7A">
      <w:pPr>
        <w:numPr>
          <w:ilvl w:val="0"/>
          <w:numId w:val="55"/>
        </w:numPr>
        <w:tabs>
          <w:tab w:val="left" w:pos="540"/>
        </w:tabs>
        <w:spacing w:before="312" w:beforeLines="100" w:line="460" w:lineRule="exact"/>
        <w:rPr>
          <w:b/>
          <w:sz w:val="21"/>
          <w:szCs w:val="21"/>
          <w:highlight w:val="none"/>
        </w:rPr>
      </w:pPr>
      <w:r>
        <w:rPr>
          <w:rFonts w:hint="eastAsia"/>
          <w:b/>
          <w:sz w:val="21"/>
          <w:szCs w:val="21"/>
          <w:highlight w:val="none"/>
        </w:rPr>
        <w:t>软件资源要求</w:t>
      </w:r>
    </w:p>
    <w:p w14:paraId="526A0AC7">
      <w:pPr>
        <w:numPr>
          <w:ilvl w:val="1"/>
          <w:numId w:val="55"/>
        </w:numPr>
        <w:spacing w:line="460" w:lineRule="exact"/>
        <w:rPr>
          <w:sz w:val="21"/>
          <w:szCs w:val="21"/>
          <w:highlight w:val="none"/>
        </w:rPr>
      </w:pPr>
      <w:r>
        <w:rPr>
          <w:rFonts w:hint="eastAsia" w:ascii="宋体" w:hAnsi="宋体"/>
          <w:sz w:val="21"/>
          <w:szCs w:val="21"/>
          <w:highlight w:val="none"/>
        </w:rPr>
        <w:t>自主指令集1C102 IP核</w:t>
      </w:r>
    </w:p>
    <w:p w14:paraId="605B0082">
      <w:pPr>
        <w:numPr>
          <w:ilvl w:val="0"/>
          <w:numId w:val="0"/>
        </w:numPr>
        <w:spacing w:line="460" w:lineRule="exact"/>
        <w:ind w:left="397" w:leftChars="0" w:firstLine="420" w:firstLineChars="200"/>
        <w:rPr>
          <w:sz w:val="21"/>
          <w:szCs w:val="21"/>
          <w:highlight w:val="none"/>
        </w:rPr>
      </w:pPr>
      <w:r>
        <w:rPr>
          <w:rFonts w:hint="eastAsia" w:ascii="宋体" w:hAnsi="宋体"/>
          <w:sz w:val="21"/>
          <w:szCs w:val="21"/>
          <w:highlight w:val="none"/>
        </w:rPr>
        <w:t>▲自主指令集1C102IP核工程，至少包含LA132架构CPU，APB总线，AXI总线，FLASH和RAM，高速时钟，GPIO，I2C，SPI，UART。可以在FPGA上验证运行，并使用LoongIDE进行C语言和汇编语言的软件开并提供全部外设的C语言工程源码。</w:t>
      </w:r>
    </w:p>
    <w:p w14:paraId="27C4FE9C">
      <w:pPr>
        <w:numPr>
          <w:ilvl w:val="1"/>
          <w:numId w:val="55"/>
        </w:numPr>
        <w:spacing w:line="460" w:lineRule="exact"/>
        <w:rPr>
          <w:rFonts w:ascii="Cambria" w:hAnsi="Cambria"/>
          <w:sz w:val="21"/>
          <w:szCs w:val="21"/>
          <w:highlight w:val="none"/>
        </w:rPr>
      </w:pPr>
      <w:r>
        <w:rPr>
          <w:rFonts w:hint="eastAsia" w:ascii="宋体" w:hAnsi="宋体"/>
          <w:sz w:val="21"/>
          <w:szCs w:val="21"/>
          <w:highlight w:val="none"/>
        </w:rPr>
        <w:t>FPGA数字电路实验至少包含</w:t>
      </w:r>
      <w:r>
        <w:rPr>
          <w:rFonts w:hint="eastAsia" w:ascii="宋体" w:hAnsi="宋体"/>
          <w:sz w:val="21"/>
          <w:szCs w:val="21"/>
          <w:highlight w:val="none"/>
          <w:lang w:eastAsia="zh-CN"/>
        </w:rPr>
        <w:t>：</w:t>
      </w:r>
    </w:p>
    <w:p w14:paraId="07ECF2EC">
      <w:pPr>
        <w:numPr>
          <w:ilvl w:val="2"/>
          <w:numId w:val="55"/>
        </w:numPr>
        <w:spacing w:line="460" w:lineRule="exact"/>
        <w:ind w:left="1508" w:leftChars="0" w:hanging="708" w:firstLineChars="0"/>
        <w:rPr>
          <w:rFonts w:hint="eastAsia" w:ascii="宋体" w:hAnsi="宋体"/>
          <w:sz w:val="21"/>
          <w:szCs w:val="21"/>
          <w:highlight w:val="none"/>
        </w:rPr>
      </w:pPr>
      <w:r>
        <w:rPr>
          <w:rFonts w:hint="eastAsia" w:ascii="宋体" w:hAnsi="宋体"/>
          <w:sz w:val="21"/>
          <w:szCs w:val="21"/>
          <w:highlight w:val="none"/>
        </w:rPr>
        <w:t>基本FPGA工程实验包含数据、语法、输入输出、控制结构、条件/循环语句</w:t>
      </w:r>
      <w:r>
        <w:rPr>
          <w:rFonts w:hint="eastAsia" w:ascii="宋体" w:hAnsi="宋体"/>
          <w:sz w:val="21"/>
          <w:szCs w:val="21"/>
          <w:highlight w:val="none"/>
          <w:lang w:eastAsia="zh-CN"/>
        </w:rPr>
        <w:t>；</w:t>
      </w:r>
    </w:p>
    <w:p w14:paraId="397E0135">
      <w:pPr>
        <w:numPr>
          <w:ilvl w:val="2"/>
          <w:numId w:val="55"/>
        </w:numPr>
        <w:spacing w:line="460" w:lineRule="exact"/>
        <w:ind w:left="1508" w:leftChars="0" w:hanging="708" w:firstLineChars="0"/>
        <w:rPr>
          <w:rFonts w:hint="eastAsia" w:ascii="宋体" w:hAnsi="宋体"/>
          <w:sz w:val="21"/>
          <w:szCs w:val="21"/>
          <w:highlight w:val="none"/>
        </w:rPr>
      </w:pPr>
      <w:r>
        <w:rPr>
          <w:rFonts w:hint="eastAsia" w:ascii="宋体" w:hAnsi="宋体"/>
          <w:sz w:val="21"/>
          <w:szCs w:val="21"/>
          <w:highlight w:val="none"/>
        </w:rPr>
        <w:t>编码器、译码器以及数值选择，比较器的FPGA实现源码</w:t>
      </w:r>
      <w:r>
        <w:rPr>
          <w:rFonts w:hint="eastAsia" w:ascii="宋体" w:hAnsi="宋体"/>
          <w:sz w:val="21"/>
          <w:szCs w:val="21"/>
          <w:highlight w:val="none"/>
          <w:lang w:eastAsia="zh-CN"/>
        </w:rPr>
        <w:t>；</w:t>
      </w:r>
    </w:p>
    <w:p w14:paraId="1B7638FA">
      <w:pPr>
        <w:numPr>
          <w:ilvl w:val="2"/>
          <w:numId w:val="55"/>
        </w:numPr>
        <w:spacing w:line="460" w:lineRule="exact"/>
        <w:ind w:left="1508" w:leftChars="0" w:hanging="708" w:firstLineChars="0"/>
        <w:rPr>
          <w:rFonts w:hint="eastAsia" w:ascii="宋体" w:hAnsi="宋体"/>
          <w:sz w:val="21"/>
          <w:szCs w:val="21"/>
          <w:highlight w:val="none"/>
        </w:rPr>
      </w:pPr>
      <w:r>
        <w:rPr>
          <w:rFonts w:hint="eastAsia" w:ascii="宋体" w:hAnsi="宋体"/>
          <w:sz w:val="21"/>
          <w:szCs w:val="21"/>
          <w:highlight w:val="none"/>
        </w:rPr>
        <w:t>计数器、寄存器、信号检测器和发生器的FPGA实现源码</w:t>
      </w:r>
      <w:r>
        <w:rPr>
          <w:rFonts w:hint="eastAsia" w:ascii="宋体" w:hAnsi="宋体"/>
          <w:sz w:val="21"/>
          <w:szCs w:val="21"/>
          <w:highlight w:val="none"/>
          <w:lang w:eastAsia="zh-CN"/>
        </w:rPr>
        <w:t>；</w:t>
      </w:r>
    </w:p>
    <w:p w14:paraId="24A9D3E0">
      <w:pPr>
        <w:numPr>
          <w:ilvl w:val="2"/>
          <w:numId w:val="55"/>
        </w:numPr>
        <w:spacing w:line="460" w:lineRule="exact"/>
        <w:ind w:left="1508" w:leftChars="0" w:hanging="708" w:firstLineChars="0"/>
        <w:rPr>
          <w:rFonts w:hint="eastAsia" w:ascii="宋体" w:hAnsi="宋体"/>
          <w:sz w:val="21"/>
          <w:szCs w:val="21"/>
          <w:highlight w:val="none"/>
        </w:rPr>
      </w:pPr>
      <w:r>
        <w:rPr>
          <w:rFonts w:hint="eastAsia" w:ascii="宋体" w:hAnsi="宋体"/>
          <w:sz w:val="21"/>
          <w:szCs w:val="21"/>
          <w:highlight w:val="none"/>
        </w:rPr>
        <w:t>倒T型电阻网络DAC的FPGA软硬件实现源码</w:t>
      </w:r>
      <w:r>
        <w:rPr>
          <w:rFonts w:hint="eastAsia" w:ascii="宋体" w:hAnsi="宋体"/>
          <w:sz w:val="21"/>
          <w:szCs w:val="21"/>
          <w:highlight w:val="none"/>
          <w:lang w:eastAsia="zh-CN"/>
        </w:rPr>
        <w:t>；</w:t>
      </w:r>
    </w:p>
    <w:p w14:paraId="6242FB2B">
      <w:pPr>
        <w:numPr>
          <w:ilvl w:val="2"/>
          <w:numId w:val="55"/>
        </w:numPr>
        <w:spacing w:line="460" w:lineRule="exact"/>
        <w:ind w:left="1508" w:leftChars="0" w:hanging="708" w:firstLineChars="0"/>
        <w:rPr>
          <w:rFonts w:hint="eastAsia" w:ascii="宋体" w:hAnsi="宋体"/>
          <w:sz w:val="21"/>
          <w:szCs w:val="21"/>
          <w:highlight w:val="none"/>
        </w:rPr>
      </w:pPr>
      <w:r>
        <w:rPr>
          <w:rFonts w:hint="eastAsia" w:ascii="宋体" w:hAnsi="宋体"/>
          <w:sz w:val="21"/>
          <w:szCs w:val="21"/>
          <w:highlight w:val="none"/>
        </w:rPr>
        <w:t>逐次逼近比较型ADC的FPGA软硬件实现源码</w:t>
      </w:r>
      <w:r>
        <w:rPr>
          <w:rFonts w:hint="eastAsia" w:ascii="宋体" w:hAnsi="宋体"/>
          <w:sz w:val="21"/>
          <w:szCs w:val="21"/>
          <w:highlight w:val="none"/>
          <w:lang w:eastAsia="zh-CN"/>
        </w:rPr>
        <w:t>；</w:t>
      </w:r>
    </w:p>
    <w:p w14:paraId="5AC15341">
      <w:pPr>
        <w:numPr>
          <w:ilvl w:val="2"/>
          <w:numId w:val="55"/>
        </w:numPr>
        <w:spacing w:line="460" w:lineRule="exact"/>
        <w:ind w:left="1508" w:leftChars="0" w:hanging="708" w:firstLineChars="0"/>
        <w:rPr>
          <w:rFonts w:hint="eastAsia" w:ascii="宋体" w:hAnsi="宋体"/>
          <w:sz w:val="21"/>
          <w:szCs w:val="21"/>
          <w:highlight w:val="none"/>
        </w:rPr>
      </w:pPr>
      <w:r>
        <w:rPr>
          <w:rFonts w:hint="eastAsia" w:ascii="宋体" w:hAnsi="宋体"/>
          <w:sz w:val="21"/>
          <w:szCs w:val="21"/>
          <w:highlight w:val="none"/>
        </w:rPr>
        <w:t>直流电机的FPGA控制源码</w:t>
      </w:r>
      <w:r>
        <w:rPr>
          <w:rFonts w:hint="eastAsia" w:ascii="宋体" w:hAnsi="宋体"/>
          <w:sz w:val="21"/>
          <w:szCs w:val="21"/>
          <w:highlight w:val="none"/>
          <w:lang w:eastAsia="zh-CN"/>
        </w:rPr>
        <w:t>；</w:t>
      </w:r>
    </w:p>
    <w:p w14:paraId="55D9CE36">
      <w:pPr>
        <w:numPr>
          <w:ilvl w:val="2"/>
          <w:numId w:val="55"/>
        </w:numPr>
        <w:spacing w:line="460" w:lineRule="exact"/>
        <w:ind w:left="1508" w:leftChars="0" w:hanging="708" w:firstLineChars="0"/>
        <w:rPr>
          <w:rFonts w:hint="eastAsia" w:ascii="宋体" w:hAnsi="宋体"/>
          <w:sz w:val="21"/>
          <w:szCs w:val="21"/>
          <w:highlight w:val="none"/>
        </w:rPr>
      </w:pPr>
      <w:r>
        <w:rPr>
          <w:rFonts w:hint="eastAsia" w:ascii="宋体" w:hAnsi="宋体"/>
          <w:sz w:val="21"/>
          <w:szCs w:val="21"/>
          <w:highlight w:val="none"/>
        </w:rPr>
        <w:t>步进电机的FPGA控制源码</w:t>
      </w:r>
      <w:r>
        <w:rPr>
          <w:rFonts w:hint="eastAsia" w:ascii="宋体" w:hAnsi="宋体"/>
          <w:sz w:val="21"/>
          <w:szCs w:val="21"/>
          <w:highlight w:val="none"/>
          <w:lang w:eastAsia="zh-CN"/>
        </w:rPr>
        <w:t>；</w:t>
      </w:r>
    </w:p>
    <w:p w14:paraId="7A8BA880">
      <w:pPr>
        <w:numPr>
          <w:ilvl w:val="2"/>
          <w:numId w:val="55"/>
        </w:numPr>
        <w:spacing w:line="460" w:lineRule="exact"/>
        <w:ind w:left="1508" w:leftChars="0" w:hanging="708" w:firstLineChars="0"/>
        <w:rPr>
          <w:rFonts w:ascii="Cambria" w:hAnsi="Cambria"/>
          <w:sz w:val="21"/>
          <w:szCs w:val="21"/>
          <w:highlight w:val="none"/>
        </w:rPr>
      </w:pPr>
      <w:r>
        <w:rPr>
          <w:rFonts w:hint="eastAsia" w:ascii="宋体" w:hAnsi="宋体"/>
          <w:sz w:val="21"/>
          <w:szCs w:val="21"/>
          <w:highlight w:val="none"/>
        </w:rPr>
        <w:t>矩阵键盘的FPGA控制源码</w:t>
      </w:r>
      <w:r>
        <w:rPr>
          <w:rFonts w:hint="eastAsia" w:ascii="宋体" w:hAnsi="宋体"/>
          <w:sz w:val="21"/>
          <w:szCs w:val="21"/>
          <w:highlight w:val="none"/>
          <w:lang w:eastAsia="zh-CN"/>
        </w:rPr>
        <w:t>；</w:t>
      </w:r>
    </w:p>
    <w:p w14:paraId="21C7A2D7">
      <w:pPr>
        <w:numPr>
          <w:ilvl w:val="2"/>
          <w:numId w:val="55"/>
        </w:numPr>
        <w:spacing w:line="460" w:lineRule="exact"/>
        <w:ind w:left="1508" w:leftChars="0" w:hanging="708" w:firstLineChars="0"/>
        <w:rPr>
          <w:rFonts w:ascii="Cambria" w:hAnsi="Cambria"/>
          <w:sz w:val="21"/>
          <w:szCs w:val="21"/>
          <w:highlight w:val="none"/>
        </w:rPr>
      </w:pPr>
      <w:r>
        <w:rPr>
          <w:rFonts w:hint="eastAsia" w:ascii="宋体" w:hAnsi="宋体"/>
          <w:sz w:val="21"/>
          <w:szCs w:val="21"/>
          <w:highlight w:val="none"/>
        </w:rPr>
        <w:t>128*64显示屏的FPGA控制源码</w:t>
      </w:r>
      <w:r>
        <w:rPr>
          <w:rFonts w:hint="eastAsia" w:ascii="宋体" w:hAnsi="宋体"/>
          <w:sz w:val="21"/>
          <w:szCs w:val="21"/>
          <w:highlight w:val="none"/>
          <w:lang w:eastAsia="zh-CN"/>
        </w:rPr>
        <w:t>；</w:t>
      </w:r>
    </w:p>
    <w:p w14:paraId="2F5B8606">
      <w:pPr>
        <w:numPr>
          <w:ilvl w:val="1"/>
          <w:numId w:val="55"/>
        </w:numPr>
        <w:spacing w:line="460" w:lineRule="exact"/>
        <w:rPr>
          <w:sz w:val="21"/>
          <w:szCs w:val="21"/>
          <w:highlight w:val="none"/>
        </w:rPr>
      </w:pPr>
      <w:r>
        <w:rPr>
          <w:rFonts w:hint="eastAsia" w:ascii="宋体" w:hAnsi="宋体"/>
          <w:sz w:val="21"/>
          <w:szCs w:val="21"/>
          <w:highlight w:val="none"/>
        </w:rPr>
        <w:t>EDA/SOPC实验至少包含：</w:t>
      </w:r>
    </w:p>
    <w:p w14:paraId="7E338E2D">
      <w:pPr>
        <w:numPr>
          <w:ilvl w:val="2"/>
          <w:numId w:val="55"/>
        </w:numPr>
        <w:spacing w:line="460" w:lineRule="exact"/>
        <w:ind w:left="1508" w:leftChars="0" w:hanging="708" w:firstLineChars="0"/>
        <w:rPr>
          <w:rFonts w:hint="eastAsia"/>
          <w:sz w:val="21"/>
          <w:szCs w:val="21"/>
          <w:highlight w:val="none"/>
        </w:rPr>
      </w:pPr>
      <w:r>
        <w:rPr>
          <w:rFonts w:hint="eastAsia"/>
          <w:sz w:val="21"/>
          <w:szCs w:val="21"/>
          <w:highlight w:val="none"/>
        </w:rPr>
        <w:t>基本FPGA工程实验包含数据、语法、输入输出、控制结构、条件/循环语句</w:t>
      </w:r>
      <w:r>
        <w:rPr>
          <w:rFonts w:hint="eastAsia"/>
          <w:sz w:val="21"/>
          <w:szCs w:val="21"/>
          <w:highlight w:val="none"/>
          <w:lang w:eastAsia="zh-CN"/>
        </w:rPr>
        <w:t>；</w:t>
      </w:r>
    </w:p>
    <w:p w14:paraId="0DD4C341">
      <w:pPr>
        <w:numPr>
          <w:ilvl w:val="2"/>
          <w:numId w:val="55"/>
        </w:numPr>
        <w:spacing w:line="460" w:lineRule="exact"/>
        <w:ind w:left="1508" w:leftChars="0" w:hanging="708" w:firstLineChars="0"/>
        <w:rPr>
          <w:rFonts w:hint="eastAsia"/>
          <w:sz w:val="21"/>
          <w:szCs w:val="21"/>
          <w:highlight w:val="none"/>
        </w:rPr>
      </w:pPr>
      <w:r>
        <w:rPr>
          <w:rFonts w:hint="eastAsia"/>
          <w:sz w:val="21"/>
          <w:szCs w:val="21"/>
          <w:highlight w:val="none"/>
        </w:rPr>
        <w:t>▲矩阵键盘控制LCD显示的FPGA源码</w:t>
      </w:r>
      <w:r>
        <w:rPr>
          <w:rFonts w:hint="eastAsia"/>
          <w:sz w:val="21"/>
          <w:szCs w:val="21"/>
          <w:highlight w:val="none"/>
          <w:lang w:eastAsia="zh-CN"/>
        </w:rPr>
        <w:t>；</w:t>
      </w:r>
    </w:p>
    <w:p w14:paraId="1AC52215">
      <w:pPr>
        <w:numPr>
          <w:ilvl w:val="2"/>
          <w:numId w:val="55"/>
        </w:numPr>
        <w:spacing w:line="460" w:lineRule="exact"/>
        <w:ind w:left="1508" w:leftChars="0" w:hanging="708" w:firstLineChars="0"/>
        <w:rPr>
          <w:rFonts w:hint="eastAsia"/>
          <w:sz w:val="21"/>
          <w:szCs w:val="21"/>
          <w:highlight w:val="none"/>
        </w:rPr>
      </w:pPr>
      <w:r>
        <w:rPr>
          <w:rFonts w:hint="eastAsia"/>
          <w:sz w:val="21"/>
          <w:szCs w:val="21"/>
          <w:highlight w:val="none"/>
        </w:rPr>
        <w:t>按键控制直流电机的FPGA源码</w:t>
      </w:r>
      <w:r>
        <w:rPr>
          <w:rFonts w:hint="eastAsia"/>
          <w:sz w:val="21"/>
          <w:szCs w:val="21"/>
          <w:highlight w:val="none"/>
          <w:lang w:eastAsia="zh-CN"/>
        </w:rPr>
        <w:t>；</w:t>
      </w:r>
    </w:p>
    <w:p w14:paraId="26889DEF">
      <w:pPr>
        <w:numPr>
          <w:ilvl w:val="2"/>
          <w:numId w:val="55"/>
        </w:numPr>
        <w:spacing w:line="460" w:lineRule="exact"/>
        <w:ind w:left="1508" w:leftChars="0" w:hanging="708" w:firstLineChars="0"/>
        <w:rPr>
          <w:rFonts w:hint="eastAsia"/>
          <w:sz w:val="21"/>
          <w:szCs w:val="21"/>
          <w:highlight w:val="none"/>
        </w:rPr>
      </w:pPr>
      <w:r>
        <w:rPr>
          <w:rFonts w:hint="eastAsia"/>
          <w:sz w:val="21"/>
          <w:szCs w:val="21"/>
          <w:highlight w:val="none"/>
        </w:rPr>
        <w:t>8*8点阵屏的FPGA控制代码</w:t>
      </w:r>
      <w:r>
        <w:rPr>
          <w:rFonts w:hint="eastAsia"/>
          <w:sz w:val="21"/>
          <w:szCs w:val="21"/>
          <w:highlight w:val="none"/>
          <w:lang w:eastAsia="zh-CN"/>
        </w:rPr>
        <w:t>；</w:t>
      </w:r>
    </w:p>
    <w:p w14:paraId="5347A8AA">
      <w:pPr>
        <w:numPr>
          <w:ilvl w:val="2"/>
          <w:numId w:val="55"/>
        </w:numPr>
        <w:spacing w:line="460" w:lineRule="exact"/>
        <w:ind w:left="1508" w:leftChars="0" w:hanging="708" w:firstLineChars="0"/>
        <w:rPr>
          <w:rFonts w:hint="eastAsia"/>
          <w:sz w:val="21"/>
          <w:szCs w:val="21"/>
          <w:highlight w:val="none"/>
        </w:rPr>
      </w:pPr>
      <w:r>
        <w:rPr>
          <w:rFonts w:hint="eastAsia"/>
          <w:sz w:val="21"/>
          <w:szCs w:val="21"/>
          <w:highlight w:val="none"/>
        </w:rPr>
        <w:t>▲简易数字信号发生器的FPGA控制软硬件</w:t>
      </w:r>
      <w:r>
        <w:rPr>
          <w:rFonts w:hint="eastAsia"/>
          <w:sz w:val="21"/>
          <w:szCs w:val="21"/>
          <w:highlight w:val="none"/>
          <w:lang w:eastAsia="zh-CN"/>
        </w:rPr>
        <w:t>；</w:t>
      </w:r>
    </w:p>
    <w:p w14:paraId="3546C9A1">
      <w:pPr>
        <w:numPr>
          <w:ilvl w:val="2"/>
          <w:numId w:val="55"/>
        </w:numPr>
        <w:spacing w:line="460" w:lineRule="exact"/>
        <w:ind w:left="1508" w:leftChars="0" w:hanging="708" w:firstLineChars="0"/>
        <w:rPr>
          <w:rFonts w:hint="eastAsia"/>
          <w:sz w:val="21"/>
          <w:szCs w:val="21"/>
          <w:highlight w:val="none"/>
        </w:rPr>
      </w:pPr>
      <w:r>
        <w:rPr>
          <w:rFonts w:hint="eastAsia"/>
          <w:sz w:val="21"/>
          <w:szCs w:val="21"/>
          <w:highlight w:val="none"/>
        </w:rPr>
        <w:t>▲简易数字滤波器的FPGA控制软硬件</w:t>
      </w:r>
      <w:r>
        <w:rPr>
          <w:rFonts w:hint="eastAsia"/>
          <w:sz w:val="21"/>
          <w:szCs w:val="21"/>
          <w:highlight w:val="none"/>
          <w:lang w:eastAsia="zh-CN"/>
        </w:rPr>
        <w:t>；</w:t>
      </w:r>
    </w:p>
    <w:p w14:paraId="74721579">
      <w:pPr>
        <w:numPr>
          <w:ilvl w:val="2"/>
          <w:numId w:val="55"/>
        </w:numPr>
        <w:spacing w:line="460" w:lineRule="exact"/>
        <w:ind w:left="1508" w:leftChars="0" w:hanging="708" w:firstLineChars="0"/>
        <w:rPr>
          <w:rFonts w:hint="eastAsia"/>
          <w:sz w:val="21"/>
          <w:szCs w:val="21"/>
          <w:highlight w:val="none"/>
        </w:rPr>
      </w:pPr>
      <w:r>
        <w:rPr>
          <w:rFonts w:hint="eastAsia"/>
          <w:sz w:val="21"/>
          <w:szCs w:val="21"/>
          <w:highlight w:val="none"/>
        </w:rPr>
        <w:t>▲SOPC中DDS发生器的设计与实现源码</w:t>
      </w:r>
      <w:r>
        <w:rPr>
          <w:rFonts w:hint="eastAsia"/>
          <w:sz w:val="21"/>
          <w:szCs w:val="21"/>
          <w:highlight w:val="none"/>
          <w:lang w:eastAsia="zh-CN"/>
        </w:rPr>
        <w:t>；</w:t>
      </w:r>
    </w:p>
    <w:p w14:paraId="6E6416C6">
      <w:pPr>
        <w:numPr>
          <w:ilvl w:val="2"/>
          <w:numId w:val="55"/>
        </w:numPr>
        <w:spacing w:line="460" w:lineRule="exact"/>
        <w:ind w:left="1508" w:leftChars="0" w:hanging="708" w:firstLineChars="0"/>
        <w:rPr>
          <w:sz w:val="21"/>
          <w:szCs w:val="21"/>
          <w:highlight w:val="none"/>
        </w:rPr>
      </w:pPr>
      <w:r>
        <w:rPr>
          <w:rFonts w:hint="eastAsia"/>
          <w:sz w:val="21"/>
          <w:szCs w:val="21"/>
          <w:highlight w:val="none"/>
        </w:rPr>
        <w:t>▲SOPC中的GPIO实现SOPC中的传感器读取与显示</w:t>
      </w:r>
      <w:r>
        <w:rPr>
          <w:rFonts w:hint="eastAsia"/>
          <w:sz w:val="21"/>
          <w:szCs w:val="21"/>
          <w:highlight w:val="none"/>
          <w:lang w:eastAsia="zh-CN"/>
        </w:rPr>
        <w:t>。</w:t>
      </w:r>
    </w:p>
    <w:p w14:paraId="7FD02C18">
      <w:pPr>
        <w:numPr>
          <w:ilvl w:val="-1"/>
          <w:numId w:val="0"/>
        </w:numPr>
        <w:spacing w:line="460" w:lineRule="exact"/>
        <w:ind w:left="0" w:leftChars="0" w:firstLine="0"/>
        <w:rPr>
          <w:rFonts w:ascii="宋体" w:hAnsi="宋体"/>
          <w:bCs/>
          <w:szCs w:val="24"/>
          <w:highlight w:val="none"/>
        </w:rPr>
      </w:pPr>
    </w:p>
    <w:p w14:paraId="192F2C2C">
      <w:pPr>
        <w:pStyle w:val="270"/>
        <w:adjustRightInd w:val="0"/>
        <w:snapToGrid w:val="0"/>
        <w:spacing w:line="360" w:lineRule="auto"/>
        <w:rPr>
          <w:rFonts w:ascii="宋体" w:hAnsi="宋体" w:cs="宋体"/>
          <w:color w:val="auto"/>
          <w:kern w:val="0"/>
          <w:szCs w:val="21"/>
          <w:highlight w:val="none"/>
        </w:rPr>
      </w:pPr>
    </w:p>
    <w:p w14:paraId="64769D1D">
      <w:pPr>
        <w:pStyle w:val="270"/>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说明：</w:t>
      </w:r>
    </w:p>
    <w:p w14:paraId="4E56F499">
      <w:pPr>
        <w:pStyle w:val="270"/>
        <w:numPr>
          <w:ilvl w:val="0"/>
          <w:numId w:val="56"/>
        </w:numPr>
        <w:adjustRightInd w:val="0"/>
        <w:snapToGrid w:val="0"/>
        <w:spacing w:line="360" w:lineRule="auto"/>
        <w:rPr>
          <w:rFonts w:ascii="宋体" w:hAnsi="宋体"/>
          <w:b/>
          <w:bCs/>
          <w:color w:val="auto"/>
          <w:szCs w:val="21"/>
          <w:highlight w:val="none"/>
        </w:rPr>
      </w:pPr>
      <w:r>
        <w:rPr>
          <w:rFonts w:hint="eastAsia" w:ascii="宋体" w:hAnsi="宋体"/>
          <w:b/>
          <w:bCs/>
          <w:color w:val="auto"/>
          <w:szCs w:val="21"/>
          <w:highlight w:val="none"/>
        </w:rPr>
        <w:t>采购人需求中打“▲”号条款为重点评审响应条款，</w:t>
      </w:r>
      <w:r>
        <w:rPr>
          <w:rFonts w:hint="eastAsia"/>
          <w:color w:val="000000" w:themeColor="text1"/>
          <w:highlight w:val="none"/>
          <w:lang w:eastAsia="zh-CN"/>
          <w14:textFill>
            <w14:solidFill>
              <w14:schemeClr w14:val="tx1"/>
            </w14:solidFill>
          </w14:textFill>
        </w:rPr>
        <w:t>供应商</w:t>
      </w:r>
      <w:r>
        <w:rPr>
          <w:rFonts w:hint="eastAsia" w:ascii="宋体" w:hAnsi="宋体"/>
          <w:b/>
          <w:bCs/>
          <w:color w:val="auto"/>
          <w:szCs w:val="21"/>
          <w:highlight w:val="none"/>
        </w:rPr>
        <w:t>如有任何一条负偏离则影响评分。所有对标“▲”技术内容的响应均应提供支撑资料（明确说明该技术内容的公开发行的产品</w:t>
      </w:r>
      <w:r>
        <w:rPr>
          <w:rFonts w:hint="eastAsia" w:ascii="宋体" w:hAnsi="宋体"/>
          <w:b/>
          <w:bCs/>
          <w:color w:val="auto"/>
          <w:szCs w:val="21"/>
          <w:highlight w:val="none"/>
          <w:lang w:val="en-US" w:eastAsia="zh-CN"/>
        </w:rPr>
        <w:t>画册</w:t>
      </w:r>
      <w:r>
        <w:rPr>
          <w:rFonts w:hint="eastAsia" w:ascii="宋体" w:hAnsi="宋体"/>
          <w:b/>
          <w:bCs/>
          <w:color w:val="auto"/>
          <w:szCs w:val="21"/>
          <w:highlight w:val="none"/>
        </w:rPr>
        <w:t>或</w:t>
      </w:r>
      <w:r>
        <w:rPr>
          <w:rFonts w:hint="eastAsia" w:ascii="宋体" w:hAnsi="宋体"/>
          <w:b/>
          <w:bCs/>
          <w:color w:val="auto"/>
          <w:szCs w:val="21"/>
          <w:highlight w:val="none"/>
          <w:lang w:val="en-US" w:eastAsia="zh-CN"/>
        </w:rPr>
        <w:t>产品功能</w:t>
      </w:r>
      <w:r>
        <w:rPr>
          <w:rFonts w:hint="eastAsia" w:ascii="宋体" w:hAnsi="宋体"/>
          <w:b/>
          <w:bCs/>
          <w:color w:val="auto"/>
          <w:szCs w:val="21"/>
          <w:highlight w:val="none"/>
        </w:rPr>
        <w:t>截图等证明材料）</w:t>
      </w:r>
    </w:p>
    <w:p w14:paraId="1D2A6084">
      <w:pPr>
        <w:pStyle w:val="270"/>
        <w:adjustRightInd w:val="0"/>
        <w:snapToGrid w:val="0"/>
        <w:spacing w:line="360" w:lineRule="auto"/>
        <w:rPr>
          <w:rFonts w:ascii="宋体" w:hAnsi="宋体"/>
          <w:bCs/>
          <w:color w:val="auto"/>
          <w:szCs w:val="21"/>
          <w:highlight w:val="none"/>
        </w:rPr>
      </w:pP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）凡属于政府强制采购节能产品，请</w:t>
      </w:r>
      <w:r>
        <w:rPr>
          <w:rFonts w:hint="eastAsia"/>
          <w:color w:val="000000" w:themeColor="text1"/>
          <w:highlight w:val="none"/>
          <w:lang w:eastAsia="zh-CN"/>
          <w14:textFill>
            <w14:solidFill>
              <w14:schemeClr w14:val="tx1"/>
            </w14:solidFill>
          </w14:textFill>
        </w:rPr>
        <w:t>供应商</w:t>
      </w:r>
      <w:r>
        <w:rPr>
          <w:rFonts w:hint="eastAsia" w:ascii="宋体" w:hAnsi="宋体"/>
          <w:bCs/>
          <w:color w:val="auto"/>
          <w:szCs w:val="21"/>
          <w:highlight w:val="none"/>
        </w:rPr>
        <w:t>承诺在交货时提供《节能产品政府采购清单》中的产品。（注：《节能产品政府采购清单》</w:t>
      </w:r>
      <w:r>
        <w:rPr>
          <w:rFonts w:hint="eastAsia"/>
          <w:color w:val="000000" w:themeColor="text1"/>
          <w:highlight w:val="none"/>
          <w:lang w:eastAsia="zh-CN"/>
          <w14:textFill>
            <w14:solidFill>
              <w14:schemeClr w14:val="tx1"/>
            </w14:solidFill>
          </w14:textFill>
        </w:rPr>
        <w:t>供应商</w:t>
      </w:r>
      <w:r>
        <w:rPr>
          <w:rFonts w:hint="eastAsia" w:ascii="宋体" w:hAnsi="宋体"/>
          <w:bCs/>
          <w:color w:val="auto"/>
          <w:szCs w:val="21"/>
          <w:highlight w:val="none"/>
        </w:rPr>
        <w:t>可查询中国政府采购网&lt;http://www.ccgp.gov.cn）</w:t>
      </w:r>
    </w:p>
    <w:p w14:paraId="5E5B30A9">
      <w:pPr>
        <w:pStyle w:val="270"/>
        <w:adjustRightInd w:val="0"/>
        <w:snapToGrid w:val="0"/>
        <w:spacing w:line="360" w:lineRule="auto"/>
        <w:rPr>
          <w:rFonts w:ascii="宋体" w:hAnsi="宋体"/>
          <w:color w:val="auto"/>
          <w:highlight w:val="none"/>
        </w:rPr>
      </w:pPr>
      <w:r>
        <w:rPr>
          <w:rFonts w:hint="eastAsia" w:ascii="宋体" w:hAnsi="宋体"/>
          <w:bCs/>
          <w:color w:val="auto"/>
          <w:szCs w:val="21"/>
          <w:highlight w:val="none"/>
        </w:rPr>
        <w:t>（</w:t>
      </w:r>
      <w:r>
        <w:rPr>
          <w:rFonts w:ascii="宋体" w:hAnsi="宋体"/>
          <w:bCs/>
          <w:color w:val="auto"/>
          <w:szCs w:val="21"/>
          <w:highlight w:val="none"/>
        </w:rPr>
        <w:t>3</w:t>
      </w:r>
      <w:r>
        <w:rPr>
          <w:rFonts w:hint="eastAsia" w:ascii="宋体" w:hAnsi="宋体"/>
          <w:bCs/>
          <w:color w:val="auto"/>
          <w:szCs w:val="21"/>
          <w:highlight w:val="none"/>
        </w:rPr>
        <w:t>）凡属于《中华人民共和国实施强制性产品认证的产品目录》的产品，交货时不能提供超出此目录范畴外的替代品，产品还须同时具备国家认证认可监督管理委员会颁布的《中国强制认证》（CCC认证）。</w:t>
      </w:r>
    </w:p>
    <w:p w14:paraId="6A2DB765">
      <w:pPr>
        <w:autoSpaceDE w:val="0"/>
        <w:autoSpaceDN w:val="0"/>
        <w:adjustRightInd w:val="0"/>
        <w:snapToGrid w:val="0"/>
        <w:spacing w:line="360" w:lineRule="auto"/>
        <w:ind w:firstLine="420" w:firstLineChars="200"/>
        <w:jc w:val="center"/>
        <w:rPr>
          <w:color w:val="000000" w:themeColor="text1"/>
          <w:highlight w:val="none"/>
          <w14:textFill>
            <w14:solidFill>
              <w14:schemeClr w14:val="tx1"/>
            </w14:solidFill>
          </w14:textFill>
        </w:rPr>
      </w:pPr>
      <w:r>
        <w:rPr>
          <w:rFonts w:ascii="宋体" w:hAnsi="宋体"/>
          <w:color w:val="auto"/>
          <w:highlight w:val="none"/>
        </w:rPr>
        <w:br w:type="page"/>
      </w:r>
    </w:p>
    <w:p w14:paraId="1B94DEF0">
      <w:pPr>
        <w:pStyle w:val="2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  合同主要条款及格式</w:t>
      </w:r>
    </w:p>
    <w:p w14:paraId="7FBADA43">
      <w:pPr>
        <w:pStyle w:val="17"/>
        <w:ind w:firstLine="480"/>
        <w:rPr>
          <w:color w:val="000000" w:themeColor="text1"/>
          <w:highlight w:val="none"/>
          <w14:textFill>
            <w14:solidFill>
              <w14:schemeClr w14:val="tx1"/>
            </w14:solidFill>
          </w14:textFill>
        </w:rPr>
      </w:pPr>
      <w:bookmarkStart w:id="6" w:name="_Toc513029243"/>
      <w:bookmarkStart w:id="7" w:name="_Toc20823315"/>
      <w:bookmarkStart w:id="8" w:name="_Toc16938559"/>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6"/>
    <w:bookmarkEnd w:id="7"/>
    <w:bookmarkEnd w:id="8"/>
    <w:p w14:paraId="7311761A">
      <w:pPr>
        <w:widowControl/>
        <w:snapToGrid w:val="0"/>
        <w:spacing w:before="19"/>
        <w:ind w:left="-358" w:leftChars="-255" w:right="-334" w:rightChars="-159" w:hanging="177" w:hangingChars="49"/>
        <w:jc w:val="center"/>
        <w:rPr>
          <w:rFonts w:ascii="仿宋_GB2312" w:eastAsia="仿宋_GB2312"/>
          <w:b/>
          <w:sz w:val="36"/>
          <w:highlight w:val="none"/>
        </w:rPr>
      </w:pPr>
      <w:bookmarkStart w:id="9" w:name="_Hlt16619369"/>
      <w:bookmarkEnd w:id="9"/>
      <w:r>
        <w:rPr>
          <w:rFonts w:hint="eastAsia" w:ascii="仿宋_GB2312" w:eastAsia="仿宋_GB2312"/>
          <w:b/>
          <w:sz w:val="36"/>
          <w:highlight w:val="none"/>
        </w:rPr>
        <w:t>南京邮电大学采购合同</w:t>
      </w:r>
    </w:p>
    <w:p w14:paraId="761CAFB5">
      <w:pPr>
        <w:wordWrap w:val="0"/>
        <w:spacing w:line="240" w:lineRule="atLeast"/>
        <w:rPr>
          <w:rFonts w:ascii="仿宋_GB2312"/>
          <w:sz w:val="24"/>
          <w:highlight w:val="none"/>
        </w:rPr>
      </w:pPr>
      <w:r>
        <w:rPr>
          <w:rFonts w:hint="eastAsia" w:ascii="仿宋_GB2312"/>
          <w:sz w:val="24"/>
          <w:highlight w:val="none"/>
        </w:rPr>
        <w:t>甲方：南京邮电大学                             签订地点：南京邮电大学</w:t>
      </w:r>
    </w:p>
    <w:p w14:paraId="2B92701E">
      <w:pPr>
        <w:widowControl/>
        <w:snapToGrid w:val="0"/>
        <w:spacing w:before="19"/>
        <w:rPr>
          <w:rFonts w:ascii="仿宋_GB2312"/>
          <w:sz w:val="24"/>
          <w:highlight w:val="none"/>
        </w:rPr>
      </w:pPr>
      <w:r>
        <w:rPr>
          <w:rFonts w:hint="eastAsia" w:ascii="仿宋_GB2312"/>
          <w:sz w:val="24"/>
          <w:highlight w:val="none"/>
        </w:rPr>
        <w:t xml:space="preserve">乙方：                                          </w:t>
      </w:r>
    </w:p>
    <w:p w14:paraId="35A8B968">
      <w:pPr>
        <w:widowControl/>
        <w:snapToGrid w:val="0"/>
        <w:spacing w:before="19"/>
        <w:rPr>
          <w:rFonts w:ascii="仿宋_GB2312"/>
          <w:sz w:val="24"/>
          <w:highlight w:val="none"/>
        </w:rPr>
      </w:pPr>
      <w:r>
        <w:rPr>
          <w:rFonts w:hint="eastAsia" w:ascii="仿宋_GB2312"/>
          <w:sz w:val="24"/>
          <w:highlight w:val="none"/>
        </w:rPr>
        <w:t xml:space="preserve">    甲乙双方根据</w:t>
      </w:r>
      <w:r>
        <w:rPr>
          <w:rFonts w:hint="eastAsia" w:hAnsi="宋体"/>
          <w:sz w:val="24"/>
          <w:highlight w:val="none"/>
          <w:u w:val="single"/>
        </w:rPr>
        <w:t xml:space="preserve">                </w:t>
      </w:r>
      <w:r>
        <w:rPr>
          <w:sz w:val="24"/>
          <w:highlight w:val="none"/>
          <w:u w:val="single"/>
        </w:rPr>
        <w:t xml:space="preserve">  </w:t>
      </w:r>
      <w:r>
        <w:rPr>
          <w:rFonts w:hint="eastAsia" w:hAnsi="宋体"/>
          <w:sz w:val="24"/>
          <w:highlight w:val="none"/>
        </w:rPr>
        <w:t>项目</w:t>
      </w:r>
      <w:r>
        <w:rPr>
          <w:rFonts w:hint="eastAsia" w:ascii="仿宋_GB2312"/>
          <w:sz w:val="24"/>
          <w:highlight w:val="none"/>
        </w:rPr>
        <w:t>采购结果,依据《中华人民共和国民法典》合同编及相关法律规定，达成如下货物购销合同:</w:t>
      </w:r>
    </w:p>
    <w:p w14:paraId="59BCF784">
      <w:pPr>
        <w:widowControl/>
        <w:snapToGrid w:val="0"/>
        <w:spacing w:before="19"/>
        <w:rPr>
          <w:rFonts w:ascii="仿宋_GB2312"/>
          <w:sz w:val="24"/>
          <w:highlight w:val="none"/>
        </w:rPr>
      </w:pPr>
      <w:r>
        <w:rPr>
          <w:rFonts w:hint="eastAsia" w:ascii="仿宋_GB2312"/>
          <w:sz w:val="24"/>
          <w:highlight w:val="none"/>
        </w:rPr>
        <w:t>一、货物及其数量、金额：</w:t>
      </w:r>
    </w:p>
    <w:tbl>
      <w:tblPr>
        <w:tblStyle w:val="44"/>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6A2CAE1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38E81A09">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编号</w:t>
            </w:r>
          </w:p>
        </w:tc>
        <w:tc>
          <w:tcPr>
            <w:tcW w:w="1260" w:type="dxa"/>
            <w:tcBorders>
              <w:top w:val="single" w:color="auto" w:sz="18" w:space="0"/>
              <w:bottom w:val="single" w:color="auto" w:sz="18" w:space="0"/>
            </w:tcBorders>
            <w:shd w:val="pct10" w:color="auto" w:fill="FFFFFF"/>
            <w:vAlign w:val="center"/>
          </w:tcPr>
          <w:p w14:paraId="0946C6CF">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货物名称</w:t>
            </w:r>
          </w:p>
        </w:tc>
        <w:tc>
          <w:tcPr>
            <w:tcW w:w="4320" w:type="dxa"/>
            <w:tcBorders>
              <w:top w:val="single" w:color="auto" w:sz="18" w:space="0"/>
              <w:bottom w:val="single" w:color="auto" w:sz="18" w:space="0"/>
            </w:tcBorders>
            <w:shd w:val="pct10" w:color="auto" w:fill="FFFFFF"/>
            <w:vAlign w:val="center"/>
          </w:tcPr>
          <w:p w14:paraId="28D44158">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规</w:t>
            </w:r>
            <w:r>
              <w:rPr>
                <w:rFonts w:ascii="Arial" w:hAnsi="Arial" w:eastAsia="楷体_GB2312"/>
                <w:b/>
                <w:sz w:val="24"/>
                <w:highlight w:val="none"/>
              </w:rPr>
              <w:t xml:space="preserve"> </w:t>
            </w:r>
            <w:r>
              <w:rPr>
                <w:rFonts w:hint="eastAsia" w:ascii="Arial" w:hAnsi="Arial" w:eastAsia="楷体_GB2312"/>
                <w:b/>
                <w:sz w:val="24"/>
                <w:highlight w:val="none"/>
              </w:rPr>
              <w:t>格</w:t>
            </w:r>
            <w:r>
              <w:rPr>
                <w:rFonts w:ascii="Arial" w:hAnsi="Arial" w:eastAsia="楷体_GB2312"/>
                <w:b/>
                <w:sz w:val="24"/>
                <w:highlight w:val="none"/>
              </w:rPr>
              <w:t xml:space="preserve"> </w:t>
            </w:r>
            <w:r>
              <w:rPr>
                <w:rFonts w:hint="eastAsia" w:ascii="Arial" w:hAnsi="Arial" w:eastAsia="楷体_GB2312"/>
                <w:b/>
                <w:sz w:val="24"/>
                <w:highlight w:val="none"/>
              </w:rPr>
              <w:t>型</w:t>
            </w:r>
            <w:r>
              <w:rPr>
                <w:rFonts w:ascii="Arial" w:hAnsi="Arial" w:eastAsia="楷体_GB2312"/>
                <w:b/>
                <w:sz w:val="24"/>
                <w:highlight w:val="none"/>
              </w:rPr>
              <w:t xml:space="preserve"> </w:t>
            </w:r>
            <w:r>
              <w:rPr>
                <w:rFonts w:hint="eastAsia" w:ascii="Arial" w:hAnsi="Arial" w:eastAsia="楷体_GB2312"/>
                <w:b/>
                <w:sz w:val="24"/>
                <w:highlight w:val="none"/>
              </w:rPr>
              <w:t>号（品牌）</w:t>
            </w:r>
          </w:p>
        </w:tc>
        <w:tc>
          <w:tcPr>
            <w:tcW w:w="1080" w:type="dxa"/>
            <w:tcBorders>
              <w:top w:val="single" w:color="auto" w:sz="18" w:space="0"/>
              <w:bottom w:val="single" w:color="auto" w:sz="18" w:space="0"/>
            </w:tcBorders>
            <w:shd w:val="pct10" w:color="auto" w:fill="FFFFFF"/>
            <w:vAlign w:val="center"/>
          </w:tcPr>
          <w:p w14:paraId="016EF6A0">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603AB43B">
            <w:pPr>
              <w:snapToGrid w:val="0"/>
              <w:spacing w:line="240" w:lineRule="atLeast"/>
              <w:jc w:val="center"/>
              <w:rPr>
                <w:rFonts w:ascii="Arial" w:hAnsi="Arial" w:eastAsia="楷体_GB2312"/>
                <w:b/>
                <w:sz w:val="24"/>
                <w:highlight w:val="none"/>
              </w:rPr>
            </w:pPr>
            <w:r>
              <w:rPr>
                <w:rFonts w:hint="eastAsia" w:ascii="Arial" w:hAnsi="Arial" w:eastAsia="楷体_GB2312"/>
                <w:b/>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60210162">
            <w:pPr>
              <w:widowControl/>
              <w:jc w:val="left"/>
              <w:rPr>
                <w:rFonts w:ascii="Arial" w:hAnsi="Arial" w:eastAsia="楷体_GB2312"/>
                <w:b/>
                <w:sz w:val="24"/>
                <w:highlight w:val="none"/>
              </w:rPr>
            </w:pPr>
            <w:r>
              <w:rPr>
                <w:rFonts w:hint="eastAsia" w:ascii="Arial" w:hAnsi="Arial" w:eastAsia="楷体_GB2312"/>
                <w:b/>
                <w:sz w:val="24"/>
                <w:highlight w:val="none"/>
              </w:rPr>
              <w:t>总价（元）</w:t>
            </w:r>
          </w:p>
        </w:tc>
      </w:tr>
      <w:tr w14:paraId="7849464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50053D25">
            <w:pPr>
              <w:snapToGrid w:val="0"/>
              <w:spacing w:line="600" w:lineRule="atLeast"/>
              <w:rPr>
                <w:rFonts w:ascii="Arial" w:hAnsi="Arial"/>
                <w:b/>
                <w:sz w:val="24"/>
                <w:highlight w:val="none"/>
              </w:rPr>
            </w:pPr>
            <w:r>
              <w:rPr>
                <w:rFonts w:hint="eastAsia" w:ascii="Arial" w:hAnsi="Arial"/>
                <w:b/>
                <w:sz w:val="24"/>
                <w:highlight w:val="none"/>
              </w:rPr>
              <w:t>1</w:t>
            </w:r>
          </w:p>
        </w:tc>
        <w:tc>
          <w:tcPr>
            <w:tcW w:w="1260" w:type="dxa"/>
            <w:tcBorders>
              <w:top w:val="nil"/>
              <w:bottom w:val="single" w:color="auto" w:sz="4" w:space="0"/>
            </w:tcBorders>
            <w:vAlign w:val="center"/>
          </w:tcPr>
          <w:p w14:paraId="58685559">
            <w:pPr>
              <w:snapToGrid w:val="0"/>
              <w:spacing w:line="600" w:lineRule="atLeast"/>
              <w:jc w:val="center"/>
              <w:rPr>
                <w:highlight w:val="none"/>
              </w:rPr>
            </w:pPr>
          </w:p>
        </w:tc>
        <w:tc>
          <w:tcPr>
            <w:tcW w:w="4320" w:type="dxa"/>
            <w:tcBorders>
              <w:top w:val="nil"/>
              <w:bottom w:val="single" w:color="auto" w:sz="4" w:space="0"/>
            </w:tcBorders>
            <w:vAlign w:val="center"/>
          </w:tcPr>
          <w:p w14:paraId="286079CA">
            <w:pPr>
              <w:spacing w:line="360" w:lineRule="auto"/>
              <w:rPr>
                <w:rFonts w:ascii="宋体" w:hAnsi="宋体" w:cs="宋体"/>
                <w:color w:val="000000"/>
                <w:szCs w:val="21"/>
                <w:highlight w:val="none"/>
              </w:rPr>
            </w:pPr>
          </w:p>
        </w:tc>
        <w:tc>
          <w:tcPr>
            <w:tcW w:w="1080" w:type="dxa"/>
            <w:tcBorders>
              <w:top w:val="nil"/>
              <w:bottom w:val="single" w:color="auto" w:sz="4" w:space="0"/>
            </w:tcBorders>
            <w:vAlign w:val="center"/>
          </w:tcPr>
          <w:p w14:paraId="107255E8">
            <w:pPr>
              <w:snapToGrid w:val="0"/>
              <w:spacing w:line="600" w:lineRule="atLeast"/>
              <w:ind w:firstLine="118" w:firstLineChars="49"/>
              <w:rPr>
                <w:rFonts w:ascii="宋体" w:hAnsi="宋体"/>
                <w:b/>
                <w:sz w:val="24"/>
                <w:highlight w:val="none"/>
              </w:rPr>
            </w:pPr>
          </w:p>
        </w:tc>
        <w:tc>
          <w:tcPr>
            <w:tcW w:w="1080" w:type="dxa"/>
            <w:tcBorders>
              <w:top w:val="nil"/>
              <w:bottom w:val="single" w:color="auto" w:sz="4" w:space="0"/>
              <w:right w:val="single" w:color="auto" w:sz="4" w:space="0"/>
            </w:tcBorders>
            <w:vAlign w:val="center"/>
          </w:tcPr>
          <w:p w14:paraId="2369118E">
            <w:pPr>
              <w:spacing w:line="240" w:lineRule="atLeast"/>
              <w:jc w:val="center"/>
              <w:rPr>
                <w:b/>
                <w:highlight w:val="none"/>
              </w:rPr>
            </w:pPr>
          </w:p>
        </w:tc>
        <w:tc>
          <w:tcPr>
            <w:tcW w:w="1260" w:type="dxa"/>
            <w:tcBorders>
              <w:top w:val="nil"/>
              <w:bottom w:val="single" w:color="auto" w:sz="4" w:space="0"/>
              <w:right w:val="single" w:color="auto" w:sz="4" w:space="0"/>
            </w:tcBorders>
            <w:vAlign w:val="center"/>
          </w:tcPr>
          <w:p w14:paraId="1ACE90FD">
            <w:pPr>
              <w:spacing w:line="360" w:lineRule="auto"/>
              <w:rPr>
                <w:highlight w:val="none"/>
              </w:rPr>
            </w:pPr>
          </w:p>
        </w:tc>
      </w:tr>
      <w:tr w14:paraId="5F77E7F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5FB627D0">
            <w:pPr>
              <w:snapToGrid w:val="0"/>
              <w:spacing w:line="600" w:lineRule="atLeast"/>
              <w:rPr>
                <w:rFonts w:ascii="Arial" w:hAnsi="Arial"/>
                <w:b/>
                <w:sz w:val="24"/>
                <w:highlight w:val="none"/>
              </w:rPr>
            </w:pPr>
            <w:r>
              <w:rPr>
                <w:rFonts w:hint="eastAsia" w:ascii="Arial" w:hAnsi="Arial"/>
                <w:b/>
                <w:sz w:val="24"/>
                <w:highlight w:val="none"/>
              </w:rPr>
              <w:t>2</w:t>
            </w:r>
          </w:p>
        </w:tc>
        <w:tc>
          <w:tcPr>
            <w:tcW w:w="1260" w:type="dxa"/>
            <w:tcBorders>
              <w:top w:val="single" w:color="auto" w:sz="4" w:space="0"/>
              <w:bottom w:val="single" w:color="auto" w:sz="4" w:space="0"/>
            </w:tcBorders>
            <w:vAlign w:val="center"/>
          </w:tcPr>
          <w:p w14:paraId="0164B8DC">
            <w:pPr>
              <w:snapToGrid w:val="0"/>
              <w:spacing w:line="600" w:lineRule="atLeast"/>
              <w:jc w:val="center"/>
              <w:rPr>
                <w:highlight w:val="none"/>
              </w:rPr>
            </w:pPr>
          </w:p>
        </w:tc>
        <w:tc>
          <w:tcPr>
            <w:tcW w:w="4320" w:type="dxa"/>
            <w:tcBorders>
              <w:top w:val="single" w:color="auto" w:sz="4" w:space="0"/>
              <w:bottom w:val="single" w:color="auto" w:sz="4" w:space="0"/>
            </w:tcBorders>
            <w:vAlign w:val="center"/>
          </w:tcPr>
          <w:p w14:paraId="33134F54">
            <w:pPr>
              <w:spacing w:line="360" w:lineRule="auto"/>
              <w:rPr>
                <w:b/>
                <w:sz w:val="18"/>
                <w:szCs w:val="18"/>
                <w:highlight w:val="none"/>
              </w:rPr>
            </w:pPr>
          </w:p>
        </w:tc>
        <w:tc>
          <w:tcPr>
            <w:tcW w:w="1080" w:type="dxa"/>
            <w:tcBorders>
              <w:top w:val="single" w:color="auto" w:sz="4" w:space="0"/>
              <w:bottom w:val="single" w:color="auto" w:sz="4" w:space="0"/>
            </w:tcBorders>
            <w:vAlign w:val="center"/>
          </w:tcPr>
          <w:p w14:paraId="17D83898">
            <w:pPr>
              <w:snapToGrid w:val="0"/>
              <w:spacing w:line="600" w:lineRule="atLeast"/>
              <w:ind w:firstLine="118" w:firstLineChars="49"/>
              <w:rPr>
                <w:rFonts w:ascii="宋体" w:hAnsi="宋体"/>
                <w:b/>
                <w:sz w:val="24"/>
                <w:highlight w:val="none"/>
              </w:rPr>
            </w:pPr>
          </w:p>
        </w:tc>
        <w:tc>
          <w:tcPr>
            <w:tcW w:w="1080" w:type="dxa"/>
            <w:tcBorders>
              <w:top w:val="single" w:color="auto" w:sz="4" w:space="0"/>
              <w:bottom w:val="single" w:color="auto" w:sz="4" w:space="0"/>
              <w:right w:val="single" w:color="auto" w:sz="4" w:space="0"/>
            </w:tcBorders>
            <w:vAlign w:val="center"/>
          </w:tcPr>
          <w:p w14:paraId="43BFDED2">
            <w:pPr>
              <w:snapToGrid w:val="0"/>
              <w:spacing w:line="600" w:lineRule="atLeast"/>
              <w:ind w:firstLine="118" w:firstLineChars="49"/>
              <w:rPr>
                <w:rFonts w:ascii="宋体" w:hAnsi="宋体"/>
                <w:b/>
                <w:sz w:val="24"/>
                <w:highlight w:val="none"/>
              </w:rPr>
            </w:pPr>
          </w:p>
        </w:tc>
        <w:tc>
          <w:tcPr>
            <w:tcW w:w="1260" w:type="dxa"/>
            <w:tcBorders>
              <w:top w:val="single" w:color="auto" w:sz="4" w:space="0"/>
              <w:bottom w:val="single" w:color="auto" w:sz="4" w:space="0"/>
              <w:right w:val="single" w:color="auto" w:sz="4" w:space="0"/>
            </w:tcBorders>
            <w:vAlign w:val="center"/>
          </w:tcPr>
          <w:p w14:paraId="2C822B21">
            <w:pPr>
              <w:spacing w:line="360" w:lineRule="auto"/>
              <w:rPr>
                <w:highlight w:val="none"/>
              </w:rPr>
            </w:pPr>
          </w:p>
        </w:tc>
      </w:tr>
      <w:tr w14:paraId="42377FB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7D411BAF">
            <w:pPr>
              <w:snapToGrid w:val="0"/>
              <w:spacing w:line="600" w:lineRule="atLeast"/>
              <w:rPr>
                <w:rFonts w:ascii="Arial" w:hAnsi="Arial"/>
                <w:b/>
                <w:sz w:val="24"/>
                <w:highlight w:val="none"/>
              </w:rPr>
            </w:pPr>
            <w:r>
              <w:rPr>
                <w:rFonts w:hint="eastAsia" w:ascii="Arial" w:hAnsi="Arial"/>
                <w:b/>
                <w:sz w:val="24"/>
                <w:highlight w:val="none"/>
              </w:rPr>
              <w:t>3</w:t>
            </w:r>
          </w:p>
        </w:tc>
        <w:tc>
          <w:tcPr>
            <w:tcW w:w="1260" w:type="dxa"/>
            <w:tcBorders>
              <w:top w:val="single" w:color="auto" w:sz="4" w:space="0"/>
              <w:bottom w:val="single" w:color="auto" w:sz="4" w:space="0"/>
            </w:tcBorders>
            <w:vAlign w:val="center"/>
          </w:tcPr>
          <w:p w14:paraId="16ED43A8">
            <w:pPr>
              <w:snapToGrid w:val="0"/>
              <w:spacing w:line="600" w:lineRule="atLeast"/>
              <w:jc w:val="center"/>
              <w:rPr>
                <w:highlight w:val="none"/>
              </w:rPr>
            </w:pPr>
          </w:p>
        </w:tc>
        <w:tc>
          <w:tcPr>
            <w:tcW w:w="4320" w:type="dxa"/>
            <w:tcBorders>
              <w:top w:val="single" w:color="auto" w:sz="4" w:space="0"/>
              <w:bottom w:val="single" w:color="auto" w:sz="4" w:space="0"/>
            </w:tcBorders>
            <w:vAlign w:val="center"/>
          </w:tcPr>
          <w:p w14:paraId="1DB34B34">
            <w:pPr>
              <w:spacing w:line="360" w:lineRule="auto"/>
              <w:rPr>
                <w:b/>
                <w:sz w:val="18"/>
                <w:szCs w:val="18"/>
                <w:highlight w:val="none"/>
              </w:rPr>
            </w:pPr>
          </w:p>
        </w:tc>
        <w:tc>
          <w:tcPr>
            <w:tcW w:w="1080" w:type="dxa"/>
            <w:tcBorders>
              <w:top w:val="single" w:color="auto" w:sz="4" w:space="0"/>
              <w:bottom w:val="single" w:color="auto" w:sz="4" w:space="0"/>
            </w:tcBorders>
            <w:vAlign w:val="center"/>
          </w:tcPr>
          <w:p w14:paraId="76AA2173">
            <w:pPr>
              <w:snapToGrid w:val="0"/>
              <w:spacing w:line="600" w:lineRule="atLeast"/>
              <w:ind w:firstLine="118" w:firstLineChars="49"/>
              <w:rPr>
                <w:rFonts w:ascii="宋体" w:hAnsi="宋体"/>
                <w:b/>
                <w:sz w:val="24"/>
                <w:highlight w:val="none"/>
              </w:rPr>
            </w:pPr>
          </w:p>
        </w:tc>
        <w:tc>
          <w:tcPr>
            <w:tcW w:w="1080" w:type="dxa"/>
            <w:tcBorders>
              <w:top w:val="single" w:color="auto" w:sz="4" w:space="0"/>
              <w:bottom w:val="single" w:color="auto" w:sz="4" w:space="0"/>
              <w:right w:val="single" w:color="auto" w:sz="4" w:space="0"/>
            </w:tcBorders>
            <w:vAlign w:val="center"/>
          </w:tcPr>
          <w:p w14:paraId="49863905">
            <w:pPr>
              <w:snapToGrid w:val="0"/>
              <w:spacing w:line="600" w:lineRule="atLeast"/>
              <w:ind w:firstLine="118" w:firstLineChars="49"/>
              <w:rPr>
                <w:rFonts w:ascii="宋体" w:hAnsi="宋体"/>
                <w:b/>
                <w:sz w:val="24"/>
                <w:highlight w:val="none"/>
              </w:rPr>
            </w:pPr>
          </w:p>
        </w:tc>
        <w:tc>
          <w:tcPr>
            <w:tcW w:w="1260" w:type="dxa"/>
            <w:tcBorders>
              <w:top w:val="single" w:color="auto" w:sz="4" w:space="0"/>
              <w:bottom w:val="single" w:color="auto" w:sz="4" w:space="0"/>
              <w:right w:val="single" w:color="auto" w:sz="4" w:space="0"/>
            </w:tcBorders>
            <w:vAlign w:val="center"/>
          </w:tcPr>
          <w:p w14:paraId="7040510F">
            <w:pPr>
              <w:spacing w:line="360" w:lineRule="auto"/>
              <w:rPr>
                <w:highlight w:val="none"/>
              </w:rPr>
            </w:pPr>
          </w:p>
        </w:tc>
      </w:tr>
      <w:tr w14:paraId="17BF623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5C716062">
            <w:pPr>
              <w:rPr>
                <w:highlight w:val="none"/>
              </w:rPr>
            </w:pPr>
            <w:r>
              <w:rPr>
                <w:rFonts w:hint="eastAsia"/>
                <w:b/>
                <w:sz w:val="18"/>
                <w:szCs w:val="18"/>
                <w:highlight w:val="none"/>
              </w:rPr>
              <w:t xml:space="preserve">总价（人民币大写）：                                     </w:t>
            </w:r>
            <w:r>
              <w:rPr>
                <w:rFonts w:hint="eastAsia"/>
                <w:highlight w:val="none"/>
              </w:rPr>
              <w:t>合计（小写）：        元</w:t>
            </w:r>
          </w:p>
          <w:p w14:paraId="5A56E8A8">
            <w:pPr>
              <w:rPr>
                <w:highlight w:val="none"/>
              </w:rPr>
            </w:pPr>
            <w:r>
              <w:rPr>
                <w:rFonts w:hint="eastAsia" w:ascii="宋体" w:hAnsi="宋体"/>
                <w:sz w:val="18"/>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2DCE65E7">
      <w:pPr>
        <w:widowControl/>
        <w:snapToGrid w:val="0"/>
        <w:spacing w:before="19"/>
        <w:rPr>
          <w:rFonts w:ascii="仿宋_GB2312"/>
          <w:sz w:val="24"/>
          <w:highlight w:val="none"/>
        </w:rPr>
      </w:pPr>
      <w:r>
        <w:rPr>
          <w:rFonts w:hint="eastAsia" w:ascii="仿宋_GB2312"/>
          <w:sz w:val="24"/>
          <w:highlight w:val="none"/>
        </w:rPr>
        <w:t>二、交货时间：</w:t>
      </w:r>
      <w:r>
        <w:rPr>
          <w:rFonts w:hint="eastAsia" w:ascii="仿宋_GB2312"/>
          <w:sz w:val="24"/>
          <w:highlight w:val="none"/>
          <w:u w:val="single"/>
        </w:rPr>
        <w:t xml:space="preserve"> 在甲方指定时间供货。</w:t>
      </w:r>
    </w:p>
    <w:p w14:paraId="6871ECAE">
      <w:pPr>
        <w:widowControl/>
        <w:snapToGrid w:val="0"/>
        <w:spacing w:before="19"/>
        <w:rPr>
          <w:rFonts w:ascii="仿宋_GB2312"/>
          <w:sz w:val="24"/>
          <w:highlight w:val="none"/>
        </w:rPr>
      </w:pPr>
      <w:r>
        <w:rPr>
          <w:rFonts w:hint="eastAsia" w:ascii="仿宋_GB2312"/>
          <w:sz w:val="24"/>
          <w:highlight w:val="none"/>
        </w:rPr>
        <w:t>三、交货地点：由乙方负责运输至</w:t>
      </w:r>
      <w:r>
        <w:rPr>
          <w:rFonts w:hint="eastAsia" w:ascii="仿宋_GB2312"/>
          <w:sz w:val="24"/>
          <w:highlight w:val="none"/>
          <w:u w:val="single"/>
        </w:rPr>
        <w:t>甲方指定地点。</w:t>
      </w:r>
    </w:p>
    <w:p w14:paraId="46736B0A">
      <w:pPr>
        <w:widowControl/>
        <w:snapToGrid w:val="0"/>
        <w:spacing w:before="19"/>
        <w:rPr>
          <w:rFonts w:ascii="宋体"/>
          <w:sz w:val="24"/>
          <w:highlight w:val="none"/>
        </w:rPr>
      </w:pPr>
      <w:r>
        <w:rPr>
          <w:rFonts w:hint="eastAsia" w:ascii="宋体"/>
          <w:sz w:val="24"/>
          <w:highlight w:val="none"/>
        </w:rPr>
        <w:t>四、付款方式：到货并安装调试完毕，验收合格后30日内付至合同总价的100%。</w:t>
      </w:r>
    </w:p>
    <w:p w14:paraId="7719C3A0">
      <w:pPr>
        <w:widowControl/>
        <w:snapToGrid w:val="0"/>
        <w:spacing w:before="19"/>
        <w:rPr>
          <w:rFonts w:ascii="仿宋_GB2312"/>
          <w:sz w:val="24"/>
          <w:highlight w:val="none"/>
        </w:rPr>
      </w:pPr>
      <w:r>
        <w:rPr>
          <w:rFonts w:hint="eastAsia" w:ascii="仿宋_GB2312"/>
          <w:sz w:val="24"/>
          <w:highlight w:val="none"/>
        </w:rPr>
        <w:t>五、质保期：</w:t>
      </w:r>
      <w:r>
        <w:rPr>
          <w:rFonts w:hint="eastAsia" w:ascii="宋体"/>
          <w:sz w:val="24"/>
          <w:highlight w:val="none"/>
        </w:rPr>
        <w:t>_______</w:t>
      </w:r>
      <w:r>
        <w:rPr>
          <w:rFonts w:hint="eastAsia" w:ascii="仿宋_GB2312"/>
          <w:sz w:val="24"/>
          <w:highlight w:val="none"/>
        </w:rPr>
        <w:t>(</w:t>
      </w:r>
      <w:r>
        <w:rPr>
          <w:rFonts w:hint="eastAsia" w:hAnsi="宋体"/>
          <w:sz w:val="24"/>
          <w:highlight w:val="none"/>
        </w:rPr>
        <w:t>自验收合格之日起计。</w:t>
      </w:r>
      <w:r>
        <w:rPr>
          <w:rFonts w:hint="eastAsia" w:ascii="仿宋_GB2312"/>
          <w:sz w:val="24"/>
          <w:highlight w:val="none"/>
        </w:rPr>
        <w:t>所有货物保修服务方式均为乙方派员到货物使用现场维修，由此产生的一切费用均由乙方承担。)</w:t>
      </w:r>
    </w:p>
    <w:p w14:paraId="0FA66CC9">
      <w:pPr>
        <w:widowControl/>
        <w:snapToGrid w:val="0"/>
        <w:spacing w:before="19"/>
        <w:rPr>
          <w:rFonts w:ascii="仿宋_GB2312"/>
          <w:sz w:val="24"/>
          <w:highlight w:val="none"/>
        </w:rPr>
      </w:pPr>
      <w:r>
        <w:rPr>
          <w:rFonts w:hint="eastAsia" w:ascii="宋体"/>
          <w:sz w:val="24"/>
          <w:highlight w:val="none"/>
        </w:rPr>
        <w:t>六、质量要求、技术标准、乙方对质量负责的条件和期限：</w:t>
      </w:r>
    </w:p>
    <w:p w14:paraId="15010562">
      <w:pPr>
        <w:widowControl/>
        <w:snapToGrid w:val="0"/>
        <w:spacing w:before="19"/>
        <w:ind w:left="555"/>
        <w:rPr>
          <w:rFonts w:ascii="仿宋_GB2312"/>
          <w:sz w:val="24"/>
          <w:highlight w:val="none"/>
        </w:rPr>
      </w:pPr>
      <w:r>
        <w:rPr>
          <w:rFonts w:hint="eastAsia" w:ascii="仿宋_GB2312"/>
          <w:sz w:val="24"/>
          <w:highlight w:val="none"/>
        </w:rPr>
        <w:t>1、乙方所提供的货物，若技术性能无特殊说明，则按生产企业或国家有关部门最新颁布的标准及规范为准。</w:t>
      </w:r>
    </w:p>
    <w:p w14:paraId="4004D889">
      <w:pPr>
        <w:widowControl/>
        <w:snapToGrid w:val="0"/>
        <w:spacing w:before="19"/>
        <w:ind w:firstLine="600" w:firstLineChars="250"/>
        <w:rPr>
          <w:rFonts w:ascii="仿宋_GB2312"/>
          <w:sz w:val="24"/>
          <w:highlight w:val="none"/>
        </w:rPr>
      </w:pPr>
      <w:r>
        <w:rPr>
          <w:rFonts w:hint="eastAsia" w:ascii="仿宋_GB2312"/>
          <w:sz w:val="24"/>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7BE641C2">
      <w:pPr>
        <w:widowControl/>
        <w:snapToGrid w:val="0"/>
        <w:spacing w:before="19"/>
        <w:rPr>
          <w:rFonts w:ascii="仿宋_GB2312"/>
          <w:sz w:val="24"/>
          <w:highlight w:val="none"/>
        </w:rPr>
      </w:pPr>
      <w:r>
        <w:rPr>
          <w:rFonts w:hint="eastAsia" w:ascii="仿宋_GB2312"/>
          <w:sz w:val="24"/>
          <w:highlight w:val="none"/>
        </w:rPr>
        <w:t>七、验收标准：甲方应当在到货且安装调试完成后</w:t>
      </w:r>
      <w:r>
        <w:rPr>
          <w:rFonts w:hint="eastAsia" w:ascii="宋体"/>
          <w:sz w:val="24"/>
          <w:highlight w:val="none"/>
        </w:rPr>
        <w:t>___10___日</w:t>
      </w:r>
      <w:r>
        <w:rPr>
          <w:rFonts w:hint="eastAsia" w:ascii="仿宋_GB2312"/>
          <w:sz w:val="24"/>
          <w:highlight w:val="none"/>
        </w:rPr>
        <w:t>内对货物进行验收，验收包括：型号、规格、数量、外观质量、及货物包装是否完好，安装调试是否合格。所提供货物的装箱清单、用户手册、原厂保修卡、随机资料及配件、随机工具等是否齐全。验收时乙方必须在现场，验收合格后甲方应在验收记录上签字盖章。</w:t>
      </w:r>
    </w:p>
    <w:p w14:paraId="3A16C052">
      <w:pPr>
        <w:widowControl/>
        <w:snapToGrid w:val="0"/>
        <w:spacing w:before="19"/>
        <w:rPr>
          <w:rFonts w:ascii="仿宋_GB2312"/>
          <w:sz w:val="24"/>
          <w:highlight w:val="none"/>
        </w:rPr>
      </w:pPr>
      <w:r>
        <w:rPr>
          <w:rFonts w:hint="eastAsia" w:ascii="仿宋_GB2312"/>
          <w:sz w:val="24"/>
          <w:highlight w:val="none"/>
        </w:rPr>
        <w:t>八、 工程部分（两万元以上）需按南京邮电大学审计相关规定执行。</w:t>
      </w:r>
    </w:p>
    <w:p w14:paraId="3034E6A1">
      <w:pPr>
        <w:widowControl/>
        <w:snapToGrid w:val="0"/>
        <w:spacing w:before="19"/>
        <w:rPr>
          <w:rFonts w:ascii="仿宋_GB2312"/>
          <w:sz w:val="24"/>
          <w:highlight w:val="none"/>
        </w:rPr>
      </w:pPr>
      <w:r>
        <w:rPr>
          <w:rFonts w:hint="eastAsia" w:ascii="仿宋_GB2312"/>
          <w:sz w:val="24"/>
          <w:highlight w:val="none"/>
        </w:rPr>
        <w:t>九、采购文件及响应为本合同的附件，与本合同具有同等法律效力。甲乙双方商定的其他必要文件，附件与本合同不相符合之处，以本合同内容为准。上述文件内容互为补充。</w:t>
      </w:r>
    </w:p>
    <w:p w14:paraId="5274466C">
      <w:pPr>
        <w:widowControl/>
        <w:snapToGrid w:val="0"/>
        <w:spacing w:before="19"/>
        <w:rPr>
          <w:rFonts w:ascii="仿宋_GB2312"/>
          <w:sz w:val="24"/>
          <w:highlight w:val="none"/>
        </w:rPr>
      </w:pPr>
      <w:r>
        <w:rPr>
          <w:rFonts w:hint="eastAsia" w:ascii="仿宋_GB2312"/>
          <w:sz w:val="24"/>
          <w:highlight w:val="none"/>
        </w:rPr>
        <w:t>十、违约责任</w:t>
      </w:r>
    </w:p>
    <w:p w14:paraId="262DA35D">
      <w:pPr>
        <w:widowControl/>
        <w:snapToGrid w:val="0"/>
        <w:spacing w:before="19"/>
        <w:rPr>
          <w:rFonts w:ascii="仿宋_GB2312"/>
          <w:sz w:val="24"/>
          <w:highlight w:val="none"/>
        </w:rPr>
      </w:pPr>
      <w:r>
        <w:rPr>
          <w:rFonts w:hint="eastAsia" w:ascii="仿宋_GB2312"/>
          <w:sz w:val="24"/>
          <w:highlight w:val="none"/>
        </w:rPr>
        <w:t>1、甲方无正当理由拒收货物、拒付货物款的，由甲方向乙方偿付合同总价的5%违约金。如乙方不能交付货物，乙方应向甲方支付合同总价５％的违约金。</w:t>
      </w:r>
    </w:p>
    <w:p w14:paraId="1627A721">
      <w:pPr>
        <w:spacing w:before="19"/>
        <w:rPr>
          <w:rFonts w:ascii="仿宋_GB2312"/>
          <w:sz w:val="24"/>
          <w:highlight w:val="none"/>
        </w:rPr>
      </w:pPr>
      <w:r>
        <w:rPr>
          <w:rFonts w:hint="eastAsia" w:ascii="仿宋_GB2312"/>
          <w:sz w:val="24"/>
          <w:highlight w:val="none"/>
        </w:rPr>
        <w:t>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w:t>
      </w:r>
      <w:r>
        <w:rPr>
          <w:rFonts w:ascii="仿宋_GB2312"/>
          <w:sz w:val="24"/>
          <w:highlight w:val="none"/>
        </w:rPr>
        <w:t>5%</w:t>
      </w:r>
      <w:r>
        <w:rPr>
          <w:rFonts w:hint="eastAsia" w:ascii="仿宋_GB2312"/>
          <w:sz w:val="24"/>
          <w:highlight w:val="none"/>
        </w:rPr>
        <w:t>的违约金，如造成甲方损失超过违约金的，超出部分由乙方继续承担赔偿责任。</w:t>
      </w:r>
      <w:r>
        <w:rPr>
          <w:rFonts w:ascii="仿宋_GB2312"/>
          <w:sz w:val="24"/>
          <w:highlight w:val="none"/>
        </w:rPr>
        <w:t xml:space="preserve"> </w:t>
      </w:r>
    </w:p>
    <w:p w14:paraId="315A6804">
      <w:pPr>
        <w:spacing w:before="19"/>
        <w:rPr>
          <w:rFonts w:ascii="仿宋_GB2312"/>
          <w:sz w:val="24"/>
          <w:highlight w:val="none"/>
        </w:rPr>
      </w:pPr>
      <w:r>
        <w:rPr>
          <w:rFonts w:hint="eastAsia" w:ascii="仿宋_GB2312"/>
          <w:sz w:val="24"/>
          <w:highlight w:val="none"/>
        </w:rPr>
        <w:t>3、乙方所交的货物品种、型号、规格、技术参数、质量不符合合同规定及采购文件规定标准的，甲方有权拒收该货物，乙方愿意更换货物但逾期交货的，按乙方逾期交货处理。乙方拒绝更换货物的，甲方可单方面解除合同。</w:t>
      </w:r>
    </w:p>
    <w:p w14:paraId="715A82E9">
      <w:pPr>
        <w:widowControl/>
        <w:snapToGrid w:val="0"/>
        <w:spacing w:before="19"/>
        <w:rPr>
          <w:rFonts w:ascii="仿宋_GB2312"/>
          <w:sz w:val="24"/>
          <w:highlight w:val="none"/>
        </w:rPr>
      </w:pPr>
      <w:r>
        <w:rPr>
          <w:rFonts w:hint="eastAsia" w:ascii="仿宋_GB2312"/>
          <w:sz w:val="24"/>
          <w:highlight w:val="none"/>
        </w:rPr>
        <w:t>4、在乙方承诺的或国家规定的质量保证期内（取两者中最长的期限），</w:t>
      </w:r>
      <w:r>
        <w:rPr>
          <w:rFonts w:ascii="仿宋_GB2312"/>
          <w:sz w:val="24"/>
          <w:highlight w:val="none"/>
        </w:rPr>
        <w:t>如经乙方两次维修</w:t>
      </w:r>
      <w:r>
        <w:rPr>
          <w:rFonts w:hint="eastAsia" w:ascii="仿宋_GB2312"/>
          <w:sz w:val="24"/>
          <w:highlight w:val="none"/>
        </w:rPr>
        <w:t>或更换</w:t>
      </w:r>
      <w:r>
        <w:rPr>
          <w:rFonts w:ascii="仿宋_GB2312"/>
          <w:sz w:val="24"/>
          <w:highlight w:val="none"/>
        </w:rPr>
        <w:t>，货物仍不能达到合同约定</w:t>
      </w:r>
      <w:r>
        <w:rPr>
          <w:rFonts w:hint="eastAsia" w:ascii="仿宋_GB2312"/>
          <w:sz w:val="24"/>
          <w:highlight w:val="none"/>
        </w:rPr>
        <w:t>的</w:t>
      </w:r>
      <w:r>
        <w:rPr>
          <w:rFonts w:ascii="仿宋_GB2312"/>
          <w:sz w:val="24"/>
          <w:highlight w:val="none"/>
        </w:rPr>
        <w:t>质量标准，甲方有权退货，乙方</w:t>
      </w:r>
      <w:r>
        <w:rPr>
          <w:rFonts w:hint="eastAsia" w:ascii="仿宋_GB2312"/>
          <w:sz w:val="24"/>
          <w:highlight w:val="none"/>
        </w:rPr>
        <w:t>应</w:t>
      </w:r>
      <w:r>
        <w:rPr>
          <w:rFonts w:ascii="仿宋_GB2312"/>
          <w:sz w:val="24"/>
          <w:highlight w:val="none"/>
        </w:rPr>
        <w:t>退回全部货款</w:t>
      </w:r>
      <w:r>
        <w:rPr>
          <w:rFonts w:hint="eastAsia" w:ascii="仿宋_GB2312"/>
          <w:sz w:val="24"/>
          <w:highlight w:val="none"/>
        </w:rPr>
        <w:t>。</w:t>
      </w:r>
      <w:r>
        <w:rPr>
          <w:rFonts w:ascii="仿宋_GB2312"/>
          <w:sz w:val="24"/>
          <w:highlight w:val="none"/>
        </w:rPr>
        <w:t>同时，乙方还须赔偿甲方因此遭受的损失。</w:t>
      </w:r>
    </w:p>
    <w:p w14:paraId="47BEB769">
      <w:pPr>
        <w:widowControl/>
        <w:snapToGrid w:val="0"/>
        <w:spacing w:before="19"/>
        <w:rPr>
          <w:rFonts w:ascii="仿宋_GB2312"/>
          <w:sz w:val="24"/>
          <w:highlight w:val="none"/>
        </w:rPr>
      </w:pPr>
      <w:r>
        <w:rPr>
          <w:rFonts w:hint="eastAsia" w:ascii="仿宋_GB2312"/>
          <w:sz w:val="24"/>
          <w:highlight w:val="none"/>
        </w:rPr>
        <w:t>十一、 合同的变更和终止</w:t>
      </w:r>
    </w:p>
    <w:p w14:paraId="6C2E56C7">
      <w:pPr>
        <w:widowControl/>
        <w:snapToGrid w:val="0"/>
        <w:spacing w:before="19"/>
        <w:rPr>
          <w:rFonts w:ascii="仿宋_GB2312"/>
          <w:sz w:val="24"/>
          <w:highlight w:val="none"/>
        </w:rPr>
      </w:pPr>
      <w:r>
        <w:rPr>
          <w:rFonts w:hint="eastAsia" w:ascii="仿宋_GB2312"/>
          <w:sz w:val="24"/>
          <w:highlight w:val="none"/>
        </w:rPr>
        <w:t>依据《政府采购法》第五十条，本合同一经签订，甲乙双方不得擅自变更、中止或终止合同。</w:t>
      </w:r>
    </w:p>
    <w:p w14:paraId="3B7166F0">
      <w:pPr>
        <w:widowControl/>
        <w:snapToGrid w:val="0"/>
        <w:spacing w:before="19"/>
        <w:rPr>
          <w:rFonts w:ascii="仿宋_GB2312"/>
          <w:sz w:val="24"/>
          <w:highlight w:val="none"/>
        </w:rPr>
      </w:pPr>
      <w:r>
        <w:rPr>
          <w:rFonts w:hint="eastAsia" w:ascii="仿宋_GB2312"/>
          <w:sz w:val="24"/>
          <w:highlight w:val="none"/>
        </w:rPr>
        <w:t>十二、合同的转让</w:t>
      </w:r>
    </w:p>
    <w:p w14:paraId="5DFE8BC8">
      <w:pPr>
        <w:widowControl/>
        <w:snapToGrid w:val="0"/>
        <w:spacing w:before="19"/>
        <w:rPr>
          <w:rFonts w:ascii="仿宋_GB2312"/>
          <w:sz w:val="24"/>
          <w:highlight w:val="none"/>
        </w:rPr>
      </w:pPr>
      <w:r>
        <w:rPr>
          <w:rFonts w:hint="eastAsia" w:ascii="仿宋_GB2312"/>
          <w:sz w:val="24"/>
          <w:highlight w:val="none"/>
        </w:rPr>
        <w:t>乙方不得擅自部分或全部转让其应履行的合同义务。</w:t>
      </w:r>
    </w:p>
    <w:p w14:paraId="5715DC65">
      <w:pPr>
        <w:widowControl/>
        <w:snapToGrid w:val="0"/>
        <w:spacing w:before="19"/>
        <w:rPr>
          <w:rFonts w:ascii="仿宋_GB2312"/>
          <w:sz w:val="24"/>
          <w:highlight w:val="none"/>
        </w:rPr>
      </w:pPr>
      <w:r>
        <w:rPr>
          <w:rFonts w:hint="eastAsia" w:ascii="仿宋_GB2312"/>
          <w:sz w:val="24"/>
          <w:highlight w:val="none"/>
        </w:rPr>
        <w:t>十三、 争议的解决</w:t>
      </w:r>
    </w:p>
    <w:p w14:paraId="5356D321">
      <w:pPr>
        <w:widowControl/>
        <w:snapToGrid w:val="0"/>
        <w:spacing w:before="19"/>
        <w:rPr>
          <w:rFonts w:ascii="仿宋_GB2312"/>
          <w:sz w:val="24"/>
          <w:highlight w:val="none"/>
        </w:rPr>
      </w:pPr>
      <w:r>
        <w:rPr>
          <w:rFonts w:hint="eastAsia" w:ascii="仿宋_GB2312"/>
          <w:sz w:val="24"/>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1F706CAE">
      <w:pPr>
        <w:widowControl/>
        <w:snapToGrid w:val="0"/>
        <w:spacing w:before="19"/>
        <w:rPr>
          <w:rFonts w:ascii="仿宋_GB2312"/>
          <w:sz w:val="24"/>
          <w:highlight w:val="none"/>
        </w:rPr>
      </w:pPr>
      <w:r>
        <w:rPr>
          <w:rFonts w:hint="eastAsia" w:ascii="仿宋_GB2312"/>
          <w:sz w:val="24"/>
          <w:highlight w:val="none"/>
        </w:rPr>
        <w:t>2、因履行本合同引起的或与本合同有关的争议，甲、乙双方应首先通过友好协商解决，如果协商不能解决争议，任何一方均可向甲方所在地人民法院起诉解决。</w:t>
      </w:r>
    </w:p>
    <w:p w14:paraId="62918AC4">
      <w:pPr>
        <w:widowControl/>
        <w:snapToGrid w:val="0"/>
        <w:spacing w:before="19"/>
        <w:rPr>
          <w:rFonts w:ascii="仿宋_GB2312"/>
          <w:sz w:val="24"/>
          <w:highlight w:val="none"/>
        </w:rPr>
      </w:pPr>
      <w:r>
        <w:rPr>
          <w:rFonts w:hint="eastAsia" w:ascii="仿宋_GB2312"/>
          <w:sz w:val="24"/>
          <w:highlight w:val="none"/>
        </w:rPr>
        <w:t>十四、付款前</w:t>
      </w:r>
      <w:r>
        <w:rPr>
          <w:rFonts w:ascii="仿宋_GB2312"/>
          <w:sz w:val="24"/>
          <w:highlight w:val="none"/>
        </w:rPr>
        <w:t>乙方</w:t>
      </w:r>
      <w:r>
        <w:rPr>
          <w:rFonts w:hint="eastAsia" w:ascii="仿宋_GB2312"/>
          <w:sz w:val="24"/>
          <w:highlight w:val="none"/>
        </w:rPr>
        <w:t>须提供</w:t>
      </w:r>
      <w:r>
        <w:rPr>
          <w:rFonts w:hint="eastAsia" w:ascii="仿宋_GB2312"/>
          <w:sz w:val="24"/>
          <w:highlight w:val="none"/>
          <w:u w:val="single"/>
        </w:rPr>
        <w:t>增值税专用发票</w:t>
      </w:r>
      <w:r>
        <w:rPr>
          <w:rFonts w:hint="eastAsia" w:ascii="仿宋_GB2312"/>
          <w:sz w:val="24"/>
          <w:highlight w:val="none"/>
        </w:rPr>
        <w:t>，总价不变。</w:t>
      </w:r>
    </w:p>
    <w:p w14:paraId="02CCECB0">
      <w:pPr>
        <w:widowControl/>
        <w:snapToGrid w:val="0"/>
        <w:spacing w:before="19"/>
        <w:rPr>
          <w:rFonts w:ascii="仿宋_GB2312"/>
          <w:sz w:val="24"/>
          <w:highlight w:val="none"/>
        </w:rPr>
      </w:pPr>
      <w:r>
        <w:rPr>
          <w:rFonts w:hint="eastAsia" w:ascii="仿宋_GB2312"/>
          <w:sz w:val="24"/>
          <w:highlight w:val="none"/>
        </w:rPr>
        <w:t>十五、</w:t>
      </w:r>
      <w:r>
        <w:rPr>
          <w:rFonts w:ascii="仿宋_GB2312"/>
          <w:sz w:val="24"/>
          <w:highlight w:val="none"/>
        </w:rPr>
        <w:t>本合同由甲、乙双方</w:t>
      </w:r>
      <w:r>
        <w:rPr>
          <w:rFonts w:hint="eastAsia" w:ascii="仿宋_GB2312"/>
          <w:sz w:val="24"/>
          <w:highlight w:val="none"/>
        </w:rPr>
        <w:t>共同</w:t>
      </w:r>
      <w:r>
        <w:rPr>
          <w:rFonts w:ascii="仿宋_GB2312"/>
          <w:sz w:val="24"/>
          <w:highlight w:val="none"/>
        </w:rPr>
        <w:t>签订，合同一式</w:t>
      </w:r>
      <w:r>
        <w:rPr>
          <w:rFonts w:hint="eastAsia" w:ascii="仿宋_GB2312"/>
          <w:sz w:val="24"/>
          <w:highlight w:val="none"/>
        </w:rPr>
        <w:t>四</w:t>
      </w:r>
      <w:r>
        <w:rPr>
          <w:rFonts w:ascii="仿宋_GB2312"/>
          <w:sz w:val="24"/>
          <w:highlight w:val="none"/>
        </w:rPr>
        <w:t>份，甲</w:t>
      </w:r>
      <w:r>
        <w:rPr>
          <w:rFonts w:hint="eastAsia" w:ascii="仿宋_GB2312"/>
          <w:sz w:val="24"/>
          <w:highlight w:val="none"/>
        </w:rPr>
        <w:t>方叁</w:t>
      </w:r>
      <w:r>
        <w:rPr>
          <w:rFonts w:ascii="仿宋_GB2312"/>
          <w:sz w:val="24"/>
          <w:highlight w:val="none"/>
        </w:rPr>
        <w:t>份、乙</w:t>
      </w:r>
      <w:r>
        <w:rPr>
          <w:rFonts w:hint="eastAsia" w:ascii="仿宋_GB2312"/>
          <w:sz w:val="24"/>
          <w:highlight w:val="none"/>
        </w:rPr>
        <w:t>方壹</w:t>
      </w:r>
      <w:r>
        <w:rPr>
          <w:rFonts w:ascii="仿宋_GB2312"/>
          <w:sz w:val="24"/>
          <w:highlight w:val="none"/>
        </w:rPr>
        <w:t>份。</w:t>
      </w:r>
      <w:r>
        <w:rPr>
          <w:rFonts w:hint="eastAsia" w:ascii="仿宋_GB2312"/>
          <w:sz w:val="24"/>
          <w:highlight w:val="none"/>
        </w:rPr>
        <w:t>自双方签字、盖章之日起生效。</w:t>
      </w:r>
    </w:p>
    <w:p w14:paraId="56FEB064">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甲方                                               乙方</w:t>
      </w:r>
    </w:p>
    <w:p w14:paraId="70421608">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单位名称：南京邮电大学                             单位名称：</w:t>
      </w:r>
    </w:p>
    <w:p w14:paraId="3DF63E2D">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单位地址：                                         单位地址：</w:t>
      </w:r>
    </w:p>
    <w:p w14:paraId="24364FD9">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法定代表人：                                       法定代表人：</w:t>
      </w:r>
    </w:p>
    <w:p w14:paraId="47A5A39D">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委托代理人（签字）：                                委托代理人（签字）：</w:t>
      </w:r>
    </w:p>
    <w:p w14:paraId="649BACBA">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联系电话：                                         联系电话：                                            </w:t>
      </w:r>
    </w:p>
    <w:p w14:paraId="29B96DFC">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开户银行：                                         开户银行： </w:t>
      </w:r>
    </w:p>
    <w:p w14:paraId="4AA474E7">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户名： 南京邮电大学                                户名： </w:t>
      </w:r>
    </w:p>
    <w:p w14:paraId="309D2184">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                         </w:t>
      </w:r>
      <w:r>
        <w:rPr>
          <w:rFonts w:ascii="宋体" w:hAnsi="宋体"/>
          <w:sz w:val="18"/>
          <w:highlight w:val="none"/>
        </w:rPr>
        <w:t xml:space="preserve">                          </w:t>
      </w:r>
      <w:r>
        <w:rPr>
          <w:rFonts w:hint="eastAsia" w:ascii="宋体" w:hAnsi="宋体"/>
          <w:sz w:val="18"/>
          <w:highlight w:val="none"/>
        </w:rPr>
        <w:t xml:space="preserve">账号： </w:t>
      </w:r>
    </w:p>
    <w:p w14:paraId="16A0CA32">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 xml:space="preserve">                            </w:t>
      </w:r>
      <w:r>
        <w:rPr>
          <w:rFonts w:ascii="宋体" w:hAnsi="宋体"/>
          <w:sz w:val="18"/>
          <w:highlight w:val="none"/>
        </w:rPr>
        <w:t xml:space="preserve">                       </w:t>
      </w:r>
      <w:r>
        <w:rPr>
          <w:rFonts w:hint="eastAsia" w:ascii="宋体" w:hAnsi="宋体"/>
          <w:sz w:val="18"/>
          <w:highlight w:val="none"/>
        </w:rPr>
        <w:t xml:space="preserve">行号：  </w:t>
      </w:r>
    </w:p>
    <w:p w14:paraId="0FF9FA19">
      <w:pPr>
        <w:widowControl/>
        <w:snapToGrid w:val="0"/>
        <w:spacing w:before="19" w:line="360" w:lineRule="auto"/>
        <w:ind w:firstLine="360" w:firstLineChars="200"/>
        <w:rPr>
          <w:rFonts w:ascii="宋体" w:hAnsi="宋体"/>
          <w:sz w:val="18"/>
          <w:highlight w:val="none"/>
        </w:rPr>
      </w:pPr>
      <w:r>
        <w:rPr>
          <w:rFonts w:hint="eastAsia" w:ascii="宋体" w:hAnsi="宋体"/>
          <w:sz w:val="18"/>
          <w:highlight w:val="none"/>
        </w:rPr>
        <w:t>地址、电话：南京市栖霞区文苑路9 号　025-</w:t>
      </w:r>
      <w:r>
        <w:rPr>
          <w:rFonts w:ascii="宋体" w:hAnsi="宋体"/>
          <w:sz w:val="18"/>
          <w:highlight w:val="none"/>
        </w:rPr>
        <w:t>85866388</w:t>
      </w:r>
      <w:r>
        <w:rPr>
          <w:rFonts w:hint="eastAsia" w:ascii="宋体" w:hAnsi="宋体"/>
          <w:sz w:val="18"/>
          <w:highlight w:val="none"/>
        </w:rPr>
        <w:t xml:space="preserve">    项目联系人：</w:t>
      </w:r>
    </w:p>
    <w:p w14:paraId="0F524AB3">
      <w:pPr>
        <w:widowControl/>
        <w:snapToGrid w:val="0"/>
        <w:spacing w:before="19" w:line="360" w:lineRule="auto"/>
        <w:ind w:firstLine="360" w:firstLineChars="200"/>
        <w:rPr>
          <w:color w:val="000000" w:themeColor="text1"/>
          <w:highlight w:val="none"/>
          <w14:textFill>
            <w14:solidFill>
              <w14:schemeClr w14:val="tx1"/>
            </w14:solidFill>
          </w14:textFill>
        </w:rPr>
      </w:pPr>
      <w:r>
        <w:rPr>
          <w:rFonts w:hint="eastAsia" w:ascii="宋体" w:hAnsi="宋体"/>
          <w:sz w:val="18"/>
          <w:highlight w:val="none"/>
        </w:rPr>
        <w:t>签约日期（即合同生效日期）：    年     月     日       联系电话：</w:t>
      </w:r>
    </w:p>
    <w:p w14:paraId="0CD66D1C">
      <w:pPr>
        <w:pStyle w:val="261"/>
        <w:rPr>
          <w:color w:val="000000" w:themeColor="text1"/>
          <w:highlight w:val="none"/>
          <w14:textFill>
            <w14:solidFill>
              <w14:schemeClr w14:val="tx1"/>
            </w14:solidFill>
          </w14:textFill>
        </w:rPr>
      </w:pPr>
    </w:p>
    <w:p w14:paraId="367EAC75">
      <w:pPr>
        <w:pStyle w:val="261"/>
        <w:rPr>
          <w:color w:val="000000" w:themeColor="text1"/>
          <w:highlight w:val="none"/>
          <w14:textFill>
            <w14:solidFill>
              <w14:schemeClr w14:val="tx1"/>
            </w14:solidFill>
          </w14:textFill>
        </w:rPr>
      </w:pPr>
    </w:p>
    <w:p w14:paraId="476B7FEF">
      <w:pPr>
        <w:pStyle w:val="261"/>
        <w:rPr>
          <w:color w:val="000000" w:themeColor="text1"/>
          <w:highlight w:val="none"/>
          <w14:textFill>
            <w14:solidFill>
              <w14:schemeClr w14:val="tx1"/>
            </w14:solidFill>
          </w14:textFill>
        </w:rPr>
      </w:pPr>
    </w:p>
    <w:p w14:paraId="1701793E">
      <w:pPr>
        <w:pStyle w:val="261"/>
        <w:rPr>
          <w:color w:val="000000" w:themeColor="text1"/>
          <w:highlight w:val="none"/>
          <w14:textFill>
            <w14:solidFill>
              <w14:schemeClr w14:val="tx1"/>
            </w14:solidFill>
          </w14:textFill>
        </w:rPr>
      </w:pPr>
    </w:p>
    <w:p w14:paraId="254E9D1F">
      <w:pPr>
        <w:rPr>
          <w:rFonts w:hint="eastAsia"/>
          <w:highlight w:val="none"/>
        </w:rPr>
      </w:pPr>
    </w:p>
    <w:p w14:paraId="381CA4FC">
      <w:pPr>
        <w:pStyle w:val="261"/>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14:paraId="56927BC7">
      <w:pPr>
        <w:jc w:val="center"/>
        <w:rPr>
          <w:rFonts w:ascii="宋体" w:hAnsi="宋体"/>
          <w:b/>
          <w:color w:val="000000" w:themeColor="text1"/>
          <w:sz w:val="72"/>
          <w:highlight w:val="none"/>
          <w14:textFill>
            <w14:solidFill>
              <w14:schemeClr w14:val="tx1"/>
            </w14:solidFill>
          </w14:textFill>
        </w:rPr>
      </w:pPr>
    </w:p>
    <w:p w14:paraId="57903EE8">
      <w:pPr>
        <w:jc w:val="center"/>
        <w:rPr>
          <w:rFonts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768AED5A">
      <w:pPr>
        <w:ind w:firstLine="2472" w:firstLineChars="1026"/>
        <w:rPr>
          <w:rFonts w:ascii="宋体" w:hAnsi="宋体"/>
          <w:b/>
          <w:color w:val="000000" w:themeColor="text1"/>
          <w:sz w:val="24"/>
          <w:highlight w:val="none"/>
          <w14:textFill>
            <w14:solidFill>
              <w14:schemeClr w14:val="tx1"/>
            </w14:solidFill>
          </w14:textFill>
        </w:rPr>
      </w:pPr>
    </w:p>
    <w:p w14:paraId="1D4E50A5">
      <w:pPr>
        <w:jc w:val="center"/>
        <w:rPr>
          <w:rFonts w:ascii="宋体" w:hAnsi="宋体"/>
          <w:b/>
          <w:color w:val="000000" w:themeColor="text1"/>
          <w:sz w:val="24"/>
          <w:highlight w:val="none"/>
          <w14:textFill>
            <w14:solidFill>
              <w14:schemeClr w14:val="tx1"/>
            </w14:solidFill>
          </w14:textFill>
        </w:rPr>
      </w:pPr>
    </w:p>
    <w:p w14:paraId="35107048">
      <w:pPr>
        <w:jc w:val="center"/>
        <w:rPr>
          <w:rFonts w:ascii="宋体" w:hAnsi="宋体"/>
          <w:b/>
          <w:color w:val="000000" w:themeColor="text1"/>
          <w:sz w:val="24"/>
          <w:highlight w:val="none"/>
          <w14:textFill>
            <w14:solidFill>
              <w14:schemeClr w14:val="tx1"/>
            </w14:solidFill>
          </w14:textFill>
        </w:rPr>
      </w:pPr>
    </w:p>
    <w:p w14:paraId="53EE7615">
      <w:pPr>
        <w:jc w:val="center"/>
        <w:rPr>
          <w:rFonts w:ascii="宋体" w:hAnsi="宋体"/>
          <w:b/>
          <w:color w:val="000000" w:themeColor="text1"/>
          <w:sz w:val="24"/>
          <w:highlight w:val="none"/>
          <w14:textFill>
            <w14:solidFill>
              <w14:schemeClr w14:val="tx1"/>
            </w14:solidFill>
          </w14:textFill>
        </w:rPr>
      </w:pPr>
    </w:p>
    <w:p w14:paraId="158271F1">
      <w:pPr>
        <w:spacing w:before="480" w:beforeLines="200"/>
        <w:jc w:val="center"/>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03DA0AC5">
      <w:pPr>
        <w:jc w:val="center"/>
        <w:rPr>
          <w:rFonts w:ascii="宋体" w:hAnsi="宋体"/>
          <w:b/>
          <w:color w:val="000000" w:themeColor="text1"/>
          <w:sz w:val="24"/>
          <w:highlight w:val="none"/>
          <w14:textFill>
            <w14:solidFill>
              <w14:schemeClr w14:val="tx1"/>
            </w14:solidFill>
          </w14:textFill>
        </w:rPr>
      </w:pPr>
    </w:p>
    <w:p w14:paraId="5E950C2E">
      <w:pPr>
        <w:jc w:val="center"/>
        <w:rPr>
          <w:rFonts w:ascii="宋体" w:hAnsi="宋体"/>
          <w:b/>
          <w:color w:val="000000" w:themeColor="text1"/>
          <w:sz w:val="24"/>
          <w:highlight w:val="none"/>
          <w14:textFill>
            <w14:solidFill>
              <w14:schemeClr w14:val="tx1"/>
            </w14:solidFill>
          </w14:textFill>
        </w:rPr>
      </w:pPr>
    </w:p>
    <w:p w14:paraId="2AD6AE42">
      <w:pPr>
        <w:jc w:val="center"/>
        <w:rPr>
          <w:rFonts w:ascii="宋体" w:hAnsi="宋体"/>
          <w:b/>
          <w:color w:val="000000" w:themeColor="text1"/>
          <w:sz w:val="24"/>
          <w:highlight w:val="none"/>
          <w14:textFill>
            <w14:solidFill>
              <w14:schemeClr w14:val="tx1"/>
            </w14:solidFill>
          </w14:textFill>
        </w:rPr>
      </w:pPr>
    </w:p>
    <w:p w14:paraId="3847AAE1">
      <w:pPr>
        <w:jc w:val="center"/>
        <w:rPr>
          <w:rFonts w:ascii="宋体" w:hAnsi="宋体"/>
          <w:b/>
          <w:color w:val="000000" w:themeColor="text1"/>
          <w:sz w:val="24"/>
          <w:highlight w:val="none"/>
          <w14:textFill>
            <w14:solidFill>
              <w14:schemeClr w14:val="tx1"/>
            </w14:solidFill>
          </w14:textFill>
        </w:rPr>
      </w:pPr>
    </w:p>
    <w:p w14:paraId="686C3957">
      <w:pPr>
        <w:jc w:val="center"/>
        <w:rPr>
          <w:rFonts w:ascii="宋体" w:hAnsi="宋体"/>
          <w:b/>
          <w:color w:val="000000" w:themeColor="text1"/>
          <w:sz w:val="24"/>
          <w:highlight w:val="none"/>
          <w14:textFill>
            <w14:solidFill>
              <w14:schemeClr w14:val="tx1"/>
            </w14:solidFill>
          </w14:textFill>
        </w:rPr>
      </w:pPr>
    </w:p>
    <w:p w14:paraId="287BE94B">
      <w:pPr>
        <w:jc w:val="center"/>
        <w:rPr>
          <w:rFonts w:ascii="宋体" w:hAnsi="宋体"/>
          <w:b/>
          <w:color w:val="000000" w:themeColor="text1"/>
          <w:sz w:val="24"/>
          <w:highlight w:val="none"/>
          <w14:textFill>
            <w14:solidFill>
              <w14:schemeClr w14:val="tx1"/>
            </w14:solidFill>
          </w14:textFill>
        </w:rPr>
      </w:pPr>
    </w:p>
    <w:p w14:paraId="46EE1635">
      <w:pPr>
        <w:jc w:val="center"/>
        <w:rPr>
          <w:rFonts w:ascii="宋体" w:hAnsi="宋体"/>
          <w:b/>
          <w:color w:val="000000" w:themeColor="text1"/>
          <w:sz w:val="24"/>
          <w:highlight w:val="none"/>
          <w14:textFill>
            <w14:solidFill>
              <w14:schemeClr w14:val="tx1"/>
            </w14:solidFill>
          </w14:textFill>
        </w:rPr>
      </w:pPr>
    </w:p>
    <w:p w14:paraId="5E156897">
      <w:pPr>
        <w:ind w:firstLine="843" w:firstLineChars="300"/>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项目编号：</w:t>
      </w:r>
    </w:p>
    <w:p w14:paraId="079F2626">
      <w:pPr>
        <w:ind w:firstLine="843" w:firstLineChars="300"/>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项目名称：</w:t>
      </w:r>
    </w:p>
    <w:p w14:paraId="32E67613">
      <w:pPr>
        <w:rPr>
          <w:rFonts w:ascii="宋体" w:hAnsi="宋体"/>
          <w:b/>
          <w:color w:val="000000" w:themeColor="text1"/>
          <w:sz w:val="28"/>
          <w:szCs w:val="28"/>
          <w:highlight w:val="none"/>
          <w14:textFill>
            <w14:solidFill>
              <w14:schemeClr w14:val="tx1"/>
            </w14:solidFill>
          </w14:textFill>
        </w:rPr>
      </w:pPr>
    </w:p>
    <w:p w14:paraId="798573F8">
      <w:pPr>
        <w:rPr>
          <w:rFonts w:ascii="宋体" w:hAnsi="宋体"/>
          <w:b/>
          <w:color w:val="000000" w:themeColor="text1"/>
          <w:sz w:val="28"/>
          <w:szCs w:val="28"/>
          <w:highlight w:val="none"/>
          <w14:textFill>
            <w14:solidFill>
              <w14:schemeClr w14:val="tx1"/>
            </w14:solidFill>
          </w14:textFill>
        </w:rPr>
      </w:pPr>
    </w:p>
    <w:p w14:paraId="400427DF">
      <w:pPr>
        <w:rPr>
          <w:rFonts w:ascii="宋体" w:hAnsi="宋体"/>
          <w:b/>
          <w:color w:val="000000" w:themeColor="text1"/>
          <w:sz w:val="28"/>
          <w:szCs w:val="28"/>
          <w:highlight w:val="none"/>
          <w14:textFill>
            <w14:solidFill>
              <w14:schemeClr w14:val="tx1"/>
            </w14:solidFill>
          </w14:textFill>
        </w:rPr>
      </w:pPr>
    </w:p>
    <w:p w14:paraId="1720C76E">
      <w:pPr>
        <w:rPr>
          <w:rFonts w:ascii="宋体" w:hAnsi="宋体"/>
          <w:b/>
          <w:color w:val="000000" w:themeColor="text1"/>
          <w:sz w:val="28"/>
          <w:szCs w:val="28"/>
          <w:highlight w:val="none"/>
          <w14:textFill>
            <w14:solidFill>
              <w14:schemeClr w14:val="tx1"/>
            </w14:solidFill>
          </w14:textFill>
        </w:rPr>
      </w:pPr>
    </w:p>
    <w:p w14:paraId="36754C02">
      <w:pPr>
        <w:rPr>
          <w:rFonts w:ascii="宋体" w:hAnsi="宋体"/>
          <w:b/>
          <w:color w:val="000000" w:themeColor="text1"/>
          <w:sz w:val="28"/>
          <w:szCs w:val="28"/>
          <w:highlight w:val="none"/>
          <w14:textFill>
            <w14:solidFill>
              <w14:schemeClr w14:val="tx1"/>
            </w14:solidFill>
          </w14:textFill>
        </w:rPr>
      </w:pPr>
    </w:p>
    <w:p w14:paraId="0E8F0CB0">
      <w:pPr>
        <w:rPr>
          <w:rFonts w:ascii="宋体" w:hAnsi="宋体"/>
          <w:b/>
          <w:color w:val="000000" w:themeColor="text1"/>
          <w:sz w:val="28"/>
          <w:szCs w:val="28"/>
          <w:highlight w:val="none"/>
          <w14:textFill>
            <w14:solidFill>
              <w14:schemeClr w14:val="tx1"/>
            </w14:solidFill>
          </w14:textFill>
        </w:rPr>
      </w:pPr>
    </w:p>
    <w:p w14:paraId="286A0753">
      <w:pPr>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p>
    <w:p w14:paraId="599F66DC">
      <w:pP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p>
    <w:p w14:paraId="2343D2A8">
      <w:pPr>
        <w:jc w:val="center"/>
        <w:rPr>
          <w:rFonts w:ascii="宋体" w:hAnsi="宋体"/>
          <w:b/>
          <w:bCs/>
          <w:color w:val="000000" w:themeColor="text1"/>
          <w:sz w:val="24"/>
          <w:highlight w:val="none"/>
          <w14:textFill>
            <w14:solidFill>
              <w14:schemeClr w14:val="tx1"/>
            </w14:solidFill>
          </w14:textFill>
        </w:rPr>
      </w:pPr>
    </w:p>
    <w:p w14:paraId="31569882">
      <w:pPr>
        <w:jc w:val="center"/>
        <w:rPr>
          <w:rFonts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0"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72E3C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5DC72E5E">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14:paraId="21C5703C">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14:paraId="1F2D3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1CAD9BF2">
            <w:pPr>
              <w:rPr>
                <w:rFonts w:ascii="宋体" w:hAnsi="宋体"/>
                <w:b/>
                <w:color w:val="000000" w:themeColor="text1"/>
                <w:highlight w:val="none"/>
                <w14:textFill>
                  <w14:solidFill>
                    <w14:schemeClr w14:val="tx1"/>
                  </w14:solidFill>
                </w14:textFill>
              </w:rPr>
            </w:pPr>
          </w:p>
        </w:tc>
        <w:tc>
          <w:tcPr>
            <w:tcW w:w="1783" w:type="pct"/>
          </w:tcPr>
          <w:p w14:paraId="6B94A3C2">
            <w:pPr>
              <w:rPr>
                <w:rFonts w:ascii="宋体" w:hAnsi="宋体"/>
                <w:b/>
                <w:color w:val="000000" w:themeColor="text1"/>
                <w:highlight w:val="none"/>
                <w14:textFill>
                  <w14:solidFill>
                    <w14:schemeClr w14:val="tx1"/>
                  </w14:solidFill>
                </w14:textFill>
              </w:rPr>
            </w:pPr>
          </w:p>
        </w:tc>
      </w:tr>
      <w:tr w14:paraId="655E5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087317F3">
            <w:pPr>
              <w:rPr>
                <w:rFonts w:ascii="宋体" w:hAnsi="宋体"/>
                <w:b/>
                <w:color w:val="000000" w:themeColor="text1"/>
                <w:highlight w:val="none"/>
                <w14:textFill>
                  <w14:solidFill>
                    <w14:schemeClr w14:val="tx1"/>
                  </w14:solidFill>
                </w14:textFill>
              </w:rPr>
            </w:pPr>
          </w:p>
        </w:tc>
      </w:tr>
      <w:tr w14:paraId="7195C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67F394F1">
            <w:pPr>
              <w:rPr>
                <w:rFonts w:ascii="宋体" w:hAnsi="宋体"/>
                <w:b/>
                <w:color w:val="000000" w:themeColor="text1"/>
                <w:highlight w:val="none"/>
                <w14:textFill>
                  <w14:solidFill>
                    <w14:schemeClr w14:val="tx1"/>
                  </w14:solidFill>
                </w14:textFill>
              </w:rPr>
            </w:pPr>
          </w:p>
        </w:tc>
        <w:tc>
          <w:tcPr>
            <w:tcW w:w="1783" w:type="pct"/>
          </w:tcPr>
          <w:p w14:paraId="08262F57">
            <w:pPr>
              <w:rPr>
                <w:rFonts w:ascii="宋体" w:hAnsi="宋体"/>
                <w:b/>
                <w:color w:val="000000" w:themeColor="text1"/>
                <w:highlight w:val="none"/>
                <w14:textFill>
                  <w14:solidFill>
                    <w14:schemeClr w14:val="tx1"/>
                  </w14:solidFill>
                </w14:textFill>
              </w:rPr>
            </w:pPr>
          </w:p>
        </w:tc>
      </w:tr>
      <w:tr w14:paraId="39A41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5D379CE8">
            <w:pPr>
              <w:rPr>
                <w:rFonts w:ascii="宋体" w:hAnsi="宋体"/>
                <w:b/>
                <w:color w:val="000000" w:themeColor="text1"/>
                <w:highlight w:val="none"/>
                <w14:textFill>
                  <w14:solidFill>
                    <w14:schemeClr w14:val="tx1"/>
                  </w14:solidFill>
                </w14:textFill>
              </w:rPr>
            </w:pPr>
          </w:p>
        </w:tc>
        <w:tc>
          <w:tcPr>
            <w:tcW w:w="1783" w:type="pct"/>
          </w:tcPr>
          <w:p w14:paraId="2A860F2C">
            <w:pPr>
              <w:rPr>
                <w:rFonts w:ascii="宋体" w:hAnsi="宋体"/>
                <w:b/>
                <w:color w:val="000000" w:themeColor="text1"/>
                <w:highlight w:val="none"/>
                <w14:textFill>
                  <w14:solidFill>
                    <w14:schemeClr w14:val="tx1"/>
                  </w14:solidFill>
                </w14:textFill>
              </w:rPr>
            </w:pPr>
          </w:p>
        </w:tc>
      </w:tr>
      <w:tr w14:paraId="36A5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CD3B292">
            <w:pPr>
              <w:rPr>
                <w:rFonts w:ascii="宋体" w:hAnsi="宋体"/>
                <w:b/>
                <w:color w:val="000000" w:themeColor="text1"/>
                <w:highlight w:val="none"/>
                <w14:textFill>
                  <w14:solidFill>
                    <w14:schemeClr w14:val="tx1"/>
                  </w14:solidFill>
                </w14:textFill>
              </w:rPr>
            </w:pPr>
          </w:p>
        </w:tc>
        <w:tc>
          <w:tcPr>
            <w:tcW w:w="1783" w:type="pct"/>
          </w:tcPr>
          <w:p w14:paraId="0B5970EC">
            <w:pPr>
              <w:rPr>
                <w:rFonts w:ascii="宋体" w:hAnsi="宋体"/>
                <w:b/>
                <w:color w:val="000000" w:themeColor="text1"/>
                <w:highlight w:val="none"/>
                <w14:textFill>
                  <w14:solidFill>
                    <w14:schemeClr w14:val="tx1"/>
                  </w14:solidFill>
                </w14:textFill>
              </w:rPr>
            </w:pPr>
          </w:p>
        </w:tc>
      </w:tr>
      <w:tr w14:paraId="43636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5EA88EF">
            <w:pPr>
              <w:rPr>
                <w:rFonts w:ascii="宋体" w:hAnsi="宋体"/>
                <w:b/>
                <w:color w:val="000000" w:themeColor="text1"/>
                <w:highlight w:val="none"/>
                <w14:textFill>
                  <w14:solidFill>
                    <w14:schemeClr w14:val="tx1"/>
                  </w14:solidFill>
                </w14:textFill>
              </w:rPr>
            </w:pPr>
          </w:p>
        </w:tc>
        <w:tc>
          <w:tcPr>
            <w:tcW w:w="1783" w:type="pct"/>
          </w:tcPr>
          <w:p w14:paraId="1559815F">
            <w:pPr>
              <w:rPr>
                <w:rFonts w:ascii="宋体" w:hAnsi="宋体"/>
                <w:b/>
                <w:color w:val="000000" w:themeColor="text1"/>
                <w:highlight w:val="none"/>
                <w14:textFill>
                  <w14:solidFill>
                    <w14:schemeClr w14:val="tx1"/>
                  </w14:solidFill>
                </w14:textFill>
              </w:rPr>
            </w:pPr>
          </w:p>
        </w:tc>
      </w:tr>
      <w:tr w14:paraId="64EEE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263FA35B">
            <w:pPr>
              <w:rPr>
                <w:rFonts w:ascii="宋体" w:hAnsi="宋体"/>
                <w:b/>
                <w:color w:val="000000" w:themeColor="text1"/>
                <w:highlight w:val="none"/>
                <w14:textFill>
                  <w14:solidFill>
                    <w14:schemeClr w14:val="tx1"/>
                  </w14:solidFill>
                </w14:textFill>
              </w:rPr>
            </w:pPr>
          </w:p>
        </w:tc>
        <w:tc>
          <w:tcPr>
            <w:tcW w:w="1783" w:type="pct"/>
          </w:tcPr>
          <w:p w14:paraId="6695CFE3">
            <w:pPr>
              <w:rPr>
                <w:rFonts w:ascii="宋体" w:hAnsi="宋体"/>
                <w:b/>
                <w:color w:val="000000" w:themeColor="text1"/>
                <w:highlight w:val="none"/>
                <w14:textFill>
                  <w14:solidFill>
                    <w14:schemeClr w14:val="tx1"/>
                  </w14:solidFill>
                </w14:textFill>
              </w:rPr>
            </w:pPr>
          </w:p>
        </w:tc>
      </w:tr>
      <w:tr w14:paraId="08780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520BFBD6">
            <w:pPr>
              <w:rPr>
                <w:rFonts w:ascii="宋体" w:hAnsi="宋体"/>
                <w:b/>
                <w:color w:val="000000" w:themeColor="text1"/>
                <w:highlight w:val="none"/>
                <w14:textFill>
                  <w14:solidFill>
                    <w14:schemeClr w14:val="tx1"/>
                  </w14:solidFill>
                </w14:textFill>
              </w:rPr>
            </w:pPr>
          </w:p>
        </w:tc>
      </w:tr>
      <w:tr w14:paraId="4909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55083237">
            <w:pPr>
              <w:rPr>
                <w:rFonts w:ascii="宋体" w:hAnsi="宋体"/>
                <w:b/>
                <w:color w:val="000000" w:themeColor="text1"/>
                <w:highlight w:val="none"/>
                <w14:textFill>
                  <w14:solidFill>
                    <w14:schemeClr w14:val="tx1"/>
                  </w14:solidFill>
                </w14:textFill>
              </w:rPr>
            </w:pPr>
          </w:p>
        </w:tc>
        <w:tc>
          <w:tcPr>
            <w:tcW w:w="1783" w:type="pct"/>
          </w:tcPr>
          <w:p w14:paraId="6287373C">
            <w:pPr>
              <w:rPr>
                <w:rFonts w:ascii="宋体" w:hAnsi="宋体"/>
                <w:b/>
                <w:color w:val="000000" w:themeColor="text1"/>
                <w:highlight w:val="none"/>
                <w14:textFill>
                  <w14:solidFill>
                    <w14:schemeClr w14:val="tx1"/>
                  </w14:solidFill>
                </w14:textFill>
              </w:rPr>
            </w:pPr>
          </w:p>
        </w:tc>
      </w:tr>
      <w:tr w14:paraId="14602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5A88CCEE">
            <w:pPr>
              <w:rPr>
                <w:rFonts w:ascii="宋体" w:hAnsi="宋体"/>
                <w:b/>
                <w:color w:val="000000" w:themeColor="text1"/>
                <w:highlight w:val="none"/>
                <w14:textFill>
                  <w14:solidFill>
                    <w14:schemeClr w14:val="tx1"/>
                  </w14:solidFill>
                </w14:textFill>
              </w:rPr>
            </w:pPr>
          </w:p>
        </w:tc>
        <w:tc>
          <w:tcPr>
            <w:tcW w:w="1783" w:type="pct"/>
          </w:tcPr>
          <w:p w14:paraId="3FDEDB57">
            <w:pPr>
              <w:rPr>
                <w:rFonts w:ascii="宋体" w:hAnsi="宋体"/>
                <w:b/>
                <w:color w:val="000000" w:themeColor="text1"/>
                <w:highlight w:val="none"/>
                <w14:textFill>
                  <w14:solidFill>
                    <w14:schemeClr w14:val="tx1"/>
                  </w14:solidFill>
                </w14:textFill>
              </w:rPr>
            </w:pPr>
          </w:p>
        </w:tc>
      </w:tr>
      <w:tr w14:paraId="339BC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1CEDAA9E">
            <w:pPr>
              <w:rPr>
                <w:rFonts w:ascii="宋体" w:hAnsi="宋体"/>
                <w:b/>
                <w:color w:val="000000" w:themeColor="text1"/>
                <w:highlight w:val="none"/>
                <w14:textFill>
                  <w14:solidFill>
                    <w14:schemeClr w14:val="tx1"/>
                  </w14:solidFill>
                </w14:textFill>
              </w:rPr>
            </w:pPr>
          </w:p>
        </w:tc>
        <w:tc>
          <w:tcPr>
            <w:tcW w:w="1783" w:type="pct"/>
          </w:tcPr>
          <w:p w14:paraId="1C9346F0">
            <w:pPr>
              <w:rPr>
                <w:rFonts w:ascii="宋体" w:hAnsi="宋体"/>
                <w:b/>
                <w:color w:val="000000" w:themeColor="text1"/>
                <w:highlight w:val="none"/>
                <w14:textFill>
                  <w14:solidFill>
                    <w14:schemeClr w14:val="tx1"/>
                  </w14:solidFill>
                </w14:textFill>
              </w:rPr>
            </w:pPr>
          </w:p>
        </w:tc>
      </w:tr>
      <w:tr w14:paraId="56891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3FD77A83">
            <w:pPr>
              <w:rPr>
                <w:rFonts w:ascii="宋体" w:hAnsi="宋体"/>
                <w:b/>
                <w:color w:val="000000" w:themeColor="text1"/>
                <w:highlight w:val="none"/>
                <w14:textFill>
                  <w14:solidFill>
                    <w14:schemeClr w14:val="tx1"/>
                  </w14:solidFill>
                </w14:textFill>
              </w:rPr>
            </w:pPr>
          </w:p>
        </w:tc>
        <w:tc>
          <w:tcPr>
            <w:tcW w:w="1783" w:type="pct"/>
          </w:tcPr>
          <w:p w14:paraId="39803EFC">
            <w:pPr>
              <w:rPr>
                <w:rFonts w:ascii="宋体" w:hAnsi="宋体"/>
                <w:b/>
                <w:color w:val="000000" w:themeColor="text1"/>
                <w:highlight w:val="none"/>
                <w14:textFill>
                  <w14:solidFill>
                    <w14:schemeClr w14:val="tx1"/>
                  </w14:solidFill>
                </w14:textFill>
              </w:rPr>
            </w:pPr>
          </w:p>
        </w:tc>
      </w:tr>
      <w:tr w14:paraId="110B6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2F042222">
            <w:pPr>
              <w:rPr>
                <w:rFonts w:ascii="宋体" w:hAnsi="宋体"/>
                <w:b/>
                <w:color w:val="000000" w:themeColor="text1"/>
                <w:highlight w:val="none"/>
                <w14:textFill>
                  <w14:solidFill>
                    <w14:schemeClr w14:val="tx1"/>
                  </w14:solidFill>
                </w14:textFill>
              </w:rPr>
            </w:pPr>
          </w:p>
        </w:tc>
        <w:tc>
          <w:tcPr>
            <w:tcW w:w="1783" w:type="pct"/>
          </w:tcPr>
          <w:p w14:paraId="3FACBCC1">
            <w:pPr>
              <w:rPr>
                <w:rFonts w:ascii="宋体" w:hAnsi="宋体"/>
                <w:b/>
                <w:color w:val="000000" w:themeColor="text1"/>
                <w:highlight w:val="none"/>
                <w14:textFill>
                  <w14:solidFill>
                    <w14:schemeClr w14:val="tx1"/>
                  </w14:solidFill>
                </w14:textFill>
              </w:rPr>
            </w:pPr>
          </w:p>
        </w:tc>
      </w:tr>
      <w:tr w14:paraId="04180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7" w:hRule="atLeast"/>
        </w:trPr>
        <w:tc>
          <w:tcPr>
            <w:tcW w:w="5000" w:type="pct"/>
            <w:gridSpan w:val="2"/>
          </w:tcPr>
          <w:p w14:paraId="4F45EF97">
            <w:pPr>
              <w:rPr>
                <w:rFonts w:ascii="宋体" w:hAnsi="宋体"/>
                <w:b/>
                <w:color w:val="000000" w:themeColor="text1"/>
                <w:highlight w:val="none"/>
                <w14:textFill>
                  <w14:solidFill>
                    <w14:schemeClr w14:val="tx1"/>
                  </w14:solidFill>
                </w14:textFill>
              </w:rPr>
            </w:pPr>
          </w:p>
        </w:tc>
      </w:tr>
      <w:tr w14:paraId="29B32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2377E62C">
            <w:pPr>
              <w:rPr>
                <w:rFonts w:ascii="宋体" w:hAnsi="宋体"/>
                <w:b/>
                <w:color w:val="000000" w:themeColor="text1"/>
                <w:highlight w:val="none"/>
                <w14:textFill>
                  <w14:solidFill>
                    <w14:schemeClr w14:val="tx1"/>
                  </w14:solidFill>
                </w14:textFill>
              </w:rPr>
            </w:pPr>
          </w:p>
        </w:tc>
        <w:tc>
          <w:tcPr>
            <w:tcW w:w="1783" w:type="pct"/>
          </w:tcPr>
          <w:p w14:paraId="41207416">
            <w:pPr>
              <w:rPr>
                <w:rFonts w:ascii="宋体" w:hAnsi="宋体"/>
                <w:b/>
                <w:color w:val="000000" w:themeColor="text1"/>
                <w:highlight w:val="none"/>
                <w14:textFill>
                  <w14:solidFill>
                    <w14:schemeClr w14:val="tx1"/>
                  </w14:solidFill>
                </w14:textFill>
              </w:rPr>
            </w:pPr>
          </w:p>
        </w:tc>
      </w:tr>
      <w:tr w14:paraId="58FBD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496968BC">
            <w:pPr>
              <w:rPr>
                <w:rFonts w:ascii="宋体" w:hAnsi="宋体"/>
                <w:b/>
                <w:color w:val="000000" w:themeColor="text1"/>
                <w:highlight w:val="none"/>
                <w14:textFill>
                  <w14:solidFill>
                    <w14:schemeClr w14:val="tx1"/>
                  </w14:solidFill>
                </w14:textFill>
              </w:rPr>
            </w:pPr>
          </w:p>
        </w:tc>
        <w:tc>
          <w:tcPr>
            <w:tcW w:w="1783" w:type="pct"/>
          </w:tcPr>
          <w:p w14:paraId="799EB00F">
            <w:pPr>
              <w:rPr>
                <w:rFonts w:ascii="宋体" w:hAnsi="宋体"/>
                <w:b/>
                <w:color w:val="000000" w:themeColor="text1"/>
                <w:highlight w:val="none"/>
                <w14:textFill>
                  <w14:solidFill>
                    <w14:schemeClr w14:val="tx1"/>
                  </w14:solidFill>
                </w14:textFill>
              </w:rPr>
            </w:pPr>
          </w:p>
        </w:tc>
      </w:tr>
      <w:tr w14:paraId="63CC2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5742F206">
            <w:pPr>
              <w:rPr>
                <w:rFonts w:ascii="宋体" w:hAnsi="宋体"/>
                <w:b/>
                <w:color w:val="000000" w:themeColor="text1"/>
                <w:highlight w:val="none"/>
                <w14:textFill>
                  <w14:solidFill>
                    <w14:schemeClr w14:val="tx1"/>
                  </w14:solidFill>
                </w14:textFill>
              </w:rPr>
            </w:pPr>
          </w:p>
        </w:tc>
        <w:tc>
          <w:tcPr>
            <w:tcW w:w="1783" w:type="pct"/>
          </w:tcPr>
          <w:p w14:paraId="0BC19207">
            <w:pPr>
              <w:rPr>
                <w:rFonts w:ascii="宋体" w:hAnsi="宋体"/>
                <w:b/>
                <w:color w:val="000000" w:themeColor="text1"/>
                <w:highlight w:val="none"/>
                <w14:textFill>
                  <w14:solidFill>
                    <w14:schemeClr w14:val="tx1"/>
                  </w14:solidFill>
                </w14:textFill>
              </w:rPr>
            </w:pPr>
          </w:p>
        </w:tc>
      </w:tr>
      <w:tr w14:paraId="371C5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20F6C477">
            <w:pPr>
              <w:rPr>
                <w:rFonts w:ascii="宋体" w:hAnsi="宋体"/>
                <w:b/>
                <w:color w:val="000000" w:themeColor="text1"/>
                <w:highlight w:val="none"/>
                <w14:textFill>
                  <w14:solidFill>
                    <w14:schemeClr w14:val="tx1"/>
                  </w14:solidFill>
                </w14:textFill>
              </w:rPr>
            </w:pPr>
          </w:p>
        </w:tc>
      </w:tr>
      <w:tr w14:paraId="0D6B1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76FFFCAC">
            <w:pPr>
              <w:rPr>
                <w:rFonts w:ascii="宋体" w:hAnsi="宋体"/>
                <w:b/>
                <w:color w:val="000000" w:themeColor="text1"/>
                <w:highlight w:val="none"/>
                <w14:textFill>
                  <w14:solidFill>
                    <w14:schemeClr w14:val="tx1"/>
                  </w14:solidFill>
                </w14:textFill>
              </w:rPr>
            </w:pPr>
          </w:p>
        </w:tc>
        <w:tc>
          <w:tcPr>
            <w:tcW w:w="1783" w:type="pct"/>
          </w:tcPr>
          <w:p w14:paraId="28584ABC">
            <w:pPr>
              <w:rPr>
                <w:rFonts w:ascii="宋体" w:hAnsi="宋体"/>
                <w:b/>
                <w:color w:val="000000" w:themeColor="text1"/>
                <w:highlight w:val="none"/>
                <w14:textFill>
                  <w14:solidFill>
                    <w14:schemeClr w14:val="tx1"/>
                  </w14:solidFill>
                </w14:textFill>
              </w:rPr>
            </w:pPr>
          </w:p>
        </w:tc>
      </w:tr>
      <w:tr w14:paraId="4D09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7F0AD6AB">
            <w:pPr>
              <w:rPr>
                <w:rFonts w:ascii="宋体" w:hAnsi="宋体"/>
                <w:b/>
                <w:color w:val="000000" w:themeColor="text1"/>
                <w:highlight w:val="none"/>
                <w14:textFill>
                  <w14:solidFill>
                    <w14:schemeClr w14:val="tx1"/>
                  </w14:solidFill>
                </w14:textFill>
              </w:rPr>
            </w:pPr>
          </w:p>
        </w:tc>
        <w:tc>
          <w:tcPr>
            <w:tcW w:w="1783" w:type="pct"/>
          </w:tcPr>
          <w:p w14:paraId="56B04FC1">
            <w:pPr>
              <w:rPr>
                <w:rFonts w:ascii="宋体" w:hAnsi="宋体"/>
                <w:b/>
                <w:color w:val="000000" w:themeColor="text1"/>
                <w:highlight w:val="none"/>
                <w14:textFill>
                  <w14:solidFill>
                    <w14:schemeClr w14:val="tx1"/>
                  </w14:solidFill>
                </w14:textFill>
              </w:rPr>
            </w:pPr>
          </w:p>
        </w:tc>
      </w:tr>
    </w:tbl>
    <w:p w14:paraId="1F7A1ED9">
      <w:pPr>
        <w:rPr>
          <w:rFonts w:ascii="宋体" w:hAnsi="宋体"/>
          <w:color w:val="000000" w:themeColor="text1"/>
          <w:highlight w:val="none"/>
          <w14:textFill>
            <w14:solidFill>
              <w14:schemeClr w14:val="tx1"/>
            </w14:solidFill>
          </w14:textFill>
        </w:rPr>
      </w:pPr>
    </w:p>
    <w:p w14:paraId="743E6C2E">
      <w:pPr>
        <w:jc w:val="center"/>
        <w:rPr>
          <w:rFonts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1" w:name="_Toc489655320"/>
    </w:p>
    <w:p w14:paraId="00E9D830">
      <w:pPr>
        <w:pStyle w:val="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0"/>
      <w:bookmarkEnd w:id="11"/>
      <w:r>
        <w:rPr>
          <w:color w:val="000000" w:themeColor="text1"/>
          <w:highlight w:val="none"/>
          <w14:textFill>
            <w14:solidFill>
              <w14:schemeClr w14:val="tx1"/>
            </w14:solidFill>
          </w14:textFill>
        </w:rPr>
        <w:t>及相关证明材料格式、附件</w:t>
      </w:r>
    </w:p>
    <w:p w14:paraId="09189315">
      <w:pPr>
        <w:rPr>
          <w:rFonts w:ascii="宋体" w:hAnsi="宋体"/>
          <w:color w:val="000000" w:themeColor="text1"/>
          <w:sz w:val="28"/>
          <w:szCs w:val="28"/>
          <w:highlight w:val="none"/>
          <w14:textFill>
            <w14:solidFill>
              <w14:schemeClr w14:val="tx1"/>
            </w14:solidFill>
          </w14:textFill>
        </w:rPr>
      </w:pPr>
    </w:p>
    <w:p w14:paraId="09CBA5CF">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w:t>
      </w:r>
    </w:p>
    <w:p w14:paraId="6A11D535">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w:t>
      </w:r>
    </w:p>
    <w:p w14:paraId="7976C77F">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08C06EA0">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161A4B04">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五、分项报价表</w:t>
      </w:r>
    </w:p>
    <w:p w14:paraId="76C374EA">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六、技术条款偏离表</w:t>
      </w:r>
    </w:p>
    <w:p w14:paraId="1F97F6D4">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七、商务条款偏离表</w:t>
      </w:r>
    </w:p>
    <w:p w14:paraId="7B658816">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八、服务方案</w:t>
      </w:r>
    </w:p>
    <w:p w14:paraId="107130C3">
      <w:pPr>
        <w:spacing w:line="360" w:lineRule="auto"/>
        <w:ind w:left="2280" w:hanging="720"/>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九、响应需要的其他证明文件及材料（若有）</w:t>
      </w:r>
    </w:p>
    <w:p w14:paraId="3E86930A">
      <w:pPr>
        <w:spacing w:line="360" w:lineRule="auto"/>
        <w:rPr>
          <w:rFonts w:ascii="宋体" w:hAnsi="宋体"/>
          <w:color w:val="000000" w:themeColor="text1"/>
          <w:sz w:val="28"/>
          <w:szCs w:val="28"/>
          <w:highlight w:val="none"/>
          <w14:textFill>
            <w14:solidFill>
              <w14:schemeClr w14:val="tx1"/>
            </w14:solidFill>
          </w14:textFill>
        </w:rPr>
      </w:pPr>
    </w:p>
    <w:p w14:paraId="6C9B2BCB">
      <w:pPr>
        <w:spacing w:line="360" w:lineRule="auto"/>
        <w:ind w:firstLine="560" w:firstLineChars="20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14:paraId="32B66035">
      <w:pPr>
        <w:spacing w:line="360" w:lineRule="auto"/>
        <w:ind w:left="2941" w:leftChars="267" w:hanging="2380" w:hangingChars="850"/>
        <w:jc w:val="lef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14:paraId="0580FAD5">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14:paraId="5E606F82">
      <w:pPr>
        <w:spacing w:line="360" w:lineRule="auto"/>
        <w:ind w:left="2941" w:leftChars="267" w:hanging="2380" w:hangingChars="850"/>
        <w:jc w:val="lef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附件四、企业声明函格式</w:t>
      </w:r>
    </w:p>
    <w:p w14:paraId="20CB3913">
      <w:pPr>
        <w:rPr>
          <w:rFonts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0D585718">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目录一、响应申请及声明格式</w:t>
      </w:r>
    </w:p>
    <w:p w14:paraId="3EA54A9D">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0B342A3A">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490DCF27">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（项目编号：</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）响应邀请，正式授权下述签字人（姓名和职务）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代表供应商（供应商名称）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，提交响应文件。</w:t>
      </w:r>
    </w:p>
    <w:p w14:paraId="2B50A25C">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42854E30">
      <w:pPr>
        <w:pStyle w:val="17"/>
        <w:numPr>
          <w:ilvl w:val="0"/>
          <w:numId w:val="57"/>
        </w:numPr>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22E4149A">
      <w:pPr>
        <w:pStyle w:val="17"/>
        <w:numPr>
          <w:ilvl w:val="0"/>
          <w:numId w:val="57"/>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          （小写：       元人民币）</w:t>
      </w:r>
      <w:r>
        <w:rPr>
          <w:b/>
          <w:color w:val="000000" w:themeColor="text1"/>
          <w:highlight w:val="none"/>
          <w14:textFill>
            <w14:solidFill>
              <w14:schemeClr w14:val="tx1"/>
            </w14:solidFill>
          </w14:textFill>
        </w:rPr>
        <w:t>。</w:t>
      </w:r>
    </w:p>
    <w:p w14:paraId="38F7769F">
      <w:pPr>
        <w:pStyle w:val="17"/>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7470A842">
      <w:pPr>
        <w:pStyle w:val="17"/>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日期起遵循本响应文件，并在规定的响应有效期期满之前均具有约束力。</w:t>
      </w:r>
    </w:p>
    <w:p w14:paraId="44F78EE8">
      <w:pPr>
        <w:pStyle w:val="17"/>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5B96E430">
      <w:pPr>
        <w:pStyle w:val="17"/>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6E9E4B13">
      <w:pPr>
        <w:pStyle w:val="17"/>
        <w:numPr>
          <w:ilvl w:val="0"/>
          <w:numId w:val="57"/>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584BFD9D">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5FDD0965">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77934DDF">
      <w:pPr>
        <w:pStyle w:val="17"/>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4862BD64">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0F192526">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6E74D1D5">
      <w:pPr>
        <w:autoSpaceDE w:val="0"/>
        <w:autoSpaceDN w:val="0"/>
        <w:adjustRightInd w:val="0"/>
        <w:spacing w:line="360" w:lineRule="auto"/>
        <w:ind w:firstLine="420"/>
        <w:rPr>
          <w:rFonts w:ascii="Times New Roman" w:hAnsi="Times New Roman"/>
          <w:color w:val="000000" w:themeColor="text1"/>
          <w:sz w:val="24"/>
          <w:szCs w:val="21"/>
          <w:highlight w:val="none"/>
          <w:u w:val="singl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供应商授权代表姓名（签字）：</w:t>
      </w:r>
    </w:p>
    <w:p w14:paraId="4D09AA23">
      <w:pPr>
        <w:autoSpaceDE w:val="0"/>
        <w:autoSpaceDN w:val="0"/>
        <w:adjustRightInd w:val="0"/>
        <w:spacing w:line="360" w:lineRule="auto"/>
        <w:ind w:firstLine="420"/>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110104E5">
      <w:pPr>
        <w:autoSpaceDE w:val="0"/>
        <w:autoSpaceDN w:val="0"/>
        <w:adjustRightInd w:val="0"/>
        <w:spacing w:line="360" w:lineRule="auto"/>
        <w:ind w:firstLine="420"/>
        <w:rPr>
          <w:rFonts w:ascii="Times New Roman" w:hAnsi="Times New Roman"/>
          <w:b/>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年</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月</w:t>
      </w:r>
      <w:r>
        <w:rPr>
          <w:rFonts w:hint="eastAsia" w:ascii="Times New Roman" w:hAnsi="Times New Roman"/>
          <w:color w:val="000000" w:themeColor="text1"/>
          <w:sz w:val="24"/>
          <w:szCs w:val="21"/>
          <w:highlight w:val="none"/>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日</w:t>
      </w:r>
    </w:p>
    <w:p w14:paraId="3A4AED5F">
      <w:pPr>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69E539F4">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目录二、法定代表人授权书格式</w:t>
      </w:r>
    </w:p>
    <w:p w14:paraId="481E3BBD">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395BFF43">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2B31E8ED">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本授权书声明：注册于（供应商住址）</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的（供应商名称）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法定代表人（法定代表人姓名、职务）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代表本公司授权在下面签字的（供应商代表姓名、职务）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为本公司的合法代理人，就贵方组织的</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（项目编号）进行响应，以本公司名义处理一切与之有关的事务。</w:t>
      </w:r>
    </w:p>
    <w:p w14:paraId="627D7D18">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 xml:space="preserve">      年    月    日</w:t>
      </w:r>
      <w:r>
        <w:rPr>
          <w:color w:val="000000" w:themeColor="text1"/>
          <w:highlight w:val="none"/>
          <w14:textFill>
            <w14:solidFill>
              <w14:schemeClr w14:val="tx1"/>
            </w14:solidFill>
          </w14:textFill>
        </w:rPr>
        <w:t>签字生效，特此声明。</w:t>
      </w:r>
    </w:p>
    <w:p w14:paraId="32624E3F">
      <w:pPr>
        <w:adjustRightInd w:val="0"/>
        <w:spacing w:line="360" w:lineRule="auto"/>
        <w:ind w:firstLine="408"/>
        <w:jc w:val="left"/>
        <w:rPr>
          <w:rFonts w:ascii="宋体" w:hAnsi="宋体" w:cs="宋体"/>
          <w:color w:val="000000" w:themeColor="text1"/>
          <w:szCs w:val="21"/>
          <w:highlight w:val="none"/>
          <w:lang w:val="zh-CN"/>
          <w14:textFill>
            <w14:solidFill>
              <w14:schemeClr w14:val="tx1"/>
            </w14:solidFill>
          </w14:textFill>
        </w:rPr>
      </w:pPr>
    </w:p>
    <w:p w14:paraId="2575DED6">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2941F1B6">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授权委托人（签字）：</w:t>
      </w:r>
    </w:p>
    <w:p w14:paraId="794D964F">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 月 日</w:t>
      </w:r>
    </w:p>
    <w:p w14:paraId="2E10EFDD">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5472D06F">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53780334">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06DB70D2">
      <w:pPr>
        <w:tabs>
          <w:tab w:val="left" w:pos="1440"/>
        </w:tabs>
        <w:adjustRightInd w:val="0"/>
        <w:spacing w:line="360" w:lineRule="auto"/>
        <w:ind w:firstLine="420"/>
        <w:jc w:val="left"/>
        <w:rPr>
          <w:rFonts w:ascii="宋体" w:hAnsi="宋体" w:cs="宋体"/>
          <w:color w:val="000000" w:themeColor="text1"/>
          <w:szCs w:val="21"/>
          <w:highlight w:val="none"/>
          <w14:textFill>
            <w14:solidFill>
              <w14:schemeClr w14:val="tx1"/>
            </w14:solidFill>
          </w14:textFill>
        </w:rPr>
      </w:pPr>
    </w:p>
    <w:p w14:paraId="255A70D5">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w:t>
      </w:r>
      <w:r>
        <w:rPr>
          <w:rFonts w:hint="eastAsia" w:ascii="Times New Roman" w:hAnsi="Times New Roman"/>
          <w:color w:val="000000" w:themeColor="text1"/>
          <w:sz w:val="24"/>
          <w:szCs w:val="21"/>
          <w:highlight w:val="none"/>
          <w:lang w:val="zh-CN"/>
          <w14:textFill>
            <w14:solidFill>
              <w14:schemeClr w14:val="tx1"/>
            </w14:solidFill>
          </w14:textFill>
        </w:rPr>
        <w:t>授权委托人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35F78C5F">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1F929148">
      <w:pPr>
        <w:tabs>
          <w:tab w:val="left" w:pos="1440"/>
        </w:tabs>
        <w:adjustRightInd w:val="0"/>
        <w:spacing w:line="360" w:lineRule="auto"/>
        <w:ind w:firstLine="420"/>
        <w:jc w:val="left"/>
        <w:rPr>
          <w:rFonts w:ascii="宋体" w:hAnsi="宋体" w:cs="宋体"/>
          <w:color w:val="000000" w:themeColor="text1"/>
          <w:szCs w:val="21"/>
          <w:highlight w:val="none"/>
          <w:lang w:val="zh-CN"/>
          <w14:textFill>
            <w14:solidFill>
              <w14:schemeClr w14:val="tx1"/>
            </w14:solidFill>
          </w14:textFill>
        </w:rPr>
      </w:pPr>
    </w:p>
    <w:p w14:paraId="106F600D">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555D075D">
      <w:pPr>
        <w:pStyle w:val="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目录三、</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一览表格式</w:t>
      </w:r>
    </w:p>
    <w:p w14:paraId="492D8A38">
      <w:pPr>
        <w:pStyle w:val="262"/>
        <w:outlineLvl w:val="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w:t>
      </w:r>
    </w:p>
    <w:p w14:paraId="556C0B8B">
      <w:pPr>
        <w:pStyle w:val="3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一览表放置于响应文件首页）</w:t>
      </w:r>
    </w:p>
    <w:p w14:paraId="6AA8CB8C">
      <w:pPr>
        <w:pStyle w:val="16"/>
        <w:rPr>
          <w:b/>
          <w:bCs/>
          <w:color w:val="000000" w:themeColor="text1"/>
          <w:highlight w:val="none"/>
          <w14:textFill>
            <w14:solidFill>
              <w14:schemeClr w14:val="tx1"/>
            </w14:solidFill>
          </w14:textFill>
        </w:rPr>
      </w:pP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7AB33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5A2C2F2A">
            <w:pPr>
              <w:pStyle w:val="16"/>
              <w:jc w:val="center"/>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项目名称</w:t>
            </w:r>
          </w:p>
        </w:tc>
        <w:tc>
          <w:tcPr>
            <w:tcW w:w="3172" w:type="dxa"/>
            <w:vAlign w:val="center"/>
          </w:tcPr>
          <w:p w14:paraId="4083820D">
            <w:pPr>
              <w:pStyle w:val="16"/>
              <w:rPr>
                <w:rFonts w:asciiTheme="minorEastAsia" w:hAnsiTheme="minorEastAsia" w:eastAsiaTheme="minorEastAsia" w:cstheme="minorEastAsia"/>
                <w:b/>
                <w:bCs/>
                <w:color w:val="000000" w:themeColor="text1"/>
                <w:highlight w:val="none"/>
                <w14:textFill>
                  <w14:solidFill>
                    <w14:schemeClr w14:val="tx1"/>
                  </w14:solidFill>
                </w14:textFill>
              </w:rPr>
            </w:pPr>
          </w:p>
        </w:tc>
        <w:tc>
          <w:tcPr>
            <w:tcW w:w="1178" w:type="dxa"/>
            <w:vAlign w:val="center"/>
          </w:tcPr>
          <w:p w14:paraId="417C4314">
            <w:pPr>
              <w:pStyle w:val="16"/>
              <w:jc w:val="center"/>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项目编号</w:t>
            </w:r>
          </w:p>
        </w:tc>
        <w:tc>
          <w:tcPr>
            <w:tcW w:w="3664" w:type="dxa"/>
            <w:vAlign w:val="center"/>
          </w:tcPr>
          <w:p w14:paraId="261994B9">
            <w:pPr>
              <w:pStyle w:val="16"/>
              <w:rPr>
                <w:rFonts w:asciiTheme="minorEastAsia" w:hAnsiTheme="minorEastAsia" w:eastAsiaTheme="minorEastAsia" w:cstheme="minorEastAsia"/>
                <w:b/>
                <w:bCs/>
                <w:color w:val="000000" w:themeColor="text1"/>
                <w:highlight w:val="none"/>
                <w14:textFill>
                  <w14:solidFill>
                    <w14:schemeClr w14:val="tx1"/>
                  </w14:solidFill>
                </w14:textFill>
              </w:rPr>
            </w:pPr>
          </w:p>
        </w:tc>
      </w:tr>
      <w:tr w14:paraId="56CA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1A69F728">
            <w:pPr>
              <w:pStyle w:val="16"/>
              <w:jc w:val="center"/>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响应总价</w:t>
            </w:r>
          </w:p>
        </w:tc>
        <w:tc>
          <w:tcPr>
            <w:tcW w:w="8014" w:type="dxa"/>
            <w:gridSpan w:val="3"/>
            <w:vAlign w:val="center"/>
          </w:tcPr>
          <w:p w14:paraId="78A4DE4F">
            <w:pPr>
              <w:pStyle w:val="16"/>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 xml:space="preserve">大写：人民币                          </w:t>
            </w:r>
          </w:p>
          <w:p w14:paraId="0C83DD44">
            <w:pPr>
              <w:pStyle w:val="16"/>
              <w:rPr>
                <w:rFonts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Theme="minorEastAsia" w:hAnsiTheme="minorEastAsia" w:eastAsiaTheme="minorEastAsia" w:cstheme="minorEastAsia"/>
                <w:b/>
                <w:bCs/>
                <w:color w:val="000000" w:themeColor="text1"/>
                <w:highlight w:val="none"/>
                <w14:textFill>
                  <w14:solidFill>
                    <w14:schemeClr w14:val="tx1"/>
                  </w14:solidFill>
                </w14:textFill>
              </w:rPr>
              <w:t>小写：人民币                         元</w:t>
            </w:r>
          </w:p>
        </w:tc>
      </w:tr>
      <w:tr w14:paraId="29092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7D704972">
            <w:pPr>
              <w:jc w:val="center"/>
              <w:rPr>
                <w:rFonts w:hint="eastAsia" w:ascii="宋体" w:hAnsi="宋体"/>
                <w:b/>
                <w:bCs w:val="0"/>
                <w:color w:val="auto"/>
                <w:szCs w:val="21"/>
                <w:highlight w:val="none"/>
                <w:lang w:val="en-US" w:eastAsia="zh-CN"/>
              </w:rPr>
            </w:pPr>
            <w:r>
              <w:rPr>
                <w:rFonts w:hint="eastAsia" w:ascii="宋体" w:hAnsi="宋体"/>
                <w:b/>
                <w:bCs w:val="0"/>
                <w:color w:val="auto"/>
                <w:szCs w:val="21"/>
                <w:highlight w:val="none"/>
                <w:lang w:val="en-US" w:eastAsia="zh-CN"/>
              </w:rPr>
              <w:t>产品品牌</w:t>
            </w:r>
          </w:p>
        </w:tc>
        <w:tc>
          <w:tcPr>
            <w:tcW w:w="8014" w:type="dxa"/>
            <w:gridSpan w:val="3"/>
            <w:vAlign w:val="center"/>
          </w:tcPr>
          <w:p w14:paraId="79BBC113">
            <w:pPr>
              <w:jc w:val="center"/>
              <w:rPr>
                <w:rFonts w:hint="eastAsia" w:ascii="宋体" w:hAnsi="宋体"/>
                <w:b/>
                <w:bCs/>
                <w:color w:val="auto"/>
                <w:szCs w:val="21"/>
                <w:highlight w:val="none"/>
              </w:rPr>
            </w:pPr>
          </w:p>
        </w:tc>
      </w:tr>
      <w:tr w14:paraId="29557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07C0EE2">
            <w:pPr>
              <w:jc w:val="center"/>
              <w:rPr>
                <w:rFonts w:ascii="宋体" w:hAnsi="宋体" w:cs="仿宋_GB2312"/>
                <w:b/>
                <w:bCs w:val="0"/>
                <w:color w:val="auto"/>
                <w:szCs w:val="21"/>
                <w:highlight w:val="none"/>
              </w:rPr>
            </w:pPr>
            <w:r>
              <w:rPr>
                <w:rFonts w:hint="eastAsia" w:ascii="宋体" w:hAnsi="宋体"/>
                <w:b/>
                <w:bCs w:val="0"/>
                <w:color w:val="auto"/>
                <w:szCs w:val="21"/>
                <w:highlight w:val="none"/>
              </w:rPr>
              <w:t>规格型号</w:t>
            </w:r>
          </w:p>
        </w:tc>
        <w:tc>
          <w:tcPr>
            <w:tcW w:w="8014" w:type="dxa"/>
            <w:gridSpan w:val="3"/>
            <w:vAlign w:val="center"/>
          </w:tcPr>
          <w:p w14:paraId="04FA123F">
            <w:pPr>
              <w:jc w:val="center"/>
              <w:rPr>
                <w:rFonts w:hint="eastAsia" w:ascii="宋体" w:hAnsi="宋体"/>
                <w:b/>
                <w:bCs/>
                <w:color w:val="auto"/>
                <w:szCs w:val="21"/>
                <w:highlight w:val="none"/>
              </w:rPr>
            </w:pPr>
          </w:p>
        </w:tc>
      </w:tr>
      <w:tr w14:paraId="3F54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260BD5AC">
            <w:pPr>
              <w:jc w:val="center"/>
              <w:rPr>
                <w:rFonts w:ascii="宋体" w:hAnsi="宋体" w:cs="仿宋_GB2312"/>
                <w:b/>
                <w:bCs w:val="0"/>
                <w:color w:val="auto"/>
                <w:szCs w:val="21"/>
                <w:highlight w:val="none"/>
              </w:rPr>
            </w:pPr>
            <w:r>
              <w:rPr>
                <w:rFonts w:hint="eastAsia" w:ascii="宋体" w:hAnsi="宋体"/>
                <w:b/>
                <w:bCs w:val="0"/>
                <w:color w:val="auto"/>
                <w:szCs w:val="21"/>
                <w:highlight w:val="none"/>
              </w:rPr>
              <w:t>交货期</w:t>
            </w:r>
          </w:p>
        </w:tc>
        <w:tc>
          <w:tcPr>
            <w:tcW w:w="8014" w:type="dxa"/>
            <w:gridSpan w:val="3"/>
            <w:vAlign w:val="center"/>
          </w:tcPr>
          <w:p w14:paraId="1C1CD395">
            <w:pPr>
              <w:jc w:val="center"/>
              <w:rPr>
                <w:rFonts w:hint="eastAsia" w:ascii="宋体" w:hAnsi="宋体"/>
                <w:b/>
                <w:bCs/>
                <w:color w:val="auto"/>
                <w:szCs w:val="21"/>
                <w:highlight w:val="none"/>
              </w:rPr>
            </w:pPr>
          </w:p>
        </w:tc>
      </w:tr>
      <w:tr w14:paraId="4D2C9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694A896F">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ascii="宋体" w:hAnsi="宋体" w:cs="仿宋_GB2312"/>
                <w:b/>
                <w:bCs/>
                <w:color w:val="auto"/>
                <w:szCs w:val="21"/>
                <w:highlight w:val="none"/>
              </w:rPr>
              <w:t>是否为进口产品</w:t>
            </w:r>
          </w:p>
        </w:tc>
        <w:tc>
          <w:tcPr>
            <w:tcW w:w="8014" w:type="dxa"/>
            <w:gridSpan w:val="3"/>
            <w:vAlign w:val="center"/>
          </w:tcPr>
          <w:p w14:paraId="3E3A7777">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b/>
                <w:bCs/>
                <w:color w:val="auto"/>
                <w:szCs w:val="21"/>
                <w:highlight w:val="none"/>
              </w:rPr>
              <w:t>是             否</w:t>
            </w:r>
          </w:p>
        </w:tc>
      </w:tr>
      <w:tr w14:paraId="0B3F9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68270412">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cs="仿宋_GB2312"/>
                <w:b/>
                <w:bCs/>
                <w:color w:val="auto"/>
                <w:szCs w:val="21"/>
                <w:highlight w:val="none"/>
              </w:rPr>
              <w:t>是否属于小微型企业</w:t>
            </w:r>
          </w:p>
        </w:tc>
        <w:tc>
          <w:tcPr>
            <w:tcW w:w="8014" w:type="dxa"/>
            <w:gridSpan w:val="3"/>
            <w:vAlign w:val="center"/>
          </w:tcPr>
          <w:p w14:paraId="67BB3250">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cs="仿宋_GB2312"/>
                <w:b/>
                <w:bCs/>
                <w:color w:val="auto"/>
                <w:szCs w:val="21"/>
                <w:highlight w:val="none"/>
              </w:rPr>
              <w:t>是             否</w:t>
            </w:r>
          </w:p>
        </w:tc>
      </w:tr>
      <w:tr w14:paraId="46957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5C3F66F5">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cs="仿宋_GB2312"/>
                <w:b/>
                <w:bCs/>
                <w:color w:val="auto"/>
                <w:szCs w:val="21"/>
                <w:highlight w:val="none"/>
              </w:rPr>
              <w:t>是否属于</w:t>
            </w:r>
            <w:r>
              <w:rPr>
                <w:rFonts w:hint="eastAsia" w:ascii="宋体" w:hAnsi="宋体" w:cs="仿宋"/>
                <w:b/>
                <w:bCs/>
                <w:color w:val="auto"/>
                <w:kern w:val="0"/>
                <w:szCs w:val="21"/>
                <w:highlight w:val="none"/>
              </w:rPr>
              <w:t>监狱和戒毒企业</w:t>
            </w:r>
          </w:p>
        </w:tc>
        <w:tc>
          <w:tcPr>
            <w:tcW w:w="8014" w:type="dxa"/>
            <w:gridSpan w:val="3"/>
            <w:vAlign w:val="center"/>
          </w:tcPr>
          <w:p w14:paraId="773DB9FE">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cs="仿宋_GB2312"/>
                <w:b/>
                <w:bCs/>
                <w:color w:val="auto"/>
                <w:szCs w:val="21"/>
                <w:highlight w:val="none"/>
              </w:rPr>
              <w:t>是             否</w:t>
            </w:r>
          </w:p>
        </w:tc>
      </w:tr>
      <w:tr w14:paraId="1737D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3134AE48">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cs="仿宋_GB2312"/>
                <w:b/>
                <w:bCs/>
                <w:color w:val="auto"/>
                <w:szCs w:val="21"/>
                <w:highlight w:val="none"/>
              </w:rPr>
              <w:t>是否属于残疾人福利性单位</w:t>
            </w:r>
          </w:p>
        </w:tc>
        <w:tc>
          <w:tcPr>
            <w:tcW w:w="8014" w:type="dxa"/>
            <w:gridSpan w:val="3"/>
            <w:vAlign w:val="center"/>
          </w:tcPr>
          <w:p w14:paraId="411FBC58">
            <w:pPr>
              <w:jc w:val="center"/>
              <w:rPr>
                <w:rFonts w:hint="eastAsia" w:asciiTheme="minorEastAsia" w:hAnsiTheme="minorEastAsia" w:eastAsiaTheme="minorEastAsia" w:cstheme="minorEastAsia"/>
                <w:b/>
                <w:bCs/>
                <w:color w:val="000000" w:themeColor="text1"/>
                <w:highlight w:val="none"/>
                <w14:textFill>
                  <w14:solidFill>
                    <w14:schemeClr w14:val="tx1"/>
                  </w14:solidFill>
                </w14:textFill>
              </w:rPr>
            </w:pPr>
            <w:r>
              <w:rPr>
                <w:rFonts w:hint="eastAsia" w:ascii="宋体" w:hAnsi="宋体" w:cs="仿宋_GB2312"/>
                <w:b/>
                <w:bCs/>
                <w:color w:val="auto"/>
                <w:szCs w:val="21"/>
                <w:highlight w:val="none"/>
              </w:rPr>
              <w:t>是             否</w:t>
            </w:r>
          </w:p>
        </w:tc>
      </w:tr>
    </w:tbl>
    <w:p w14:paraId="4ABAEB76">
      <w:pPr>
        <w:pStyle w:val="16"/>
        <w:rPr>
          <w:b/>
          <w:bCs/>
          <w:color w:val="000000" w:themeColor="text1"/>
          <w:highlight w:val="none"/>
          <w14:textFill>
            <w14:solidFill>
              <w14:schemeClr w14:val="tx1"/>
            </w14:solidFill>
          </w14:textFill>
        </w:rPr>
      </w:pPr>
    </w:p>
    <w:p w14:paraId="37DA9F85">
      <w:pPr>
        <w:pStyle w:val="16"/>
        <w:rPr>
          <w:b/>
          <w:bCs/>
          <w:color w:val="000000" w:themeColor="text1"/>
          <w:highlight w:val="none"/>
          <w14:textFill>
            <w14:solidFill>
              <w14:schemeClr w14:val="tx1"/>
            </w14:solidFill>
          </w14:textFill>
        </w:rPr>
      </w:pPr>
    </w:p>
    <w:p w14:paraId="1D5AA081">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1833E5CA">
      <w:pPr>
        <w:widowControl/>
        <w:spacing w:line="360" w:lineRule="auto"/>
        <w:jc w:val="left"/>
        <w:rPr>
          <w:rFonts w:ascii="Times New Roman" w:hAnsi="Times New Roman"/>
          <w:color w:val="000000" w:themeColor="text1"/>
          <w:sz w:val="24"/>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w:t>
      </w:r>
      <w:r>
        <w:rPr>
          <w:rFonts w:hint="eastAsia" w:ascii="Times New Roman" w:hAnsi="Times New Roman"/>
          <w:color w:val="000000" w:themeColor="text1"/>
          <w:sz w:val="24"/>
          <w:szCs w:val="21"/>
          <w:highlight w:val="none"/>
          <w:u w:val="single"/>
          <w:lang w:val="zh-CN"/>
          <w14:textFill>
            <w14:solidFill>
              <w14:schemeClr w14:val="tx1"/>
            </w14:solidFill>
          </w14:textFill>
        </w:rPr>
        <w:t xml:space="preserve">                                                  </w:t>
      </w:r>
      <w:r>
        <w:rPr>
          <w:rFonts w:hint="eastAsia" w:ascii="Times New Roman" w:hAnsi="Times New Roman"/>
          <w:color w:val="000000" w:themeColor="text1"/>
          <w:sz w:val="24"/>
          <w:szCs w:val="21"/>
          <w:highlight w:val="none"/>
          <w:lang w:val="zh-CN"/>
          <w14:textFill>
            <w14:solidFill>
              <w14:schemeClr w14:val="tx1"/>
            </w14:solidFill>
          </w14:textFill>
        </w:rPr>
        <w:t>（盖章）</w:t>
      </w:r>
    </w:p>
    <w:p w14:paraId="0920096D">
      <w:pPr>
        <w:jc w:val="left"/>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28061E99">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目录四、资格证明文件</w:t>
      </w:r>
    </w:p>
    <w:p w14:paraId="231FBB26">
      <w:pPr>
        <w:pStyle w:val="264"/>
        <w:rPr>
          <w:color w:val="000000" w:themeColor="text1"/>
          <w:highlight w:val="none"/>
          <w14:textFill>
            <w14:solidFill>
              <w14:schemeClr w14:val="tx1"/>
            </w14:solidFill>
          </w14:textFill>
        </w:rPr>
      </w:pPr>
      <w:bookmarkStart w:id="12" w:name="_Toc489655335"/>
      <w:r>
        <w:rPr>
          <w:color w:val="000000" w:themeColor="text1"/>
          <w:highlight w:val="none"/>
          <w14:textFill>
            <w14:solidFill>
              <w14:schemeClr w14:val="tx1"/>
            </w14:solidFill>
          </w14:textFill>
        </w:rPr>
        <w:t>资格证明文件</w:t>
      </w:r>
      <w:bookmarkEnd w:id="12"/>
    </w:p>
    <w:p w14:paraId="37A1DFE2">
      <w:pPr>
        <w:pStyle w:val="17"/>
        <w:numPr>
          <w:ilvl w:val="0"/>
          <w:numId w:val="58"/>
        </w:numPr>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789FE9E5">
      <w:pPr>
        <w:pStyle w:val="17"/>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761310AA">
      <w:pPr>
        <w:pStyle w:val="17"/>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具有良好的商业信誉和健全的财务会计制度（提供</w:t>
      </w:r>
      <w:r>
        <w:rPr>
          <w:rFonts w:hint="eastAsia"/>
          <w:color w:val="000000" w:themeColor="text1"/>
          <w:highlight w:val="none"/>
          <w14:textFill>
            <w14:solidFill>
              <w14:schemeClr w14:val="tx1"/>
            </w14:solidFill>
          </w14:textFill>
        </w:rPr>
        <w:t>2024年度</w:t>
      </w:r>
      <w:r>
        <w:rPr>
          <w:color w:val="000000" w:themeColor="text1"/>
          <w:highlight w:val="none"/>
          <w14:textFill>
            <w14:solidFill>
              <w14:schemeClr w14:val="tx1"/>
            </w14:solidFill>
          </w14:textFill>
        </w:rPr>
        <w:t>的审计报告复印件加盖公章或响应截止时间前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2025年4月至2025年9月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65CFD30C">
      <w:pPr>
        <w:pStyle w:val="17"/>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6388F982">
      <w:pPr>
        <w:pStyle w:val="17"/>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eastAsia="zh-CN"/>
          <w14:textFill>
            <w14:solidFill>
              <w14:schemeClr w14:val="tx1"/>
            </w14:solidFill>
          </w14:textFill>
        </w:rPr>
        <w:t>2025年4月至2025年9月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7A59E7C2">
      <w:pPr>
        <w:pStyle w:val="17"/>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0E610846">
      <w:pPr>
        <w:pStyle w:val="17"/>
        <w:numPr>
          <w:ilvl w:val="0"/>
          <w:numId w:val="59"/>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63FFB478">
      <w:pPr>
        <w:pStyle w:val="17"/>
        <w:numPr>
          <w:ilvl w:val="0"/>
          <w:numId w:val="58"/>
        </w:numPr>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color w:val="000000" w:themeColor="text1"/>
          <w:highlight w:val="none"/>
          <w14:textFill>
            <w14:solidFill>
              <w14:schemeClr w14:val="tx1"/>
            </w14:solidFill>
          </w14:textFill>
        </w:rPr>
        <w:t>。</w:t>
      </w:r>
    </w:p>
    <w:p w14:paraId="6450B634">
      <w:pPr>
        <w:pStyle w:val="17"/>
        <w:numPr>
          <w:ilvl w:val="0"/>
          <w:numId w:val="58"/>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拒绝下述供应商参加本次响应：</w:t>
      </w:r>
    </w:p>
    <w:p w14:paraId="276DD9B4">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287CEF23">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4C91F834">
      <w:pPr>
        <w:pStyle w:val="17"/>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信用中国”网站（www.creditchina.gov.cn）列入失信被执行人、重大税收违法失信主体、严重违法失信行为记录名单。</w:t>
      </w:r>
    </w:p>
    <w:p w14:paraId="393E6F72">
      <w:pPr>
        <w:pStyle w:val="17"/>
        <w:ind w:firstLine="0" w:firstLineChars="0"/>
        <w:rPr>
          <w:b/>
          <w:color w:val="000000" w:themeColor="text1"/>
          <w:highlight w:val="none"/>
          <w14:textFill>
            <w14:solidFill>
              <w14:schemeClr w14:val="tx1"/>
            </w14:solidFill>
          </w14:textFill>
        </w:rPr>
      </w:pPr>
    </w:p>
    <w:p w14:paraId="657E0AD0">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r>
      <w:r>
        <w:rPr>
          <w:b/>
          <w:color w:val="000000" w:themeColor="text1"/>
          <w:highlight w:val="none"/>
          <w14:textFill>
            <w14:solidFill>
              <w14:schemeClr w14:val="tx1"/>
            </w14:solidFill>
          </w14:textFill>
        </w:rPr>
        <w:t>目录五、分项报价表格式</w:t>
      </w:r>
    </w:p>
    <w:p w14:paraId="2A962FAD">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分项报价表</w:t>
      </w:r>
    </w:p>
    <w:tbl>
      <w:tblPr>
        <w:tblStyle w:val="44"/>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396"/>
        <w:gridCol w:w="3912"/>
        <w:gridCol w:w="1142"/>
        <w:gridCol w:w="971"/>
        <w:gridCol w:w="1246"/>
        <w:gridCol w:w="1195"/>
        <w:gridCol w:w="635"/>
      </w:tblGrid>
      <w:tr w14:paraId="596A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209" w:type="pct"/>
            <w:tcMar>
              <w:top w:w="20" w:type="dxa"/>
              <w:left w:w="20" w:type="dxa"/>
              <w:bottom w:w="20" w:type="dxa"/>
              <w:right w:w="20" w:type="dxa"/>
            </w:tcMar>
            <w:vAlign w:val="center"/>
          </w:tcPr>
          <w:p w14:paraId="64C6FC29">
            <w:pPr>
              <w:wordWrap w:val="0"/>
              <w:spacing w:line="273"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序号</w:t>
            </w:r>
          </w:p>
        </w:tc>
        <w:tc>
          <w:tcPr>
            <w:tcW w:w="2059" w:type="pct"/>
            <w:tcMar>
              <w:top w:w="20" w:type="dxa"/>
              <w:left w:w="20" w:type="dxa"/>
              <w:bottom w:w="20" w:type="dxa"/>
              <w:right w:w="20" w:type="dxa"/>
            </w:tcMar>
            <w:vAlign w:val="center"/>
          </w:tcPr>
          <w:p w14:paraId="4DA99D69">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服务内容</w:t>
            </w:r>
          </w:p>
        </w:tc>
        <w:tc>
          <w:tcPr>
            <w:tcW w:w="601" w:type="pct"/>
            <w:tcMar>
              <w:top w:w="20" w:type="dxa"/>
              <w:left w:w="20" w:type="dxa"/>
              <w:bottom w:w="20" w:type="dxa"/>
              <w:right w:w="20" w:type="dxa"/>
            </w:tcMar>
            <w:vAlign w:val="center"/>
          </w:tcPr>
          <w:p w14:paraId="3D879A61">
            <w:pPr>
              <w:widowControl/>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报价单位</w:t>
            </w:r>
          </w:p>
        </w:tc>
        <w:tc>
          <w:tcPr>
            <w:tcW w:w="511" w:type="pct"/>
            <w:tcMar>
              <w:top w:w="20" w:type="dxa"/>
              <w:left w:w="20" w:type="dxa"/>
              <w:bottom w:w="20" w:type="dxa"/>
              <w:right w:w="20" w:type="dxa"/>
            </w:tcMar>
            <w:vAlign w:val="center"/>
          </w:tcPr>
          <w:p w14:paraId="01386621">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数量</w:t>
            </w:r>
          </w:p>
        </w:tc>
        <w:tc>
          <w:tcPr>
            <w:tcW w:w="654" w:type="pct"/>
            <w:tcMar>
              <w:top w:w="20" w:type="dxa"/>
              <w:left w:w="20" w:type="dxa"/>
              <w:bottom w:w="20" w:type="dxa"/>
              <w:right w:w="20" w:type="dxa"/>
            </w:tcMar>
            <w:vAlign w:val="center"/>
          </w:tcPr>
          <w:p w14:paraId="1B1719CA">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单价</w:t>
            </w:r>
          </w:p>
        </w:tc>
        <w:tc>
          <w:tcPr>
            <w:tcW w:w="629" w:type="pct"/>
            <w:tcMar>
              <w:top w:w="20" w:type="dxa"/>
              <w:left w:w="20" w:type="dxa"/>
              <w:bottom w:w="20" w:type="dxa"/>
              <w:right w:w="20" w:type="dxa"/>
            </w:tcMar>
            <w:vAlign w:val="center"/>
          </w:tcPr>
          <w:p w14:paraId="627B9402">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合计</w:t>
            </w:r>
          </w:p>
          <w:p w14:paraId="010A5A27">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（元）</w:t>
            </w:r>
          </w:p>
        </w:tc>
        <w:tc>
          <w:tcPr>
            <w:tcW w:w="334" w:type="pct"/>
            <w:tcMar>
              <w:top w:w="20" w:type="dxa"/>
              <w:left w:w="20" w:type="dxa"/>
              <w:bottom w:w="20" w:type="dxa"/>
              <w:right w:w="20" w:type="dxa"/>
            </w:tcMar>
            <w:vAlign w:val="center"/>
          </w:tcPr>
          <w:p w14:paraId="68F60690">
            <w:pPr>
              <w:wordWrap w:val="0"/>
              <w:spacing w:line="273" w:lineRule="exact"/>
              <w:jc w:val="center"/>
              <w:rPr>
                <w:rFonts w:asciiTheme="minorEastAsia" w:hAnsiTheme="minorEastAsia" w:eastAsiaTheme="minorEastAsia" w:cstheme="minorEastAsia"/>
                <w:b/>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color w:val="000000" w:themeColor="text1"/>
                <w:szCs w:val="21"/>
                <w:highlight w:val="none"/>
                <w14:textFill>
                  <w14:solidFill>
                    <w14:schemeClr w14:val="tx1"/>
                  </w14:solidFill>
                </w14:textFill>
              </w:rPr>
              <w:t>备注</w:t>
            </w:r>
          </w:p>
        </w:tc>
      </w:tr>
      <w:tr w14:paraId="5A034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2118168C">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1</w:t>
            </w:r>
          </w:p>
        </w:tc>
        <w:tc>
          <w:tcPr>
            <w:tcW w:w="2059" w:type="pct"/>
            <w:tcMar>
              <w:top w:w="20" w:type="dxa"/>
              <w:left w:w="20" w:type="dxa"/>
              <w:bottom w:w="20" w:type="dxa"/>
              <w:right w:w="20" w:type="dxa"/>
            </w:tcMar>
            <w:vAlign w:val="center"/>
          </w:tcPr>
          <w:p w14:paraId="5CC6CC0A">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651B8C18">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60234DB9">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1F16FE7F">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0A1008FC">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207D66F0">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14:paraId="5C9A0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EEE82AD">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2</w:t>
            </w:r>
          </w:p>
        </w:tc>
        <w:tc>
          <w:tcPr>
            <w:tcW w:w="2059" w:type="pct"/>
            <w:tcMar>
              <w:top w:w="20" w:type="dxa"/>
              <w:left w:w="20" w:type="dxa"/>
              <w:bottom w:w="20" w:type="dxa"/>
              <w:right w:w="20" w:type="dxa"/>
            </w:tcMar>
            <w:vAlign w:val="center"/>
          </w:tcPr>
          <w:p w14:paraId="5E88FDFA">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05A62073">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4E2ABDA4">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63FC8611">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01DBE9B2">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2E095ABA">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14:paraId="35094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3B453CBD">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3</w:t>
            </w:r>
          </w:p>
        </w:tc>
        <w:tc>
          <w:tcPr>
            <w:tcW w:w="2059" w:type="pct"/>
            <w:tcMar>
              <w:top w:w="20" w:type="dxa"/>
              <w:left w:w="20" w:type="dxa"/>
              <w:bottom w:w="20" w:type="dxa"/>
              <w:right w:w="20" w:type="dxa"/>
            </w:tcMar>
            <w:vAlign w:val="center"/>
          </w:tcPr>
          <w:p w14:paraId="73EBAF32">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6294210F">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61BE6B26">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6F3616A9">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41BBEC93">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57FEE096">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14:paraId="3185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3E049361">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4</w:t>
            </w:r>
          </w:p>
        </w:tc>
        <w:tc>
          <w:tcPr>
            <w:tcW w:w="2059" w:type="pct"/>
            <w:tcMar>
              <w:top w:w="20" w:type="dxa"/>
              <w:left w:w="20" w:type="dxa"/>
              <w:bottom w:w="20" w:type="dxa"/>
              <w:right w:w="20" w:type="dxa"/>
            </w:tcMar>
            <w:vAlign w:val="center"/>
          </w:tcPr>
          <w:p w14:paraId="1E2911C3">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64901958">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5F6B4C2A">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3EDBB7DB">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57FDEE53">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4DB9A86D">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14:paraId="51525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209" w:type="pct"/>
            <w:tcMar>
              <w:top w:w="20" w:type="dxa"/>
              <w:left w:w="20" w:type="dxa"/>
              <w:bottom w:w="20" w:type="dxa"/>
              <w:right w:w="20" w:type="dxa"/>
            </w:tcMar>
            <w:vAlign w:val="center"/>
          </w:tcPr>
          <w:p w14:paraId="69C4969A">
            <w:pPr>
              <w:wordWrap w:val="0"/>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5</w:t>
            </w:r>
          </w:p>
        </w:tc>
        <w:tc>
          <w:tcPr>
            <w:tcW w:w="2059" w:type="pct"/>
            <w:tcMar>
              <w:top w:w="20" w:type="dxa"/>
              <w:left w:w="20" w:type="dxa"/>
              <w:bottom w:w="20" w:type="dxa"/>
              <w:right w:w="20" w:type="dxa"/>
            </w:tcMar>
            <w:vAlign w:val="center"/>
          </w:tcPr>
          <w:p w14:paraId="2521E510">
            <w:pPr>
              <w:widowControl/>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01" w:type="pct"/>
            <w:tcMar>
              <w:top w:w="20" w:type="dxa"/>
              <w:left w:w="20" w:type="dxa"/>
              <w:bottom w:w="20" w:type="dxa"/>
              <w:right w:w="20" w:type="dxa"/>
            </w:tcMar>
            <w:vAlign w:val="center"/>
          </w:tcPr>
          <w:p w14:paraId="06116D0A">
            <w:pPr>
              <w:widowControl/>
              <w:jc w:val="center"/>
              <w:rPr>
                <w:color w:val="000000" w:themeColor="text1"/>
                <w:highlight w:val="none"/>
                <w14:textFill>
                  <w14:solidFill>
                    <w14:schemeClr w14:val="tx1"/>
                  </w14:solidFill>
                </w14:textFill>
              </w:rPr>
            </w:pPr>
          </w:p>
        </w:tc>
        <w:tc>
          <w:tcPr>
            <w:tcW w:w="511" w:type="pct"/>
            <w:tcMar>
              <w:top w:w="20" w:type="dxa"/>
              <w:left w:w="20" w:type="dxa"/>
              <w:bottom w:w="20" w:type="dxa"/>
              <w:right w:w="20" w:type="dxa"/>
            </w:tcMar>
            <w:vAlign w:val="center"/>
          </w:tcPr>
          <w:p w14:paraId="0E3B5C7F">
            <w:pPr>
              <w:widowControl/>
              <w:jc w:val="center"/>
              <w:rPr>
                <w:color w:val="000000" w:themeColor="text1"/>
                <w:highlight w:val="none"/>
                <w14:textFill>
                  <w14:solidFill>
                    <w14:schemeClr w14:val="tx1"/>
                  </w14:solidFill>
                </w14:textFill>
              </w:rPr>
            </w:pPr>
          </w:p>
        </w:tc>
        <w:tc>
          <w:tcPr>
            <w:tcW w:w="654" w:type="pct"/>
            <w:tcMar>
              <w:top w:w="20" w:type="dxa"/>
              <w:left w:w="20" w:type="dxa"/>
              <w:bottom w:w="20" w:type="dxa"/>
              <w:right w:w="20" w:type="dxa"/>
            </w:tcMar>
            <w:vAlign w:val="center"/>
          </w:tcPr>
          <w:p w14:paraId="40226973">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629" w:type="pct"/>
            <w:tcMar>
              <w:top w:w="20" w:type="dxa"/>
              <w:left w:w="20" w:type="dxa"/>
              <w:bottom w:w="20" w:type="dxa"/>
              <w:right w:w="20" w:type="dxa"/>
            </w:tcMar>
            <w:vAlign w:val="center"/>
          </w:tcPr>
          <w:p w14:paraId="342683FD">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3F051565">
            <w:pPr>
              <w:spacing w:line="234" w:lineRule="exact"/>
              <w:jc w:val="left"/>
              <w:rPr>
                <w:rFonts w:asciiTheme="minorEastAsia" w:hAnsiTheme="minorEastAsia" w:eastAsiaTheme="minorEastAsia" w:cstheme="minorEastAsia"/>
                <w:color w:val="000000" w:themeColor="text1"/>
                <w:szCs w:val="21"/>
                <w:highlight w:val="none"/>
                <w14:textFill>
                  <w14:solidFill>
                    <w14:schemeClr w14:val="tx1"/>
                  </w14:solidFill>
                </w14:textFill>
              </w:rPr>
            </w:pPr>
          </w:p>
        </w:tc>
      </w:tr>
      <w:tr w14:paraId="03CA4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4036" w:type="pct"/>
            <w:gridSpan w:val="5"/>
            <w:tcMar>
              <w:top w:w="20" w:type="dxa"/>
              <w:left w:w="20" w:type="dxa"/>
              <w:bottom w:w="20" w:type="dxa"/>
              <w:right w:w="20" w:type="dxa"/>
            </w:tcMar>
            <w:vAlign w:val="center"/>
          </w:tcPr>
          <w:p w14:paraId="6DD1CF56">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Cs w:val="21"/>
                <w:highlight w:val="none"/>
                <w14:textFill>
                  <w14:solidFill>
                    <w14:schemeClr w14:val="tx1"/>
                  </w14:solidFill>
                </w14:textFill>
              </w:rPr>
              <w:t>总计（元）</w:t>
            </w:r>
          </w:p>
        </w:tc>
        <w:tc>
          <w:tcPr>
            <w:tcW w:w="629" w:type="pct"/>
            <w:tcMar>
              <w:top w:w="20" w:type="dxa"/>
              <w:left w:w="20" w:type="dxa"/>
              <w:bottom w:w="20" w:type="dxa"/>
              <w:right w:w="20" w:type="dxa"/>
            </w:tcMar>
            <w:vAlign w:val="center"/>
          </w:tcPr>
          <w:p w14:paraId="61A6E146">
            <w:pPr>
              <w:spacing w:line="234" w:lineRule="exact"/>
              <w:jc w:val="center"/>
              <w:rPr>
                <w:rFonts w:asciiTheme="minorEastAsia" w:hAnsiTheme="minorEastAsia" w:eastAsiaTheme="minorEastAsia" w:cstheme="minorEastAsia"/>
                <w:color w:val="000000" w:themeColor="text1"/>
                <w:szCs w:val="21"/>
                <w:highlight w:val="none"/>
                <w14:textFill>
                  <w14:solidFill>
                    <w14:schemeClr w14:val="tx1"/>
                  </w14:solidFill>
                </w14:textFill>
              </w:rPr>
            </w:pPr>
          </w:p>
        </w:tc>
        <w:tc>
          <w:tcPr>
            <w:tcW w:w="334" w:type="pct"/>
            <w:tcMar>
              <w:top w:w="20" w:type="dxa"/>
              <w:left w:w="20" w:type="dxa"/>
              <w:bottom w:w="20" w:type="dxa"/>
              <w:right w:w="20" w:type="dxa"/>
            </w:tcMar>
            <w:vAlign w:val="center"/>
          </w:tcPr>
          <w:p w14:paraId="26CA979B">
            <w:pPr>
              <w:wordWrap w:val="0"/>
              <w:spacing w:line="234" w:lineRule="exact"/>
              <w:jc w:val="right"/>
              <w:rPr>
                <w:rFonts w:asciiTheme="minorEastAsia" w:hAnsiTheme="minorEastAsia" w:eastAsiaTheme="minorEastAsia" w:cstheme="minorEastAsia"/>
                <w:color w:val="000000" w:themeColor="text1"/>
                <w:szCs w:val="21"/>
                <w:highlight w:val="none"/>
                <w14:textFill>
                  <w14:solidFill>
                    <w14:schemeClr w14:val="tx1"/>
                  </w14:solidFill>
                </w14:textFill>
              </w:rPr>
            </w:pPr>
          </w:p>
        </w:tc>
      </w:tr>
    </w:tbl>
    <w:p w14:paraId="49EDE6A5">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p>
    <w:p w14:paraId="4FC6589C">
      <w:pPr>
        <w:adjustRightInd w:val="0"/>
        <w:spacing w:line="360" w:lineRule="auto"/>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注：1、行数不够可自行增加。</w:t>
      </w:r>
    </w:p>
    <w:p w14:paraId="32FCEC0F">
      <w:pPr>
        <w:adjustRightInd w:val="0"/>
        <w:spacing w:line="360" w:lineRule="auto"/>
        <w:jc w:val="left"/>
        <w:rPr>
          <w:rFonts w:ascii="Times New Roman" w:hAnsi="Times New Roman"/>
          <w:color w:val="000000" w:themeColor="text1"/>
          <w:sz w:val="24"/>
          <w:szCs w:val="21"/>
          <w:highlight w:val="none"/>
          <w14:textFill>
            <w14:solidFill>
              <w14:schemeClr w14:val="tx1"/>
            </w14:solidFill>
          </w14:textFill>
        </w:rPr>
      </w:pPr>
    </w:p>
    <w:p w14:paraId="7DFC79DB">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189A193A">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229DD75B">
      <w:pPr>
        <w:rPr>
          <w:rFonts w:ascii="宋体" w:hAnsi="宋体" w:cs="宋体"/>
          <w:b/>
          <w:color w:val="000000" w:themeColor="text1"/>
          <w:szCs w:val="21"/>
          <w:highlight w:val="none"/>
          <w:lang w:val="zh-CN"/>
          <w14:textFill>
            <w14:solidFill>
              <w14:schemeClr w14:val="tx1"/>
            </w14:solidFill>
          </w14:textFill>
        </w:rPr>
      </w:pPr>
    </w:p>
    <w:p w14:paraId="4A74742F">
      <w:pPr>
        <w:rPr>
          <w:rFonts w:ascii="宋体" w:hAnsi="宋体" w:cs="宋体"/>
          <w:b/>
          <w:color w:val="000000" w:themeColor="text1"/>
          <w:szCs w:val="21"/>
          <w:highlight w:val="none"/>
          <w:lang w:val="zh-CN"/>
          <w14:textFill>
            <w14:solidFill>
              <w14:schemeClr w14:val="tx1"/>
            </w14:solidFill>
          </w14:textFill>
        </w:rPr>
      </w:pPr>
    </w:p>
    <w:p w14:paraId="0877B112">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目录六、技术条款偏离表格式</w:t>
      </w:r>
    </w:p>
    <w:p w14:paraId="7D249351">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4"/>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77873DDE">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02376EFC">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519" w:type="pct"/>
            <w:gridSpan w:val="2"/>
            <w:tcBorders>
              <w:top w:val="nil"/>
              <w:left w:val="nil"/>
              <w:bottom w:val="single" w:color="auto" w:sz="6" w:space="0"/>
              <w:right w:val="nil"/>
            </w:tcBorders>
            <w:vAlign w:val="center"/>
          </w:tcPr>
          <w:p w14:paraId="2744DB5E">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34F7092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A57A669">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223FF5DC">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75AF31EC">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AB4A2AC">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348E7B6B">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5C014F43">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AE75A1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36AF5A5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616EF3A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BB5FA8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42FF00B8">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6029162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18C89D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37046F7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240AE89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8ADE83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1920ABF6">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7FFD3566">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A78BAE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46D66998">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69BAFA7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21BFE6A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77C1E1DD">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5918E3A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2E56046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4D3AD53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6DB5CCA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45312A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37F20337">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36B2229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BC0719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09DDFC92">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25631B8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76DC78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7CA38CAE">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10233997">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F71BD1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92" w:type="pct"/>
            <w:tcBorders>
              <w:top w:val="single" w:color="auto" w:sz="6" w:space="0"/>
              <w:left w:val="single" w:color="auto" w:sz="6" w:space="0"/>
              <w:bottom w:val="single" w:color="auto" w:sz="6" w:space="0"/>
              <w:right w:val="single" w:color="auto" w:sz="6" w:space="0"/>
            </w:tcBorders>
            <w:vAlign w:val="center"/>
          </w:tcPr>
          <w:p w14:paraId="6D03CC2A">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95" w:type="pct"/>
            <w:tcBorders>
              <w:top w:val="single" w:color="auto" w:sz="6" w:space="0"/>
              <w:left w:val="single" w:color="auto" w:sz="6" w:space="0"/>
              <w:bottom w:val="single" w:color="auto" w:sz="6" w:space="0"/>
              <w:right w:val="single" w:color="auto" w:sz="6" w:space="0"/>
            </w:tcBorders>
            <w:vAlign w:val="center"/>
          </w:tcPr>
          <w:p w14:paraId="4458C4E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2506AB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574" w:type="pct"/>
            <w:tcBorders>
              <w:top w:val="single" w:color="auto" w:sz="6" w:space="0"/>
              <w:left w:val="single" w:color="auto" w:sz="6" w:space="0"/>
              <w:bottom w:val="single" w:color="auto" w:sz="6" w:space="0"/>
              <w:right w:val="single" w:color="auto" w:sz="6" w:space="0"/>
            </w:tcBorders>
            <w:vAlign w:val="center"/>
          </w:tcPr>
          <w:p w14:paraId="40CAD5BD">
            <w:pPr>
              <w:adjustRightInd w:val="0"/>
              <w:jc w:val="center"/>
              <w:rPr>
                <w:rFonts w:ascii="宋体" w:hAnsi="宋体" w:cs="宋体"/>
                <w:color w:val="000000" w:themeColor="text1"/>
                <w:szCs w:val="21"/>
                <w:highlight w:val="none"/>
                <w:lang w:val="zh-CN"/>
                <w14:textFill>
                  <w14:solidFill>
                    <w14:schemeClr w14:val="tx1"/>
                  </w14:solidFill>
                </w14:textFill>
              </w:rPr>
            </w:pPr>
          </w:p>
        </w:tc>
      </w:tr>
    </w:tbl>
    <w:p w14:paraId="2CE2A76A">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6ED2BC76">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320B39AA">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12989408">
      <w:pPr>
        <w:pStyle w:val="17"/>
        <w:widowControl/>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4CF2A159">
      <w:pPr>
        <w:pStyle w:val="17"/>
        <w:widowControl/>
        <w:numPr>
          <w:ilvl w:val="0"/>
          <w:numId w:val="6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348C2ACA">
      <w:pPr>
        <w:pStyle w:val="17"/>
        <w:widowControl/>
        <w:numPr>
          <w:ilvl w:val="0"/>
          <w:numId w:val="6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77391E0E">
      <w:pPr>
        <w:pStyle w:val="17"/>
        <w:widowControl/>
        <w:numPr>
          <w:ilvl w:val="0"/>
          <w:numId w:val="60"/>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响应响应作为响应文件重要的组成部分，不应通过简单拷贝或简单标注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5C24F47E">
      <w:pP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3FE0C1BC">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目录七、商务条款偏离表格式</w:t>
      </w:r>
    </w:p>
    <w:p w14:paraId="7D45407E">
      <w:pPr>
        <w:pStyle w:val="262"/>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1B303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7C60630C">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2ED0D334">
            <w:pPr>
              <w:adjustRightInd w:val="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15E9E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41A2922">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1227D1FE">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53DE0F58">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0913FD83">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p>
        </w:tc>
        <w:tc>
          <w:tcPr>
            <w:tcW w:w="709" w:type="pct"/>
            <w:vAlign w:val="center"/>
          </w:tcPr>
          <w:p w14:paraId="650476A1">
            <w:pPr>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0E4C5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9F2224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58A6CE9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2ACAB4E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59F6685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7DD81A09">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50ABE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589E1F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757745F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3CBD26E7">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7860B64B">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544D7E74">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7D83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236BFD3">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2481046C">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62D9AE3D">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336E9111">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68AC7553">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5B65D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725810C">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4746B34C">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1CF0779E">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30057C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42057E6C">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01BD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B6B5A2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7CBE6FD5">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49FB205C">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2AAF7FD4">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70907DE7">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34707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8AD63C9">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974" w:type="pct"/>
            <w:vAlign w:val="center"/>
          </w:tcPr>
          <w:p w14:paraId="3AA3D890">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515" w:type="pct"/>
            <w:vAlign w:val="center"/>
          </w:tcPr>
          <w:p w14:paraId="53B733E6">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790FB7BF">
            <w:pPr>
              <w:adjustRightInd w:val="0"/>
              <w:jc w:val="center"/>
              <w:rPr>
                <w:rFonts w:ascii="宋体" w:hAnsi="宋体" w:cs="宋体"/>
                <w:color w:val="000000" w:themeColor="text1"/>
                <w:szCs w:val="21"/>
                <w:highlight w:val="none"/>
                <w:lang w:val="zh-CN"/>
                <w14:textFill>
                  <w14:solidFill>
                    <w14:schemeClr w14:val="tx1"/>
                  </w14:solidFill>
                </w14:textFill>
              </w:rPr>
            </w:pPr>
          </w:p>
        </w:tc>
        <w:tc>
          <w:tcPr>
            <w:tcW w:w="709" w:type="pct"/>
            <w:vAlign w:val="center"/>
          </w:tcPr>
          <w:p w14:paraId="340BC7F5">
            <w:pPr>
              <w:adjustRightInd w:val="0"/>
              <w:jc w:val="center"/>
              <w:rPr>
                <w:rFonts w:ascii="宋体" w:hAnsi="宋体" w:cs="宋体"/>
                <w:color w:val="000000" w:themeColor="text1"/>
                <w:szCs w:val="21"/>
                <w:highlight w:val="none"/>
                <w:lang w:val="zh-CN"/>
                <w14:textFill>
                  <w14:solidFill>
                    <w14:schemeClr w14:val="tx1"/>
                  </w14:solidFill>
                </w14:textFill>
              </w:rPr>
            </w:pPr>
          </w:p>
        </w:tc>
      </w:tr>
      <w:tr w14:paraId="3A9FF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36" w:type="pct"/>
            <w:vAlign w:val="center"/>
          </w:tcPr>
          <w:p w14:paraId="02D0A218">
            <w:pPr>
              <w:jc w:val="center"/>
              <w:rPr>
                <w:rFonts w:ascii="宋体" w:hAnsi="宋体" w:cs="Arial"/>
                <w:color w:val="000000" w:themeColor="text1"/>
                <w:szCs w:val="21"/>
                <w:highlight w:val="none"/>
                <w14:textFill>
                  <w14:solidFill>
                    <w14:schemeClr w14:val="tx1"/>
                  </w14:solidFill>
                </w14:textFill>
              </w:rPr>
            </w:pPr>
          </w:p>
        </w:tc>
        <w:tc>
          <w:tcPr>
            <w:tcW w:w="974" w:type="pct"/>
            <w:vAlign w:val="center"/>
          </w:tcPr>
          <w:p w14:paraId="12867984">
            <w:pPr>
              <w:jc w:val="center"/>
              <w:rPr>
                <w:rFonts w:ascii="宋体" w:hAnsi="宋体" w:cs="Arial"/>
                <w:color w:val="000000" w:themeColor="text1"/>
                <w:szCs w:val="21"/>
                <w:highlight w:val="none"/>
                <w14:textFill>
                  <w14:solidFill>
                    <w14:schemeClr w14:val="tx1"/>
                  </w14:solidFill>
                </w14:textFill>
              </w:rPr>
            </w:pPr>
          </w:p>
        </w:tc>
        <w:tc>
          <w:tcPr>
            <w:tcW w:w="1515" w:type="pct"/>
            <w:vAlign w:val="center"/>
          </w:tcPr>
          <w:p w14:paraId="71089D47">
            <w:pPr>
              <w:jc w:val="center"/>
              <w:rPr>
                <w:rFonts w:ascii="宋体" w:hAnsi="宋体" w:cs="Arial"/>
                <w:color w:val="000000" w:themeColor="text1"/>
                <w:szCs w:val="21"/>
                <w:highlight w:val="none"/>
                <w14:textFill>
                  <w14:solidFill>
                    <w14:schemeClr w14:val="tx1"/>
                  </w14:solidFill>
                </w14:textFill>
              </w:rPr>
            </w:pPr>
          </w:p>
        </w:tc>
        <w:tc>
          <w:tcPr>
            <w:tcW w:w="1364" w:type="pct"/>
            <w:gridSpan w:val="2"/>
            <w:vAlign w:val="center"/>
          </w:tcPr>
          <w:p w14:paraId="765F6534">
            <w:pPr>
              <w:jc w:val="center"/>
              <w:rPr>
                <w:rFonts w:ascii="宋体" w:hAnsi="宋体" w:cs="Arial"/>
                <w:color w:val="000000" w:themeColor="text1"/>
                <w:szCs w:val="21"/>
                <w:highlight w:val="none"/>
                <w14:textFill>
                  <w14:solidFill>
                    <w14:schemeClr w14:val="tx1"/>
                  </w14:solidFill>
                </w14:textFill>
              </w:rPr>
            </w:pPr>
          </w:p>
        </w:tc>
        <w:tc>
          <w:tcPr>
            <w:tcW w:w="709" w:type="pct"/>
            <w:vAlign w:val="center"/>
          </w:tcPr>
          <w:p w14:paraId="65F4D249">
            <w:pPr>
              <w:jc w:val="center"/>
              <w:rPr>
                <w:rFonts w:ascii="宋体" w:hAnsi="宋体" w:cs="Arial"/>
                <w:color w:val="000000" w:themeColor="text1"/>
                <w:szCs w:val="21"/>
                <w:highlight w:val="none"/>
                <w14:textFill>
                  <w14:solidFill>
                    <w14:schemeClr w14:val="tx1"/>
                  </w14:solidFill>
                </w14:textFill>
              </w:rPr>
            </w:pPr>
          </w:p>
        </w:tc>
      </w:tr>
    </w:tbl>
    <w:p w14:paraId="59851120">
      <w:pPr>
        <w:adjustRightInd w:val="0"/>
        <w:spacing w:line="360" w:lineRule="auto"/>
        <w:jc w:val="left"/>
        <w:rPr>
          <w:rFonts w:ascii="宋体" w:hAnsi="宋体" w:cs="宋体"/>
          <w:color w:val="000000" w:themeColor="text1"/>
          <w:szCs w:val="21"/>
          <w:highlight w:val="none"/>
          <w:lang w:val="zh-CN"/>
          <w14:textFill>
            <w14:solidFill>
              <w14:schemeClr w14:val="tx1"/>
            </w14:solidFill>
          </w14:textFill>
        </w:rPr>
      </w:pPr>
    </w:p>
    <w:p w14:paraId="13D1B8E8">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389C3A9E">
      <w:pPr>
        <w:widowControl/>
        <w:spacing w:line="360" w:lineRule="auto"/>
        <w:jc w:val="left"/>
        <w:rPr>
          <w:rFonts w:ascii="宋体" w:hAnsi="宋体" w:cs="宋体"/>
          <w:color w:val="000000" w:themeColor="text1"/>
          <w:szCs w:val="21"/>
          <w:highlight w:val="none"/>
          <w:lang w:val="zh-CN"/>
          <w14:textFill>
            <w14:solidFill>
              <w14:schemeClr w14:val="tx1"/>
            </w14:solidFill>
          </w14:textFill>
        </w:rPr>
      </w:pPr>
    </w:p>
    <w:p w14:paraId="3B987DC5">
      <w:pPr>
        <w:pStyle w:val="17"/>
        <w:widowControl/>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3CF4F064">
      <w:pPr>
        <w:pStyle w:val="17"/>
        <w:widowControl/>
        <w:numPr>
          <w:ilvl w:val="0"/>
          <w:numId w:val="6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400618F6">
      <w:pPr>
        <w:pStyle w:val="17"/>
        <w:widowControl/>
        <w:numPr>
          <w:ilvl w:val="0"/>
          <w:numId w:val="6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15E207BC">
      <w:pPr>
        <w:pStyle w:val="17"/>
        <w:widowControl/>
        <w:numPr>
          <w:ilvl w:val="0"/>
          <w:numId w:val="61"/>
        </w:numPr>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3D553928">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7BC6BC42">
      <w:pPr>
        <w:pStyle w:val="17"/>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目录八、服务方案或承诺</w:t>
      </w:r>
    </w:p>
    <w:p w14:paraId="7B127EF7">
      <w:pPr>
        <w:spacing w:line="240" w:lineRule="atLeast"/>
        <w:rPr>
          <w:rFonts w:ascii="宋体" w:hAnsi="宋体"/>
          <w:b/>
          <w:color w:val="000000" w:themeColor="text1"/>
          <w:highlight w:val="none"/>
          <w14:textFill>
            <w14:solidFill>
              <w14:schemeClr w14:val="tx1"/>
            </w14:solidFill>
          </w14:textFill>
        </w:rPr>
      </w:pPr>
    </w:p>
    <w:p w14:paraId="44A3BD92">
      <w:pPr>
        <w:pStyle w:val="4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服务方案或承诺</w:t>
      </w:r>
    </w:p>
    <w:p w14:paraId="4AC3111D">
      <w:pPr>
        <w:spacing w:line="240" w:lineRule="atLeast"/>
        <w:rPr>
          <w:rFonts w:ascii="宋体" w:hAnsi="宋体" w:cs="宋体"/>
          <w:color w:val="000000" w:themeColor="text1"/>
          <w:sz w:val="36"/>
          <w:szCs w:val="36"/>
          <w:highlight w:val="none"/>
          <w:lang w:val="zh-CN"/>
          <w14:textFill>
            <w14:solidFill>
              <w14:schemeClr w14:val="tx1"/>
            </w14:solidFill>
          </w14:textFill>
        </w:rPr>
      </w:pPr>
    </w:p>
    <w:p w14:paraId="7113BB49">
      <w:pPr>
        <w:spacing w:line="240" w:lineRule="atLeast"/>
        <w:rPr>
          <w:rFonts w:ascii="宋体" w:hAnsi="宋体" w:cs="宋体"/>
          <w:color w:val="000000" w:themeColor="text1"/>
          <w:sz w:val="36"/>
          <w:szCs w:val="36"/>
          <w:highlight w:val="none"/>
          <w14:textFill>
            <w14:solidFill>
              <w14:schemeClr w14:val="tx1"/>
            </w14:solidFill>
          </w14:textFill>
        </w:rPr>
      </w:pPr>
    </w:p>
    <w:p w14:paraId="74B204D7">
      <w:pPr>
        <w:spacing w:line="240" w:lineRule="atLeast"/>
        <w:rPr>
          <w:rFonts w:ascii="宋体" w:hAnsi="宋体" w:cs="宋体"/>
          <w:color w:val="000000" w:themeColor="text1"/>
          <w:sz w:val="36"/>
          <w:szCs w:val="36"/>
          <w:highlight w:val="none"/>
          <w14:textFill>
            <w14:solidFill>
              <w14:schemeClr w14:val="tx1"/>
            </w14:solidFill>
          </w14:textFill>
        </w:rPr>
      </w:pPr>
    </w:p>
    <w:p w14:paraId="16503E59">
      <w:pPr>
        <w:pStyle w:val="43"/>
        <w:ind w:firstLine="720"/>
        <w:rPr>
          <w:rFonts w:cs="宋体"/>
          <w:color w:val="000000" w:themeColor="text1"/>
          <w:sz w:val="36"/>
          <w:szCs w:val="36"/>
          <w:highlight w:val="none"/>
          <w14:textFill>
            <w14:solidFill>
              <w14:schemeClr w14:val="tx1"/>
            </w14:solidFill>
          </w14:textFill>
        </w:rPr>
      </w:pPr>
    </w:p>
    <w:p w14:paraId="028D05BF">
      <w:pPr>
        <w:rPr>
          <w:color w:val="000000" w:themeColor="text1"/>
          <w:highlight w:val="none"/>
          <w14:textFill>
            <w14:solidFill>
              <w14:schemeClr w14:val="tx1"/>
            </w14:solidFill>
          </w14:textFill>
        </w:rPr>
      </w:pPr>
    </w:p>
    <w:p w14:paraId="6B11A743">
      <w:pPr>
        <w:spacing w:line="240" w:lineRule="atLeast"/>
        <w:rPr>
          <w:rFonts w:ascii="宋体" w:hAnsi="宋体" w:cs="宋体"/>
          <w:color w:val="000000" w:themeColor="text1"/>
          <w:sz w:val="36"/>
          <w:szCs w:val="36"/>
          <w:highlight w:val="none"/>
          <w14:textFill>
            <w14:solidFill>
              <w14:schemeClr w14:val="tx1"/>
            </w14:solidFill>
          </w14:textFill>
        </w:rPr>
      </w:pPr>
    </w:p>
    <w:p w14:paraId="5F46B627">
      <w:pPr>
        <w:pStyle w:val="17"/>
        <w:widowControl/>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目录九、拟投入本项目人员一览表</w:t>
      </w:r>
    </w:p>
    <w:p w14:paraId="55232FD1">
      <w:pPr>
        <w:widowControl/>
        <w:adjustRightInd w:val="0"/>
        <w:spacing w:line="440" w:lineRule="exact"/>
        <w:rPr>
          <w:rFonts w:ascii="宋体" w:hAnsi="宋体"/>
          <w:b/>
          <w:bCs/>
          <w:color w:val="000000" w:themeColor="text1"/>
          <w:sz w:val="24"/>
          <w:highlight w:val="none"/>
          <w14:textFill>
            <w14:solidFill>
              <w14:schemeClr w14:val="tx1"/>
            </w14:solidFill>
          </w14:textFill>
        </w:rPr>
      </w:pPr>
    </w:p>
    <w:p w14:paraId="134826E5">
      <w:pPr>
        <w:pStyle w:val="262"/>
        <w:widowControl/>
        <w:outlineLvl w:val="9"/>
        <w:rPr>
          <w:color w:val="000000" w:themeColor="text1"/>
          <w:highlight w:val="none"/>
          <w14:textFill>
            <w14:solidFill>
              <w14:schemeClr w14:val="tx1"/>
            </w14:solidFill>
          </w14:textFill>
        </w:rPr>
      </w:pPr>
      <w:bookmarkStart w:id="13" w:name="_Toc14092"/>
      <w:bookmarkStart w:id="14" w:name="_Toc32681"/>
      <w:r>
        <w:rPr>
          <w:color w:val="000000" w:themeColor="text1"/>
          <w:highlight w:val="none"/>
          <w14:textFill>
            <w14:solidFill>
              <w14:schemeClr w14:val="tx1"/>
            </w14:solidFill>
          </w14:textFill>
        </w:rPr>
        <w:t>拟投入本项目人员一览表</w:t>
      </w:r>
      <w:bookmarkEnd w:id="13"/>
      <w:bookmarkEnd w:id="14"/>
    </w:p>
    <w:p w14:paraId="406BF5DD">
      <w:pPr>
        <w:widowControl/>
        <w:adjustRightInd w:val="0"/>
        <w:spacing w:line="440" w:lineRule="exact"/>
        <w:jc w:val="center"/>
        <w:rPr>
          <w:rFonts w:ascii="宋体" w:hAnsi="宋体"/>
          <w:b/>
          <w:bCs/>
          <w:color w:val="000000" w:themeColor="text1"/>
          <w:szCs w:val="21"/>
          <w:highlight w:val="none"/>
          <w14:textFill>
            <w14:solidFill>
              <w14:schemeClr w14:val="tx1"/>
            </w14:solidFill>
          </w14:textFill>
        </w:rPr>
      </w:pPr>
    </w:p>
    <w:p w14:paraId="1161EAA6">
      <w:pPr>
        <w:widowControl/>
        <w:adjustRightInd w:val="0"/>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54B251EF">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C721589">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序号</w:t>
            </w:r>
          </w:p>
        </w:tc>
        <w:tc>
          <w:tcPr>
            <w:tcW w:w="530" w:type="pct"/>
            <w:tcBorders>
              <w:top w:val="single" w:color="000000" w:sz="4" w:space="0"/>
              <w:left w:val="nil"/>
              <w:bottom w:val="single" w:color="000000" w:sz="4" w:space="0"/>
              <w:right w:val="single" w:color="000000" w:sz="4" w:space="0"/>
            </w:tcBorders>
            <w:vAlign w:val="center"/>
          </w:tcPr>
          <w:p w14:paraId="4186337F">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姓名</w:t>
            </w:r>
          </w:p>
        </w:tc>
        <w:tc>
          <w:tcPr>
            <w:tcW w:w="390" w:type="pct"/>
            <w:tcBorders>
              <w:top w:val="single" w:color="000000" w:sz="4" w:space="0"/>
              <w:left w:val="nil"/>
              <w:bottom w:val="single" w:color="000000" w:sz="4" w:space="0"/>
              <w:right w:val="single" w:color="000000" w:sz="4" w:space="0"/>
            </w:tcBorders>
            <w:vAlign w:val="center"/>
          </w:tcPr>
          <w:p w14:paraId="7C31D613">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性别</w:t>
            </w:r>
          </w:p>
        </w:tc>
        <w:tc>
          <w:tcPr>
            <w:tcW w:w="418" w:type="pct"/>
            <w:tcBorders>
              <w:top w:val="single" w:color="000000" w:sz="4" w:space="0"/>
              <w:left w:val="nil"/>
              <w:bottom w:val="single" w:color="000000" w:sz="4" w:space="0"/>
              <w:right w:val="single" w:color="000000" w:sz="4" w:space="0"/>
            </w:tcBorders>
            <w:vAlign w:val="center"/>
          </w:tcPr>
          <w:p w14:paraId="7B59E636">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年龄</w:t>
            </w:r>
          </w:p>
        </w:tc>
        <w:tc>
          <w:tcPr>
            <w:tcW w:w="671" w:type="pct"/>
            <w:tcBorders>
              <w:top w:val="single" w:color="000000" w:sz="4" w:space="0"/>
              <w:left w:val="nil"/>
              <w:bottom w:val="single" w:color="000000" w:sz="4" w:space="0"/>
              <w:right w:val="single" w:color="000000" w:sz="4" w:space="0"/>
            </w:tcBorders>
            <w:vAlign w:val="center"/>
          </w:tcPr>
          <w:p w14:paraId="4C1E6B3B">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专业</w:t>
            </w:r>
          </w:p>
        </w:tc>
        <w:tc>
          <w:tcPr>
            <w:tcW w:w="549" w:type="pct"/>
            <w:tcBorders>
              <w:top w:val="single" w:color="000000" w:sz="4" w:space="0"/>
              <w:left w:val="nil"/>
              <w:bottom w:val="single" w:color="000000" w:sz="4" w:space="0"/>
              <w:right w:val="single" w:color="000000" w:sz="4" w:space="0"/>
            </w:tcBorders>
            <w:vAlign w:val="center"/>
          </w:tcPr>
          <w:p w14:paraId="3878616E">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学历</w:t>
            </w:r>
          </w:p>
        </w:tc>
        <w:tc>
          <w:tcPr>
            <w:tcW w:w="603" w:type="pct"/>
            <w:tcBorders>
              <w:top w:val="single" w:color="000000" w:sz="4" w:space="0"/>
              <w:left w:val="nil"/>
              <w:bottom w:val="single" w:color="000000" w:sz="4" w:space="0"/>
              <w:right w:val="single" w:color="000000" w:sz="4" w:space="0"/>
            </w:tcBorders>
            <w:vAlign w:val="center"/>
          </w:tcPr>
          <w:p w14:paraId="6C96B53B">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B0E82EC">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技术职称</w:t>
            </w:r>
          </w:p>
        </w:tc>
        <w:tc>
          <w:tcPr>
            <w:tcW w:w="501" w:type="pct"/>
            <w:tcBorders>
              <w:top w:val="single" w:color="000000" w:sz="4" w:space="0"/>
              <w:left w:val="nil"/>
              <w:bottom w:val="single" w:color="000000" w:sz="4" w:space="0"/>
              <w:right w:val="single" w:color="000000" w:sz="4" w:space="0"/>
            </w:tcBorders>
            <w:vAlign w:val="center"/>
          </w:tcPr>
          <w:p w14:paraId="18453053">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工作经历</w:t>
            </w:r>
          </w:p>
        </w:tc>
        <w:tc>
          <w:tcPr>
            <w:tcW w:w="502" w:type="pct"/>
            <w:tcBorders>
              <w:top w:val="single" w:color="000000" w:sz="4" w:space="0"/>
              <w:left w:val="nil"/>
              <w:bottom w:val="single" w:color="000000" w:sz="4" w:space="0"/>
              <w:right w:val="single" w:color="000000" w:sz="4" w:space="0"/>
            </w:tcBorders>
            <w:vAlign w:val="center"/>
          </w:tcPr>
          <w:p w14:paraId="5D83E882">
            <w:pPr>
              <w:widowControl/>
              <w:adjustRightIn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w:t>
            </w:r>
          </w:p>
        </w:tc>
      </w:tr>
      <w:tr w14:paraId="2225D7D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70A52B4">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10D80BC2">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0E5A7971">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23CB85DC">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3A43766F">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5F592FB8">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233A39A9">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22E4F9D4">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56117A7D">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1CD33E08">
            <w:pPr>
              <w:widowControl/>
              <w:adjustRightInd w:val="0"/>
              <w:rPr>
                <w:rFonts w:ascii="宋体" w:hAnsi="宋体" w:cs="宋体"/>
                <w:color w:val="000000" w:themeColor="text1"/>
                <w:szCs w:val="21"/>
                <w:highlight w:val="none"/>
                <w14:textFill>
                  <w14:solidFill>
                    <w14:schemeClr w14:val="tx1"/>
                  </w14:solidFill>
                </w14:textFill>
              </w:rPr>
            </w:pPr>
          </w:p>
        </w:tc>
      </w:tr>
      <w:tr w14:paraId="0F4EFFD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8A64252">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20A7498A">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02C75660">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0B0266B2">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4A105331">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74CD422A">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569982FD">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491BA3AC">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11A73986">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7947DA04">
            <w:pPr>
              <w:widowControl/>
              <w:adjustRightInd w:val="0"/>
              <w:rPr>
                <w:rFonts w:ascii="宋体" w:hAnsi="宋体" w:cs="宋体"/>
                <w:color w:val="000000" w:themeColor="text1"/>
                <w:szCs w:val="21"/>
                <w:highlight w:val="none"/>
                <w14:textFill>
                  <w14:solidFill>
                    <w14:schemeClr w14:val="tx1"/>
                  </w14:solidFill>
                </w14:textFill>
              </w:rPr>
            </w:pPr>
          </w:p>
        </w:tc>
      </w:tr>
      <w:tr w14:paraId="623165F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C759369">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3C735A51">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6E49DC5E">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17AF7E9C">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34EC5903">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32736A42">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3DF4427E">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6295D1A9">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291AE6DA">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46DDF135">
            <w:pPr>
              <w:widowControl/>
              <w:adjustRightInd w:val="0"/>
              <w:rPr>
                <w:rFonts w:ascii="宋体" w:hAnsi="宋体" w:cs="宋体"/>
                <w:color w:val="000000" w:themeColor="text1"/>
                <w:szCs w:val="21"/>
                <w:highlight w:val="none"/>
                <w14:textFill>
                  <w14:solidFill>
                    <w14:schemeClr w14:val="tx1"/>
                  </w14:solidFill>
                </w14:textFill>
              </w:rPr>
            </w:pPr>
          </w:p>
        </w:tc>
      </w:tr>
      <w:tr w14:paraId="6A72F3F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698251A">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24061500">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15BBCB39">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68CA113E">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06042657">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7E57182F">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6B10627A">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166A22F3">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23B7E2F9">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6B169C35">
            <w:pPr>
              <w:widowControl/>
              <w:adjustRightInd w:val="0"/>
              <w:rPr>
                <w:rFonts w:ascii="宋体" w:hAnsi="宋体" w:cs="宋体"/>
                <w:color w:val="000000" w:themeColor="text1"/>
                <w:szCs w:val="21"/>
                <w:highlight w:val="none"/>
                <w14:textFill>
                  <w14:solidFill>
                    <w14:schemeClr w14:val="tx1"/>
                  </w14:solidFill>
                </w14:textFill>
              </w:rPr>
            </w:pPr>
          </w:p>
        </w:tc>
      </w:tr>
      <w:tr w14:paraId="19B8E8A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7320408">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49405D12">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184972C6">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0634483E">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7E957F7A">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1A4084F1">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1E95ED24">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34E21D3F">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16709303">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782C1339">
            <w:pPr>
              <w:widowControl/>
              <w:adjustRightInd w:val="0"/>
              <w:rPr>
                <w:rFonts w:ascii="宋体" w:hAnsi="宋体" w:cs="宋体"/>
                <w:color w:val="000000" w:themeColor="text1"/>
                <w:szCs w:val="21"/>
                <w:highlight w:val="none"/>
                <w14:textFill>
                  <w14:solidFill>
                    <w14:schemeClr w14:val="tx1"/>
                  </w14:solidFill>
                </w14:textFill>
              </w:rPr>
            </w:pPr>
          </w:p>
        </w:tc>
      </w:tr>
      <w:tr w14:paraId="2BA7792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04E231C">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2E9D9DCB">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631151AC">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0F03FD36">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354738BA">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277A6F12">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29844E87">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5B7A11D2">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60D4C00D">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1EB9BA0B">
            <w:pPr>
              <w:widowControl/>
              <w:adjustRightInd w:val="0"/>
              <w:rPr>
                <w:rFonts w:ascii="宋体" w:hAnsi="宋体" w:cs="宋体"/>
                <w:color w:val="000000" w:themeColor="text1"/>
                <w:szCs w:val="21"/>
                <w:highlight w:val="none"/>
                <w14:textFill>
                  <w14:solidFill>
                    <w14:schemeClr w14:val="tx1"/>
                  </w14:solidFill>
                </w14:textFill>
              </w:rPr>
            </w:pPr>
          </w:p>
        </w:tc>
      </w:tr>
      <w:tr w14:paraId="265CDB3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4BA6E39">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4ED9A04F">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0E3ADFB8">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6371523C">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2492D6D3">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6EB20C11">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570306CF">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0D0C8FAB">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0BA679D6">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06171938">
            <w:pPr>
              <w:widowControl/>
              <w:adjustRightInd w:val="0"/>
              <w:rPr>
                <w:rFonts w:ascii="宋体" w:hAnsi="宋体" w:cs="宋体"/>
                <w:color w:val="000000" w:themeColor="text1"/>
                <w:szCs w:val="21"/>
                <w:highlight w:val="none"/>
                <w14:textFill>
                  <w14:solidFill>
                    <w14:schemeClr w14:val="tx1"/>
                  </w14:solidFill>
                </w14:textFill>
              </w:rPr>
            </w:pPr>
          </w:p>
        </w:tc>
      </w:tr>
      <w:tr w14:paraId="5216CA3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843BB16">
            <w:pPr>
              <w:widowControl/>
              <w:adjustRightInd w:val="0"/>
              <w:rPr>
                <w:rFonts w:ascii="宋体" w:hAnsi="宋体" w:cs="宋体"/>
                <w:color w:val="000000" w:themeColor="text1"/>
                <w:szCs w:val="21"/>
                <w:highlight w:val="none"/>
                <w14:textFill>
                  <w14:solidFill>
                    <w14:schemeClr w14:val="tx1"/>
                  </w14:solidFill>
                </w14:textFill>
              </w:rPr>
            </w:pPr>
          </w:p>
        </w:tc>
        <w:tc>
          <w:tcPr>
            <w:tcW w:w="530" w:type="pct"/>
            <w:tcBorders>
              <w:top w:val="single" w:color="000000" w:sz="4" w:space="0"/>
              <w:left w:val="nil"/>
              <w:bottom w:val="single" w:color="000000" w:sz="4" w:space="0"/>
              <w:right w:val="single" w:color="000000" w:sz="4" w:space="0"/>
            </w:tcBorders>
            <w:vAlign w:val="center"/>
          </w:tcPr>
          <w:p w14:paraId="78249C17">
            <w:pPr>
              <w:widowControl/>
              <w:adjustRightInd w:val="0"/>
              <w:rPr>
                <w:rFonts w:ascii="宋体" w:hAnsi="宋体" w:cs="宋体"/>
                <w:color w:val="000000" w:themeColor="text1"/>
                <w:szCs w:val="21"/>
                <w:highlight w:val="none"/>
                <w14:textFill>
                  <w14:solidFill>
                    <w14:schemeClr w14:val="tx1"/>
                  </w14:solidFill>
                </w14:textFill>
              </w:rPr>
            </w:pPr>
          </w:p>
        </w:tc>
        <w:tc>
          <w:tcPr>
            <w:tcW w:w="390" w:type="pct"/>
            <w:tcBorders>
              <w:top w:val="single" w:color="000000" w:sz="4" w:space="0"/>
              <w:left w:val="nil"/>
              <w:bottom w:val="single" w:color="000000" w:sz="4" w:space="0"/>
              <w:right w:val="single" w:color="000000" w:sz="4" w:space="0"/>
            </w:tcBorders>
            <w:vAlign w:val="center"/>
          </w:tcPr>
          <w:p w14:paraId="35984656">
            <w:pPr>
              <w:widowControl/>
              <w:adjustRightInd w:val="0"/>
              <w:rPr>
                <w:rFonts w:ascii="宋体" w:hAnsi="宋体" w:cs="宋体"/>
                <w:color w:val="000000" w:themeColor="text1"/>
                <w:szCs w:val="21"/>
                <w:highlight w:val="none"/>
                <w14:textFill>
                  <w14:solidFill>
                    <w14:schemeClr w14:val="tx1"/>
                  </w14:solidFill>
                </w14:textFill>
              </w:rPr>
            </w:pPr>
          </w:p>
        </w:tc>
        <w:tc>
          <w:tcPr>
            <w:tcW w:w="418" w:type="pct"/>
            <w:tcBorders>
              <w:top w:val="single" w:color="000000" w:sz="4" w:space="0"/>
              <w:left w:val="nil"/>
              <w:bottom w:val="single" w:color="000000" w:sz="4" w:space="0"/>
              <w:right w:val="single" w:color="000000" w:sz="4" w:space="0"/>
            </w:tcBorders>
            <w:vAlign w:val="center"/>
          </w:tcPr>
          <w:p w14:paraId="66CA481E">
            <w:pPr>
              <w:widowControl/>
              <w:adjustRightInd w:val="0"/>
              <w:rPr>
                <w:rFonts w:ascii="宋体" w:hAnsi="宋体" w:cs="宋体"/>
                <w:color w:val="000000" w:themeColor="text1"/>
                <w:szCs w:val="21"/>
                <w:highlight w:val="none"/>
                <w14:textFill>
                  <w14:solidFill>
                    <w14:schemeClr w14:val="tx1"/>
                  </w14:solidFill>
                </w14:textFill>
              </w:rPr>
            </w:pPr>
          </w:p>
        </w:tc>
        <w:tc>
          <w:tcPr>
            <w:tcW w:w="671" w:type="pct"/>
            <w:tcBorders>
              <w:top w:val="single" w:color="000000" w:sz="4" w:space="0"/>
              <w:left w:val="nil"/>
              <w:bottom w:val="single" w:color="000000" w:sz="4" w:space="0"/>
              <w:right w:val="single" w:color="000000" w:sz="4" w:space="0"/>
            </w:tcBorders>
            <w:vAlign w:val="center"/>
          </w:tcPr>
          <w:p w14:paraId="0D6C6539">
            <w:pPr>
              <w:widowControl/>
              <w:adjustRightInd w:val="0"/>
              <w:rPr>
                <w:rFonts w:ascii="宋体" w:hAnsi="宋体" w:cs="宋体"/>
                <w:color w:val="000000" w:themeColor="text1"/>
                <w:szCs w:val="21"/>
                <w:highlight w:val="none"/>
                <w14:textFill>
                  <w14:solidFill>
                    <w14:schemeClr w14:val="tx1"/>
                  </w14:solidFill>
                </w14:textFill>
              </w:rPr>
            </w:pPr>
          </w:p>
        </w:tc>
        <w:tc>
          <w:tcPr>
            <w:tcW w:w="549" w:type="pct"/>
            <w:tcBorders>
              <w:top w:val="single" w:color="000000" w:sz="4" w:space="0"/>
              <w:left w:val="nil"/>
              <w:bottom w:val="single" w:color="000000" w:sz="4" w:space="0"/>
              <w:right w:val="single" w:color="000000" w:sz="4" w:space="0"/>
            </w:tcBorders>
            <w:vAlign w:val="center"/>
          </w:tcPr>
          <w:p w14:paraId="48A3674E">
            <w:pPr>
              <w:widowControl/>
              <w:adjustRightInd w:val="0"/>
              <w:rPr>
                <w:rFonts w:ascii="宋体" w:hAnsi="宋体" w:cs="宋体"/>
                <w:color w:val="000000" w:themeColor="text1"/>
                <w:szCs w:val="21"/>
                <w:highlight w:val="none"/>
                <w14:textFill>
                  <w14:solidFill>
                    <w14:schemeClr w14:val="tx1"/>
                  </w14:solidFill>
                </w14:textFill>
              </w:rPr>
            </w:pPr>
          </w:p>
        </w:tc>
        <w:tc>
          <w:tcPr>
            <w:tcW w:w="603" w:type="pct"/>
            <w:tcBorders>
              <w:top w:val="single" w:color="000000" w:sz="4" w:space="0"/>
              <w:left w:val="nil"/>
              <w:bottom w:val="single" w:color="000000" w:sz="4" w:space="0"/>
              <w:right w:val="single" w:color="000000" w:sz="4" w:space="0"/>
            </w:tcBorders>
            <w:vAlign w:val="center"/>
          </w:tcPr>
          <w:p w14:paraId="1548DBE8">
            <w:pPr>
              <w:widowControl/>
              <w:adjustRightInd w:val="0"/>
              <w:rPr>
                <w:rFonts w:ascii="宋体" w:hAnsi="宋体" w:cs="宋体"/>
                <w:color w:val="000000" w:themeColor="text1"/>
                <w:szCs w:val="21"/>
                <w:highlight w:val="none"/>
                <w14:textFill>
                  <w14:solidFill>
                    <w14:schemeClr w14:val="tx1"/>
                  </w14:solidFill>
                </w14:textFill>
              </w:rPr>
            </w:pPr>
          </w:p>
        </w:tc>
        <w:tc>
          <w:tcPr>
            <w:tcW w:w="520" w:type="pct"/>
            <w:tcBorders>
              <w:top w:val="single" w:color="000000" w:sz="4" w:space="0"/>
              <w:left w:val="nil"/>
              <w:bottom w:val="single" w:color="000000" w:sz="4" w:space="0"/>
              <w:right w:val="single" w:color="000000" w:sz="4" w:space="0"/>
            </w:tcBorders>
            <w:vAlign w:val="center"/>
          </w:tcPr>
          <w:p w14:paraId="69F2C79D">
            <w:pPr>
              <w:widowControl/>
              <w:adjustRightInd w:val="0"/>
              <w:rPr>
                <w:rFonts w:ascii="宋体" w:hAnsi="宋体" w:cs="宋体"/>
                <w:color w:val="000000" w:themeColor="text1"/>
                <w:szCs w:val="21"/>
                <w:highlight w:val="none"/>
                <w14:textFill>
                  <w14:solidFill>
                    <w14:schemeClr w14:val="tx1"/>
                  </w14:solidFill>
                </w14:textFill>
              </w:rPr>
            </w:pPr>
          </w:p>
        </w:tc>
        <w:tc>
          <w:tcPr>
            <w:tcW w:w="501" w:type="pct"/>
            <w:tcBorders>
              <w:top w:val="single" w:color="000000" w:sz="4" w:space="0"/>
              <w:left w:val="nil"/>
              <w:bottom w:val="single" w:color="000000" w:sz="4" w:space="0"/>
              <w:right w:val="single" w:color="000000" w:sz="4" w:space="0"/>
            </w:tcBorders>
            <w:vAlign w:val="center"/>
          </w:tcPr>
          <w:p w14:paraId="150DC4EE">
            <w:pPr>
              <w:widowControl/>
              <w:adjustRightInd w:val="0"/>
              <w:rPr>
                <w:rFonts w:ascii="宋体" w:hAnsi="宋体" w:cs="宋体"/>
                <w:color w:val="000000" w:themeColor="text1"/>
                <w:szCs w:val="21"/>
                <w:highlight w:val="none"/>
                <w14:textFill>
                  <w14:solidFill>
                    <w14:schemeClr w14:val="tx1"/>
                  </w14:solidFill>
                </w14:textFill>
              </w:rPr>
            </w:pPr>
          </w:p>
        </w:tc>
        <w:tc>
          <w:tcPr>
            <w:tcW w:w="502" w:type="pct"/>
            <w:tcBorders>
              <w:top w:val="single" w:color="000000" w:sz="4" w:space="0"/>
              <w:left w:val="nil"/>
              <w:bottom w:val="single" w:color="000000" w:sz="4" w:space="0"/>
              <w:right w:val="single" w:color="000000" w:sz="4" w:space="0"/>
            </w:tcBorders>
            <w:vAlign w:val="center"/>
          </w:tcPr>
          <w:p w14:paraId="62D7C321">
            <w:pPr>
              <w:widowControl/>
              <w:adjustRightInd w:val="0"/>
              <w:rPr>
                <w:rFonts w:ascii="宋体" w:hAnsi="宋体" w:cs="宋体"/>
                <w:color w:val="000000" w:themeColor="text1"/>
                <w:szCs w:val="21"/>
                <w:highlight w:val="none"/>
                <w14:textFill>
                  <w14:solidFill>
                    <w14:schemeClr w14:val="tx1"/>
                  </w14:solidFill>
                </w14:textFill>
              </w:rPr>
            </w:pPr>
          </w:p>
        </w:tc>
      </w:tr>
    </w:tbl>
    <w:p w14:paraId="7D481D81">
      <w:pPr>
        <w:widowControl/>
        <w:adjustRightInd w:val="0"/>
        <w:spacing w:line="440" w:lineRule="exac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供应商名称：</w:t>
      </w:r>
      <w:r>
        <w:rPr>
          <w:rFonts w:hint="eastAsia" w:ascii="Times New Roman" w:hAnsi="Times New Roman"/>
          <w:color w:val="000000" w:themeColor="text1"/>
          <w:sz w:val="24"/>
          <w:szCs w:val="21"/>
          <w:highlight w:val="none"/>
          <w:u w:val="single"/>
          <w14:textFill>
            <w14:solidFill>
              <w14:schemeClr w14:val="tx1"/>
            </w14:solidFill>
          </w14:textFill>
        </w:rPr>
        <w:t>                  </w:t>
      </w:r>
      <w:r>
        <w:rPr>
          <w:rFonts w:hint="eastAsia" w:ascii="Times New Roman" w:hAnsi="Times New Roman"/>
          <w:color w:val="000000" w:themeColor="text1"/>
          <w:sz w:val="24"/>
          <w:szCs w:val="21"/>
          <w:highlight w:val="none"/>
          <w14:textFill>
            <w14:solidFill>
              <w14:schemeClr w14:val="tx1"/>
            </w14:solidFill>
          </w14:textFill>
        </w:rPr>
        <w:t>（公章）</w:t>
      </w:r>
    </w:p>
    <w:p w14:paraId="2C492C0D">
      <w:pPr>
        <w:pStyle w:val="22"/>
        <w:rPr>
          <w:color w:val="000000" w:themeColor="text1"/>
          <w:szCs w:val="21"/>
          <w:highlight w:val="none"/>
          <w14:textFill>
            <w14:solidFill>
              <w14:schemeClr w14:val="tx1"/>
            </w14:solidFill>
          </w14:textFill>
        </w:rPr>
      </w:pPr>
    </w:p>
    <w:p w14:paraId="1EA69093">
      <w:pPr>
        <w:pStyle w:val="17"/>
        <w:widowControl/>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说明：如果行数不够，请自行增加。</w:t>
      </w:r>
    </w:p>
    <w:p w14:paraId="39CE312F">
      <w:pPr>
        <w:spacing w:line="240" w:lineRule="atLeast"/>
        <w:rPr>
          <w:rFonts w:ascii="宋体" w:hAnsi="宋体"/>
          <w:b/>
          <w:color w:val="000000" w:themeColor="text1"/>
          <w:highlight w:val="none"/>
          <w14:textFill>
            <w14:solidFill>
              <w14:schemeClr w14:val="tx1"/>
            </w14:solidFill>
          </w14:textFill>
        </w:rPr>
      </w:pPr>
    </w:p>
    <w:p w14:paraId="5BB46BEF">
      <w:pP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15C6C0F9">
      <w:pPr>
        <w:pStyle w:val="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目录十、响应需要的其他证明文件及材料</w:t>
      </w:r>
    </w:p>
    <w:p w14:paraId="72D89455">
      <w:pPr>
        <w:spacing w:line="240" w:lineRule="atLeast"/>
        <w:rPr>
          <w:rFonts w:ascii="宋体" w:hAnsi="宋体"/>
          <w:b/>
          <w:color w:val="000000" w:themeColor="text1"/>
          <w:highlight w:val="none"/>
          <w14:textFill>
            <w14:solidFill>
              <w14:schemeClr w14:val="tx1"/>
            </w14:solidFill>
          </w14:textFill>
        </w:rPr>
      </w:pPr>
    </w:p>
    <w:p w14:paraId="577F2688">
      <w:pPr>
        <w:spacing w:line="240" w:lineRule="atLeast"/>
        <w:rPr>
          <w:rFonts w:ascii="宋体" w:hAnsi="宋体"/>
          <w:b/>
          <w:color w:val="000000" w:themeColor="text1"/>
          <w:highlight w:val="none"/>
          <w14:textFill>
            <w14:solidFill>
              <w14:schemeClr w14:val="tx1"/>
            </w14:solidFill>
          </w14:textFill>
        </w:rPr>
      </w:pPr>
    </w:p>
    <w:p w14:paraId="726D6C3D">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响应需要的其他证明文件及材料（若有）</w:t>
      </w:r>
    </w:p>
    <w:p w14:paraId="6B230527">
      <w:pPr>
        <w:rPr>
          <w:rFonts w:hint="eastAsia" w:ascii="宋体" w:cs="宋体"/>
          <w:b/>
          <w:color w:val="auto"/>
          <w:kern w:val="0"/>
          <w:highlight w:val="none"/>
          <w:lang w:val="zh-CN"/>
        </w:rPr>
      </w:pPr>
      <w:r>
        <w:rPr>
          <w:rFonts w:hint="eastAsia" w:ascii="宋体" w:cs="宋体"/>
          <w:b/>
          <w:color w:val="auto"/>
          <w:kern w:val="0"/>
          <w:highlight w:val="none"/>
          <w:lang w:val="zh-CN"/>
        </w:rPr>
        <w:br w:type="page"/>
      </w:r>
    </w:p>
    <w:p w14:paraId="01F98BE6">
      <w:pPr>
        <w:pStyle w:val="2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附件一、无重大违法记录声明格式</w:t>
      </w:r>
    </w:p>
    <w:p w14:paraId="44A74A12">
      <w:pPr>
        <w:adjustRightInd w:val="0"/>
        <w:spacing w:line="240" w:lineRule="atLeast"/>
        <w:rPr>
          <w:rFonts w:ascii="宋体" w:hAnsi="宋体"/>
          <w:b/>
          <w:color w:val="000000" w:themeColor="text1"/>
          <w:highlight w:val="none"/>
          <w14:textFill>
            <w14:solidFill>
              <w14:schemeClr w14:val="tx1"/>
            </w14:solidFill>
          </w14:textFill>
        </w:rPr>
      </w:pPr>
    </w:p>
    <w:p w14:paraId="3624EFF9">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无重大违法记录声明</w:t>
      </w:r>
    </w:p>
    <w:p w14:paraId="2686E3FC">
      <w:pPr>
        <w:spacing w:line="360" w:lineRule="auto"/>
        <w:rPr>
          <w:rFonts w:ascii="宋体" w:hAnsi="宋体"/>
          <w:color w:val="000000" w:themeColor="text1"/>
          <w:highlight w:val="none"/>
          <w14:textFill>
            <w14:solidFill>
              <w14:schemeClr w14:val="tx1"/>
            </w14:solidFill>
          </w14:textFill>
        </w:rPr>
      </w:pPr>
    </w:p>
    <w:p w14:paraId="6682612F">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6B172637">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14:paraId="559B335E">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没有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（在下划线上如实填写：有或没有）重大违法记录。</w:t>
      </w:r>
    </w:p>
    <w:p w14:paraId="1042822F">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14:paraId="04BD326C">
      <w:pPr>
        <w:spacing w:line="360" w:lineRule="auto"/>
        <w:rPr>
          <w:rFonts w:ascii="宋体" w:hAnsi="宋体" w:cs="宋体"/>
          <w:color w:val="000000" w:themeColor="text1"/>
          <w:sz w:val="24"/>
          <w:szCs w:val="24"/>
          <w:highlight w:val="none"/>
          <w14:textFill>
            <w14:solidFill>
              <w14:schemeClr w14:val="tx1"/>
            </w14:solidFill>
          </w14:textFill>
        </w:rPr>
      </w:pPr>
    </w:p>
    <w:p w14:paraId="169AA45D">
      <w:pPr>
        <w:spacing w:line="360" w:lineRule="auto"/>
        <w:rPr>
          <w:rFonts w:ascii="宋体" w:hAnsi="宋体" w:cs="宋体"/>
          <w:color w:val="000000" w:themeColor="text1"/>
          <w:sz w:val="24"/>
          <w:szCs w:val="24"/>
          <w:highlight w:val="none"/>
          <w14:textFill>
            <w14:solidFill>
              <w14:schemeClr w14:val="tx1"/>
            </w14:solidFill>
          </w14:textFill>
        </w:rPr>
      </w:pPr>
    </w:p>
    <w:p w14:paraId="724300C1">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14:paraId="1F20EEC8">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14:paraId="045C1D33">
      <w:pPr>
        <w:pStyle w:val="43"/>
        <w:ind w:left="0" w:leftChars="0" w:firstLine="0" w:firstLineChars="0"/>
        <w:rPr>
          <w:color w:val="000000" w:themeColor="text1"/>
          <w:highlight w:val="none"/>
          <w14:textFill>
            <w14:solidFill>
              <w14:schemeClr w14:val="tx1"/>
            </w14:solidFill>
          </w14:textFill>
        </w:rPr>
      </w:pPr>
    </w:p>
    <w:p w14:paraId="724E5664">
      <w:pPr>
        <w:rPr>
          <w:color w:val="000000" w:themeColor="text1"/>
          <w:highlight w:val="none"/>
          <w14:textFill>
            <w14:solidFill>
              <w14:schemeClr w14:val="tx1"/>
            </w14:solidFill>
          </w14:textFill>
        </w:rPr>
      </w:pPr>
    </w:p>
    <w:p w14:paraId="08F34BA2">
      <w:pPr>
        <w:spacing w:line="360" w:lineRule="auto"/>
        <w:rPr>
          <w:rFonts w:ascii="宋体" w:hAnsi="宋体"/>
          <w:b/>
          <w:color w:val="000000" w:themeColor="text1"/>
          <w:highlight w:val="none"/>
          <w14:textFill>
            <w14:solidFill>
              <w14:schemeClr w14:val="tx1"/>
            </w14:solidFill>
          </w14:textFill>
        </w:rPr>
      </w:pPr>
    </w:p>
    <w:p w14:paraId="68FD09EB">
      <w:pPr>
        <w:pStyle w:val="25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附件二、具备履行合同所必需的设备和专业技术能力的声明格式或证明材料</w:t>
      </w:r>
    </w:p>
    <w:p w14:paraId="27B5CA2F">
      <w:pPr>
        <w:pStyle w:val="26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具备履行合同所必需的设备和专业技术能力的声明</w:t>
      </w:r>
    </w:p>
    <w:p w14:paraId="35E9875C">
      <w:pPr>
        <w:pStyle w:val="17"/>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62B7DFD8">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30E1A819">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740F28E7">
      <w:pPr>
        <w:pStyle w:val="17"/>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6178F15A">
      <w:pPr>
        <w:spacing w:line="360" w:lineRule="auto"/>
        <w:rPr>
          <w:rFonts w:ascii="宋体" w:hAnsi="宋体" w:cs="宋体"/>
          <w:color w:val="000000" w:themeColor="text1"/>
          <w:sz w:val="24"/>
          <w:highlight w:val="none"/>
          <w14:textFill>
            <w14:solidFill>
              <w14:schemeClr w14:val="tx1"/>
            </w14:solidFill>
          </w14:textFill>
        </w:rPr>
      </w:pPr>
    </w:p>
    <w:p w14:paraId="7D023B7E">
      <w:pPr>
        <w:spacing w:line="360" w:lineRule="auto"/>
        <w:rPr>
          <w:rFonts w:ascii="宋体" w:hAnsi="宋体" w:cs="宋体"/>
          <w:color w:val="000000" w:themeColor="text1"/>
          <w:sz w:val="24"/>
          <w:highlight w:val="none"/>
          <w14:textFill>
            <w14:solidFill>
              <w14:schemeClr w14:val="tx1"/>
            </w14:solidFill>
          </w14:textFill>
        </w:rPr>
      </w:pPr>
    </w:p>
    <w:p w14:paraId="0372FECF">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14:paraId="269BA2EE">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     年    月    日</w:t>
      </w:r>
    </w:p>
    <w:p w14:paraId="247187AD">
      <w:pPr>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br w:type="page"/>
      </w:r>
    </w:p>
    <w:p w14:paraId="01DD9FAD">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p>
    <w:p w14:paraId="0859CC4D">
      <w:pPr>
        <w:pStyle w:val="25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附件三、承诺书</w:t>
      </w:r>
    </w:p>
    <w:p w14:paraId="61F5BF1B">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3FF7DB45">
      <w:pPr>
        <w:adjustRightInd w:val="0"/>
        <w:spacing w:line="360" w:lineRule="auto"/>
        <w:ind w:firstLine="480" w:firstLineChars="20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承诺：</w:t>
      </w:r>
    </w:p>
    <w:p w14:paraId="5CBB95F5">
      <w:pPr>
        <w:adjustRightInd w:val="0"/>
        <w:spacing w:line="360" w:lineRule="auto"/>
        <w:ind w:firstLine="480" w:firstLineChars="200"/>
        <w:rPr>
          <w:rFonts w:hint="eastAsia" w:ascii="Times New Roman" w:hAnsi="Times New Roman"/>
          <w:color w:val="000000" w:themeColor="text1"/>
          <w:sz w:val="24"/>
          <w:highlight w:val="none"/>
          <w14:textFill>
            <w14:solidFill>
              <w14:schemeClr w14:val="tx1"/>
            </w14:solidFill>
          </w14:textFill>
        </w:rPr>
      </w:pPr>
    </w:p>
    <w:p w14:paraId="780C676C">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283FFD8B">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5F292642">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p w14:paraId="4C3118E5">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p>
    <w:p w14:paraId="1331BEB9">
      <w:pPr>
        <w:pStyle w:val="259"/>
        <w:rPr>
          <w:rFonts w:hint="eastAsia"/>
          <w:color w:val="000000" w:themeColor="text1"/>
          <w:highlight w:val="none"/>
          <w14:textFill>
            <w14:solidFill>
              <w14:schemeClr w14:val="tx1"/>
            </w14:solidFill>
          </w14:textFill>
        </w:rPr>
      </w:pPr>
    </w:p>
    <w:p w14:paraId="7CAA48F5">
      <w:pPr>
        <w:pStyle w:val="259"/>
        <w:rPr>
          <w:rFonts w:hint="eastAsia"/>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附件四：</w:t>
      </w:r>
      <w:r>
        <w:rPr>
          <w:rFonts w:hint="eastAsia"/>
          <w:color w:val="000000" w:themeColor="text1"/>
          <w:highlight w:val="none"/>
          <w:lang w:val="zh-CN"/>
          <w14:textFill>
            <w14:solidFill>
              <w14:schemeClr w14:val="tx1"/>
            </w14:solidFill>
          </w14:textFill>
        </w:rPr>
        <w:t>企业声明函格式（如不属于则不需提供）</w:t>
      </w:r>
    </w:p>
    <w:p w14:paraId="54C62EDF">
      <w:pPr>
        <w:jc w:val="center"/>
        <w:rPr>
          <w:rFonts w:ascii="黑体" w:eastAsia="黑体"/>
          <w:color w:val="auto"/>
          <w:sz w:val="36"/>
          <w:szCs w:val="36"/>
          <w:highlight w:val="none"/>
        </w:rPr>
      </w:pPr>
      <w:r>
        <w:rPr>
          <w:rFonts w:hint="eastAsia" w:ascii="黑体" w:eastAsia="黑体"/>
          <w:color w:val="auto"/>
          <w:sz w:val="36"/>
          <w:szCs w:val="36"/>
          <w:highlight w:val="none"/>
        </w:rPr>
        <w:t>中小企业声明函</w:t>
      </w:r>
    </w:p>
    <w:p w14:paraId="3290EBF1">
      <w:pPr>
        <w:ind w:firstLine="420"/>
        <w:rPr>
          <w:rFonts w:ascii="宋体" w:hAnsi="宋体"/>
          <w:color w:val="auto"/>
          <w:highlight w:val="none"/>
        </w:rPr>
      </w:pPr>
      <w:r>
        <w:rPr>
          <w:rFonts w:ascii="宋体" w:hAnsi="宋体"/>
          <w:color w:val="auto"/>
          <w:highlight w:val="none"/>
        </w:rPr>
        <w:t>本公司（联合体）郑重声明，根据《政府采购促进中小企业发展管理办法》（财库﹝2020﹞46号）的规定，本公司（联合体）参加</w:t>
      </w:r>
      <w:r>
        <w:rPr>
          <w:rFonts w:hint="eastAsia" w:ascii="宋体" w:hAnsi="宋体"/>
          <w:color w:val="auto"/>
          <w:highlight w:val="none"/>
          <w:u w:val="single"/>
        </w:rPr>
        <w:t xml:space="preserve"> （单位名称） </w:t>
      </w:r>
      <w:r>
        <w:rPr>
          <w:rFonts w:ascii="宋体" w:hAnsi="宋体"/>
          <w:color w:val="auto"/>
          <w:highlight w:val="none"/>
        </w:rPr>
        <w:t>的</w:t>
      </w:r>
      <w:r>
        <w:rPr>
          <w:rFonts w:ascii="宋体" w:hAnsi="宋体"/>
          <w:color w:val="auto"/>
          <w:highlight w:val="none"/>
          <w:u w:val="single"/>
        </w:rPr>
        <w:t>（项目名称）</w:t>
      </w:r>
      <w:r>
        <w:rPr>
          <w:rFonts w:ascii="宋体" w:hAnsi="宋体"/>
          <w:color w:val="auto"/>
          <w:highlight w:val="none"/>
        </w:rPr>
        <w:t>采购活动，提供的货物全部由符合政策要求的中小企业制造。相关企业（含联合体中的中小企业、签订分包意向协议的中小企业）的具体情况如下：</w:t>
      </w:r>
    </w:p>
    <w:p w14:paraId="567FFABF">
      <w:pPr>
        <w:ind w:firstLine="420"/>
        <w:rPr>
          <w:rFonts w:ascii="宋体" w:hAnsi="宋体"/>
          <w:color w:val="auto"/>
          <w:highlight w:val="none"/>
        </w:rPr>
      </w:pPr>
      <w:r>
        <w:rPr>
          <w:rFonts w:ascii="宋体" w:hAnsi="宋体"/>
          <w:color w:val="auto"/>
          <w:highlight w:val="none"/>
        </w:rPr>
        <w:t>1.</w:t>
      </w:r>
      <w:r>
        <w:rPr>
          <w:rFonts w:ascii="宋体" w:hAnsi="宋体"/>
          <w:color w:val="auto"/>
          <w:highlight w:val="none"/>
          <w:u w:val="single"/>
        </w:rPr>
        <w:t xml:space="preserve"> （标的名称） </w:t>
      </w:r>
      <w:r>
        <w:rPr>
          <w:rFonts w:ascii="宋体" w:hAnsi="宋体"/>
          <w:color w:val="auto"/>
          <w:highlight w:val="none"/>
        </w:rPr>
        <w:t>，属于</w:t>
      </w:r>
      <w:r>
        <w:rPr>
          <w:rFonts w:ascii="宋体" w:hAnsi="宋体"/>
          <w:color w:val="auto"/>
          <w:highlight w:val="none"/>
          <w:u w:val="single"/>
        </w:rPr>
        <w:t xml:space="preserve">（采购文件中明确的所属行业） </w:t>
      </w:r>
      <w:r>
        <w:rPr>
          <w:rFonts w:ascii="宋体" w:hAnsi="宋体"/>
          <w:color w:val="auto"/>
          <w:highlight w:val="none"/>
        </w:rPr>
        <w:t>行业；制造商为</w:t>
      </w:r>
      <w:r>
        <w:rPr>
          <w:rFonts w:ascii="宋体" w:hAnsi="宋体"/>
          <w:color w:val="auto"/>
          <w:highlight w:val="none"/>
          <w:u w:val="single"/>
        </w:rPr>
        <w:t>（企业名称）</w:t>
      </w:r>
      <w:r>
        <w:rPr>
          <w:rFonts w:ascii="宋体" w:hAnsi="宋体"/>
          <w:color w:val="auto"/>
          <w:highlight w:val="none"/>
        </w:rPr>
        <w:t>，从业人员</w:t>
      </w:r>
      <w:r>
        <w:rPr>
          <w:rFonts w:ascii="宋体" w:hAnsi="宋体"/>
          <w:color w:val="auto"/>
          <w:highlight w:val="none"/>
          <w:u w:val="single"/>
        </w:rPr>
        <w:tab/>
      </w:r>
      <w:r>
        <w:rPr>
          <w:rFonts w:ascii="宋体" w:hAnsi="宋体"/>
          <w:color w:val="auto"/>
          <w:highlight w:val="none"/>
        </w:rPr>
        <w:t>人，营业收入为</w:t>
      </w:r>
      <w:r>
        <w:rPr>
          <w:rFonts w:ascii="宋体" w:hAnsi="宋体"/>
          <w:color w:val="auto"/>
          <w:highlight w:val="none"/>
          <w:u w:val="single"/>
        </w:rPr>
        <w:tab/>
      </w:r>
      <w:r>
        <w:rPr>
          <w:rFonts w:ascii="宋体" w:hAnsi="宋体"/>
          <w:color w:val="auto"/>
          <w:highlight w:val="none"/>
        </w:rPr>
        <w:t>万元，资产总额为</w:t>
      </w:r>
      <w:r>
        <w:rPr>
          <w:rFonts w:ascii="宋体" w:hAnsi="宋体"/>
          <w:color w:val="auto"/>
          <w:highlight w:val="none"/>
          <w:u w:val="single"/>
        </w:rPr>
        <w:tab/>
      </w:r>
      <w:r>
        <w:rPr>
          <w:rFonts w:ascii="宋体" w:hAnsi="宋体"/>
          <w:color w:val="auto"/>
          <w:highlight w:val="none"/>
        </w:rPr>
        <w:t>万元1，属于</w:t>
      </w:r>
      <w:r>
        <w:rPr>
          <w:rFonts w:ascii="宋体" w:hAnsi="宋体"/>
          <w:color w:val="auto"/>
          <w:highlight w:val="none"/>
          <w:u w:val="single"/>
        </w:rPr>
        <w:t>（中型企业、小型企业、微型企业）</w:t>
      </w:r>
      <w:r>
        <w:rPr>
          <w:rFonts w:ascii="宋体" w:hAnsi="宋体"/>
          <w:color w:val="auto"/>
          <w:highlight w:val="none"/>
        </w:rPr>
        <w:t>；</w:t>
      </w:r>
    </w:p>
    <w:p w14:paraId="15EEA229">
      <w:pPr>
        <w:ind w:firstLine="420"/>
        <w:rPr>
          <w:rFonts w:ascii="宋体" w:hAnsi="宋体"/>
          <w:color w:val="auto"/>
          <w:highlight w:val="none"/>
        </w:rPr>
      </w:pPr>
      <w:r>
        <w:rPr>
          <w:rFonts w:ascii="宋体" w:hAnsi="宋体"/>
          <w:color w:val="auto"/>
          <w:highlight w:val="none"/>
        </w:rPr>
        <w:t>2.</w:t>
      </w:r>
      <w:r>
        <w:rPr>
          <w:rFonts w:ascii="宋体" w:hAnsi="宋体"/>
          <w:color w:val="auto"/>
          <w:highlight w:val="none"/>
          <w:u w:val="single"/>
        </w:rPr>
        <w:t xml:space="preserve"> （标的名称） </w:t>
      </w:r>
      <w:r>
        <w:rPr>
          <w:rFonts w:ascii="宋体" w:hAnsi="宋体"/>
          <w:color w:val="auto"/>
          <w:highlight w:val="none"/>
        </w:rPr>
        <w:t>，属于</w:t>
      </w:r>
      <w:r>
        <w:rPr>
          <w:rFonts w:ascii="宋体" w:hAnsi="宋体"/>
          <w:color w:val="auto"/>
          <w:highlight w:val="none"/>
          <w:u w:val="single"/>
        </w:rPr>
        <w:t>（采购文件中明确的所属行业）</w:t>
      </w:r>
      <w:r>
        <w:rPr>
          <w:rFonts w:ascii="宋体" w:hAnsi="宋体"/>
          <w:color w:val="auto"/>
          <w:highlight w:val="none"/>
        </w:rPr>
        <w:t>行业；制造商为</w:t>
      </w:r>
      <w:r>
        <w:rPr>
          <w:rFonts w:ascii="宋体" w:hAnsi="宋体"/>
          <w:color w:val="auto"/>
          <w:highlight w:val="none"/>
          <w:u w:val="single"/>
        </w:rPr>
        <w:t>（企业名称）</w:t>
      </w:r>
      <w:r>
        <w:rPr>
          <w:rFonts w:ascii="宋体" w:hAnsi="宋体"/>
          <w:color w:val="auto"/>
          <w:highlight w:val="none"/>
        </w:rPr>
        <w:t>，从业人员</w:t>
      </w:r>
      <w:r>
        <w:rPr>
          <w:rFonts w:ascii="宋体" w:hAnsi="宋体"/>
          <w:color w:val="auto"/>
          <w:highlight w:val="none"/>
          <w:u w:val="single"/>
        </w:rPr>
        <w:tab/>
      </w:r>
      <w:r>
        <w:rPr>
          <w:rFonts w:ascii="宋体" w:hAnsi="宋体"/>
          <w:color w:val="auto"/>
          <w:highlight w:val="none"/>
        </w:rPr>
        <w:t>人，营业收入为</w:t>
      </w:r>
      <w:r>
        <w:rPr>
          <w:rFonts w:ascii="宋体" w:hAnsi="宋体"/>
          <w:color w:val="auto"/>
          <w:highlight w:val="none"/>
          <w:u w:val="single"/>
        </w:rPr>
        <w:tab/>
      </w:r>
      <w:r>
        <w:rPr>
          <w:rFonts w:ascii="宋体" w:hAnsi="宋体"/>
          <w:color w:val="auto"/>
          <w:highlight w:val="none"/>
        </w:rPr>
        <w:t>万元，资产总额为</w:t>
      </w:r>
      <w:r>
        <w:rPr>
          <w:rFonts w:ascii="宋体" w:hAnsi="宋体"/>
          <w:color w:val="auto"/>
          <w:highlight w:val="none"/>
          <w:u w:val="single"/>
        </w:rPr>
        <w:tab/>
      </w:r>
      <w:r>
        <w:rPr>
          <w:rFonts w:ascii="宋体" w:hAnsi="宋体"/>
          <w:color w:val="auto"/>
          <w:highlight w:val="none"/>
        </w:rPr>
        <w:t>万元，属于</w:t>
      </w:r>
      <w:r>
        <w:rPr>
          <w:rFonts w:ascii="宋体" w:hAnsi="宋体"/>
          <w:color w:val="auto"/>
          <w:highlight w:val="none"/>
          <w:u w:val="single"/>
        </w:rPr>
        <w:t>（中型企业、小型企业、微型企业）</w:t>
      </w:r>
      <w:r>
        <w:rPr>
          <w:rFonts w:ascii="宋体" w:hAnsi="宋体"/>
          <w:color w:val="auto"/>
          <w:highlight w:val="none"/>
        </w:rPr>
        <w:t>；</w:t>
      </w:r>
    </w:p>
    <w:p w14:paraId="40187F80">
      <w:pPr>
        <w:ind w:firstLine="420"/>
        <w:rPr>
          <w:rFonts w:ascii="宋体" w:hAnsi="宋体"/>
          <w:color w:val="auto"/>
          <w:highlight w:val="none"/>
        </w:rPr>
      </w:pPr>
      <w:r>
        <w:rPr>
          <w:rFonts w:ascii="宋体" w:hAnsi="宋体"/>
          <w:color w:val="auto"/>
          <w:highlight w:val="none"/>
        </w:rPr>
        <w:t>…… 以上企业，不属于大企业的分支机构，不存在控股股东为大企业的情形，也不存在与大企业的负责人为同一人的情形。</w:t>
      </w:r>
    </w:p>
    <w:p w14:paraId="5D853ADB">
      <w:pPr>
        <w:ind w:firstLine="420"/>
        <w:rPr>
          <w:rFonts w:ascii="宋体" w:hAnsi="宋体"/>
          <w:color w:val="auto"/>
          <w:highlight w:val="none"/>
        </w:rPr>
      </w:pPr>
    </w:p>
    <w:p w14:paraId="44F03BB1">
      <w:pPr>
        <w:ind w:firstLine="420"/>
        <w:rPr>
          <w:rFonts w:ascii="宋体" w:hAnsi="宋体"/>
          <w:color w:val="auto"/>
          <w:highlight w:val="none"/>
        </w:rPr>
      </w:pPr>
      <w:r>
        <w:rPr>
          <w:rFonts w:ascii="宋体" w:hAnsi="宋体"/>
          <w:color w:val="auto"/>
          <w:highlight w:val="none"/>
        </w:rPr>
        <w:t>本企业对上述声明内容的真实性负责。如有虚假，将依法承担相应责任。</w:t>
      </w:r>
    </w:p>
    <w:p w14:paraId="78B75ACB">
      <w:pPr>
        <w:ind w:firstLine="4200" w:firstLineChars="2000"/>
        <w:rPr>
          <w:rFonts w:ascii="宋体" w:hAnsi="宋体"/>
          <w:color w:val="auto"/>
          <w:highlight w:val="none"/>
        </w:rPr>
      </w:pPr>
    </w:p>
    <w:p w14:paraId="254BDFED">
      <w:pPr>
        <w:ind w:firstLine="4200" w:firstLineChars="2000"/>
        <w:rPr>
          <w:rFonts w:ascii="宋体" w:hAnsi="宋体"/>
          <w:color w:val="auto"/>
          <w:highlight w:val="none"/>
        </w:rPr>
      </w:pPr>
      <w:r>
        <w:rPr>
          <w:rFonts w:hint="eastAsia" w:ascii="宋体" w:hAnsi="宋体"/>
          <w:color w:val="auto"/>
          <w:highlight w:val="none"/>
        </w:rPr>
        <w:t>企业名称（盖章）：</w:t>
      </w:r>
    </w:p>
    <w:p w14:paraId="1AA03E61">
      <w:pPr>
        <w:ind w:firstLine="4200" w:firstLineChars="2000"/>
        <w:rPr>
          <w:rFonts w:ascii="宋体" w:hAnsi="宋体"/>
          <w:color w:val="auto"/>
          <w:highlight w:val="none"/>
        </w:rPr>
      </w:pPr>
      <w:r>
        <w:rPr>
          <w:rFonts w:hint="eastAsia" w:ascii="宋体" w:hAnsi="宋体"/>
          <w:color w:val="auto"/>
          <w:highlight w:val="none"/>
        </w:rPr>
        <w:t>日　　　　　　期：</w:t>
      </w:r>
    </w:p>
    <w:p w14:paraId="721A8BCB">
      <w:pPr>
        <w:pStyle w:val="243"/>
        <w:spacing w:line="400" w:lineRule="exact"/>
        <w:jc w:val="center"/>
        <w:rPr>
          <w:rFonts w:ascii="宋体" w:hAnsi="宋体"/>
          <w:b/>
          <w:color w:val="auto"/>
          <w:sz w:val="36"/>
          <w:szCs w:val="36"/>
          <w:highlight w:val="none"/>
        </w:rPr>
      </w:pPr>
    </w:p>
    <w:p w14:paraId="505315AE">
      <w:pPr>
        <w:pStyle w:val="243"/>
        <w:spacing w:line="400" w:lineRule="exact"/>
        <w:jc w:val="center"/>
        <w:rPr>
          <w:color w:val="auto"/>
          <w:highlight w:val="none"/>
        </w:rPr>
      </w:pPr>
      <w:r>
        <w:rPr>
          <w:rFonts w:ascii="宋体" w:hAnsi="宋体"/>
          <w:b/>
          <w:color w:val="auto"/>
          <w:sz w:val="36"/>
          <w:szCs w:val="36"/>
          <w:highlight w:val="none"/>
        </w:rPr>
        <w:t>政府采购节能产品政策</w:t>
      </w:r>
    </w:p>
    <w:p w14:paraId="350EDF93">
      <w:pPr>
        <w:pStyle w:val="243"/>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1.</w:t>
      </w:r>
      <w:r>
        <w:rPr>
          <w:rFonts w:ascii="宋体" w:hAnsi="宋体"/>
          <w:color w:val="auto"/>
          <w:szCs w:val="21"/>
          <w:highlight w:val="none"/>
        </w:rPr>
        <w:t>根据财政部、</w:t>
      </w:r>
      <w:r>
        <w:rPr>
          <w:rFonts w:hint="eastAsia" w:ascii="宋体" w:hAnsi="宋体"/>
          <w:color w:val="auto"/>
          <w:szCs w:val="21"/>
          <w:highlight w:val="none"/>
        </w:rPr>
        <w:t>国家发展改革委</w:t>
      </w:r>
      <w:r>
        <w:rPr>
          <w:rFonts w:ascii="宋体" w:hAnsi="宋体"/>
          <w:color w:val="auto"/>
          <w:szCs w:val="21"/>
          <w:highlight w:val="none"/>
        </w:rPr>
        <w:t>《节能产品政府采购实施意见》，</w:t>
      </w:r>
      <w:r>
        <w:rPr>
          <w:rFonts w:hint="eastAsia" w:ascii="宋体" w:hAnsi="宋体"/>
          <w:color w:val="auto"/>
          <w:szCs w:val="21"/>
          <w:highlight w:val="none"/>
        </w:rPr>
        <w:t>参选</w:t>
      </w:r>
      <w:r>
        <w:rPr>
          <w:rFonts w:ascii="宋体" w:hAnsi="宋体"/>
          <w:color w:val="auto"/>
          <w:szCs w:val="21"/>
          <w:highlight w:val="none"/>
        </w:rPr>
        <w:t xml:space="preserve">产品属于政府采购的节能产品（最小计算单位为品目），对相应产品的价格给予 </w:t>
      </w:r>
      <w:r>
        <w:rPr>
          <w:rFonts w:hint="eastAsia" w:ascii="宋体" w:hAnsi="宋体"/>
          <w:color w:val="auto"/>
          <w:szCs w:val="21"/>
          <w:highlight w:val="none"/>
        </w:rPr>
        <w:t>5%</w:t>
      </w:r>
      <w:r>
        <w:rPr>
          <w:rFonts w:ascii="宋体" w:hAnsi="宋体"/>
          <w:color w:val="auto"/>
          <w:szCs w:val="21"/>
          <w:highlight w:val="none"/>
        </w:rPr>
        <w:t>的扣除，用扣除后的价格参与评审。</w:t>
      </w:r>
    </w:p>
    <w:p w14:paraId="33242B30">
      <w:pPr>
        <w:pStyle w:val="243"/>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2.评选</w:t>
      </w:r>
      <w:r>
        <w:rPr>
          <w:rFonts w:ascii="宋体" w:hAnsi="宋体"/>
          <w:color w:val="auto"/>
          <w:szCs w:val="21"/>
          <w:highlight w:val="none"/>
        </w:rPr>
        <w:t>委员会根据供应商填制的《节能产品报价表》，计算其所投节能产品（最小计算单位为品目）享受价格折扣部分的多少。</w:t>
      </w:r>
    </w:p>
    <w:p w14:paraId="7A08B0AF">
      <w:pPr>
        <w:pStyle w:val="243"/>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4.参选</w:t>
      </w:r>
      <w:r>
        <w:rPr>
          <w:rFonts w:ascii="宋体" w:hAnsi="宋体"/>
          <w:color w:val="auto"/>
          <w:szCs w:val="21"/>
          <w:highlight w:val="none"/>
        </w:rPr>
        <w:t xml:space="preserve">产品（最小计算单位为品目）如为节能产品的，供应商需提供产品及型号在“中国政府采购网 </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ascii="宋体" w:hAnsi="宋体"/>
          <w:color w:val="auto"/>
          <w:szCs w:val="21"/>
          <w:highlight w:val="none"/>
        </w:rPr>
        <w:t>http://www.ccgp.gov.cn”</w:t>
      </w:r>
      <w:r>
        <w:rPr>
          <w:rFonts w:ascii="宋体" w:hAnsi="宋体"/>
          <w:color w:val="auto"/>
          <w:szCs w:val="21"/>
          <w:highlight w:val="none"/>
        </w:rPr>
        <w:fldChar w:fldCharType="end"/>
      </w:r>
      <w:r>
        <w:rPr>
          <w:rFonts w:ascii="宋体" w:hAnsi="宋体"/>
          <w:color w:val="auto"/>
          <w:szCs w:val="21"/>
          <w:highlight w:val="none"/>
        </w:rPr>
        <w:t>等官方网站“节能、环保产品查询系统”网页截图，且以提供的证书复印件为准，如未提供，将不做价格扣除。</w:t>
      </w:r>
    </w:p>
    <w:p w14:paraId="450305CF">
      <w:pPr>
        <w:pStyle w:val="243"/>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5.参选</w:t>
      </w:r>
      <w:r>
        <w:rPr>
          <w:rFonts w:ascii="宋体" w:hAnsi="宋体"/>
          <w:color w:val="auto"/>
          <w:szCs w:val="21"/>
          <w:highlight w:val="none"/>
        </w:rPr>
        <w:t>供应商必须保证使用节能产品参加</w:t>
      </w:r>
      <w:r>
        <w:rPr>
          <w:rFonts w:hint="eastAsia" w:ascii="宋体" w:hAnsi="宋体"/>
          <w:color w:val="auto"/>
          <w:szCs w:val="21"/>
          <w:highlight w:val="none"/>
        </w:rPr>
        <w:t>参选</w:t>
      </w:r>
      <w:r>
        <w:rPr>
          <w:rFonts w:ascii="宋体" w:hAnsi="宋体"/>
          <w:color w:val="auto"/>
          <w:szCs w:val="21"/>
          <w:highlight w:val="none"/>
        </w:rPr>
        <w:t>的真实性，如出现虚假响应，一经查实，将按照采购文件具体规定进行处理。</w:t>
      </w:r>
    </w:p>
    <w:p w14:paraId="2C3B1EB0">
      <w:pPr>
        <w:pStyle w:val="243"/>
        <w:ind w:left="-708" w:leftChars="-337" w:right="-622" w:rightChars="-296" w:firstLine="840" w:firstLineChars="400"/>
        <w:rPr>
          <w:rFonts w:ascii="宋体" w:hAnsi="宋体"/>
          <w:color w:val="auto"/>
          <w:szCs w:val="21"/>
          <w:highlight w:val="none"/>
        </w:rPr>
      </w:pPr>
      <w:r>
        <w:rPr>
          <w:rFonts w:hint="eastAsia" w:ascii="宋体" w:hAnsi="宋体"/>
          <w:color w:val="auto"/>
          <w:szCs w:val="21"/>
          <w:highlight w:val="none"/>
        </w:rPr>
        <w:t>6.</w:t>
      </w:r>
      <w:r>
        <w:rPr>
          <w:rFonts w:ascii="宋体" w:hAnsi="宋体"/>
          <w:color w:val="auto"/>
          <w:szCs w:val="21"/>
          <w:highlight w:val="none"/>
        </w:rPr>
        <w:t>节能产品报价表</w:t>
      </w:r>
    </w:p>
    <w:p w14:paraId="17A2AAF8">
      <w:pPr>
        <w:pStyle w:val="243"/>
        <w:ind w:left="-708" w:leftChars="-337" w:right="-622" w:rightChars="-296" w:firstLine="840" w:firstLineChars="400"/>
        <w:rPr>
          <w:color w:val="auto"/>
          <w:highlight w:val="none"/>
        </w:rPr>
      </w:pPr>
      <w:r>
        <w:rPr>
          <w:rFonts w:ascii="宋体" w:hAnsi="宋体"/>
          <w:color w:val="auto"/>
          <w:szCs w:val="21"/>
          <w:highlight w:val="none"/>
        </w:rPr>
        <w:t>供应商名称（盖单位章）：</w:t>
      </w:r>
      <w:r>
        <w:rPr>
          <w:rFonts w:ascii="宋体" w:hAnsi="宋体"/>
          <w:color w:val="auto"/>
          <w:szCs w:val="21"/>
          <w:highlight w:val="none"/>
        </w:rPr>
        <w:tab/>
      </w:r>
      <w:r>
        <w:rPr>
          <w:rFonts w:ascii="宋体" w:hAnsi="宋体"/>
          <w:color w:val="auto"/>
          <w:w w:val="95"/>
          <w:szCs w:val="21"/>
          <w:highlight w:val="none"/>
        </w:rPr>
        <w:t>项目编号：</w:t>
      </w:r>
    </w:p>
    <w:p w14:paraId="4D6617DC">
      <w:pPr>
        <w:tabs>
          <w:tab w:val="left" w:pos="6960"/>
        </w:tabs>
        <w:spacing w:line="20" w:lineRule="exact"/>
        <w:ind w:left="3470"/>
        <w:rPr>
          <w:color w:val="auto"/>
          <w:sz w:val="2"/>
          <w:highlight w:val="none"/>
        </w:rPr>
      </w:pPr>
      <w:r>
        <w:rPr>
          <w:rFonts w:ascii="宋体"/>
          <w:color w:val="auto"/>
          <w:spacing w:val="5"/>
          <w:sz w:val="2"/>
          <w:highlight w:val="none"/>
        </w:rPr>
        <mc:AlternateContent>
          <mc:Choice Requires="wpg">
            <w:drawing>
              <wp:inline distT="0" distB="0" distL="0" distR="0">
                <wp:extent cx="1371600" cy="12700"/>
                <wp:effectExtent l="0" t="0" r="0" b="0"/>
                <wp:docPr id="6" name="1026"/>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3" name="1027"/>
                        <wps:cNvCnPr/>
                        <wps:spPr>
                          <a:xfrm>
                            <a:off x="0" y="10"/>
                            <a:ext cx="2160" cy="0"/>
                          </a:xfrm>
                          <a:prstGeom prst="line">
                            <a:avLst/>
                          </a:prstGeom>
                          <a:ln w="12700" cap="flat" cmpd="sng">
                            <a:solidFill>
                              <a:srgbClr val="000000"/>
                            </a:solidFill>
                            <a:prstDash val="solid"/>
                            <a:headEnd type="none" w="med" len="med"/>
                            <a:tailEnd type="none" w="med" len="med"/>
                          </a:ln>
                        </wps:spPr>
                        <wps:bodyPr/>
                      </wps:wsp>
                    </wpg:wgp>
                  </a:graphicData>
                </a:graphic>
              </wp:inline>
            </w:drawing>
          </mc:Choice>
          <mc:Fallback>
            <w:pict>
              <v:group id="1026" o:spid="_x0000_s1026" o:spt="203" style="height:1pt;width:108pt;"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C17nlfT&#10;AAAAAwEAAA8AAAAAAAAAAQAgAAAAIgAAAGRycy9kb3ducmV2LnhtbFBLAQIUABQAAAAIAIdO4kDr&#10;auw1JQIAAO0EAAAOAAAAAAAAAAEAIAAAACIBAABkcnMvZTJvRG9jLnhtbFBLBQYAAAAABgAGAFkB&#10;AAC5BQAAAAA=&#10;">
                <o:lock v:ext="edit" aspectratio="f"/>
                <v:line id="1027" o:spid="_x0000_s1026" o:spt="20" style="position:absolute;left:0;top:10;height:0;width:2160;" filled="f" stroked="t" coordsize="21600,21600" o:gfxdata="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Rm+UO8AAAA&#10;2gAAAA8AAAAAAAAAAQAgAAAAIgAAAGRycy9kb3ducmV2LnhtbFBLAQIUABQAAAAIAIdO4kAzLwWe&#10;OwAAADkAAAAQAAAAAAAAAAEAIAAAAAsBAABkcnMvc2hhcGV4bWwueG1sUEsFBgAAAAAGAAYAWwEA&#10;ALUDAAAAAA==&#10;">
                  <v:fill on="f" focussize="0,0"/>
                  <v:stroke weight="1pt" color="#000000" joinstyle="round"/>
                  <v:imagedata o:title=""/>
                  <o:lock v:ext="edit" aspectratio="f"/>
                </v:line>
                <w10:wrap type="none"/>
                <w10:anchorlock/>
              </v:group>
            </w:pict>
          </mc:Fallback>
        </mc:AlternateContent>
      </w:r>
      <w:r>
        <w:rPr>
          <w:color w:val="auto"/>
          <w:spacing w:val="5"/>
          <w:sz w:val="2"/>
          <w:highlight w:val="none"/>
        </w:rPr>
        <w:tab/>
      </w:r>
      <w:r>
        <w:rPr>
          <w:color w:val="auto"/>
          <w:spacing w:val="5"/>
          <w:sz w:val="2"/>
          <w:highlight w:val="none"/>
        </w:rPr>
        <mc:AlternateContent>
          <mc:Choice Requires="wpg">
            <w:drawing>
              <wp:inline distT="0" distB="0" distL="0" distR="0">
                <wp:extent cx="1371600" cy="12700"/>
                <wp:effectExtent l="0" t="0" r="0" b="0"/>
                <wp:docPr id="7" name="1029"/>
                <wp:cNvGraphicFramePr/>
                <a:graphic xmlns:a="http://schemas.openxmlformats.org/drawingml/2006/main">
                  <a:graphicData uri="http://schemas.microsoft.com/office/word/2010/wordprocessingGroup">
                    <wpg:wgp>
                      <wpg:cNvGrpSpPr/>
                      <wpg:grpSpPr>
                        <a:xfrm>
                          <a:off x="0" y="0"/>
                          <a:ext cx="1371600" cy="12700"/>
                          <a:chOff x="0" y="0"/>
                          <a:chExt cx="2160" cy="20"/>
                        </a:xfrm>
                      </wpg:grpSpPr>
                      <wps:wsp>
                        <wps:cNvPr id="5" name="1030"/>
                        <wps:cNvCnPr/>
                        <wps:spPr>
                          <a:xfrm>
                            <a:off x="0" y="10"/>
                            <a:ext cx="2160" cy="0"/>
                          </a:xfrm>
                          <a:prstGeom prst="line">
                            <a:avLst/>
                          </a:prstGeom>
                          <a:ln w="12700" cap="flat" cmpd="sng">
                            <a:solidFill>
                              <a:srgbClr val="000000"/>
                            </a:solidFill>
                            <a:prstDash val="solid"/>
                            <a:headEnd type="none" w="med" len="med"/>
                            <a:tailEnd type="none" w="med" len="med"/>
                          </a:ln>
                        </wps:spPr>
                        <wps:bodyPr/>
                      </wps:wsp>
                    </wpg:wgp>
                  </a:graphicData>
                </a:graphic>
              </wp:inline>
            </w:drawing>
          </mc:Choice>
          <mc:Fallback>
            <w:pict>
              <v:group id="1029" o:spid="_x0000_s1026" o:spt="203" style="height:1pt;width:108pt;" coordsize="2160,20" o:gfxdata="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LXue&#10;V9MAAAADAQAADwAAAAAAAAABACAAAAAiAAAAZHJzL2Rvd25yZXYueG1sUEsBAhQAFAAAAAgAh07i&#10;QG3C3wcnAgAA7QQAAA4AAAAAAAAAAQAgAAAAIgEAAGRycy9lMm9Eb2MueG1sUEsFBgAAAAAGAAYA&#10;WQEAALsFAAAAAA==&#10;">
                <o:lock v:ext="edit" aspectratio="f"/>
                <v:line id="1030" o:spid="_x0000_s1026" o:spt="20" style="position:absolute;left:0;top:10;height:0;width:2160;" filled="f" stroked="t" coordsize="21600,21600" o:gfxdata="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TDxKy8AAAA&#10;2gAAAA8AAAAAAAAAAQAgAAAAIgAAAGRycy9kb3ducmV2LnhtbFBLAQIUABQAAAAIAIdO4kAzLwWe&#10;OwAAADkAAAAQAAAAAAAAAAEAIAAAAAsBAABkcnMvc2hhcGV4bWwueG1sUEsFBgAAAAAGAAYAWwEA&#10;ALUDAAAAAA==&#10;">
                  <v:fill on="f" focussize="0,0"/>
                  <v:stroke weight="1pt" color="#000000" joinstyle="round"/>
                  <v:imagedata o:title=""/>
                  <o:lock v:ext="edit" aspectratio="f"/>
                </v:line>
                <w10:wrap type="none"/>
                <w10:anchorlock/>
              </v:group>
            </w:pict>
          </mc:Fallback>
        </mc:AlternateContent>
      </w:r>
    </w:p>
    <w:p w14:paraId="7C45D4CB">
      <w:pPr>
        <w:pStyle w:val="17"/>
        <w:spacing w:before="6"/>
        <w:rPr>
          <w:color w:val="auto"/>
          <w:sz w:val="16"/>
          <w:highlight w:val="none"/>
        </w:rPr>
      </w:pPr>
    </w:p>
    <w:tbl>
      <w:tblPr>
        <w:tblStyle w:val="4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37"/>
        <w:gridCol w:w="660"/>
        <w:gridCol w:w="1239"/>
        <w:gridCol w:w="921"/>
        <w:gridCol w:w="1620"/>
        <w:gridCol w:w="2880"/>
        <w:gridCol w:w="1062"/>
        <w:gridCol w:w="1171"/>
      </w:tblGrid>
      <w:tr w14:paraId="0F0314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000" w:hRule="atLeast"/>
          <w:jc w:val="center"/>
        </w:trPr>
        <w:tc>
          <w:tcPr>
            <w:tcW w:w="937" w:type="dxa"/>
            <w:tcBorders>
              <w:left w:val="single" w:color="000000" w:sz="4" w:space="0"/>
            </w:tcBorders>
            <w:vAlign w:val="center"/>
          </w:tcPr>
          <w:p w14:paraId="50A9E43F">
            <w:pPr>
              <w:pStyle w:val="270"/>
              <w:jc w:val="center"/>
              <w:rPr>
                <w:rFonts w:ascii="宋体" w:hAnsi="宋体"/>
                <w:color w:val="auto"/>
                <w:highlight w:val="none"/>
              </w:rPr>
            </w:pPr>
            <w:r>
              <w:rPr>
                <w:rFonts w:ascii="宋体" w:hAnsi="宋体"/>
                <w:color w:val="auto"/>
                <w:highlight w:val="none"/>
              </w:rPr>
              <w:t>品目序号</w:t>
            </w:r>
          </w:p>
        </w:tc>
        <w:tc>
          <w:tcPr>
            <w:tcW w:w="660" w:type="dxa"/>
            <w:vAlign w:val="center"/>
          </w:tcPr>
          <w:p w14:paraId="5FE62423">
            <w:pPr>
              <w:pStyle w:val="270"/>
              <w:jc w:val="center"/>
              <w:rPr>
                <w:rFonts w:ascii="宋体" w:hAnsi="宋体"/>
                <w:color w:val="auto"/>
                <w:highlight w:val="none"/>
              </w:rPr>
            </w:pPr>
            <w:r>
              <w:rPr>
                <w:rFonts w:ascii="宋体" w:hAnsi="宋体"/>
                <w:color w:val="auto"/>
                <w:highlight w:val="none"/>
              </w:rPr>
              <w:t>名称</w:t>
            </w:r>
          </w:p>
        </w:tc>
        <w:tc>
          <w:tcPr>
            <w:tcW w:w="1239" w:type="dxa"/>
            <w:vAlign w:val="center"/>
          </w:tcPr>
          <w:p w14:paraId="7DD96373">
            <w:pPr>
              <w:pStyle w:val="270"/>
              <w:jc w:val="center"/>
              <w:rPr>
                <w:rFonts w:ascii="宋体" w:hAnsi="宋体"/>
                <w:color w:val="auto"/>
                <w:highlight w:val="none"/>
              </w:rPr>
            </w:pPr>
            <w:r>
              <w:rPr>
                <w:rFonts w:ascii="宋体" w:hAnsi="宋体"/>
                <w:color w:val="auto"/>
                <w:w w:val="95"/>
                <w:highlight w:val="none"/>
              </w:rPr>
              <w:t>型号和规</w:t>
            </w:r>
            <w:r>
              <w:rPr>
                <w:rFonts w:ascii="宋体" w:hAnsi="宋体"/>
                <w:color w:val="auto"/>
                <w:highlight w:val="none"/>
              </w:rPr>
              <w:t>格</w:t>
            </w:r>
          </w:p>
        </w:tc>
        <w:tc>
          <w:tcPr>
            <w:tcW w:w="921" w:type="dxa"/>
            <w:vAlign w:val="center"/>
          </w:tcPr>
          <w:p w14:paraId="528C5EF3">
            <w:pPr>
              <w:pStyle w:val="270"/>
              <w:jc w:val="center"/>
              <w:rPr>
                <w:rFonts w:ascii="宋体" w:hAnsi="宋体"/>
                <w:color w:val="auto"/>
                <w:highlight w:val="none"/>
              </w:rPr>
            </w:pPr>
            <w:r>
              <w:rPr>
                <w:rFonts w:ascii="宋体" w:hAnsi="宋体"/>
                <w:color w:val="auto"/>
                <w:highlight w:val="none"/>
              </w:rPr>
              <w:t>数量</w:t>
            </w:r>
          </w:p>
        </w:tc>
        <w:tc>
          <w:tcPr>
            <w:tcW w:w="1620" w:type="dxa"/>
            <w:vAlign w:val="center"/>
          </w:tcPr>
          <w:p w14:paraId="008F319C">
            <w:pPr>
              <w:pStyle w:val="270"/>
              <w:jc w:val="center"/>
              <w:rPr>
                <w:rFonts w:ascii="宋体" w:hAnsi="宋体"/>
                <w:color w:val="auto"/>
                <w:highlight w:val="none"/>
              </w:rPr>
            </w:pPr>
            <w:r>
              <w:rPr>
                <w:rFonts w:ascii="宋体" w:hAnsi="宋体"/>
                <w:color w:val="auto"/>
                <w:highlight w:val="none"/>
              </w:rPr>
              <w:t>原产地和</w:t>
            </w:r>
            <w:r>
              <w:rPr>
                <w:rFonts w:ascii="宋体" w:hAnsi="宋体"/>
                <w:color w:val="auto"/>
                <w:w w:val="95"/>
                <w:highlight w:val="none"/>
              </w:rPr>
              <w:t>制造商名称</w:t>
            </w:r>
          </w:p>
        </w:tc>
        <w:tc>
          <w:tcPr>
            <w:tcW w:w="2880" w:type="dxa"/>
            <w:vAlign w:val="center"/>
          </w:tcPr>
          <w:p w14:paraId="2C3BC824">
            <w:pPr>
              <w:pStyle w:val="270"/>
              <w:jc w:val="center"/>
              <w:rPr>
                <w:rFonts w:ascii="宋体" w:hAnsi="宋体"/>
                <w:color w:val="auto"/>
                <w:highlight w:val="none"/>
              </w:rPr>
            </w:pPr>
            <w:r>
              <w:rPr>
                <w:rFonts w:ascii="宋体" w:hAnsi="宋体"/>
                <w:color w:val="auto"/>
                <w:w w:val="95"/>
                <w:highlight w:val="none"/>
              </w:rPr>
              <w:t>节字标志认证证书号</w:t>
            </w:r>
          </w:p>
        </w:tc>
        <w:tc>
          <w:tcPr>
            <w:tcW w:w="1062" w:type="dxa"/>
            <w:tcBorders>
              <w:right w:val="single" w:color="000000" w:sz="4" w:space="0"/>
            </w:tcBorders>
            <w:vAlign w:val="center"/>
          </w:tcPr>
          <w:p w14:paraId="486F825A">
            <w:pPr>
              <w:pStyle w:val="270"/>
              <w:jc w:val="center"/>
              <w:rPr>
                <w:rFonts w:ascii="宋体" w:hAnsi="宋体"/>
                <w:color w:val="auto"/>
                <w:highlight w:val="none"/>
              </w:rPr>
            </w:pPr>
            <w:r>
              <w:rPr>
                <w:rFonts w:ascii="宋体" w:hAnsi="宋体"/>
                <w:color w:val="auto"/>
                <w:w w:val="95"/>
                <w:highlight w:val="none"/>
              </w:rPr>
              <w:t>单价</w:t>
            </w:r>
          </w:p>
          <w:p w14:paraId="2CAE8DDF">
            <w:pPr>
              <w:pStyle w:val="270"/>
              <w:jc w:val="center"/>
              <w:rPr>
                <w:rFonts w:ascii="宋体" w:hAnsi="宋体"/>
                <w:color w:val="auto"/>
                <w:highlight w:val="none"/>
              </w:rPr>
            </w:pPr>
            <w:r>
              <w:rPr>
                <w:rFonts w:ascii="宋体" w:hAnsi="宋体"/>
                <w:color w:val="auto"/>
                <w:w w:val="95"/>
                <w:highlight w:val="none"/>
              </w:rPr>
              <w:t>（元人民币）</w:t>
            </w:r>
          </w:p>
        </w:tc>
        <w:tc>
          <w:tcPr>
            <w:tcW w:w="1171" w:type="dxa"/>
            <w:tcBorders>
              <w:left w:val="single" w:color="000000" w:sz="4" w:space="0"/>
              <w:right w:val="single" w:color="000000" w:sz="4" w:space="0"/>
            </w:tcBorders>
            <w:vAlign w:val="center"/>
          </w:tcPr>
          <w:p w14:paraId="3DD59353">
            <w:pPr>
              <w:pStyle w:val="270"/>
              <w:jc w:val="center"/>
              <w:rPr>
                <w:rFonts w:ascii="宋体" w:hAnsi="宋体"/>
                <w:color w:val="auto"/>
                <w:highlight w:val="none"/>
              </w:rPr>
            </w:pPr>
            <w:r>
              <w:rPr>
                <w:rFonts w:ascii="宋体" w:hAnsi="宋体"/>
                <w:color w:val="auto"/>
                <w:w w:val="95"/>
                <w:highlight w:val="none"/>
              </w:rPr>
              <w:t>总价</w:t>
            </w:r>
          </w:p>
          <w:p w14:paraId="791D55A2">
            <w:pPr>
              <w:pStyle w:val="270"/>
              <w:jc w:val="center"/>
              <w:rPr>
                <w:rFonts w:ascii="宋体" w:hAnsi="宋体"/>
                <w:color w:val="auto"/>
                <w:highlight w:val="none"/>
              </w:rPr>
            </w:pPr>
            <w:r>
              <w:rPr>
                <w:rFonts w:ascii="宋体" w:hAnsi="宋体"/>
                <w:color w:val="auto"/>
                <w:w w:val="95"/>
                <w:highlight w:val="none"/>
              </w:rPr>
              <w:t>（元人民币）</w:t>
            </w:r>
          </w:p>
        </w:tc>
      </w:tr>
      <w:tr w14:paraId="6F3673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937" w:type="dxa"/>
            <w:tcBorders>
              <w:left w:val="single" w:color="000000" w:sz="4" w:space="0"/>
            </w:tcBorders>
            <w:vAlign w:val="center"/>
          </w:tcPr>
          <w:p w14:paraId="59762CD8">
            <w:pPr>
              <w:pStyle w:val="234"/>
              <w:rPr>
                <w:rFonts w:ascii="Times New Roman"/>
                <w:color w:val="auto"/>
                <w:highlight w:val="none"/>
              </w:rPr>
            </w:pPr>
          </w:p>
        </w:tc>
        <w:tc>
          <w:tcPr>
            <w:tcW w:w="660" w:type="dxa"/>
            <w:vAlign w:val="center"/>
          </w:tcPr>
          <w:p w14:paraId="0B9B19E6">
            <w:pPr>
              <w:pStyle w:val="234"/>
              <w:rPr>
                <w:rFonts w:ascii="Times New Roman"/>
                <w:color w:val="auto"/>
                <w:highlight w:val="none"/>
              </w:rPr>
            </w:pPr>
          </w:p>
        </w:tc>
        <w:tc>
          <w:tcPr>
            <w:tcW w:w="1239" w:type="dxa"/>
            <w:vAlign w:val="center"/>
          </w:tcPr>
          <w:p w14:paraId="007EEF3D">
            <w:pPr>
              <w:pStyle w:val="234"/>
              <w:rPr>
                <w:rFonts w:ascii="Times New Roman"/>
                <w:color w:val="auto"/>
                <w:highlight w:val="none"/>
              </w:rPr>
            </w:pPr>
          </w:p>
        </w:tc>
        <w:tc>
          <w:tcPr>
            <w:tcW w:w="921" w:type="dxa"/>
            <w:vAlign w:val="center"/>
          </w:tcPr>
          <w:p w14:paraId="7D730537">
            <w:pPr>
              <w:pStyle w:val="234"/>
              <w:rPr>
                <w:rFonts w:ascii="Times New Roman"/>
                <w:color w:val="auto"/>
                <w:highlight w:val="none"/>
              </w:rPr>
            </w:pPr>
          </w:p>
        </w:tc>
        <w:tc>
          <w:tcPr>
            <w:tcW w:w="1620" w:type="dxa"/>
            <w:vAlign w:val="center"/>
          </w:tcPr>
          <w:p w14:paraId="532591EC">
            <w:pPr>
              <w:pStyle w:val="234"/>
              <w:rPr>
                <w:rFonts w:ascii="Times New Roman"/>
                <w:color w:val="auto"/>
                <w:highlight w:val="none"/>
              </w:rPr>
            </w:pPr>
          </w:p>
        </w:tc>
        <w:tc>
          <w:tcPr>
            <w:tcW w:w="2880" w:type="dxa"/>
            <w:vAlign w:val="center"/>
          </w:tcPr>
          <w:p w14:paraId="327CD454">
            <w:pPr>
              <w:pStyle w:val="234"/>
              <w:rPr>
                <w:rFonts w:ascii="Times New Roman"/>
                <w:color w:val="auto"/>
                <w:highlight w:val="none"/>
              </w:rPr>
            </w:pPr>
          </w:p>
        </w:tc>
        <w:tc>
          <w:tcPr>
            <w:tcW w:w="1062" w:type="dxa"/>
            <w:tcBorders>
              <w:right w:val="single" w:color="000000" w:sz="4" w:space="0"/>
            </w:tcBorders>
            <w:vAlign w:val="center"/>
          </w:tcPr>
          <w:p w14:paraId="4398F7AA">
            <w:pPr>
              <w:pStyle w:val="234"/>
              <w:rPr>
                <w:rFonts w:ascii="Times New Roman"/>
                <w:color w:val="auto"/>
                <w:highlight w:val="none"/>
              </w:rPr>
            </w:pPr>
          </w:p>
        </w:tc>
        <w:tc>
          <w:tcPr>
            <w:tcW w:w="1171" w:type="dxa"/>
            <w:tcBorders>
              <w:left w:val="single" w:color="000000" w:sz="4" w:space="0"/>
              <w:right w:val="single" w:color="000000" w:sz="4" w:space="0"/>
            </w:tcBorders>
            <w:vAlign w:val="center"/>
          </w:tcPr>
          <w:p w14:paraId="7CFF0F1A">
            <w:pPr>
              <w:pStyle w:val="234"/>
              <w:rPr>
                <w:rFonts w:ascii="Times New Roman"/>
                <w:color w:val="auto"/>
                <w:highlight w:val="none"/>
              </w:rPr>
            </w:pPr>
          </w:p>
        </w:tc>
      </w:tr>
      <w:tr w14:paraId="3DC140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77" w:hRule="atLeast"/>
          <w:jc w:val="center"/>
        </w:trPr>
        <w:tc>
          <w:tcPr>
            <w:tcW w:w="937" w:type="dxa"/>
            <w:tcBorders>
              <w:left w:val="single" w:color="000000" w:sz="4" w:space="0"/>
            </w:tcBorders>
            <w:vAlign w:val="center"/>
          </w:tcPr>
          <w:p w14:paraId="65E4F1DD">
            <w:pPr>
              <w:pStyle w:val="234"/>
              <w:rPr>
                <w:rFonts w:ascii="Times New Roman"/>
                <w:color w:val="auto"/>
                <w:highlight w:val="none"/>
              </w:rPr>
            </w:pPr>
          </w:p>
        </w:tc>
        <w:tc>
          <w:tcPr>
            <w:tcW w:w="660" w:type="dxa"/>
            <w:vAlign w:val="center"/>
          </w:tcPr>
          <w:p w14:paraId="1C1FD9BD">
            <w:pPr>
              <w:pStyle w:val="234"/>
              <w:rPr>
                <w:rFonts w:ascii="Times New Roman"/>
                <w:color w:val="auto"/>
                <w:highlight w:val="none"/>
              </w:rPr>
            </w:pPr>
          </w:p>
        </w:tc>
        <w:tc>
          <w:tcPr>
            <w:tcW w:w="1239" w:type="dxa"/>
            <w:vAlign w:val="center"/>
          </w:tcPr>
          <w:p w14:paraId="494F3CE6">
            <w:pPr>
              <w:pStyle w:val="234"/>
              <w:rPr>
                <w:rFonts w:ascii="Times New Roman"/>
                <w:color w:val="auto"/>
                <w:highlight w:val="none"/>
              </w:rPr>
            </w:pPr>
          </w:p>
        </w:tc>
        <w:tc>
          <w:tcPr>
            <w:tcW w:w="921" w:type="dxa"/>
            <w:vAlign w:val="center"/>
          </w:tcPr>
          <w:p w14:paraId="69E8FF2A">
            <w:pPr>
              <w:pStyle w:val="234"/>
              <w:rPr>
                <w:rFonts w:ascii="Times New Roman"/>
                <w:color w:val="auto"/>
                <w:highlight w:val="none"/>
              </w:rPr>
            </w:pPr>
          </w:p>
        </w:tc>
        <w:tc>
          <w:tcPr>
            <w:tcW w:w="1620" w:type="dxa"/>
            <w:vAlign w:val="center"/>
          </w:tcPr>
          <w:p w14:paraId="48166CD2">
            <w:pPr>
              <w:pStyle w:val="234"/>
              <w:rPr>
                <w:rFonts w:ascii="Times New Roman"/>
                <w:color w:val="auto"/>
                <w:highlight w:val="none"/>
              </w:rPr>
            </w:pPr>
          </w:p>
        </w:tc>
        <w:tc>
          <w:tcPr>
            <w:tcW w:w="2880" w:type="dxa"/>
            <w:vAlign w:val="center"/>
          </w:tcPr>
          <w:p w14:paraId="284CE8B6">
            <w:pPr>
              <w:pStyle w:val="234"/>
              <w:rPr>
                <w:rFonts w:ascii="Times New Roman"/>
                <w:color w:val="auto"/>
                <w:highlight w:val="none"/>
              </w:rPr>
            </w:pPr>
          </w:p>
        </w:tc>
        <w:tc>
          <w:tcPr>
            <w:tcW w:w="1062" w:type="dxa"/>
            <w:tcBorders>
              <w:right w:val="single" w:color="000000" w:sz="4" w:space="0"/>
            </w:tcBorders>
            <w:vAlign w:val="center"/>
          </w:tcPr>
          <w:p w14:paraId="47CC48DA">
            <w:pPr>
              <w:pStyle w:val="234"/>
              <w:rPr>
                <w:rFonts w:ascii="Times New Roman"/>
                <w:color w:val="auto"/>
                <w:highlight w:val="none"/>
              </w:rPr>
            </w:pPr>
          </w:p>
        </w:tc>
        <w:tc>
          <w:tcPr>
            <w:tcW w:w="1171" w:type="dxa"/>
            <w:tcBorders>
              <w:left w:val="single" w:color="000000" w:sz="4" w:space="0"/>
              <w:right w:val="single" w:color="000000" w:sz="4" w:space="0"/>
            </w:tcBorders>
            <w:vAlign w:val="center"/>
          </w:tcPr>
          <w:p w14:paraId="328C1CEF">
            <w:pPr>
              <w:pStyle w:val="234"/>
              <w:rPr>
                <w:rFonts w:ascii="Times New Roman"/>
                <w:color w:val="auto"/>
                <w:highlight w:val="none"/>
              </w:rPr>
            </w:pPr>
          </w:p>
        </w:tc>
      </w:tr>
      <w:tr w14:paraId="36B03D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90" w:hRule="atLeast"/>
          <w:jc w:val="center"/>
        </w:trPr>
        <w:tc>
          <w:tcPr>
            <w:tcW w:w="9319" w:type="dxa"/>
            <w:gridSpan w:val="7"/>
            <w:tcBorders>
              <w:left w:val="single" w:color="000000" w:sz="4" w:space="0"/>
              <w:bottom w:val="single" w:color="000000" w:sz="4" w:space="0"/>
              <w:right w:val="single" w:color="000000" w:sz="4" w:space="0"/>
            </w:tcBorders>
            <w:vAlign w:val="center"/>
          </w:tcPr>
          <w:p w14:paraId="60A19D10">
            <w:pPr>
              <w:pStyle w:val="270"/>
              <w:jc w:val="left"/>
              <w:rPr>
                <w:color w:val="auto"/>
                <w:sz w:val="24"/>
                <w:highlight w:val="none"/>
              </w:rPr>
            </w:pPr>
            <w:r>
              <w:rPr>
                <w:rFonts w:ascii="宋体" w:hAnsi="宋体"/>
                <w:color w:val="auto"/>
                <w:highlight w:val="none"/>
              </w:rPr>
              <w:t>其中，节能产品总计：</w:t>
            </w:r>
          </w:p>
        </w:tc>
        <w:tc>
          <w:tcPr>
            <w:tcW w:w="1171" w:type="dxa"/>
            <w:tcBorders>
              <w:left w:val="single" w:color="000000" w:sz="4" w:space="0"/>
              <w:bottom w:val="single" w:color="000000" w:sz="4" w:space="0"/>
              <w:right w:val="single" w:color="000000" w:sz="4" w:space="0"/>
            </w:tcBorders>
            <w:vAlign w:val="center"/>
          </w:tcPr>
          <w:p w14:paraId="05288EF4">
            <w:pPr>
              <w:pStyle w:val="234"/>
              <w:rPr>
                <w:rFonts w:ascii="Times New Roman"/>
                <w:color w:val="auto"/>
                <w:highlight w:val="none"/>
                <w:lang w:eastAsia="zh-CN"/>
              </w:rPr>
            </w:pPr>
          </w:p>
        </w:tc>
      </w:tr>
    </w:tbl>
    <w:p w14:paraId="3351E36F">
      <w:pPr>
        <w:pStyle w:val="17"/>
        <w:tabs>
          <w:tab w:val="left" w:pos="5765"/>
        </w:tabs>
        <w:spacing w:before="1" w:after="21"/>
        <w:ind w:left="686"/>
        <w:rPr>
          <w:rFonts w:ascii="宋体" w:hAnsi="宋体" w:eastAsia="宋体"/>
          <w:color w:val="auto"/>
          <w:sz w:val="21"/>
          <w:szCs w:val="21"/>
          <w:highlight w:val="none"/>
        </w:rPr>
      </w:pPr>
      <w:r>
        <w:rPr>
          <w:rFonts w:ascii="宋体" w:hAnsi="宋体" w:eastAsia="宋体"/>
          <w:color w:val="auto"/>
          <w:sz w:val="21"/>
          <w:szCs w:val="21"/>
          <w:highlight w:val="none"/>
        </w:rPr>
        <w:t>法定代表人或其委托代理人（签字）：</w:t>
      </w:r>
    </w:p>
    <w:p w14:paraId="63F4DDB6">
      <w:pPr>
        <w:pStyle w:val="17"/>
        <w:spacing w:line="20" w:lineRule="exact"/>
        <w:ind w:left="8213"/>
        <w:rPr>
          <w:color w:val="auto"/>
          <w:sz w:val="2"/>
          <w:highlight w:val="none"/>
        </w:rPr>
      </w:pPr>
    </w:p>
    <w:p w14:paraId="4CD00735">
      <w:pPr>
        <w:pStyle w:val="25"/>
        <w:rPr>
          <w:color w:val="auto"/>
          <w:highlight w:val="none"/>
        </w:rPr>
      </w:pPr>
    </w:p>
    <w:p w14:paraId="432F3211">
      <w:pPr>
        <w:widowControl/>
        <w:spacing w:before="312" w:beforeLines="100" w:line="360" w:lineRule="auto"/>
        <w:jc w:val="center"/>
        <w:rPr>
          <w:rFonts w:ascii="宋体" w:hAnsi="宋体"/>
          <w:b/>
          <w:color w:val="auto"/>
          <w:kern w:val="0"/>
          <w:sz w:val="36"/>
          <w:szCs w:val="36"/>
          <w:highlight w:val="none"/>
        </w:rPr>
      </w:pPr>
      <w:r>
        <w:rPr>
          <w:rFonts w:hint="eastAsia" w:ascii="宋体" w:hAnsi="宋体"/>
          <w:b/>
          <w:color w:val="auto"/>
          <w:kern w:val="0"/>
          <w:sz w:val="36"/>
          <w:szCs w:val="36"/>
          <w:highlight w:val="none"/>
        </w:rPr>
        <w:t>残疾人福利性单位声明函</w:t>
      </w:r>
    </w:p>
    <w:p w14:paraId="60924567">
      <w:pPr>
        <w:widowControl/>
        <w:spacing w:line="400" w:lineRule="exact"/>
        <w:ind w:firstLine="420" w:firstLineChars="200"/>
        <w:jc w:val="left"/>
        <w:rPr>
          <w:rFonts w:ascii="宋体" w:hAnsi="宋体" w:cs="宋体"/>
          <w:snapToGrid w:val="0"/>
          <w:color w:val="auto"/>
          <w:kern w:val="0"/>
          <w:highlight w:val="none"/>
        </w:rPr>
      </w:pPr>
      <w:r>
        <w:rPr>
          <w:rFonts w:hint="eastAsia" w:ascii="宋体" w:hAnsi="宋体" w:cs="宋体"/>
          <w:snapToGrid w:val="0"/>
          <w:color w:val="auto"/>
          <w:kern w:val="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FC9123E">
      <w:pPr>
        <w:widowControl/>
        <w:spacing w:line="400" w:lineRule="exact"/>
        <w:ind w:firstLine="420" w:firstLineChars="200"/>
        <w:jc w:val="left"/>
        <w:rPr>
          <w:rFonts w:ascii="宋体" w:hAnsi="宋体" w:cs="宋体"/>
          <w:snapToGrid w:val="0"/>
          <w:color w:val="auto"/>
          <w:kern w:val="0"/>
          <w:highlight w:val="none"/>
        </w:rPr>
      </w:pPr>
      <w:r>
        <w:rPr>
          <w:rFonts w:hint="eastAsia" w:ascii="宋体" w:hAnsi="宋体" w:cs="宋体"/>
          <w:snapToGrid w:val="0"/>
          <w:color w:val="auto"/>
          <w:kern w:val="0"/>
          <w:highlight w:val="none"/>
        </w:rPr>
        <w:t>本单位对上述声明的真实性负责。如有虚假，将依法承担相应责任。</w:t>
      </w:r>
    </w:p>
    <w:p w14:paraId="2B81B5C8">
      <w:pPr>
        <w:widowControl/>
        <w:spacing w:line="440" w:lineRule="exact"/>
        <w:ind w:firstLine="5040" w:firstLineChars="2400"/>
        <w:jc w:val="left"/>
        <w:rPr>
          <w:rFonts w:ascii="宋体" w:hAnsi="宋体" w:cs="宋体"/>
          <w:snapToGrid w:val="0"/>
          <w:color w:val="auto"/>
          <w:kern w:val="0"/>
          <w:highlight w:val="none"/>
        </w:rPr>
      </w:pPr>
    </w:p>
    <w:p w14:paraId="6B8F04E9">
      <w:pPr>
        <w:widowControl/>
        <w:spacing w:line="440" w:lineRule="exact"/>
        <w:ind w:firstLine="5040" w:firstLineChars="2400"/>
        <w:jc w:val="left"/>
        <w:rPr>
          <w:rFonts w:ascii="宋体" w:hAnsi="宋体" w:cs="宋体"/>
          <w:snapToGrid w:val="0"/>
          <w:color w:val="auto"/>
          <w:kern w:val="0"/>
          <w:highlight w:val="none"/>
        </w:rPr>
      </w:pPr>
    </w:p>
    <w:p w14:paraId="791067A4">
      <w:pPr>
        <w:widowControl/>
        <w:spacing w:line="440" w:lineRule="exact"/>
        <w:ind w:firstLine="5040" w:firstLineChars="2400"/>
        <w:jc w:val="left"/>
        <w:rPr>
          <w:rFonts w:ascii="宋体" w:hAnsi="宋体" w:cs="宋体"/>
          <w:snapToGrid w:val="0"/>
          <w:color w:val="auto"/>
          <w:kern w:val="0"/>
          <w:highlight w:val="none"/>
        </w:rPr>
      </w:pPr>
    </w:p>
    <w:p w14:paraId="0906DA46">
      <w:pPr>
        <w:widowControl/>
        <w:spacing w:line="360" w:lineRule="auto"/>
        <w:ind w:firstLine="3990" w:firstLineChars="1900"/>
        <w:jc w:val="left"/>
        <w:rPr>
          <w:rFonts w:ascii="宋体" w:hAnsi="宋体" w:cs="宋体"/>
          <w:color w:val="auto"/>
          <w:kern w:val="0"/>
          <w:highlight w:val="none"/>
        </w:rPr>
      </w:pPr>
      <w:r>
        <w:rPr>
          <w:rFonts w:hint="eastAsia" w:ascii="宋体" w:hAnsi="宋体" w:cs="宋体"/>
          <w:color w:val="auto"/>
          <w:kern w:val="0"/>
          <w:highlight w:val="none"/>
        </w:rPr>
        <w:t>供应商（盖章）:</w:t>
      </w:r>
      <w:r>
        <w:rPr>
          <w:rFonts w:hint="eastAsia" w:ascii="宋体" w:hAnsi="宋体" w:cs="宋体"/>
          <w:color w:val="auto"/>
          <w:kern w:val="0"/>
          <w:highlight w:val="none"/>
          <w:u w:val="single"/>
        </w:rPr>
        <w:t xml:space="preserve">            </w:t>
      </w:r>
    </w:p>
    <w:p w14:paraId="5E14CA8D">
      <w:pPr>
        <w:widowControl/>
        <w:spacing w:line="360" w:lineRule="auto"/>
        <w:ind w:firstLine="3990" w:firstLineChars="1900"/>
        <w:jc w:val="left"/>
        <w:rPr>
          <w:rFonts w:ascii="宋体" w:hAnsi="宋体" w:cs="宋体"/>
          <w:b/>
          <w:bCs/>
          <w:color w:val="auto"/>
          <w:highlight w:val="none"/>
        </w:rPr>
      </w:pPr>
      <w:r>
        <w:rPr>
          <w:rFonts w:hint="eastAsia" w:ascii="宋体" w:hAnsi="宋体" w:cs="宋体"/>
          <w:color w:val="auto"/>
          <w:kern w:val="0"/>
          <w:highlight w:val="none"/>
        </w:rPr>
        <w:t>日    期：   年    月    日</w:t>
      </w:r>
    </w:p>
    <w:p w14:paraId="5C14000A">
      <w:pPr>
        <w:widowControl/>
        <w:spacing w:before="312" w:beforeLines="100" w:line="360" w:lineRule="auto"/>
        <w:jc w:val="center"/>
        <w:rPr>
          <w:rFonts w:ascii="宋体" w:hAnsi="宋体"/>
          <w:b/>
          <w:color w:val="auto"/>
          <w:kern w:val="0"/>
          <w:sz w:val="36"/>
          <w:szCs w:val="36"/>
          <w:highlight w:val="none"/>
        </w:rPr>
      </w:pPr>
      <w:r>
        <w:rPr>
          <w:rFonts w:hint="eastAsia" w:ascii="宋体" w:hAnsi="宋体"/>
          <w:b/>
          <w:color w:val="auto"/>
          <w:kern w:val="0"/>
          <w:sz w:val="36"/>
          <w:szCs w:val="36"/>
          <w:highlight w:val="none"/>
        </w:rPr>
        <w:t>属于监狱企业的证明文件</w:t>
      </w:r>
    </w:p>
    <w:p w14:paraId="0BF4EC9F">
      <w:pPr>
        <w:adjustRightInd w:val="0"/>
        <w:spacing w:line="360" w:lineRule="auto"/>
        <w:rPr>
          <w:rFonts w:hint="default" w:ascii="Times New Roman" w:hAnsi="Times New Roman" w:eastAsia="宋体"/>
          <w:color w:val="000000" w:themeColor="text1"/>
          <w:sz w:val="24"/>
          <w:highlight w:val="none"/>
          <w:lang w:val="en-US" w:eastAsia="zh-CN"/>
          <w14:textFill>
            <w14:solidFill>
              <w14:schemeClr w14:val="tx1"/>
            </w14:solidFill>
          </w14:textFill>
        </w:rPr>
      </w:pPr>
      <w:r>
        <w:rPr>
          <w:rFonts w:hint="eastAsia" w:ascii="宋体" w:hAnsi="宋体" w:cs="宋体"/>
          <w:color w:val="auto"/>
          <w:highlight w:val="none"/>
        </w:rPr>
        <w:t>提供由省级以上监狱管理局、戒毒管理局（含新疆生产建设兵团）出具的属于监狱企业的证明文件）</w:t>
      </w: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59110">
    <w:pPr>
      <w:pStyle w:val="28"/>
    </w:pPr>
    <w:r>
      <mc:AlternateContent>
        <mc:Choice Requires="wps">
          <w:drawing>
            <wp:anchor distT="0" distB="0" distL="114300" distR="114300" simplePos="0" relativeHeight="251660288"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58F860AA">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60288;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58F860AA">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617DD">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AE8E4E7F"/>
    <w:multiLevelType w:val="singleLevel"/>
    <w:tmpl w:val="AE8E4E7F"/>
    <w:lvl w:ilvl="0" w:tentative="0">
      <w:start w:val="1"/>
      <w:numFmt w:val="decimal"/>
      <w:suff w:val="nothing"/>
      <w:lvlText w:val="（%1）"/>
      <w:lvlJc w:val="left"/>
    </w:lvl>
  </w:abstractNum>
  <w:abstractNum w:abstractNumId="15">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6">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7">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8">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9">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0">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1">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2">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3">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4">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5">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6">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7">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8">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9">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0">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1">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2">
    <w:nsid w:val="FFFBC0E8"/>
    <w:multiLevelType w:val="multilevel"/>
    <w:tmpl w:val="FFFBC0E8"/>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ascii="Calibri" w:hAnsi="Calibri"/>
        <w:b w:val="0"/>
        <w:bCs w:val="0"/>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33">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4">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5">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6">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7">
    <w:nsid w:val="137A98A4"/>
    <w:multiLevelType w:val="singleLevel"/>
    <w:tmpl w:val="137A98A4"/>
    <w:lvl w:ilvl="0" w:tentative="0">
      <w:start w:val="1"/>
      <w:numFmt w:val="decimal"/>
      <w:suff w:val="nothing"/>
      <w:lvlText w:val="（%1）"/>
      <w:lvlJc w:val="left"/>
    </w:lvl>
  </w:abstractNum>
  <w:abstractNum w:abstractNumId="38">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9">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40">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1">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2">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3">
    <w:nsid w:val="318533B0"/>
    <w:multiLevelType w:val="singleLevel"/>
    <w:tmpl w:val="318533B0"/>
    <w:lvl w:ilvl="0" w:tentative="0">
      <w:start w:val="4"/>
      <w:numFmt w:val="chineseCounting"/>
      <w:suff w:val="space"/>
      <w:lvlText w:val="第%1章"/>
      <w:lvlJc w:val="left"/>
      <w:rPr>
        <w:rFonts w:hint="eastAsia"/>
      </w:rPr>
    </w:lvl>
  </w:abstractNum>
  <w:abstractNum w:abstractNumId="44">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5">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6">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7">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8">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9">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2">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3">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4">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5">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6">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7">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8">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9">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0">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0"/>
  </w:num>
  <w:num w:numId="2">
    <w:abstractNumId w:val="13"/>
  </w:num>
  <w:num w:numId="3">
    <w:abstractNumId w:val="39"/>
  </w:num>
  <w:num w:numId="4">
    <w:abstractNumId w:val="59"/>
  </w:num>
  <w:num w:numId="5">
    <w:abstractNumId w:val="56"/>
  </w:num>
  <w:num w:numId="6">
    <w:abstractNumId w:val="34"/>
  </w:num>
  <w:num w:numId="7">
    <w:abstractNumId w:val="21"/>
  </w:num>
  <w:num w:numId="8">
    <w:abstractNumId w:val="46"/>
  </w:num>
  <w:num w:numId="9">
    <w:abstractNumId w:val="42"/>
  </w:num>
  <w:num w:numId="10">
    <w:abstractNumId w:val="8"/>
  </w:num>
  <w:num w:numId="11">
    <w:abstractNumId w:val="17"/>
  </w:num>
  <w:num w:numId="12">
    <w:abstractNumId w:val="49"/>
  </w:num>
  <w:num w:numId="13">
    <w:abstractNumId w:val="60"/>
  </w:num>
  <w:num w:numId="14">
    <w:abstractNumId w:val="12"/>
  </w:num>
  <w:num w:numId="15">
    <w:abstractNumId w:val="57"/>
  </w:num>
  <w:num w:numId="16">
    <w:abstractNumId w:val="41"/>
  </w:num>
  <w:num w:numId="17">
    <w:abstractNumId w:val="55"/>
  </w:num>
  <w:num w:numId="18">
    <w:abstractNumId w:val="44"/>
  </w:num>
  <w:num w:numId="19">
    <w:abstractNumId w:val="33"/>
  </w:num>
  <w:num w:numId="20">
    <w:abstractNumId w:val="38"/>
  </w:num>
  <w:num w:numId="21">
    <w:abstractNumId w:val="15"/>
  </w:num>
  <w:num w:numId="22">
    <w:abstractNumId w:val="25"/>
  </w:num>
  <w:num w:numId="23">
    <w:abstractNumId w:val="31"/>
  </w:num>
  <w:num w:numId="24">
    <w:abstractNumId w:val="47"/>
  </w:num>
  <w:num w:numId="25">
    <w:abstractNumId w:val="27"/>
  </w:num>
  <w:num w:numId="26">
    <w:abstractNumId w:val="6"/>
  </w:num>
  <w:num w:numId="27">
    <w:abstractNumId w:val="48"/>
  </w:num>
  <w:num w:numId="28">
    <w:abstractNumId w:val="16"/>
  </w:num>
  <w:num w:numId="29">
    <w:abstractNumId w:val="2"/>
  </w:num>
  <w:num w:numId="30">
    <w:abstractNumId w:val="51"/>
  </w:num>
  <w:num w:numId="31">
    <w:abstractNumId w:val="45"/>
  </w:num>
  <w:num w:numId="32">
    <w:abstractNumId w:val="35"/>
  </w:num>
  <w:num w:numId="33">
    <w:abstractNumId w:val="7"/>
  </w:num>
  <w:num w:numId="34">
    <w:abstractNumId w:val="36"/>
  </w:num>
  <w:num w:numId="35">
    <w:abstractNumId w:val="53"/>
  </w:num>
  <w:num w:numId="36">
    <w:abstractNumId w:val="52"/>
  </w:num>
  <w:num w:numId="37">
    <w:abstractNumId w:val="3"/>
  </w:num>
  <w:num w:numId="38">
    <w:abstractNumId w:val="28"/>
  </w:num>
  <w:num w:numId="39">
    <w:abstractNumId w:val="54"/>
  </w:num>
  <w:num w:numId="40">
    <w:abstractNumId w:val="24"/>
  </w:num>
  <w:num w:numId="41">
    <w:abstractNumId w:val="9"/>
  </w:num>
  <w:num w:numId="42">
    <w:abstractNumId w:val="4"/>
  </w:num>
  <w:num w:numId="43">
    <w:abstractNumId w:val="10"/>
  </w:num>
  <w:num w:numId="44">
    <w:abstractNumId w:val="29"/>
  </w:num>
  <w:num w:numId="45">
    <w:abstractNumId w:val="18"/>
  </w:num>
  <w:num w:numId="46">
    <w:abstractNumId w:val="26"/>
  </w:num>
  <w:num w:numId="47">
    <w:abstractNumId w:val="19"/>
  </w:num>
  <w:num w:numId="48">
    <w:abstractNumId w:val="58"/>
  </w:num>
  <w:num w:numId="49">
    <w:abstractNumId w:val="20"/>
  </w:num>
  <w:num w:numId="50">
    <w:abstractNumId w:val="23"/>
  </w:num>
  <w:num w:numId="51">
    <w:abstractNumId w:val="1"/>
  </w:num>
  <w:num w:numId="52">
    <w:abstractNumId w:val="5"/>
  </w:num>
  <w:num w:numId="53">
    <w:abstractNumId w:val="37"/>
  </w:num>
  <w:num w:numId="54">
    <w:abstractNumId w:val="43"/>
  </w:num>
  <w:num w:numId="55">
    <w:abstractNumId w:val="32"/>
  </w:num>
  <w:num w:numId="56">
    <w:abstractNumId w:val="14"/>
  </w:num>
  <w:num w:numId="57">
    <w:abstractNumId w:val="0"/>
  </w:num>
  <w:num w:numId="58">
    <w:abstractNumId w:val="40"/>
  </w:num>
  <w:num w:numId="59">
    <w:abstractNumId w:val="11"/>
  </w:num>
  <w:num w:numId="60">
    <w:abstractNumId w:val="30"/>
  </w:num>
  <w:num w:numId="6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IyZmNhMDRiNDU5NDUyNDUwMjdiYTBiZTAzMzVlOTMifQ=="/>
    <w:docVar w:name="KSO_WPS_MARK_KEY" w:val="ef9fe400-f47f-4ebd-bf0f-4af4f24c4f78"/>
  </w:docVars>
  <w:rsids>
    <w:rsidRoot w:val="001607E5"/>
    <w:rsid w:val="0000641F"/>
    <w:rsid w:val="00010550"/>
    <w:rsid w:val="000114EC"/>
    <w:rsid w:val="00032AFC"/>
    <w:rsid w:val="00055B15"/>
    <w:rsid w:val="000603A8"/>
    <w:rsid w:val="00072371"/>
    <w:rsid w:val="00077B10"/>
    <w:rsid w:val="0008213F"/>
    <w:rsid w:val="000A3089"/>
    <w:rsid w:val="000A5DE6"/>
    <w:rsid w:val="000A61ED"/>
    <w:rsid w:val="000A6973"/>
    <w:rsid w:val="000C4F86"/>
    <w:rsid w:val="000E0C2D"/>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636A37"/>
    <w:rsid w:val="0064295D"/>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A066C"/>
    <w:rsid w:val="00FA08FD"/>
    <w:rsid w:val="00FD12B6"/>
    <w:rsid w:val="00FD3539"/>
    <w:rsid w:val="00FF3C15"/>
    <w:rsid w:val="00FF70FB"/>
    <w:rsid w:val="00FF7ADF"/>
    <w:rsid w:val="012B64AF"/>
    <w:rsid w:val="01933E55"/>
    <w:rsid w:val="01BF6469"/>
    <w:rsid w:val="027C6AB9"/>
    <w:rsid w:val="02DF21EF"/>
    <w:rsid w:val="045046FF"/>
    <w:rsid w:val="047F24B6"/>
    <w:rsid w:val="057069E3"/>
    <w:rsid w:val="05CB3586"/>
    <w:rsid w:val="060D10D2"/>
    <w:rsid w:val="066C72D7"/>
    <w:rsid w:val="07EF7321"/>
    <w:rsid w:val="08823813"/>
    <w:rsid w:val="08A40BE4"/>
    <w:rsid w:val="08B07D72"/>
    <w:rsid w:val="08E45039"/>
    <w:rsid w:val="091A23B4"/>
    <w:rsid w:val="091D123B"/>
    <w:rsid w:val="096B4234"/>
    <w:rsid w:val="098053F7"/>
    <w:rsid w:val="09865C52"/>
    <w:rsid w:val="0A1318AA"/>
    <w:rsid w:val="0A1554BB"/>
    <w:rsid w:val="0A170B9C"/>
    <w:rsid w:val="0A1D4625"/>
    <w:rsid w:val="0B0D419A"/>
    <w:rsid w:val="0BAA1044"/>
    <w:rsid w:val="0C06116B"/>
    <w:rsid w:val="0C9534E4"/>
    <w:rsid w:val="0D4B59D5"/>
    <w:rsid w:val="0DC64FDA"/>
    <w:rsid w:val="0E5626EA"/>
    <w:rsid w:val="0EFA6269"/>
    <w:rsid w:val="0F2509E1"/>
    <w:rsid w:val="0FE50224"/>
    <w:rsid w:val="1101240C"/>
    <w:rsid w:val="119D6FA6"/>
    <w:rsid w:val="11ED31A7"/>
    <w:rsid w:val="124A36D5"/>
    <w:rsid w:val="12721277"/>
    <w:rsid w:val="12A83E03"/>
    <w:rsid w:val="12AC5FC1"/>
    <w:rsid w:val="12B979DD"/>
    <w:rsid w:val="130726B9"/>
    <w:rsid w:val="134358DA"/>
    <w:rsid w:val="1345230E"/>
    <w:rsid w:val="13B8520A"/>
    <w:rsid w:val="15B33C35"/>
    <w:rsid w:val="160A26DF"/>
    <w:rsid w:val="17163A31"/>
    <w:rsid w:val="1720639D"/>
    <w:rsid w:val="177B5642"/>
    <w:rsid w:val="18056F1E"/>
    <w:rsid w:val="18824714"/>
    <w:rsid w:val="18AE6841"/>
    <w:rsid w:val="18E611E1"/>
    <w:rsid w:val="19063631"/>
    <w:rsid w:val="1951749F"/>
    <w:rsid w:val="1959610D"/>
    <w:rsid w:val="19933EEE"/>
    <w:rsid w:val="19CB13F6"/>
    <w:rsid w:val="19E55985"/>
    <w:rsid w:val="19F85670"/>
    <w:rsid w:val="1A0836F9"/>
    <w:rsid w:val="1A4426FE"/>
    <w:rsid w:val="1A5852A5"/>
    <w:rsid w:val="1A6C60CD"/>
    <w:rsid w:val="1B1875CE"/>
    <w:rsid w:val="1B835B95"/>
    <w:rsid w:val="1BA842D2"/>
    <w:rsid w:val="1BCD48DA"/>
    <w:rsid w:val="1C8E057A"/>
    <w:rsid w:val="1CA11867"/>
    <w:rsid w:val="1CBA19FF"/>
    <w:rsid w:val="1D2422D8"/>
    <w:rsid w:val="1D7F5DED"/>
    <w:rsid w:val="1D88230D"/>
    <w:rsid w:val="1E036392"/>
    <w:rsid w:val="1EF63F47"/>
    <w:rsid w:val="1F951903"/>
    <w:rsid w:val="200636BC"/>
    <w:rsid w:val="207E43F5"/>
    <w:rsid w:val="209D7852"/>
    <w:rsid w:val="20C067BC"/>
    <w:rsid w:val="21AF7EF2"/>
    <w:rsid w:val="21C30CB0"/>
    <w:rsid w:val="21D104C4"/>
    <w:rsid w:val="21E6112F"/>
    <w:rsid w:val="22017635"/>
    <w:rsid w:val="222334A6"/>
    <w:rsid w:val="229D231D"/>
    <w:rsid w:val="23325476"/>
    <w:rsid w:val="235E3DED"/>
    <w:rsid w:val="241E2177"/>
    <w:rsid w:val="2445396E"/>
    <w:rsid w:val="247D6DFF"/>
    <w:rsid w:val="2557368E"/>
    <w:rsid w:val="25643BBA"/>
    <w:rsid w:val="258C01DB"/>
    <w:rsid w:val="25FE6C33"/>
    <w:rsid w:val="26203303"/>
    <w:rsid w:val="26B03760"/>
    <w:rsid w:val="27DE4458"/>
    <w:rsid w:val="27E9484A"/>
    <w:rsid w:val="283F5126"/>
    <w:rsid w:val="28920A3E"/>
    <w:rsid w:val="291B6C85"/>
    <w:rsid w:val="293B10D5"/>
    <w:rsid w:val="29945580"/>
    <w:rsid w:val="29FD7462"/>
    <w:rsid w:val="2A337FFE"/>
    <w:rsid w:val="2B1E2A5D"/>
    <w:rsid w:val="2B2140BD"/>
    <w:rsid w:val="2B867186"/>
    <w:rsid w:val="2B9C1C62"/>
    <w:rsid w:val="2BDB3C20"/>
    <w:rsid w:val="2BFF27DA"/>
    <w:rsid w:val="2C4C35F9"/>
    <w:rsid w:val="2D900EBE"/>
    <w:rsid w:val="2DB27BB8"/>
    <w:rsid w:val="2DE31D62"/>
    <w:rsid w:val="2E165C6D"/>
    <w:rsid w:val="2EDD678B"/>
    <w:rsid w:val="2EEC39D8"/>
    <w:rsid w:val="2EED10C4"/>
    <w:rsid w:val="2F057E2F"/>
    <w:rsid w:val="2F3321FA"/>
    <w:rsid w:val="2F544C9F"/>
    <w:rsid w:val="2F751905"/>
    <w:rsid w:val="2FDB4BE0"/>
    <w:rsid w:val="2FFB046F"/>
    <w:rsid w:val="304B06CD"/>
    <w:rsid w:val="305A25CD"/>
    <w:rsid w:val="30AD0B0B"/>
    <w:rsid w:val="30B8216E"/>
    <w:rsid w:val="30D56E57"/>
    <w:rsid w:val="31B00187"/>
    <w:rsid w:val="31FC517A"/>
    <w:rsid w:val="32D36F23"/>
    <w:rsid w:val="33637328"/>
    <w:rsid w:val="338F44F8"/>
    <w:rsid w:val="339C4E66"/>
    <w:rsid w:val="33B201E6"/>
    <w:rsid w:val="33B43DDA"/>
    <w:rsid w:val="34017A8A"/>
    <w:rsid w:val="350B7DFE"/>
    <w:rsid w:val="35CD57AB"/>
    <w:rsid w:val="35ED3757"/>
    <w:rsid w:val="367A15B2"/>
    <w:rsid w:val="36B24E78"/>
    <w:rsid w:val="36F01751"/>
    <w:rsid w:val="37315AF4"/>
    <w:rsid w:val="373A0C1E"/>
    <w:rsid w:val="37C64260"/>
    <w:rsid w:val="37FA7A6D"/>
    <w:rsid w:val="38496D6C"/>
    <w:rsid w:val="388D1222"/>
    <w:rsid w:val="3892621E"/>
    <w:rsid w:val="38B663C8"/>
    <w:rsid w:val="38C904AC"/>
    <w:rsid w:val="38CA2129"/>
    <w:rsid w:val="38E05B90"/>
    <w:rsid w:val="396949D1"/>
    <w:rsid w:val="3A2A6B90"/>
    <w:rsid w:val="3A2C272A"/>
    <w:rsid w:val="3A744447"/>
    <w:rsid w:val="3AA30888"/>
    <w:rsid w:val="3AAD5E55"/>
    <w:rsid w:val="3ADD5E57"/>
    <w:rsid w:val="3AFB3576"/>
    <w:rsid w:val="3BC44F5A"/>
    <w:rsid w:val="3BD74CEB"/>
    <w:rsid w:val="3BED091B"/>
    <w:rsid w:val="3C60699C"/>
    <w:rsid w:val="3CF60458"/>
    <w:rsid w:val="3D042809"/>
    <w:rsid w:val="3E2409BB"/>
    <w:rsid w:val="3E8743FE"/>
    <w:rsid w:val="3F992808"/>
    <w:rsid w:val="3FB83028"/>
    <w:rsid w:val="3FBE048B"/>
    <w:rsid w:val="3FEB6F5A"/>
    <w:rsid w:val="4067627C"/>
    <w:rsid w:val="409265EE"/>
    <w:rsid w:val="415218E2"/>
    <w:rsid w:val="41C9151C"/>
    <w:rsid w:val="41F221ED"/>
    <w:rsid w:val="431C742A"/>
    <w:rsid w:val="444F53BD"/>
    <w:rsid w:val="44737C99"/>
    <w:rsid w:val="44ED5664"/>
    <w:rsid w:val="44F364BA"/>
    <w:rsid w:val="456A6701"/>
    <w:rsid w:val="45A1630C"/>
    <w:rsid w:val="45D756FD"/>
    <w:rsid w:val="45F24ED8"/>
    <w:rsid w:val="471F7804"/>
    <w:rsid w:val="473A796F"/>
    <w:rsid w:val="47726C6E"/>
    <w:rsid w:val="48616533"/>
    <w:rsid w:val="486C49B0"/>
    <w:rsid w:val="489610DE"/>
    <w:rsid w:val="48E73DE4"/>
    <w:rsid w:val="494476DB"/>
    <w:rsid w:val="496F29A9"/>
    <w:rsid w:val="49A454A8"/>
    <w:rsid w:val="49B22A94"/>
    <w:rsid w:val="49BC0661"/>
    <w:rsid w:val="49BF63F4"/>
    <w:rsid w:val="49C66341"/>
    <w:rsid w:val="4A8E3303"/>
    <w:rsid w:val="4AA743C5"/>
    <w:rsid w:val="4AA86532"/>
    <w:rsid w:val="4B1E03E7"/>
    <w:rsid w:val="4B30329B"/>
    <w:rsid w:val="4BA95F1B"/>
    <w:rsid w:val="4BD9754E"/>
    <w:rsid w:val="4BE920DE"/>
    <w:rsid w:val="4C054A64"/>
    <w:rsid w:val="4C4C4730"/>
    <w:rsid w:val="4C6D6F48"/>
    <w:rsid w:val="4D371A30"/>
    <w:rsid w:val="4D717A9A"/>
    <w:rsid w:val="4D8602C2"/>
    <w:rsid w:val="4DA30E74"/>
    <w:rsid w:val="4E0C23A2"/>
    <w:rsid w:val="4E922C96"/>
    <w:rsid w:val="4E934692"/>
    <w:rsid w:val="4EA053B3"/>
    <w:rsid w:val="4EC77780"/>
    <w:rsid w:val="4EF3271A"/>
    <w:rsid w:val="4F8A257E"/>
    <w:rsid w:val="4FA94B75"/>
    <w:rsid w:val="4FD55530"/>
    <w:rsid w:val="504656BE"/>
    <w:rsid w:val="50AF3052"/>
    <w:rsid w:val="50B667D3"/>
    <w:rsid w:val="512E27E4"/>
    <w:rsid w:val="51E11D57"/>
    <w:rsid w:val="5314255F"/>
    <w:rsid w:val="53402E60"/>
    <w:rsid w:val="535029F5"/>
    <w:rsid w:val="536F0303"/>
    <w:rsid w:val="53C15FC4"/>
    <w:rsid w:val="5402266C"/>
    <w:rsid w:val="543842E0"/>
    <w:rsid w:val="543C4542"/>
    <w:rsid w:val="54803E83"/>
    <w:rsid w:val="54A67309"/>
    <w:rsid w:val="563228AA"/>
    <w:rsid w:val="563B3C13"/>
    <w:rsid w:val="56C43C09"/>
    <w:rsid w:val="56EA18C1"/>
    <w:rsid w:val="56FB07AD"/>
    <w:rsid w:val="57106FCA"/>
    <w:rsid w:val="575E22AF"/>
    <w:rsid w:val="57A23F4A"/>
    <w:rsid w:val="57A46D66"/>
    <w:rsid w:val="57B42F13"/>
    <w:rsid w:val="58070251"/>
    <w:rsid w:val="584C2108"/>
    <w:rsid w:val="58673406"/>
    <w:rsid w:val="58827087"/>
    <w:rsid w:val="58F5454D"/>
    <w:rsid w:val="592D018B"/>
    <w:rsid w:val="5A253D2B"/>
    <w:rsid w:val="5A7B154E"/>
    <w:rsid w:val="5B7F1DF1"/>
    <w:rsid w:val="5BCF7320"/>
    <w:rsid w:val="5BDE1EE0"/>
    <w:rsid w:val="5C292E8C"/>
    <w:rsid w:val="5C6F779B"/>
    <w:rsid w:val="5CA761D1"/>
    <w:rsid w:val="5CD2438D"/>
    <w:rsid w:val="5CFF31EA"/>
    <w:rsid w:val="5D24191A"/>
    <w:rsid w:val="5DB91881"/>
    <w:rsid w:val="5DC559D7"/>
    <w:rsid w:val="5E007347"/>
    <w:rsid w:val="5E394EDC"/>
    <w:rsid w:val="5E4F64AE"/>
    <w:rsid w:val="5E6466ED"/>
    <w:rsid w:val="5E954808"/>
    <w:rsid w:val="5EB84053"/>
    <w:rsid w:val="5EC92704"/>
    <w:rsid w:val="5F4C3A48"/>
    <w:rsid w:val="605303A5"/>
    <w:rsid w:val="60687CFB"/>
    <w:rsid w:val="61614E76"/>
    <w:rsid w:val="62095B02"/>
    <w:rsid w:val="62451DF4"/>
    <w:rsid w:val="62A019CE"/>
    <w:rsid w:val="63F024E1"/>
    <w:rsid w:val="63F92032"/>
    <w:rsid w:val="64276A3B"/>
    <w:rsid w:val="6497136C"/>
    <w:rsid w:val="64C45DE1"/>
    <w:rsid w:val="64D03589"/>
    <w:rsid w:val="65420B1A"/>
    <w:rsid w:val="65817895"/>
    <w:rsid w:val="671F556E"/>
    <w:rsid w:val="67E27EFB"/>
    <w:rsid w:val="67E934CF"/>
    <w:rsid w:val="686F7E78"/>
    <w:rsid w:val="69154ABB"/>
    <w:rsid w:val="6A040A94"/>
    <w:rsid w:val="6A31115D"/>
    <w:rsid w:val="6A927A03"/>
    <w:rsid w:val="6AF503DD"/>
    <w:rsid w:val="6B5131C2"/>
    <w:rsid w:val="6B603B25"/>
    <w:rsid w:val="6B7457A6"/>
    <w:rsid w:val="6C863145"/>
    <w:rsid w:val="6D0244F4"/>
    <w:rsid w:val="6E2D0DB9"/>
    <w:rsid w:val="6F0A08FB"/>
    <w:rsid w:val="6F7A7103"/>
    <w:rsid w:val="6FB70357"/>
    <w:rsid w:val="6FDC61FC"/>
    <w:rsid w:val="7009478C"/>
    <w:rsid w:val="70655281"/>
    <w:rsid w:val="70813A4D"/>
    <w:rsid w:val="70A703CB"/>
    <w:rsid w:val="70E33C39"/>
    <w:rsid w:val="72624905"/>
    <w:rsid w:val="728C28C5"/>
    <w:rsid w:val="7371347D"/>
    <w:rsid w:val="74547A54"/>
    <w:rsid w:val="74591FEB"/>
    <w:rsid w:val="748B4BCA"/>
    <w:rsid w:val="74CF1C9F"/>
    <w:rsid w:val="74E00EDF"/>
    <w:rsid w:val="757C1E26"/>
    <w:rsid w:val="75CF430F"/>
    <w:rsid w:val="75EF25F8"/>
    <w:rsid w:val="75F2239C"/>
    <w:rsid w:val="76373B19"/>
    <w:rsid w:val="76BD44A5"/>
    <w:rsid w:val="77456248"/>
    <w:rsid w:val="77FA652A"/>
    <w:rsid w:val="78283BA0"/>
    <w:rsid w:val="788E6CCB"/>
    <w:rsid w:val="79312F28"/>
    <w:rsid w:val="79BF22E2"/>
    <w:rsid w:val="7A094544"/>
    <w:rsid w:val="7AF81F4F"/>
    <w:rsid w:val="7B0004F2"/>
    <w:rsid w:val="7B1C3E77"/>
    <w:rsid w:val="7B8C08E9"/>
    <w:rsid w:val="7D1961AD"/>
    <w:rsid w:val="7D3812BF"/>
    <w:rsid w:val="7D3927A9"/>
    <w:rsid w:val="7D553A71"/>
    <w:rsid w:val="7DA67B57"/>
    <w:rsid w:val="7E0D1B42"/>
    <w:rsid w:val="7EB51837"/>
    <w:rsid w:val="7EDE320A"/>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3"/>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4"/>
    <w:qFormat/>
    <w:uiPriority w:val="0"/>
    <w:pPr>
      <w:spacing w:before="120" w:after="120" w:line="360" w:lineRule="auto"/>
      <w:outlineLvl w:val="1"/>
    </w:pPr>
    <w:rPr>
      <w:rFonts w:ascii="Times New Roman" w:hAnsi="Times New Roman"/>
      <w:b/>
      <w:sz w:val="24"/>
    </w:rPr>
  </w:style>
  <w:style w:type="paragraph" w:styleId="5">
    <w:name w:val="heading 3"/>
    <w:next w:val="1"/>
    <w:link w:val="65"/>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6"/>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2"/>
    <w:unhideWhenUsed/>
    <w:qFormat/>
    <w:uiPriority w:val="99"/>
    <w:pPr>
      <w:jc w:val="left"/>
    </w:pPr>
  </w:style>
  <w:style w:type="paragraph" w:styleId="17">
    <w:name w:val="Body Text"/>
    <w:basedOn w:val="1"/>
    <w:link w:val="73"/>
    <w:qFormat/>
    <w:uiPriority w:val="99"/>
    <w:pPr>
      <w:widowControl w:val="0"/>
      <w:spacing w:after="120" w:line="300" w:lineRule="auto"/>
      <w:ind w:firstLine="420" w:firstLineChars="200"/>
    </w:pPr>
    <w:rPr>
      <w:rFonts w:ascii="Times New Roman" w:hAnsi="Times New Roman" w:eastAsia="宋体" w:cs="Times New Roman"/>
      <w:sz w:val="24"/>
      <w:lang w:val="en-US" w:eastAsia="zh-CN" w:bidi="ar-SA"/>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4"/>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5"/>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6"/>
    <w:unhideWhenUsed/>
    <w:qFormat/>
    <w:uiPriority w:val="99"/>
    <w:rPr>
      <w:sz w:val="20"/>
    </w:rPr>
  </w:style>
  <w:style w:type="paragraph" w:styleId="27">
    <w:name w:val="Balloon Text"/>
    <w:basedOn w:val="1"/>
    <w:link w:val="77"/>
    <w:unhideWhenUsed/>
    <w:qFormat/>
    <w:uiPriority w:val="99"/>
    <w:rPr>
      <w:sz w:val="18"/>
      <w:szCs w:val="18"/>
    </w:rPr>
  </w:style>
  <w:style w:type="paragraph" w:styleId="28">
    <w:name w:val="footer"/>
    <w:basedOn w:val="1"/>
    <w:link w:val="78"/>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79"/>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1"/>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3"/>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4"/>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0">
    <w:name w:val="一级条标题"/>
    <w:basedOn w:val="61"/>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2">
    <w:name w:val="段"/>
    <w:basedOn w:val="1"/>
    <w:next w:val="1"/>
    <w:qFormat/>
    <w:uiPriority w:val="0"/>
    <w:pPr>
      <w:widowControl/>
      <w:ind w:firstLine="200"/>
    </w:pPr>
    <w:rPr>
      <w:rFonts w:hint="eastAsia" w:ascii="宋体"/>
      <w:szCs w:val="20"/>
    </w:rPr>
  </w:style>
  <w:style w:type="character" w:customStyle="1" w:styleId="63">
    <w:name w:val="标题 1 字符"/>
    <w:link w:val="2"/>
    <w:qFormat/>
    <w:uiPriority w:val="99"/>
    <w:rPr>
      <w:rFonts w:ascii="宋体" w:hAnsi="宋体" w:eastAsia="宋体" w:cs="Times New Roman"/>
      <w:b/>
      <w:bCs/>
      <w:sz w:val="14"/>
      <w:szCs w:val="14"/>
    </w:rPr>
  </w:style>
  <w:style w:type="character" w:customStyle="1" w:styleId="64">
    <w:name w:val="标题 2 字符"/>
    <w:link w:val="4"/>
    <w:qFormat/>
    <w:uiPriority w:val="0"/>
    <w:rPr>
      <w:rFonts w:ascii="Arial" w:hAnsi="Arial" w:eastAsia="黑体" w:cs="Arial"/>
      <w:b/>
      <w:bCs/>
      <w:sz w:val="32"/>
      <w:szCs w:val="32"/>
    </w:rPr>
  </w:style>
  <w:style w:type="character" w:customStyle="1" w:styleId="65">
    <w:name w:val="标题 3 字符"/>
    <w:link w:val="5"/>
    <w:qFormat/>
    <w:uiPriority w:val="0"/>
    <w:rPr>
      <w:rFonts w:ascii="Times New Roman" w:hAnsi="Times New Roman" w:eastAsia="宋体" w:cs="Times New Roman"/>
      <w:b/>
      <w:bCs/>
      <w:sz w:val="32"/>
      <w:szCs w:val="32"/>
    </w:rPr>
  </w:style>
  <w:style w:type="character" w:customStyle="1" w:styleId="66">
    <w:name w:val="标题 4 字符"/>
    <w:link w:val="6"/>
    <w:qFormat/>
    <w:uiPriority w:val="9"/>
    <w:rPr>
      <w:rFonts w:ascii="Calibri Light" w:hAnsi="Calibri Light" w:eastAsia="黑体" w:cs="Times New Roman"/>
      <w:b/>
      <w:bCs/>
      <w:sz w:val="28"/>
      <w:szCs w:val="28"/>
    </w:rPr>
  </w:style>
  <w:style w:type="character" w:customStyle="1" w:styleId="67">
    <w:name w:val="标题 5 字符"/>
    <w:link w:val="7"/>
    <w:qFormat/>
    <w:uiPriority w:val="9"/>
    <w:rPr>
      <w:rFonts w:ascii="Arial" w:hAnsi="Arial" w:eastAsia="Arial" w:cs="Arial"/>
      <w:b/>
      <w:bCs/>
      <w:sz w:val="24"/>
      <w:szCs w:val="24"/>
    </w:rPr>
  </w:style>
  <w:style w:type="character" w:customStyle="1" w:styleId="68">
    <w:name w:val="标题 6 字符"/>
    <w:link w:val="8"/>
    <w:qFormat/>
    <w:uiPriority w:val="9"/>
    <w:rPr>
      <w:rFonts w:ascii="Arial" w:hAnsi="Arial" w:eastAsia="Arial" w:cs="Arial"/>
      <w:b/>
      <w:bCs/>
      <w:sz w:val="22"/>
      <w:szCs w:val="22"/>
    </w:rPr>
  </w:style>
  <w:style w:type="character" w:customStyle="1" w:styleId="69">
    <w:name w:val="标题 7 字符"/>
    <w:link w:val="9"/>
    <w:qFormat/>
    <w:uiPriority w:val="9"/>
    <w:rPr>
      <w:rFonts w:ascii="Arial" w:hAnsi="Arial" w:eastAsia="Arial" w:cs="Arial"/>
      <w:b/>
      <w:bCs/>
      <w:i/>
      <w:iCs/>
      <w:sz w:val="22"/>
      <w:szCs w:val="22"/>
    </w:rPr>
  </w:style>
  <w:style w:type="character" w:customStyle="1" w:styleId="70">
    <w:name w:val="标题 8 字符"/>
    <w:link w:val="10"/>
    <w:qFormat/>
    <w:uiPriority w:val="9"/>
    <w:rPr>
      <w:rFonts w:ascii="Arial" w:hAnsi="Arial" w:eastAsia="Arial" w:cs="Arial"/>
      <w:i/>
      <w:iCs/>
      <w:sz w:val="22"/>
      <w:szCs w:val="22"/>
    </w:rPr>
  </w:style>
  <w:style w:type="character" w:customStyle="1" w:styleId="71">
    <w:name w:val="标题 9 字符"/>
    <w:link w:val="11"/>
    <w:qFormat/>
    <w:uiPriority w:val="9"/>
    <w:rPr>
      <w:rFonts w:ascii="Arial" w:hAnsi="Arial" w:eastAsia="Arial" w:cs="Arial"/>
      <w:i/>
      <w:iCs/>
      <w:sz w:val="21"/>
      <w:szCs w:val="21"/>
    </w:rPr>
  </w:style>
  <w:style w:type="character" w:customStyle="1" w:styleId="72">
    <w:name w:val="批注文字 字符"/>
    <w:link w:val="16"/>
    <w:qFormat/>
    <w:uiPriority w:val="0"/>
    <w:rPr>
      <w:rFonts w:ascii="Calibri" w:hAnsi="Calibri" w:eastAsia="宋体" w:cs="Times New Roman"/>
      <w:sz w:val="21"/>
      <w:szCs w:val="22"/>
    </w:rPr>
  </w:style>
  <w:style w:type="character" w:customStyle="1" w:styleId="73">
    <w:name w:val="正文文本 字符"/>
    <w:link w:val="17"/>
    <w:qFormat/>
    <w:uiPriority w:val="99"/>
    <w:rPr>
      <w:rFonts w:ascii="Times New Roman" w:hAnsi="Times New Roman" w:eastAsia="宋体" w:cs="Times New Roman"/>
      <w:sz w:val="24"/>
      <w:szCs w:val="24"/>
    </w:rPr>
  </w:style>
  <w:style w:type="character" w:customStyle="1" w:styleId="74">
    <w:name w:val="纯文本 字符"/>
    <w:link w:val="22"/>
    <w:qFormat/>
    <w:uiPriority w:val="0"/>
    <w:rPr>
      <w:rFonts w:ascii="宋体" w:hAnsi="Courier New"/>
      <w:sz w:val="21"/>
      <w:szCs w:val="22"/>
    </w:rPr>
  </w:style>
  <w:style w:type="character" w:customStyle="1" w:styleId="75">
    <w:name w:val="日期 字符"/>
    <w:link w:val="24"/>
    <w:qFormat/>
    <w:uiPriority w:val="0"/>
    <w:rPr>
      <w:rFonts w:ascii="Times New Roman" w:hAnsi="Times New Roman" w:eastAsia="宋体" w:cs="Times New Roman"/>
      <w:sz w:val="21"/>
      <w:szCs w:val="24"/>
    </w:rPr>
  </w:style>
  <w:style w:type="character" w:customStyle="1" w:styleId="76">
    <w:name w:val="尾注文本 字符"/>
    <w:link w:val="26"/>
    <w:qFormat/>
    <w:uiPriority w:val="99"/>
    <w:rPr>
      <w:sz w:val="20"/>
    </w:rPr>
  </w:style>
  <w:style w:type="character" w:customStyle="1" w:styleId="77">
    <w:name w:val="批注框文本 字符"/>
    <w:link w:val="27"/>
    <w:semiHidden/>
    <w:qFormat/>
    <w:uiPriority w:val="99"/>
    <w:rPr>
      <w:sz w:val="18"/>
      <w:szCs w:val="18"/>
    </w:rPr>
  </w:style>
  <w:style w:type="character" w:customStyle="1" w:styleId="78">
    <w:name w:val="页脚 字符"/>
    <w:link w:val="28"/>
    <w:qFormat/>
    <w:uiPriority w:val="99"/>
    <w:rPr>
      <w:sz w:val="18"/>
      <w:szCs w:val="18"/>
    </w:rPr>
  </w:style>
  <w:style w:type="character" w:customStyle="1" w:styleId="79">
    <w:name w:val="页眉 字符"/>
    <w:link w:val="30"/>
    <w:qFormat/>
    <w:uiPriority w:val="99"/>
    <w:rPr>
      <w:sz w:val="18"/>
      <w:szCs w:val="18"/>
    </w:rPr>
  </w:style>
  <w:style w:type="character" w:customStyle="1" w:styleId="80">
    <w:name w:val="副标题 字符"/>
    <w:link w:val="33"/>
    <w:qFormat/>
    <w:uiPriority w:val="11"/>
    <w:rPr>
      <w:sz w:val="24"/>
      <w:szCs w:val="24"/>
    </w:rPr>
  </w:style>
  <w:style w:type="character" w:customStyle="1" w:styleId="81">
    <w:name w:val="脚注文本 字符"/>
    <w:link w:val="34"/>
    <w:qFormat/>
    <w:uiPriority w:val="99"/>
    <w:rPr>
      <w:sz w:val="18"/>
    </w:rPr>
  </w:style>
  <w:style w:type="character" w:customStyle="1" w:styleId="82">
    <w:name w:val="HTML 预设格式 字符"/>
    <w:link w:val="39"/>
    <w:qFormat/>
    <w:uiPriority w:val="99"/>
    <w:rPr>
      <w:rFonts w:ascii="Arial" w:hAnsi="Arial" w:eastAsia="宋体" w:cs="Times New Roman"/>
      <w:sz w:val="11"/>
      <w:szCs w:val="11"/>
    </w:rPr>
  </w:style>
  <w:style w:type="character" w:customStyle="1" w:styleId="83">
    <w:name w:val="标题 字符"/>
    <w:link w:val="41"/>
    <w:qFormat/>
    <w:uiPriority w:val="0"/>
    <w:rPr>
      <w:rFonts w:ascii="Cambria" w:hAnsi="Cambria" w:eastAsia="黑体" w:cs="Times New Roman"/>
      <w:b/>
      <w:bCs/>
      <w:sz w:val="52"/>
      <w:szCs w:val="32"/>
    </w:rPr>
  </w:style>
  <w:style w:type="character" w:customStyle="1" w:styleId="84">
    <w:name w:val="批注主题 字符"/>
    <w:link w:val="42"/>
    <w:semiHidden/>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Title Char"/>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5">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unhideWhenUsed/>
    <w:qFormat/>
    <w:uiPriority w:val="39"/>
    <w:rPr>
      <w:rFonts w:ascii="Times New Roman" w:hAnsi="Times New Roman" w:eastAsia="宋体" w:cs="Times New Roman"/>
      <w:lang w:val="en-US" w:eastAsia="zh-CN" w:bidi="ar-SA"/>
    </w:rPr>
  </w:style>
  <w:style w:type="paragraph" w:customStyle="1" w:styleId="230">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修订1"/>
    <w:unhideWhenUsed/>
    <w:qFormat/>
    <w:uiPriority w:val="99"/>
    <w:rPr>
      <w:rFonts w:ascii="Calibri" w:hAnsi="Calibri" w:eastAsia="宋体" w:cs="Times New Roman"/>
      <w:sz w:val="21"/>
      <w:szCs w:val="22"/>
      <w:lang w:val="en-US" w:eastAsia="zh-CN" w:bidi="ar-SA"/>
    </w:rPr>
  </w:style>
  <w:style w:type="paragraph" w:customStyle="1" w:styleId="248">
    <w:name w:val="BodyText"/>
    <w:basedOn w:val="1"/>
    <w:qFormat/>
    <w:uiPriority w:val="0"/>
    <w:pPr>
      <w:spacing w:after="120"/>
    </w:pPr>
    <w:rPr>
      <w:rFonts w:hAnsi="Times New Roman"/>
      <w:sz w:val="20"/>
      <w:szCs w:val="20"/>
    </w:rPr>
  </w:style>
  <w:style w:type="table" w:customStyle="1" w:styleId="249">
    <w:name w:val="Table Normal"/>
    <w:basedOn w:val="44"/>
    <w:semiHidden/>
    <w:qFormat/>
    <w:uiPriority w:val="2"/>
    <w:tblPr>
      <w:tblCellMar>
        <w:left w:w="0" w:type="dxa"/>
        <w:right w:w="0" w:type="dxa"/>
      </w:tblCellMar>
    </w:tblPr>
  </w:style>
  <w:style w:type="paragraph" w:customStyle="1" w:styleId="250">
    <w:name w:val="列出段落11"/>
    <w:basedOn w:val="1"/>
    <w:qFormat/>
    <w:uiPriority w:val="99"/>
    <w:pPr>
      <w:ind w:firstLine="420"/>
    </w:pPr>
    <w:rPr>
      <w:rFonts w:ascii="Times New Roman" w:hAnsi="Times New Roman"/>
      <w:szCs w:val="24"/>
    </w:rPr>
  </w:style>
  <w:style w:type="paragraph" w:customStyle="1" w:styleId="251">
    <w:name w:val="hk正文"/>
    <w:basedOn w:val="1"/>
    <w:qFormat/>
    <w:uiPriority w:val="0"/>
    <w:pPr>
      <w:spacing w:line="440" w:lineRule="exact"/>
      <w:ind w:firstLine="560"/>
    </w:pPr>
    <w:rPr>
      <w:rFonts w:ascii="Arial" w:hAnsi="Arial" w:cs="宋体"/>
      <w:szCs w:val="28"/>
    </w:rPr>
  </w:style>
  <w:style w:type="paragraph" w:customStyle="1" w:styleId="252">
    <w:name w:val="首行缩进"/>
    <w:basedOn w:val="1"/>
    <w:qFormat/>
    <w:uiPriority w:val="0"/>
    <w:pPr>
      <w:ind w:firstLine="480"/>
    </w:pPr>
    <w:rPr>
      <w:rFonts w:eastAsia="楷体_GB2312"/>
      <w:sz w:val="26"/>
      <w:lang w:val="zh-CN"/>
    </w:rPr>
  </w:style>
  <w:style w:type="paragraph" w:customStyle="1" w:styleId="253">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4">
    <w:name w:val="Table Text"/>
    <w:basedOn w:val="1"/>
    <w:semiHidden/>
    <w:qFormat/>
    <w:uiPriority w:val="0"/>
    <w:rPr>
      <w:rFonts w:ascii="Arial" w:hAnsi="Arial" w:eastAsia="Arial" w:cs="Arial"/>
      <w:szCs w:val="21"/>
      <w:lang w:eastAsia="en-US"/>
    </w:rPr>
  </w:style>
  <w:style w:type="paragraph" w:customStyle="1" w:styleId="255">
    <w:name w:val="列表段落1"/>
    <w:basedOn w:val="1"/>
    <w:qFormat/>
    <w:uiPriority w:val="34"/>
    <w:pPr>
      <w:ind w:left="223" w:firstLine="420"/>
    </w:pPr>
  </w:style>
  <w:style w:type="paragraph" w:customStyle="1" w:styleId="256">
    <w:name w:val="修订2"/>
    <w:hidden/>
    <w:unhideWhenUsed/>
    <w:qFormat/>
    <w:uiPriority w:val="99"/>
    <w:rPr>
      <w:rFonts w:ascii="Calibri" w:hAnsi="Calibri" w:eastAsia="宋体" w:cs="Times New Roman"/>
      <w:sz w:val="21"/>
      <w:szCs w:val="22"/>
      <w:lang w:val="en-US" w:eastAsia="zh-CN" w:bidi="ar-SA"/>
    </w:rPr>
  </w:style>
  <w:style w:type="paragraph" w:customStyle="1" w:styleId="257">
    <w:name w:val="修订3"/>
    <w:hidden/>
    <w:unhideWhenUsed/>
    <w:qFormat/>
    <w:uiPriority w:val="99"/>
    <w:rPr>
      <w:rFonts w:ascii="Calibri" w:hAnsi="Calibri" w:eastAsia="宋体" w:cs="Times New Roman"/>
      <w:sz w:val="21"/>
      <w:szCs w:val="22"/>
      <w:lang w:val="en-US" w:eastAsia="zh-CN" w:bidi="ar-SA"/>
    </w:rPr>
  </w:style>
  <w:style w:type="paragraph" w:customStyle="1" w:styleId="258">
    <w:name w:val="修订4"/>
    <w:hidden/>
    <w:unhideWhenUsed/>
    <w:qFormat/>
    <w:uiPriority w:val="99"/>
    <w:rPr>
      <w:rFonts w:ascii="Calibri" w:hAnsi="Calibri" w:eastAsia="宋体" w:cs="Times New Roman"/>
      <w:sz w:val="21"/>
      <w:szCs w:val="22"/>
      <w:lang w:val="en-US" w:eastAsia="zh-CN" w:bidi="ar-SA"/>
    </w:rPr>
  </w:style>
  <w:style w:type="paragraph" w:customStyle="1" w:styleId="25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3">
    <w:name w:val="着重标题"/>
    <w:qFormat/>
    <w:uiPriority w:val="0"/>
    <w:rPr>
      <w:rFonts w:ascii="Calibri" w:hAnsi="Calibri"/>
      <w:b/>
      <w:sz w:val="24"/>
    </w:rPr>
  </w:style>
  <w:style w:type="paragraph" w:customStyle="1" w:styleId="26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5">
    <w:name w:val="标题 61"/>
    <w:basedOn w:val="1"/>
    <w:qFormat/>
    <w:uiPriority w:val="1"/>
    <w:pPr>
      <w:ind w:left="680"/>
      <w:outlineLvl w:val="6"/>
    </w:pPr>
    <w:rPr>
      <w:sz w:val="24"/>
      <w:szCs w:val="24"/>
    </w:rPr>
  </w:style>
  <w:style w:type="paragraph" w:customStyle="1" w:styleId="266">
    <w:name w:val="标题 51"/>
    <w:basedOn w:val="1"/>
    <w:qFormat/>
    <w:uiPriority w:val="1"/>
    <w:pPr>
      <w:spacing w:before="3"/>
      <w:ind w:left="680"/>
      <w:outlineLvl w:val="5"/>
    </w:pPr>
    <w:rPr>
      <w:b/>
      <w:bCs/>
      <w:sz w:val="24"/>
      <w:szCs w:val="24"/>
    </w:rPr>
  </w:style>
  <w:style w:type="paragraph" w:customStyle="1" w:styleId="267">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8">
    <w:name w:val="NormalCharacter1"/>
    <w:semiHidden/>
    <w:qFormat/>
    <w:uiPriority w:val="0"/>
    <w:rPr>
      <w:rFonts w:ascii="Calibri" w:hAnsi="Calibri" w:eastAsia="宋体" w:cs="Times New Roman"/>
      <w:sz w:val="21"/>
      <w:szCs w:val="22"/>
      <w:lang w:val="en-US" w:eastAsia="zh-CN" w:bidi="ar-SA"/>
    </w:rPr>
  </w:style>
  <w:style w:type="character" w:customStyle="1" w:styleId="269">
    <w:name w:val="批注文字 字符1"/>
    <w:qFormat/>
    <w:uiPriority w:val="99"/>
    <w:rPr>
      <w:kern w:val="2"/>
      <w:sz w:val="21"/>
      <w:szCs w:val="24"/>
    </w:rPr>
  </w:style>
  <w:style w:type="paragraph" w:styleId="270">
    <w:name w:val="No Spacing"/>
    <w:qFormat/>
    <w:uiPriority w:val="99"/>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12661</Words>
  <Characters>13269</Characters>
  <Lines>140</Lines>
  <Paragraphs>39</Paragraphs>
  <TotalTime>3</TotalTime>
  <ScaleCrop>false</ScaleCrop>
  <LinksUpToDate>false</LinksUpToDate>
  <CharactersWithSpaces>13311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代理</cp:lastModifiedBy>
  <dcterms:modified xsi:type="dcterms:W3CDTF">2025-10-15T07:23:25Z</dcterms:modified>
  <cp:revision>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274BC30C06634DACBF5EE9638D508214_13</vt:lpwstr>
  </property>
  <property fmtid="{D5CDD505-2E9C-101B-9397-08002B2CF9AE}" pid="4" name="KSOTemplateDocerSaveRecord">
    <vt:lpwstr>eyJoZGlkIjoiNjg4OGIwNWEyNGI0YjcwMTA2MTQwNTYwOGZhYzZiMTciLCJ1c2VySWQiOiIzNzQ2MTQ5NzQifQ==</vt:lpwstr>
  </property>
</Properties>
</file>