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B5B6D">
      <w:pPr>
        <w:spacing w:line="360" w:lineRule="auto"/>
        <w:jc w:val="center"/>
        <w:rPr>
          <w:rFonts w:ascii="宋体" w:hAnsi="宋体" w:cs="宋体"/>
          <w:b/>
          <w:color w:val="auto"/>
          <w:sz w:val="44"/>
          <w:highlight w:val="none"/>
          <w:shd w:val="clear" w:color="auto" w:fill="FFFFFF"/>
        </w:rPr>
      </w:pPr>
    </w:p>
    <w:p w14:paraId="3B6C4EA0">
      <w:pPr>
        <w:jc w:val="center"/>
        <w:rPr>
          <w:rFonts w:ascii="宋体" w:hAnsi="宋体" w:cs="宋体"/>
          <w:b/>
          <w:color w:val="auto"/>
          <w:sz w:val="44"/>
          <w:highlight w:val="none"/>
          <w:shd w:val="clear" w:color="auto" w:fill="FFFFFF"/>
        </w:rPr>
      </w:pPr>
    </w:p>
    <w:p w14:paraId="1B3F190D">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南京邮电大学2026年--2029年地下停车场</w:t>
      </w:r>
      <w:r>
        <w:rPr>
          <w:rFonts w:hint="eastAsia" w:ascii="宋体" w:hAnsi="宋体" w:cs="宋体"/>
          <w:b/>
          <w:color w:val="auto"/>
          <w:sz w:val="44"/>
          <w:highlight w:val="none"/>
          <w:shd w:val="clear" w:color="auto" w:fill="FFFFFF"/>
          <w:lang w:val="en-US" w:eastAsia="zh-CN"/>
        </w:rPr>
        <w:t>排水系统</w:t>
      </w:r>
      <w:r>
        <w:rPr>
          <w:rFonts w:hint="eastAsia" w:ascii="宋体" w:hAnsi="宋体" w:cs="宋体"/>
          <w:b/>
          <w:color w:val="auto"/>
          <w:sz w:val="44"/>
          <w:highlight w:val="none"/>
          <w:shd w:val="clear" w:color="auto" w:fill="FFFFFF"/>
          <w:lang w:eastAsia="zh-CN"/>
        </w:rPr>
        <w:t>维保服务采购</w:t>
      </w:r>
    </w:p>
    <w:p w14:paraId="4CC5CA3E">
      <w:pPr>
        <w:pStyle w:val="18"/>
        <w:ind w:firstLine="480"/>
        <w:jc w:val="center"/>
        <w:rPr>
          <w:rFonts w:ascii="宋体" w:hAnsi="宋体" w:cs="宋体"/>
          <w:color w:val="auto"/>
          <w:highlight w:val="none"/>
        </w:rPr>
      </w:pPr>
    </w:p>
    <w:p w14:paraId="609819E4">
      <w:pPr>
        <w:pStyle w:val="18"/>
        <w:ind w:firstLine="480"/>
        <w:jc w:val="center"/>
        <w:rPr>
          <w:rFonts w:ascii="宋体" w:hAnsi="宋体" w:cs="宋体"/>
          <w:color w:val="auto"/>
          <w:highlight w:val="none"/>
        </w:rPr>
      </w:pPr>
    </w:p>
    <w:p w14:paraId="46105740">
      <w:pPr>
        <w:pStyle w:val="18"/>
        <w:ind w:firstLine="480"/>
        <w:jc w:val="center"/>
        <w:rPr>
          <w:rFonts w:ascii="宋体" w:hAnsi="宋体" w:cs="宋体"/>
          <w:color w:val="auto"/>
          <w:highlight w:val="none"/>
        </w:rPr>
      </w:pPr>
    </w:p>
    <w:p w14:paraId="727DF80B">
      <w:pPr>
        <w:pStyle w:val="18"/>
        <w:ind w:firstLine="480"/>
        <w:jc w:val="center"/>
        <w:rPr>
          <w:rFonts w:ascii="宋体" w:hAnsi="宋体" w:cs="宋体"/>
          <w:color w:val="auto"/>
          <w:highlight w:val="none"/>
        </w:rPr>
      </w:pPr>
    </w:p>
    <w:p w14:paraId="2FD7405B">
      <w:pPr>
        <w:spacing w:line="360" w:lineRule="auto"/>
        <w:jc w:val="center"/>
        <w:rPr>
          <w:rFonts w:ascii="宋体" w:hAnsi="宋体" w:cs="宋体"/>
          <w:b/>
          <w:color w:val="auto"/>
          <w:sz w:val="32"/>
          <w:highlight w:val="none"/>
          <w:shd w:val="clear" w:color="auto" w:fill="FFFFFF"/>
        </w:rPr>
      </w:pPr>
    </w:p>
    <w:p w14:paraId="23FAD3F4">
      <w:pPr>
        <w:spacing w:line="360" w:lineRule="auto"/>
        <w:jc w:val="center"/>
        <w:rPr>
          <w:rFonts w:ascii="宋体" w:hAnsi="宋体" w:cs="宋体"/>
          <w:b/>
          <w:color w:val="auto"/>
          <w:sz w:val="32"/>
          <w:highlight w:val="none"/>
          <w:shd w:val="clear" w:color="auto" w:fill="FFFFFF"/>
        </w:rPr>
      </w:pPr>
    </w:p>
    <w:p w14:paraId="25D22839">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公开比选文件</w:t>
      </w:r>
    </w:p>
    <w:p w14:paraId="630A13F9">
      <w:pPr>
        <w:spacing w:line="360" w:lineRule="auto"/>
        <w:jc w:val="center"/>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项目编号：</w:t>
      </w:r>
      <w:r>
        <w:rPr>
          <w:rFonts w:hint="eastAsia" w:ascii="宋体" w:hAnsi="宋体" w:cs="宋体"/>
          <w:b/>
          <w:color w:val="auto"/>
          <w:sz w:val="28"/>
          <w:highlight w:val="none"/>
          <w:lang w:eastAsia="zh-CN"/>
        </w:rPr>
        <w:t>FSCG2026-1658</w:t>
      </w:r>
    </w:p>
    <w:p w14:paraId="3D4BE02B">
      <w:pPr>
        <w:spacing w:line="360" w:lineRule="auto"/>
        <w:jc w:val="center"/>
        <w:rPr>
          <w:rFonts w:ascii="宋体" w:hAnsi="宋体" w:cs="宋体"/>
          <w:b/>
          <w:color w:val="auto"/>
          <w:sz w:val="36"/>
          <w:highlight w:val="none"/>
        </w:rPr>
      </w:pPr>
    </w:p>
    <w:p w14:paraId="35D5610E">
      <w:pPr>
        <w:spacing w:line="360" w:lineRule="auto"/>
        <w:jc w:val="center"/>
        <w:rPr>
          <w:rFonts w:ascii="宋体" w:hAnsi="宋体" w:cs="宋体"/>
          <w:b/>
          <w:color w:val="auto"/>
          <w:sz w:val="36"/>
          <w:highlight w:val="none"/>
        </w:rPr>
      </w:pPr>
    </w:p>
    <w:p w14:paraId="766B9273">
      <w:pPr>
        <w:spacing w:line="360" w:lineRule="auto"/>
        <w:jc w:val="center"/>
        <w:rPr>
          <w:rFonts w:ascii="宋体" w:hAnsi="宋体" w:cs="宋体"/>
          <w:b/>
          <w:color w:val="auto"/>
          <w:sz w:val="36"/>
          <w:highlight w:val="none"/>
        </w:rPr>
      </w:pPr>
    </w:p>
    <w:p w14:paraId="09F9FDB5">
      <w:pPr>
        <w:spacing w:line="360" w:lineRule="auto"/>
        <w:jc w:val="center"/>
        <w:rPr>
          <w:rFonts w:ascii="宋体" w:hAnsi="宋体" w:cs="宋体"/>
          <w:b/>
          <w:color w:val="auto"/>
          <w:sz w:val="36"/>
          <w:highlight w:val="none"/>
        </w:rPr>
      </w:pPr>
    </w:p>
    <w:p w14:paraId="6C8A9C0A">
      <w:pPr>
        <w:spacing w:line="360" w:lineRule="auto"/>
        <w:jc w:val="center"/>
        <w:rPr>
          <w:rFonts w:ascii="宋体" w:hAnsi="宋体" w:cs="宋体"/>
          <w:b/>
          <w:color w:val="auto"/>
          <w:sz w:val="36"/>
          <w:highlight w:val="none"/>
        </w:rPr>
      </w:pPr>
    </w:p>
    <w:p w14:paraId="3D881394">
      <w:pPr>
        <w:pStyle w:val="18"/>
        <w:ind w:firstLine="480"/>
        <w:jc w:val="center"/>
        <w:rPr>
          <w:rFonts w:ascii="宋体" w:hAnsi="宋体" w:cs="宋体"/>
          <w:color w:val="auto"/>
          <w:highlight w:val="none"/>
        </w:rPr>
      </w:pPr>
    </w:p>
    <w:p w14:paraId="068A5B27">
      <w:pPr>
        <w:spacing w:line="360" w:lineRule="auto"/>
        <w:rPr>
          <w:rFonts w:ascii="宋体" w:hAnsi="宋体" w:cs="宋体"/>
          <w:b/>
          <w:color w:val="auto"/>
          <w:sz w:val="36"/>
          <w:highlight w:val="none"/>
        </w:rPr>
      </w:pPr>
      <w:r>
        <w:rPr>
          <w:rFonts w:hint="eastAsia" w:ascii="宋体" w:hAnsi="宋体" w:cs="宋体"/>
          <w:b/>
          <w:color w:val="auto"/>
          <w:sz w:val="36"/>
          <w:highlight w:val="none"/>
        </w:rPr>
        <w:t>采购人：</w:t>
      </w:r>
      <w:r>
        <w:rPr>
          <w:rFonts w:hint="eastAsia" w:ascii="宋体" w:hAnsi="宋体" w:cs="宋体"/>
          <w:b/>
          <w:color w:val="auto"/>
          <w:sz w:val="36"/>
          <w:szCs w:val="36"/>
          <w:highlight w:val="none"/>
        </w:rPr>
        <w:t>南京邮电大学</w:t>
      </w:r>
    </w:p>
    <w:p w14:paraId="521AB3C3">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采购代理机构：钟信工程项目管理咨询（南京）有限公司 </w:t>
      </w:r>
    </w:p>
    <w:p w14:paraId="7574236F">
      <w:pPr>
        <w:jc w:val="left"/>
        <w:rPr>
          <w:rFonts w:ascii="宋体" w:hAnsi="宋体" w:cs="宋体"/>
          <w:b/>
          <w:color w:val="auto"/>
          <w:sz w:val="36"/>
          <w:highlight w:val="none"/>
        </w:rPr>
      </w:pPr>
      <w:r>
        <w:rPr>
          <w:rFonts w:hint="eastAsia" w:ascii="宋体" w:hAnsi="宋体" w:cs="宋体"/>
          <w:b/>
          <w:color w:val="auto"/>
          <w:sz w:val="36"/>
          <w:highlight w:val="none"/>
        </w:rPr>
        <w:t>日期：二〇二六年</w:t>
      </w:r>
      <w:r>
        <w:rPr>
          <w:rFonts w:hint="eastAsia" w:ascii="宋体" w:hAnsi="宋体" w:cs="宋体"/>
          <w:b/>
          <w:color w:val="auto"/>
          <w:sz w:val="36"/>
          <w:highlight w:val="none"/>
          <w:lang w:eastAsia="zh-CN"/>
        </w:rPr>
        <w:t>十</w:t>
      </w:r>
      <w:r>
        <w:rPr>
          <w:rFonts w:hint="eastAsia" w:ascii="宋体" w:hAnsi="宋体" w:cs="宋体"/>
          <w:b/>
          <w:color w:val="auto"/>
          <w:sz w:val="36"/>
          <w:highlight w:val="none"/>
        </w:rPr>
        <w:t>月</w:t>
      </w:r>
    </w:p>
    <w:p w14:paraId="779021EB">
      <w:pPr>
        <w:jc w:val="center"/>
        <w:outlineLvl w:val="0"/>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6"/>
          <w:highlight w:val="none"/>
          <w:lang w:val="zh-CN"/>
        </w:rPr>
        <w:t>第一章</w:t>
      </w:r>
      <w:r>
        <w:rPr>
          <w:rFonts w:hint="eastAsia" w:ascii="宋体" w:hAnsi="宋体" w:cs="宋体"/>
          <w:b/>
          <w:color w:val="auto"/>
          <w:sz w:val="36"/>
          <w:highlight w:val="none"/>
        </w:rPr>
        <w:t xml:space="preserve"> 公开比选公告</w:t>
      </w:r>
    </w:p>
    <w:p w14:paraId="55AA8EF3">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项目基本情况</w:t>
      </w:r>
    </w:p>
    <w:p w14:paraId="1EBA77F9">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项目编号：</w:t>
      </w:r>
      <w:r>
        <w:rPr>
          <w:rFonts w:hint="eastAsia" w:ascii="宋体" w:hAnsi="宋体" w:cs="宋体"/>
          <w:color w:val="auto"/>
          <w:highlight w:val="none"/>
          <w:lang w:eastAsia="zh-CN"/>
        </w:rPr>
        <w:t>FSCG2026-1658</w:t>
      </w:r>
      <w:r>
        <w:rPr>
          <w:rFonts w:hint="eastAsia" w:ascii="宋体" w:hAnsi="宋体" w:cs="宋体"/>
          <w:color w:val="auto"/>
          <w:highlight w:val="none"/>
        </w:rPr>
        <w:t>；</w:t>
      </w:r>
    </w:p>
    <w:p w14:paraId="2859951F">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南京邮电大学2026年--2029年地下停车场</w:t>
      </w:r>
      <w:r>
        <w:rPr>
          <w:rFonts w:hint="eastAsia" w:ascii="宋体" w:hAnsi="宋体" w:cs="宋体"/>
          <w:color w:val="auto"/>
          <w:highlight w:val="none"/>
          <w:lang w:val="en-US" w:eastAsia="zh-CN"/>
        </w:rPr>
        <w:t>排水系统</w:t>
      </w:r>
      <w:r>
        <w:rPr>
          <w:rFonts w:hint="eastAsia" w:ascii="宋体" w:hAnsi="宋体" w:cs="宋体"/>
          <w:color w:val="auto"/>
          <w:highlight w:val="none"/>
          <w:lang w:eastAsia="zh-CN"/>
        </w:rPr>
        <w:t>维保服务采购</w:t>
      </w:r>
      <w:r>
        <w:rPr>
          <w:rFonts w:hint="eastAsia" w:ascii="宋体" w:hAnsi="宋体" w:cs="宋体"/>
          <w:color w:val="auto"/>
          <w:highlight w:val="none"/>
        </w:rPr>
        <w:t>；</w:t>
      </w:r>
    </w:p>
    <w:p w14:paraId="0F97CB97">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预算金额：</w:t>
      </w:r>
      <w:r>
        <w:rPr>
          <w:rFonts w:hint="eastAsia" w:ascii="宋体" w:hAnsi="宋体" w:cs="宋体"/>
          <w:color w:val="auto"/>
          <w:highlight w:val="none"/>
          <w:lang w:val="en-US" w:eastAsia="zh-CN"/>
        </w:rPr>
        <w:t>19.5万</w:t>
      </w:r>
      <w:r>
        <w:rPr>
          <w:rFonts w:hint="eastAsia" w:ascii="宋体" w:hAnsi="宋体" w:cs="宋体"/>
          <w:color w:val="auto"/>
          <w:highlight w:val="none"/>
        </w:rPr>
        <w:t>元；</w:t>
      </w:r>
    </w:p>
    <w:p w14:paraId="3000CE5D">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19.5万</w:t>
      </w:r>
      <w:r>
        <w:rPr>
          <w:rFonts w:hint="eastAsia" w:ascii="宋体" w:hAnsi="宋体" w:cs="宋体"/>
          <w:color w:val="auto"/>
          <w:highlight w:val="none"/>
        </w:rPr>
        <w:t>元</w:t>
      </w:r>
      <w:r>
        <w:rPr>
          <w:rFonts w:hint="eastAsia" w:ascii="宋体" w:hAnsi="宋体" w:cs="宋体"/>
          <w:color w:val="auto"/>
          <w:highlight w:val="none"/>
          <w:lang w:val="en-US" w:eastAsia="zh-CN"/>
        </w:rPr>
        <w:t>（6.5万元/年），</w:t>
      </w:r>
      <w:r>
        <w:rPr>
          <w:rFonts w:hint="eastAsia" w:ascii="宋体" w:hAnsi="宋体" w:cs="宋体"/>
          <w:color w:val="auto"/>
          <w:highlight w:val="none"/>
        </w:rPr>
        <w:t>响应报价超过单价最高限价的，响应文件作无效处理。</w:t>
      </w:r>
    </w:p>
    <w:p w14:paraId="56FD5902">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采购方式：公开比选；</w:t>
      </w:r>
    </w:p>
    <w:p w14:paraId="08A8112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采购需求：</w:t>
      </w:r>
      <w:r>
        <w:rPr>
          <w:rFonts w:hint="eastAsia" w:ascii="宋体" w:hAnsi="宋体" w:cs="宋体"/>
          <w:color w:val="auto"/>
          <w:highlight w:val="none"/>
          <w:lang w:eastAsia="zh-CN"/>
        </w:rPr>
        <w:t>南京邮电大学2026年--2029年地下停车场</w:t>
      </w:r>
      <w:r>
        <w:rPr>
          <w:rFonts w:hint="eastAsia" w:ascii="宋体" w:hAnsi="宋体" w:cs="宋体"/>
          <w:color w:val="auto"/>
          <w:highlight w:val="none"/>
          <w:lang w:val="en-US" w:eastAsia="zh-CN"/>
        </w:rPr>
        <w:t>排水系统</w:t>
      </w:r>
      <w:r>
        <w:rPr>
          <w:rFonts w:hint="eastAsia" w:ascii="宋体" w:hAnsi="宋体" w:cs="宋体"/>
          <w:color w:val="auto"/>
          <w:highlight w:val="none"/>
          <w:lang w:eastAsia="zh-CN"/>
        </w:rPr>
        <w:t>维保服务采购</w:t>
      </w:r>
      <w:r>
        <w:rPr>
          <w:rFonts w:hint="eastAsia" w:ascii="宋体" w:hAnsi="宋体" w:cs="宋体"/>
          <w:color w:val="auto"/>
          <w:highlight w:val="none"/>
        </w:rPr>
        <w:t>，具体详见采购文件。</w:t>
      </w:r>
    </w:p>
    <w:p w14:paraId="7E491C65">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lang w:eastAsia="zh-CN"/>
        </w:rPr>
        <w:t>服务期限</w:t>
      </w:r>
      <w:r>
        <w:rPr>
          <w:rFonts w:hint="eastAsia" w:ascii="宋体" w:hAnsi="宋体" w:cs="宋体"/>
          <w:color w:val="auto"/>
          <w:highlight w:val="none"/>
        </w:rPr>
        <w:t>：</w:t>
      </w:r>
      <w:r>
        <w:rPr>
          <w:rFonts w:hint="eastAsia" w:ascii="宋体" w:hAnsi="宋体" w:cs="宋体"/>
          <w:color w:val="auto"/>
          <w:highlight w:val="none"/>
          <w:lang w:val="en-US" w:eastAsia="zh-CN"/>
        </w:rPr>
        <w:t>三年（自2026年11月6日至2029年11月5日，合同一年一签，每年10月考核合格续签下一年度合同</w:t>
      </w:r>
      <w:r>
        <w:rPr>
          <w:rFonts w:hint="eastAsia" w:ascii="宋体" w:hAnsi="宋体" w:cs="宋体"/>
          <w:color w:val="auto"/>
          <w:szCs w:val="24"/>
          <w:highlight w:val="none"/>
          <w:lang w:val="zh-TW" w:eastAsia="zh-TW"/>
        </w:rPr>
        <w:t>。</w:t>
      </w:r>
      <w:r>
        <w:rPr>
          <w:rFonts w:hint="eastAsia" w:ascii="宋体" w:hAnsi="宋体" w:cs="宋体"/>
          <w:color w:val="auto"/>
          <w:highlight w:val="none"/>
          <w:lang w:val="en-US" w:eastAsia="zh-CN"/>
        </w:rPr>
        <w:t>）</w:t>
      </w:r>
    </w:p>
    <w:p w14:paraId="0D28B6B3">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本项目是否接受联合体响应：不接受。</w:t>
      </w:r>
    </w:p>
    <w:p w14:paraId="453D2A9E">
      <w:pPr>
        <w:pStyle w:val="18"/>
        <w:numPr>
          <w:ilvl w:val="0"/>
          <w:numId w:val="3"/>
        </w:numPr>
        <w:ind w:firstLineChars="0"/>
        <w:rPr>
          <w:rFonts w:ascii="宋体" w:hAnsi="宋体" w:cs="宋体"/>
          <w:color w:val="auto"/>
          <w:highlight w:val="none"/>
        </w:rPr>
      </w:pPr>
      <w:r>
        <w:rPr>
          <w:rFonts w:hint="eastAsia" w:ascii="宋体" w:hAnsi="宋体" w:cs="宋体"/>
          <w:color w:val="auto"/>
          <w:highlight w:val="none"/>
        </w:rPr>
        <w:t>本项目是否接受进口产品响应：不接受。</w:t>
      </w:r>
    </w:p>
    <w:p w14:paraId="5CFB5C94">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申请人的资格要求：</w:t>
      </w:r>
    </w:p>
    <w:p w14:paraId="5090423F">
      <w:pPr>
        <w:pStyle w:val="18"/>
        <w:numPr>
          <w:ilvl w:val="0"/>
          <w:numId w:val="4"/>
        </w:numPr>
        <w:ind w:firstLineChars="0"/>
        <w:rPr>
          <w:rFonts w:ascii="宋体" w:hAnsi="宋体" w:cs="宋体"/>
          <w:bCs/>
          <w:color w:val="auto"/>
          <w:highlight w:val="none"/>
        </w:rPr>
      </w:pPr>
      <w:r>
        <w:rPr>
          <w:rFonts w:hint="eastAsia" w:ascii="宋体" w:hAnsi="宋体" w:cs="宋体"/>
          <w:bCs/>
          <w:color w:val="auto"/>
          <w:highlight w:val="none"/>
        </w:rPr>
        <w:t>满足《中华人民共和国政府采购法》第二十二条规定：</w:t>
      </w:r>
    </w:p>
    <w:p w14:paraId="380021E8">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069865A4">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具有良好的商业信誉和健全的财务会计制度（提供2024年度或2025年度的审计报告复印件加盖公章或响应截止时间前半年内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2026年4月至2026年9月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3045EFC2">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4F5E9508">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szCs w:val="24"/>
          <w:highlight w:val="none"/>
        </w:rPr>
        <w:t>（</w:t>
      </w:r>
      <w:r>
        <w:rPr>
          <w:rFonts w:hint="eastAsia" w:ascii="宋体" w:hAnsi="宋体" w:cs="宋体"/>
          <w:color w:val="auto"/>
          <w:szCs w:val="24"/>
          <w:highlight w:val="none"/>
          <w:lang w:eastAsia="zh-CN"/>
        </w:rPr>
        <w:t>2026年4月至2026年9月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D0A6B12">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1BED5CED">
      <w:pPr>
        <w:pStyle w:val="18"/>
        <w:numPr>
          <w:ilvl w:val="0"/>
          <w:numId w:val="5"/>
        </w:numPr>
        <w:ind w:firstLineChars="0"/>
        <w:rPr>
          <w:rFonts w:ascii="宋体" w:hAnsi="宋体" w:cs="宋体"/>
          <w:color w:val="auto"/>
          <w:highlight w:val="none"/>
        </w:rPr>
      </w:pPr>
      <w:r>
        <w:rPr>
          <w:rFonts w:hint="eastAsia" w:ascii="宋体" w:hAnsi="宋体" w:cs="宋体"/>
          <w:color w:val="auto"/>
          <w:highlight w:val="none"/>
        </w:rPr>
        <w:t>法律、行政法规规定的其他条件：无。</w:t>
      </w:r>
    </w:p>
    <w:p w14:paraId="35B79E70">
      <w:pPr>
        <w:pStyle w:val="18"/>
        <w:ind w:firstLine="480"/>
        <w:rPr>
          <w:rFonts w:ascii="宋体" w:hAnsi="宋体" w:cs="宋体"/>
          <w:color w:val="auto"/>
          <w:highlight w:val="none"/>
        </w:rPr>
      </w:pPr>
      <w:r>
        <w:rPr>
          <w:rFonts w:hint="eastAsia" w:ascii="宋体" w:hAnsi="宋体" w:cs="宋体"/>
          <w:color w:val="auto"/>
          <w:highlight w:val="none"/>
        </w:rPr>
        <w:t>2、本项目的特定资格要求：无。</w:t>
      </w:r>
    </w:p>
    <w:p w14:paraId="4D3291F9">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6D87F1D2">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40C66529">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1E31FD41">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6B84EDA9">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获取采购文件</w:t>
      </w:r>
    </w:p>
    <w:p w14:paraId="4F703E97">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时间：自比选公告发布之日起3个工作日</w:t>
      </w:r>
    </w:p>
    <w:p w14:paraId="6BB196AB">
      <w:pPr>
        <w:pStyle w:val="18"/>
        <w:numPr>
          <w:ilvl w:val="0"/>
          <w:numId w:val="6"/>
        </w:numPr>
        <w:ind w:firstLineChars="0"/>
        <w:rPr>
          <w:rFonts w:ascii="宋体" w:hAnsi="宋体" w:cs="宋体"/>
          <w:color w:val="auto"/>
          <w:highlight w:val="none"/>
        </w:rPr>
      </w:pPr>
      <w:r>
        <w:rPr>
          <w:rFonts w:hint="eastAsia" w:ascii="宋体" w:hAnsi="宋体" w:cs="宋体"/>
          <w:color w:val="auto"/>
          <w:highlight w:val="none"/>
        </w:rPr>
        <w:t>获取方式：以下两种方式二选一</w:t>
      </w:r>
    </w:p>
    <w:p w14:paraId="5D4D8DEE">
      <w:pPr>
        <w:pStyle w:val="18"/>
        <w:ind w:left="480" w:firstLine="0" w:firstLineChars="0"/>
        <w:rPr>
          <w:rFonts w:ascii="宋体" w:hAnsi="宋体" w:cs="宋体"/>
          <w:color w:val="auto"/>
          <w:highlight w:val="none"/>
        </w:rPr>
      </w:pPr>
      <w:r>
        <w:rPr>
          <w:rFonts w:hint="eastAsia" w:ascii="宋体" w:hAnsi="宋体" w:cs="宋体"/>
          <w:color w:val="auto"/>
          <w:highlight w:val="none"/>
        </w:rPr>
        <w:t>①现场报名：投标人携带介绍信或授权委托书原件、被委托人身份证原件及复印件、营业执照复印件至南京市鼓楼区燕江路201号D座20楼购买。</w:t>
      </w:r>
    </w:p>
    <w:p w14:paraId="1561387F">
      <w:pPr>
        <w:pStyle w:val="18"/>
        <w:ind w:left="480" w:firstLine="0" w:firstLineChars="0"/>
        <w:rPr>
          <w:rFonts w:ascii="宋体" w:hAnsi="宋体" w:cs="宋体"/>
          <w:color w:val="auto"/>
          <w:highlight w:val="none"/>
        </w:rPr>
      </w:pPr>
      <w:r>
        <w:rPr>
          <w:rFonts w:hint="eastAsia" w:ascii="宋体" w:hAnsi="宋体" w:cs="宋体"/>
          <w:color w:val="auto"/>
          <w:highlight w:val="none"/>
        </w:rPr>
        <w:t>②线上报名：投标人可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ascii="宋体" w:hAnsi="宋体" w:cs="宋体"/>
          <w:color w:val="auto"/>
          <w:highlight w:val="none"/>
        </w:rPr>
        <w:t>将介绍信或授权委托书原件、被委托人身份证复印件、营业执照复印件加盖公章扫描件及文件费缴纳证明打包发送至njzx666888@163.com</w:t>
      </w:r>
      <w:r>
        <w:rPr>
          <w:rFonts w:hint="eastAsia" w:ascii="宋体" w:hAnsi="宋体" w:cs="宋体"/>
          <w:color w:val="auto"/>
          <w:highlight w:val="none"/>
        </w:rPr>
        <w:fldChar w:fldCharType="end"/>
      </w:r>
      <w:r>
        <w:rPr>
          <w:rFonts w:hint="eastAsia" w:ascii="宋体" w:hAnsi="宋体" w:cs="宋体"/>
          <w:color w:val="auto"/>
          <w:highlight w:val="none"/>
        </w:rPr>
        <w:t>，文件命名为单位及项目简称，开标时将以上报名资料带至开标现场，随投标文件一起递交。</w:t>
      </w:r>
    </w:p>
    <w:p w14:paraId="12FCFF68">
      <w:pPr>
        <w:pStyle w:val="18"/>
        <w:ind w:firstLine="480"/>
        <w:rPr>
          <w:rFonts w:ascii="宋体" w:hAnsi="宋体" w:cs="宋体"/>
          <w:color w:val="auto"/>
          <w:highlight w:val="none"/>
        </w:rPr>
      </w:pPr>
      <w:r>
        <w:rPr>
          <w:rFonts w:hint="eastAsia" w:ascii="宋体" w:hAnsi="宋体" w:cs="宋体"/>
          <w:color w:val="auto"/>
          <w:highlight w:val="none"/>
        </w:rPr>
        <w:t>未按照上述要求合法获取采购文件的，采购人将不予受理其响应。</w:t>
      </w:r>
    </w:p>
    <w:p w14:paraId="11DD02ED">
      <w:pPr>
        <w:pStyle w:val="18"/>
        <w:ind w:firstLine="480"/>
        <w:rPr>
          <w:rFonts w:ascii="宋体" w:hAnsi="宋体" w:cs="宋体"/>
          <w:color w:val="auto"/>
          <w:highlight w:val="none"/>
        </w:rPr>
      </w:pPr>
      <w:r>
        <w:rPr>
          <w:rFonts w:hint="eastAsia" w:ascii="宋体" w:hAnsi="宋体" w:cs="宋体"/>
          <w:color w:val="auto"/>
          <w:highlight w:val="none"/>
        </w:rPr>
        <w:t>售价：500元，中信支付宝账户名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ascii="宋体" w:hAnsi="宋体" w:cs="宋体"/>
          <w:color w:val="auto"/>
          <w:highlight w:val="none"/>
        </w:rPr>
        <w:t>861979129@qq.com</w:t>
      </w:r>
      <w:r>
        <w:rPr>
          <w:rFonts w:hint="eastAsia" w:ascii="宋体" w:hAnsi="宋体" w:cs="宋体"/>
          <w:color w:val="auto"/>
          <w:highlight w:val="none"/>
        </w:rPr>
        <w:fldChar w:fldCharType="end"/>
      </w:r>
      <w:r>
        <w:rPr>
          <w:rFonts w:hint="eastAsia" w:ascii="宋体" w:hAnsi="宋体" w:cs="宋体"/>
          <w:color w:val="auto"/>
          <w:highlight w:val="none"/>
        </w:rPr>
        <w:t>，请投标单位缴费时备注好单位及项目简称，文件费售后不退。本采购公告包含的采购文件售价总和。</w:t>
      </w:r>
    </w:p>
    <w:p w14:paraId="1DE31C84">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提交响应文件截止时间、响应文件开启时间和地点</w:t>
      </w:r>
    </w:p>
    <w:p w14:paraId="1BEDCC11">
      <w:pPr>
        <w:pStyle w:val="18"/>
        <w:ind w:firstLine="480"/>
        <w:rPr>
          <w:rFonts w:ascii="宋体" w:hAnsi="宋体" w:cs="宋体"/>
          <w:color w:val="auto"/>
          <w:highlight w:val="none"/>
          <w:u w:val="single"/>
        </w:rPr>
      </w:pPr>
      <w:r>
        <w:rPr>
          <w:rFonts w:hint="eastAsia" w:ascii="宋体" w:hAnsi="宋体" w:cs="宋体"/>
          <w:color w:val="auto"/>
          <w:highlight w:val="none"/>
        </w:rPr>
        <w:t>递交响应文件开始时间：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19</w:t>
      </w:r>
      <w:r>
        <w:rPr>
          <w:rFonts w:hint="eastAsia" w:ascii="宋体" w:hAnsi="宋体" w:cs="宋体"/>
          <w:color w:val="auto"/>
          <w:highlight w:val="none"/>
          <w:u w:val="single"/>
        </w:rPr>
        <w:t>日1</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时00分；</w:t>
      </w:r>
    </w:p>
    <w:p w14:paraId="036DE463">
      <w:pPr>
        <w:pStyle w:val="18"/>
        <w:ind w:firstLine="480"/>
        <w:rPr>
          <w:rFonts w:ascii="宋体" w:hAnsi="宋体" w:cs="宋体"/>
          <w:color w:val="auto"/>
          <w:highlight w:val="none"/>
          <w:u w:val="single"/>
        </w:rPr>
      </w:pPr>
      <w:r>
        <w:rPr>
          <w:rFonts w:hint="eastAsia" w:ascii="宋体" w:hAnsi="宋体" w:cs="宋体"/>
          <w:color w:val="auto"/>
          <w:highlight w:val="none"/>
        </w:rPr>
        <w:t>递交响应文件截止时间及响应文件开启时间：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10</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19</w:t>
      </w:r>
      <w:r>
        <w:rPr>
          <w:rFonts w:hint="eastAsia" w:ascii="宋体" w:hAnsi="宋体" w:cs="宋体"/>
          <w:color w:val="auto"/>
          <w:highlight w:val="none"/>
          <w:u w:val="single"/>
        </w:rPr>
        <w:t>日1</w:t>
      </w:r>
      <w:r>
        <w:rPr>
          <w:rFonts w:hint="eastAsia" w:ascii="宋体" w:hAnsi="宋体" w:cs="宋体"/>
          <w:color w:val="auto"/>
          <w:highlight w:val="none"/>
          <w:u w:val="single"/>
          <w:lang w:val="en-US" w:eastAsia="zh-CN"/>
        </w:rPr>
        <w:t>5</w:t>
      </w:r>
      <w:r>
        <w:rPr>
          <w:rFonts w:hint="eastAsia" w:ascii="宋体" w:hAnsi="宋体" w:cs="宋体"/>
          <w:color w:val="auto"/>
          <w:highlight w:val="none"/>
          <w:u w:val="single"/>
        </w:rPr>
        <w:t>时30分。</w:t>
      </w:r>
    </w:p>
    <w:p w14:paraId="530C8EDF">
      <w:pPr>
        <w:pStyle w:val="18"/>
        <w:ind w:firstLine="480"/>
        <w:rPr>
          <w:rFonts w:ascii="宋体" w:hAnsi="宋体" w:cs="宋体"/>
          <w:color w:val="auto"/>
          <w:highlight w:val="none"/>
        </w:rPr>
      </w:pPr>
      <w:r>
        <w:rPr>
          <w:rFonts w:hint="eastAsia" w:ascii="宋体" w:hAnsi="宋体" w:cs="宋体"/>
          <w:color w:val="auto"/>
          <w:highlight w:val="none"/>
        </w:rPr>
        <w:t>响应文件开启地点：</w:t>
      </w:r>
      <w:r>
        <w:rPr>
          <w:rFonts w:hint="eastAsia" w:ascii="宋体" w:hAnsi="宋体" w:cs="宋体"/>
          <w:color w:val="auto"/>
          <w:highlight w:val="none"/>
          <w:lang w:val="zh-CN"/>
        </w:rPr>
        <w:t>南京市鼓楼区燕江路201号D座20层开标室</w:t>
      </w:r>
      <w:r>
        <w:rPr>
          <w:rFonts w:hint="eastAsia" w:ascii="宋体" w:hAnsi="宋体" w:cs="宋体"/>
          <w:color w:val="auto"/>
          <w:highlight w:val="none"/>
        </w:rPr>
        <w:t>。</w:t>
      </w:r>
    </w:p>
    <w:p w14:paraId="725D7DD9">
      <w:pPr>
        <w:pStyle w:val="18"/>
        <w:ind w:firstLine="480"/>
        <w:rPr>
          <w:rFonts w:ascii="宋体" w:hAnsi="宋体" w:cs="宋体"/>
          <w:color w:val="auto"/>
          <w:highlight w:val="none"/>
        </w:rPr>
      </w:pPr>
      <w:r>
        <w:rPr>
          <w:rFonts w:hint="eastAsia" w:ascii="宋体" w:hAnsi="宋体" w:cs="宋体"/>
          <w:color w:val="auto"/>
          <w:highlight w:val="none"/>
        </w:rPr>
        <w:t>届时请供应商法定代表人或其委托授权代表出席响应文件开启仪式。</w:t>
      </w:r>
    </w:p>
    <w:p w14:paraId="169062D0">
      <w:pPr>
        <w:pStyle w:val="18"/>
        <w:numPr>
          <w:ilvl w:val="0"/>
          <w:numId w:val="2"/>
        </w:numPr>
        <w:ind w:firstLineChars="0"/>
        <w:rPr>
          <w:rFonts w:ascii="宋体" w:hAnsi="宋体" w:cs="宋体"/>
          <w:b/>
          <w:color w:val="auto"/>
          <w:highlight w:val="none"/>
        </w:rPr>
      </w:pPr>
      <w:bookmarkStart w:id="0" w:name="六、公告期限"/>
      <w:bookmarkEnd w:id="0"/>
      <w:r>
        <w:rPr>
          <w:rFonts w:hint="eastAsia" w:ascii="宋体" w:hAnsi="宋体" w:cs="宋体"/>
          <w:b/>
          <w:color w:val="auto"/>
          <w:highlight w:val="none"/>
        </w:rPr>
        <w:t>其他补充事宜</w:t>
      </w:r>
    </w:p>
    <w:p w14:paraId="4D2CF40F">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响应文件份数：一式叁份（壹份正本、贰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3BDA6F94">
      <w:pPr>
        <w:pStyle w:val="18"/>
        <w:numPr>
          <w:ilvl w:val="0"/>
          <w:numId w:val="7"/>
        </w:numPr>
        <w:ind w:firstLineChars="0"/>
        <w:rPr>
          <w:rFonts w:ascii="宋体" w:hAnsi="宋体" w:cs="宋体"/>
          <w:color w:val="auto"/>
          <w:highlight w:val="none"/>
        </w:rPr>
      </w:pPr>
      <w:r>
        <w:rPr>
          <w:rFonts w:hint="eastAsia" w:ascii="宋体" w:hAnsi="宋体" w:cs="宋体"/>
          <w:color w:val="auto"/>
          <w:highlight w:val="none"/>
        </w:rPr>
        <w:t>踏勘现场：供应商应可自行预约踏勘现场，集中勘察时间为</w:t>
      </w:r>
      <w:r>
        <w:rPr>
          <w:rFonts w:hint="eastAsia" w:ascii="宋体" w:hAnsi="宋体" w:cs="宋体"/>
          <w:color w:val="auto"/>
          <w:highlight w:val="none"/>
          <w:lang w:val="en-US" w:eastAsia="zh-CN"/>
        </w:rPr>
        <w:t>10</w:t>
      </w:r>
      <w:r>
        <w:rPr>
          <w:rFonts w:hint="eastAsia" w:ascii="宋体" w:hAnsi="宋体" w:cs="宋体"/>
          <w:color w:val="auto"/>
          <w:highlight w:val="none"/>
        </w:rPr>
        <w:t>月</w:t>
      </w:r>
      <w:r>
        <w:rPr>
          <w:rFonts w:hint="eastAsia" w:ascii="宋体" w:hAnsi="宋体" w:cs="宋体"/>
          <w:color w:val="auto"/>
          <w:highlight w:val="none"/>
          <w:lang w:val="en-US" w:eastAsia="zh-CN"/>
        </w:rPr>
        <w:t>16</w:t>
      </w:r>
      <w:r>
        <w:rPr>
          <w:rFonts w:hint="eastAsia" w:ascii="宋体" w:hAnsi="宋体" w:cs="宋体"/>
          <w:color w:val="auto"/>
          <w:highlight w:val="none"/>
        </w:rPr>
        <w:t>日</w:t>
      </w:r>
      <w:r>
        <w:rPr>
          <w:rFonts w:hint="eastAsia" w:ascii="宋体" w:hAnsi="宋体" w:cs="宋体"/>
          <w:color w:val="auto"/>
          <w:highlight w:val="none"/>
          <w:lang w:val="en-US" w:eastAsia="zh-CN"/>
        </w:rPr>
        <w:t>9</w:t>
      </w:r>
      <w:r>
        <w:rPr>
          <w:rFonts w:hint="eastAsia" w:ascii="宋体" w:hAnsi="宋体" w:cs="宋体"/>
          <w:color w:val="auto"/>
          <w:highlight w:val="none"/>
        </w:rPr>
        <w:t>：00--1</w:t>
      </w:r>
      <w:r>
        <w:rPr>
          <w:rFonts w:hint="eastAsia" w:ascii="宋体" w:hAnsi="宋体" w:cs="宋体"/>
          <w:color w:val="auto"/>
          <w:highlight w:val="none"/>
          <w:lang w:val="en-US" w:eastAsia="zh-CN"/>
        </w:rPr>
        <w:t>2</w:t>
      </w:r>
      <w:r>
        <w:rPr>
          <w:rFonts w:hint="eastAsia" w:ascii="宋体" w:hAnsi="宋体" w:cs="宋体"/>
          <w:color w:val="auto"/>
          <w:highlight w:val="none"/>
        </w:rPr>
        <w:t>：00；踏勘联系人</w:t>
      </w:r>
      <w:bookmarkStart w:id="1" w:name="OLE_LINK1"/>
      <w:r>
        <w:rPr>
          <w:rFonts w:hint="eastAsia" w:ascii="宋体" w:hAnsi="宋体" w:cs="宋体"/>
          <w:color w:val="auto"/>
          <w:highlight w:val="none"/>
        </w:rPr>
        <w:t>：</w:t>
      </w:r>
      <w:bookmarkEnd w:id="1"/>
      <w:r>
        <w:rPr>
          <w:rFonts w:hint="eastAsia" w:ascii="宋体" w:hAnsi="宋体" w:cs="宋体"/>
          <w:color w:val="auto"/>
          <w:highlight w:val="none"/>
          <w:lang w:eastAsia="zh-CN"/>
        </w:rPr>
        <w:t>潘</w:t>
      </w:r>
      <w:r>
        <w:rPr>
          <w:rFonts w:hint="eastAsia" w:ascii="宋体" w:hAnsi="宋体" w:cs="宋体"/>
          <w:color w:val="auto"/>
          <w:highlight w:val="none"/>
        </w:rPr>
        <w:t>老师，联系电话：</w:t>
      </w:r>
      <w:r>
        <w:rPr>
          <w:rFonts w:hint="eastAsia" w:ascii="宋体" w:hAnsi="宋体" w:cs="宋体"/>
          <w:color w:val="auto"/>
          <w:highlight w:val="none"/>
          <w:lang w:val="en-US" w:eastAsia="zh-CN"/>
        </w:rPr>
        <w:t>85866367/13260931363（入校报备请提前联系潘老师）</w:t>
      </w:r>
      <w:r>
        <w:rPr>
          <w:rFonts w:hint="eastAsia" w:ascii="宋体" w:hAnsi="宋体" w:cs="宋体"/>
          <w:color w:val="auto"/>
          <w:highlight w:val="none"/>
        </w:rPr>
        <w:t>。供应商对项目现场和周围环境进行仔细认真踏勘，在随后的比选中，对现场资料和数据所作出的推论、解释和结论及由此造成的后果由供应商负责。没有踏勘现场或者踏勘不仔细导致对比选需求了解不充分的供应商，自行承担相应责任。不参加现场踏勘的视同对现场的一切情况均已掌握，比选人不对供应商据此作出的判断和决策负责。在现场踏勘过程中，供应商如果发生人身伤亡、财物或其他损失，无论何种原因所造成，比选人及比选代理机构均不负责。</w:t>
      </w:r>
    </w:p>
    <w:p w14:paraId="0A357AA1">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发布公告的媒介</w:t>
      </w:r>
    </w:p>
    <w:p w14:paraId="06252BFE">
      <w:pPr>
        <w:pStyle w:val="18"/>
        <w:ind w:firstLine="480"/>
        <w:rPr>
          <w:rFonts w:ascii="宋体" w:hAnsi="宋体" w:cs="宋体"/>
          <w:color w:val="auto"/>
          <w:highlight w:val="none"/>
        </w:rPr>
      </w:pPr>
      <w:r>
        <w:rPr>
          <w:rFonts w:hint="eastAsia" w:ascii="宋体" w:hAnsi="宋体" w:cs="宋体"/>
          <w:color w:val="auto"/>
          <w:highlight w:val="none"/>
        </w:rPr>
        <w:t>本采购公告在南京邮电大学采购招标管理办公室网站（https://zbb.njupt.edu.cn/）发布，敬请各供应商关注。</w:t>
      </w:r>
    </w:p>
    <w:p w14:paraId="04BA8E05">
      <w:pPr>
        <w:pStyle w:val="18"/>
        <w:numPr>
          <w:ilvl w:val="0"/>
          <w:numId w:val="2"/>
        </w:numPr>
        <w:ind w:firstLineChars="0"/>
        <w:rPr>
          <w:rFonts w:ascii="宋体" w:hAnsi="宋体" w:cs="宋体"/>
          <w:b/>
          <w:color w:val="auto"/>
          <w:highlight w:val="none"/>
        </w:rPr>
      </w:pPr>
      <w:r>
        <w:rPr>
          <w:rFonts w:hint="eastAsia" w:ascii="宋体" w:hAnsi="宋体" w:cs="宋体"/>
          <w:b/>
          <w:color w:val="auto"/>
          <w:highlight w:val="none"/>
        </w:rPr>
        <w:t>对本次采购提出询问，请按以下方式联系。</w:t>
      </w:r>
    </w:p>
    <w:p w14:paraId="675B5530">
      <w:pPr>
        <w:pStyle w:val="18"/>
        <w:ind w:firstLine="480" w:firstLineChars="0"/>
        <w:rPr>
          <w:rFonts w:ascii="宋体" w:hAnsi="宋体" w:cs="宋体"/>
          <w:color w:val="auto"/>
          <w:highlight w:val="none"/>
        </w:rPr>
      </w:pPr>
      <w:r>
        <w:rPr>
          <w:rFonts w:hint="eastAsia" w:ascii="宋体" w:hAnsi="宋体" w:cs="宋体"/>
          <w:color w:val="auto"/>
          <w:highlight w:val="none"/>
        </w:rPr>
        <w:t>1、采购人信息</w:t>
      </w:r>
    </w:p>
    <w:p w14:paraId="53E84577">
      <w:pPr>
        <w:pStyle w:val="18"/>
        <w:ind w:firstLine="480"/>
        <w:rPr>
          <w:rFonts w:ascii="宋体" w:hAnsi="宋体" w:cs="宋体"/>
          <w:color w:val="auto"/>
          <w:highlight w:val="none"/>
        </w:rPr>
      </w:pPr>
      <w:r>
        <w:rPr>
          <w:rFonts w:hint="eastAsia" w:ascii="宋体" w:hAnsi="宋体" w:cs="宋体"/>
          <w:color w:val="auto"/>
          <w:highlight w:val="none"/>
        </w:rPr>
        <w:t>名称：南京邮电大学</w:t>
      </w:r>
    </w:p>
    <w:p w14:paraId="104698FC">
      <w:pPr>
        <w:pStyle w:val="18"/>
        <w:ind w:firstLine="480"/>
        <w:rPr>
          <w:rFonts w:ascii="宋体" w:hAnsi="宋体" w:cs="宋体"/>
          <w:color w:val="auto"/>
          <w:highlight w:val="none"/>
        </w:rPr>
      </w:pPr>
      <w:r>
        <w:rPr>
          <w:rFonts w:hint="eastAsia" w:ascii="宋体" w:hAnsi="宋体" w:cs="宋体"/>
          <w:color w:val="auto"/>
          <w:highlight w:val="none"/>
        </w:rPr>
        <w:t>地址：南京市栖霞区文苑路9号</w:t>
      </w:r>
    </w:p>
    <w:p w14:paraId="0A4C77DB">
      <w:pPr>
        <w:pStyle w:val="18"/>
        <w:ind w:firstLine="480"/>
        <w:rPr>
          <w:rFonts w:ascii="宋体" w:hAnsi="宋体" w:cs="宋体"/>
          <w:color w:val="auto"/>
          <w:highlight w:val="none"/>
          <w:u w:val="single"/>
        </w:rPr>
      </w:pPr>
      <w:r>
        <w:rPr>
          <w:rFonts w:hint="eastAsia" w:ascii="宋体" w:hAnsi="宋体" w:cs="宋体"/>
          <w:color w:val="auto"/>
          <w:highlight w:val="none"/>
        </w:rPr>
        <w:t>联系人：</w:t>
      </w:r>
      <w:r>
        <w:rPr>
          <w:rFonts w:hint="eastAsia" w:ascii="宋体" w:hAnsi="宋体" w:cs="宋体"/>
          <w:color w:val="auto"/>
          <w:highlight w:val="none"/>
          <w:lang w:eastAsia="zh-CN"/>
        </w:rPr>
        <w:t>张</w:t>
      </w:r>
      <w:r>
        <w:rPr>
          <w:rFonts w:hint="eastAsia" w:ascii="宋体" w:hAnsi="宋体" w:cs="宋体"/>
          <w:color w:val="auto"/>
          <w:highlight w:val="none"/>
        </w:rPr>
        <w:t>老师</w:t>
      </w:r>
    </w:p>
    <w:p w14:paraId="340162DB">
      <w:pPr>
        <w:pStyle w:val="18"/>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85866367</w:t>
      </w:r>
    </w:p>
    <w:p w14:paraId="264FFCCA">
      <w:pPr>
        <w:pStyle w:val="18"/>
        <w:ind w:firstLine="480" w:firstLineChars="0"/>
        <w:rPr>
          <w:rFonts w:ascii="宋体" w:hAnsi="宋体" w:cs="宋体"/>
          <w:color w:val="auto"/>
          <w:highlight w:val="none"/>
        </w:rPr>
      </w:pPr>
      <w:r>
        <w:rPr>
          <w:rFonts w:hint="eastAsia" w:ascii="宋体" w:hAnsi="宋体" w:cs="宋体"/>
          <w:color w:val="auto"/>
          <w:highlight w:val="none"/>
        </w:rPr>
        <w:t>2、采购代理机构信息</w:t>
      </w:r>
    </w:p>
    <w:p w14:paraId="5943FB2A">
      <w:pPr>
        <w:pStyle w:val="18"/>
        <w:ind w:firstLine="480"/>
        <w:rPr>
          <w:rFonts w:ascii="宋体" w:hAnsi="宋体" w:cs="宋体"/>
          <w:color w:val="auto"/>
          <w:highlight w:val="none"/>
        </w:rPr>
      </w:pPr>
      <w:r>
        <w:rPr>
          <w:rFonts w:hint="eastAsia" w:ascii="宋体" w:hAnsi="宋体" w:cs="宋体"/>
          <w:color w:val="auto"/>
          <w:highlight w:val="none"/>
        </w:rPr>
        <w:t>名称：钟信工程项目管理咨询（南京）有限公司</w:t>
      </w:r>
    </w:p>
    <w:p w14:paraId="2E65D6E4">
      <w:pPr>
        <w:pStyle w:val="18"/>
        <w:ind w:firstLine="480"/>
        <w:rPr>
          <w:rFonts w:ascii="宋体" w:hAnsi="宋体" w:cs="宋体"/>
          <w:color w:val="auto"/>
          <w:highlight w:val="none"/>
        </w:rPr>
      </w:pPr>
      <w:r>
        <w:rPr>
          <w:rFonts w:hint="eastAsia" w:ascii="宋体" w:hAnsi="宋体" w:cs="宋体"/>
          <w:color w:val="auto"/>
          <w:highlight w:val="none"/>
        </w:rPr>
        <w:t>地址：南京市鼓楼区燕江路201号</w:t>
      </w:r>
    </w:p>
    <w:p w14:paraId="08AF9ED4">
      <w:pPr>
        <w:pStyle w:val="18"/>
        <w:ind w:firstLine="480"/>
        <w:rPr>
          <w:rFonts w:ascii="宋体" w:hAnsi="宋体" w:cs="宋体"/>
          <w:color w:val="auto"/>
          <w:highlight w:val="none"/>
        </w:rPr>
      </w:pPr>
      <w:r>
        <w:rPr>
          <w:rFonts w:hint="eastAsia" w:ascii="宋体" w:hAnsi="宋体" w:cs="宋体"/>
          <w:color w:val="auto"/>
          <w:highlight w:val="none"/>
        </w:rPr>
        <w:t>联系人：楚工</w:t>
      </w:r>
    </w:p>
    <w:p w14:paraId="087F63B7">
      <w:pPr>
        <w:pStyle w:val="18"/>
        <w:ind w:firstLine="480"/>
        <w:rPr>
          <w:rFonts w:ascii="宋体" w:hAnsi="宋体" w:cs="宋体"/>
          <w:color w:val="auto"/>
          <w:highlight w:val="none"/>
        </w:rPr>
      </w:pPr>
      <w:r>
        <w:rPr>
          <w:rFonts w:hint="eastAsia" w:ascii="宋体" w:hAnsi="宋体" w:cs="宋体"/>
          <w:color w:val="auto"/>
          <w:highlight w:val="none"/>
        </w:rPr>
        <w:t>联系方式：15952014136</w:t>
      </w:r>
    </w:p>
    <w:p w14:paraId="5A87FEE8">
      <w:pPr>
        <w:pStyle w:val="18"/>
        <w:ind w:firstLine="480" w:firstLineChars="0"/>
        <w:rPr>
          <w:rFonts w:ascii="宋体" w:hAnsi="宋体" w:cs="宋体"/>
          <w:color w:val="auto"/>
          <w:highlight w:val="none"/>
        </w:rPr>
      </w:pPr>
      <w:r>
        <w:rPr>
          <w:rFonts w:hint="eastAsia" w:ascii="宋体" w:hAnsi="宋体" w:cs="宋体"/>
          <w:color w:val="auto"/>
          <w:highlight w:val="none"/>
        </w:rPr>
        <w:t>3、项目联系方式</w:t>
      </w:r>
    </w:p>
    <w:p w14:paraId="4C5C2A4B">
      <w:pPr>
        <w:pStyle w:val="18"/>
        <w:ind w:firstLine="480"/>
        <w:rPr>
          <w:rFonts w:ascii="宋体" w:hAnsi="宋体" w:cs="宋体"/>
          <w:color w:val="auto"/>
          <w:highlight w:val="none"/>
        </w:rPr>
      </w:pPr>
      <w:r>
        <w:rPr>
          <w:rFonts w:hint="eastAsia" w:ascii="宋体" w:hAnsi="宋体" w:cs="宋体"/>
          <w:color w:val="auto"/>
          <w:highlight w:val="none"/>
        </w:rPr>
        <w:t>项目联系人：楚工</w:t>
      </w:r>
    </w:p>
    <w:p w14:paraId="467C44A1">
      <w:pPr>
        <w:pStyle w:val="18"/>
        <w:ind w:firstLine="480"/>
        <w:rPr>
          <w:rFonts w:ascii="宋体" w:hAnsi="宋体" w:cs="宋体"/>
          <w:color w:val="auto"/>
          <w:highlight w:val="none"/>
        </w:rPr>
      </w:pPr>
      <w:r>
        <w:rPr>
          <w:rFonts w:hint="eastAsia" w:ascii="宋体" w:hAnsi="宋体" w:cs="宋体"/>
          <w:color w:val="auto"/>
          <w:highlight w:val="none"/>
        </w:rPr>
        <w:t>电话：15952014136</w:t>
      </w:r>
    </w:p>
    <w:p w14:paraId="499ACAB7">
      <w:pPr>
        <w:pStyle w:val="18"/>
        <w:ind w:firstLine="480"/>
        <w:rPr>
          <w:rFonts w:ascii="宋体" w:hAnsi="宋体" w:cs="宋体"/>
          <w:color w:val="auto"/>
          <w:highlight w:val="none"/>
        </w:rPr>
      </w:pPr>
      <w:r>
        <w:rPr>
          <w:rFonts w:hint="eastAsia" w:ascii="宋体" w:hAnsi="宋体" w:cs="宋体"/>
          <w:color w:val="auto"/>
          <w:highlight w:val="none"/>
        </w:rPr>
        <w:t>请贵单位领取本次采购文件后，认真阅读各项内容，进行必要的响应准备，按文件的要求详细填写和编制响应文件，并按以上确定的时间、地点准时参加采购活动。</w:t>
      </w:r>
      <w:bookmarkStart w:id="2" w:name="_Toc35393796"/>
      <w:bookmarkStart w:id="3" w:name="_Toc28359085"/>
      <w:bookmarkStart w:id="4" w:name="_Toc28359008"/>
      <w:bookmarkStart w:id="5" w:name="_Toc35393627"/>
    </w:p>
    <w:bookmarkEnd w:id="2"/>
    <w:bookmarkEnd w:id="3"/>
    <w:bookmarkEnd w:id="4"/>
    <w:bookmarkEnd w:id="5"/>
    <w:p w14:paraId="4CF5A849">
      <w:pPr>
        <w:rPr>
          <w:rFonts w:ascii="宋体" w:hAnsi="宋体" w:cs="宋体"/>
          <w:color w:val="auto"/>
          <w:sz w:val="36"/>
          <w:highlight w:val="none"/>
        </w:rPr>
      </w:pPr>
      <w:r>
        <w:rPr>
          <w:rFonts w:hint="eastAsia" w:ascii="宋体" w:hAnsi="宋体" w:cs="宋体"/>
          <w:color w:val="auto"/>
          <w:sz w:val="36"/>
          <w:highlight w:val="none"/>
        </w:rPr>
        <w:br w:type="page"/>
      </w:r>
    </w:p>
    <w:p w14:paraId="40295E5B">
      <w:pPr>
        <w:pStyle w:val="262"/>
        <w:rPr>
          <w:rFonts w:ascii="宋体" w:hAnsi="宋体" w:eastAsia="宋体" w:cs="宋体"/>
          <w:color w:val="auto"/>
          <w:highlight w:val="none"/>
        </w:rPr>
      </w:pPr>
      <w:r>
        <w:rPr>
          <w:rFonts w:hint="eastAsia" w:ascii="宋体" w:hAnsi="宋体" w:eastAsia="宋体" w:cs="宋体"/>
          <w:color w:val="auto"/>
          <w:highlight w:val="none"/>
        </w:rPr>
        <w:t>第二章  供应商须知</w:t>
      </w:r>
    </w:p>
    <w:p w14:paraId="73FD8C41">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总则</w:t>
      </w:r>
    </w:p>
    <w:p w14:paraId="6066FE45">
      <w:pPr>
        <w:pStyle w:val="18"/>
        <w:ind w:firstLine="480" w:firstLineChars="0"/>
        <w:rPr>
          <w:rFonts w:ascii="宋体" w:hAnsi="宋体" w:cs="宋体"/>
          <w:color w:val="auto"/>
          <w:highlight w:val="none"/>
        </w:rPr>
      </w:pPr>
      <w:r>
        <w:rPr>
          <w:rFonts w:hint="eastAsia" w:ascii="宋体" w:hAnsi="宋体" w:cs="宋体"/>
          <w:color w:val="auto"/>
          <w:highlight w:val="none"/>
        </w:rPr>
        <w:t>1.适用规则</w:t>
      </w:r>
    </w:p>
    <w:p w14:paraId="015E6694">
      <w:pPr>
        <w:pStyle w:val="18"/>
        <w:ind w:firstLine="480"/>
        <w:rPr>
          <w:rFonts w:ascii="宋体" w:hAnsi="宋体" w:cs="宋体"/>
          <w:color w:val="auto"/>
          <w:highlight w:val="none"/>
        </w:rPr>
      </w:pPr>
      <w:r>
        <w:rPr>
          <w:rFonts w:hint="eastAsia" w:ascii="宋体" w:hAnsi="宋体" w:cs="宋体"/>
          <w:color w:val="auto"/>
          <w:highlight w:val="none"/>
        </w:rPr>
        <w:t>1.1 本采购项目为非政府采购项目，本次采购适用《南京邮电大学采购招标管理办法（修订）》（校发〔2025〕34号）《南京邮电大学校内分散采购管理实施细则 （试行）》（校发〔2025〕36号）《南京邮电大学采购项目质疑答复和投诉处理实施细则（试行）》（校发〔2023〕38号）等南京邮电大学内控制度（文件详见链接https://zbb.njupt.edu.cn/xngzzd/index.chtml）。</w:t>
      </w:r>
    </w:p>
    <w:p w14:paraId="610F2481">
      <w:pPr>
        <w:pStyle w:val="18"/>
        <w:ind w:firstLine="480" w:firstLineChars="0"/>
        <w:rPr>
          <w:rFonts w:ascii="宋体" w:hAnsi="宋体" w:cs="宋体"/>
          <w:b/>
          <w:color w:val="auto"/>
          <w:highlight w:val="none"/>
        </w:rPr>
      </w:pPr>
      <w:r>
        <w:rPr>
          <w:rFonts w:hint="eastAsia" w:ascii="宋体" w:hAnsi="宋体" w:cs="宋体"/>
          <w:b/>
          <w:color w:val="auto"/>
          <w:highlight w:val="none"/>
        </w:rPr>
        <w:t>2.定义</w:t>
      </w:r>
    </w:p>
    <w:p w14:paraId="0D0347E8">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“供应商”是指参加采购竞争，并符合采购文件规定资格条件的法人、其他组织或者自然人。</w:t>
      </w:r>
    </w:p>
    <w:p w14:paraId="290BD7DC">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“服务”是指本采购文件中所述相关服务。</w:t>
      </w:r>
    </w:p>
    <w:p w14:paraId="50289A0E">
      <w:pPr>
        <w:pStyle w:val="18"/>
        <w:numPr>
          <w:ilvl w:val="0"/>
          <w:numId w:val="9"/>
        </w:numPr>
        <w:ind w:firstLineChars="0"/>
        <w:rPr>
          <w:rFonts w:ascii="宋体" w:hAnsi="宋体" w:cs="宋体"/>
          <w:color w:val="auto"/>
          <w:highlight w:val="none"/>
        </w:rPr>
      </w:pPr>
      <w:r>
        <w:rPr>
          <w:rFonts w:hint="eastAsia" w:ascii="宋体" w:hAnsi="宋体" w:cs="宋体"/>
          <w:color w:val="auto"/>
          <w:highlight w:val="none"/>
        </w:rPr>
        <w:t>“用户或使用单位”是指接受服务的单位。</w:t>
      </w:r>
    </w:p>
    <w:p w14:paraId="49C9B253">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采购文件</w:t>
      </w:r>
    </w:p>
    <w:p w14:paraId="39E26C60">
      <w:pPr>
        <w:pStyle w:val="18"/>
        <w:ind w:firstLine="482"/>
        <w:rPr>
          <w:rFonts w:ascii="宋体" w:hAnsi="宋体" w:cs="宋体"/>
          <w:b/>
          <w:color w:val="auto"/>
          <w:highlight w:val="none"/>
        </w:rPr>
      </w:pPr>
      <w:r>
        <w:rPr>
          <w:rFonts w:hint="eastAsia" w:ascii="宋体" w:hAnsi="宋体" w:cs="宋体"/>
          <w:b/>
          <w:color w:val="auto"/>
          <w:highlight w:val="none"/>
        </w:rPr>
        <w:t>3.采购文件组成</w:t>
      </w:r>
    </w:p>
    <w:p w14:paraId="5F067147">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采购文件组成：比选公告、供应商须知、评审标准、采购需求、合同主要条款及格式、响应文件格式及附件等。</w:t>
      </w:r>
    </w:p>
    <w:p w14:paraId="02585A90">
      <w:pPr>
        <w:pStyle w:val="18"/>
        <w:numPr>
          <w:ilvl w:val="0"/>
          <w:numId w:val="10"/>
        </w:numPr>
        <w:ind w:firstLineChars="0"/>
        <w:rPr>
          <w:rFonts w:ascii="宋体" w:hAnsi="宋体" w:cs="宋体"/>
          <w:color w:val="auto"/>
          <w:highlight w:val="none"/>
        </w:rPr>
      </w:pPr>
      <w:r>
        <w:rPr>
          <w:rFonts w:hint="eastAsia" w:ascii="宋体" w:hAnsi="宋体" w:cs="宋体"/>
          <w:color w:val="auto"/>
          <w:highlight w:val="none"/>
        </w:rPr>
        <w:t>采购的最小单位是包。采购服务数量及技术要求中未分包的，供应商对要求提供的服务不得部分响应；采购服务数量及技术要求中已经分包的，应当以包为单位响应。</w:t>
      </w:r>
    </w:p>
    <w:p w14:paraId="0617E647">
      <w:pPr>
        <w:pStyle w:val="18"/>
        <w:widowControl/>
        <w:numPr>
          <w:ilvl w:val="0"/>
          <w:numId w:val="10"/>
        </w:numPr>
        <w:ind w:firstLineChars="0"/>
        <w:rPr>
          <w:rFonts w:ascii="宋体" w:hAnsi="宋体" w:cs="宋体"/>
          <w:color w:val="auto"/>
          <w:highlight w:val="none"/>
        </w:rPr>
      </w:pPr>
      <w:r>
        <w:rPr>
          <w:rFonts w:hint="eastAsia" w:ascii="宋体" w:hAnsi="宋体" w:cs="宋体"/>
          <w:color w:val="auto"/>
          <w:highlight w:val="none"/>
        </w:rPr>
        <w:t>采购文件如果要求供应商提交备选方案的，供应商可以提交备选方案，否则，不接受备选方案。</w:t>
      </w:r>
    </w:p>
    <w:p w14:paraId="0FFE07A5">
      <w:pPr>
        <w:pStyle w:val="18"/>
        <w:ind w:firstLine="482"/>
        <w:rPr>
          <w:rFonts w:ascii="宋体" w:hAnsi="宋体" w:cs="宋体"/>
          <w:b/>
          <w:color w:val="auto"/>
          <w:highlight w:val="none"/>
        </w:rPr>
      </w:pPr>
      <w:r>
        <w:rPr>
          <w:rFonts w:hint="eastAsia" w:ascii="宋体" w:hAnsi="宋体" w:cs="宋体"/>
          <w:b/>
          <w:color w:val="auto"/>
          <w:highlight w:val="none"/>
        </w:rPr>
        <w:t>4.采购文件的澄清修改</w:t>
      </w:r>
    </w:p>
    <w:p w14:paraId="4AFCA0C5">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7684490A">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代理机构在采购文件要求提交响应文件截止时间前，有权决定延长提交响应文件截止时间和响应文件开启时间，并在原采购信息发布媒体上发布更正公告。</w:t>
      </w:r>
    </w:p>
    <w:p w14:paraId="55E9A179">
      <w:pPr>
        <w:pStyle w:val="18"/>
        <w:numPr>
          <w:ilvl w:val="0"/>
          <w:numId w:val="11"/>
        </w:numPr>
        <w:ind w:firstLineChars="0"/>
        <w:rPr>
          <w:rFonts w:ascii="宋体" w:hAnsi="宋体" w:cs="宋体"/>
          <w:color w:val="auto"/>
          <w:highlight w:val="none"/>
        </w:rPr>
      </w:pPr>
      <w:r>
        <w:rPr>
          <w:rFonts w:hint="eastAsia" w:ascii="宋体" w:hAnsi="宋体" w:cs="宋体"/>
          <w:color w:val="auto"/>
          <w:highlight w:val="none"/>
        </w:rPr>
        <w:t>供应商应在提交响应文件截止时间前关注“南京邮电大学采购招标管理办公室网站”上有关本采购项目有无更正公告。</w:t>
      </w:r>
    </w:p>
    <w:p w14:paraId="604A50D2">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w:t>
      </w:r>
    </w:p>
    <w:p w14:paraId="117567C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响应文件的语言、计量单位、货币、技术标准和编制</w:t>
      </w:r>
    </w:p>
    <w:p w14:paraId="3652B373">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2443C213">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供应商所使用的计量单位应为国家法定计量单位。</w:t>
      </w:r>
    </w:p>
    <w:p w14:paraId="26E56022">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供应商应用人民币报价。</w:t>
      </w:r>
    </w:p>
    <w:p w14:paraId="4B87ED86">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响应文件应字迹清楚、内容齐全、不得涂改。如有修改，修改处须有响应文件签署人签字或加盖公章。</w:t>
      </w:r>
    </w:p>
    <w:p w14:paraId="241088CB">
      <w:pPr>
        <w:pStyle w:val="18"/>
        <w:numPr>
          <w:ilvl w:val="0"/>
          <w:numId w:val="13"/>
        </w:numPr>
        <w:ind w:firstLineChars="0"/>
        <w:rPr>
          <w:rFonts w:ascii="宋体" w:hAnsi="宋体" w:cs="宋体"/>
          <w:color w:val="auto"/>
          <w:highlight w:val="none"/>
        </w:rPr>
      </w:pPr>
      <w:r>
        <w:rPr>
          <w:rFonts w:hint="eastAsia" w:ascii="宋体" w:hAnsi="宋体" w:cs="宋体"/>
          <w:color w:val="auto"/>
          <w:highlight w:val="none"/>
        </w:rPr>
        <w:t>供应商所使用的技术标准应遵循国家最新标准及规范。</w:t>
      </w:r>
    </w:p>
    <w:p w14:paraId="05737EDD">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联合体及分包：本项目不接受联合体响应，不接受分包、转包。</w:t>
      </w:r>
    </w:p>
    <w:p w14:paraId="78B2543F">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采购项目如接受联合体响应的，两个以上的自然人、法人或者其他组织可以组成一个联合体，以一个供应商的身份共同参加响应。</w:t>
      </w:r>
    </w:p>
    <w:p w14:paraId="2EB3F1CC">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0C435920">
      <w:pPr>
        <w:pStyle w:val="18"/>
        <w:numPr>
          <w:ilvl w:val="0"/>
          <w:numId w:val="14"/>
        </w:numPr>
        <w:ind w:firstLineChars="0"/>
        <w:rPr>
          <w:rFonts w:ascii="宋体" w:hAnsi="宋体" w:cs="宋体"/>
          <w:color w:val="auto"/>
          <w:highlight w:val="none"/>
        </w:rPr>
      </w:pPr>
      <w:r>
        <w:rPr>
          <w:rFonts w:hint="eastAsia" w:ascii="宋体" w:hAnsi="宋体" w:cs="宋体"/>
          <w:color w:val="auto"/>
          <w:highlight w:val="none"/>
        </w:rPr>
        <w:t>采购合同分包履行的，成交供应商就采购项目和分包项目向采购人负责，分包项目供应商就分包项目承担责任，成交供应商与分包人之间应该签订分包意向协议。</w:t>
      </w:r>
    </w:p>
    <w:p w14:paraId="2C64553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响应费用</w:t>
      </w:r>
    </w:p>
    <w:p w14:paraId="55860CA3">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供应商应承担所有与准备和参加响应有关的费用，无论采购结果如何，代理机构和采购人在任何情况下均无义务和责任承担这些费用。</w:t>
      </w:r>
    </w:p>
    <w:p w14:paraId="1AE9F86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highlight w:val="none"/>
          <w:u w:val="single"/>
        </w:rPr>
        <w:t xml:space="preserve"> 52 </w:t>
      </w:r>
      <w:r>
        <w:rPr>
          <w:rFonts w:hint="eastAsia" w:ascii="宋体" w:hAnsi="宋体" w:cs="宋体"/>
          <w:color w:val="auto"/>
          <w:highlight w:val="none"/>
        </w:rPr>
        <w:t>%（优惠率）收取。代理服务费包括所供服务相关的所有费用，工程类采购代理项目报价包含编制工程量清单、确定招标控制价等所有费用。</w:t>
      </w:r>
    </w:p>
    <w:p w14:paraId="75E52FE7">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2000 元，工程类项目保底代理费为 2500 元。</w:t>
      </w:r>
    </w:p>
    <w:p w14:paraId="303C607D">
      <w:pPr>
        <w:pStyle w:val="18"/>
        <w:numPr>
          <w:ilvl w:val="0"/>
          <w:numId w:val="15"/>
        </w:numPr>
        <w:ind w:firstLineChars="0"/>
        <w:rPr>
          <w:rFonts w:ascii="宋体" w:hAnsi="宋体" w:cs="宋体"/>
          <w:color w:val="auto"/>
          <w:highlight w:val="none"/>
        </w:rPr>
      </w:pPr>
      <w:r>
        <w:rPr>
          <w:rFonts w:hint="eastAsia" w:ascii="宋体" w:hAnsi="宋体" w:cs="宋体"/>
          <w:color w:val="auto"/>
          <w:highlight w:val="none"/>
        </w:rPr>
        <w:t>采购代理服务费按项目结算，由采购代理服务商向具体项目的成交单位收取。成交供应商须在领取成交通知书前，向采购代理机构一次性缴清采购代理服务费。</w:t>
      </w:r>
    </w:p>
    <w:p w14:paraId="0E845558">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响应文件组成</w:t>
      </w:r>
    </w:p>
    <w:p w14:paraId="2E97F65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078FEA88">
      <w:pPr>
        <w:pStyle w:val="18"/>
        <w:numPr>
          <w:ilvl w:val="0"/>
          <w:numId w:val="16"/>
        </w:numPr>
        <w:ind w:firstLineChars="0"/>
        <w:rPr>
          <w:rFonts w:ascii="宋体" w:hAnsi="宋体" w:cs="宋体"/>
          <w:color w:val="auto"/>
          <w:highlight w:val="none"/>
        </w:rPr>
      </w:pPr>
      <w:r>
        <w:rPr>
          <w:rFonts w:hint="eastAsia" w:ascii="宋体" w:hAnsi="宋体" w:cs="宋体"/>
          <w:color w:val="auto"/>
          <w:highlight w:val="none"/>
        </w:rPr>
        <w:t>响应文件由商务部分、技术部分、价格部分，以及其他部分组成。</w:t>
      </w:r>
    </w:p>
    <w:p w14:paraId="39F90A2C">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响应文件的商务部分</w:t>
      </w:r>
    </w:p>
    <w:p w14:paraId="6AEAC189">
      <w:pPr>
        <w:pStyle w:val="18"/>
        <w:ind w:firstLine="480"/>
        <w:rPr>
          <w:rFonts w:ascii="宋体" w:hAnsi="宋体" w:cs="宋体"/>
          <w:color w:val="auto"/>
          <w:highlight w:val="none"/>
        </w:rPr>
      </w:pPr>
      <w:r>
        <w:rPr>
          <w:rFonts w:hint="eastAsia" w:ascii="宋体" w:hAnsi="宋体" w:cs="宋体"/>
          <w:color w:val="auto"/>
          <w:highlight w:val="none"/>
        </w:rPr>
        <w:t>9.1 商务部分是证明供应商有资格参加采购和成交后有能力履行合同的文件，这些文件应能满足采购的要求，包括但不限于下列文件，其中加”★”项目不得有缺失或无效：</w:t>
      </w:r>
    </w:p>
    <w:p w14:paraId="23540FBE">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响应函（响应申请及声明）；</w:t>
      </w:r>
    </w:p>
    <w:p w14:paraId="328B2218">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法定代表人授权委托书及授权委托人的身份证复印件（有授权委托的），或法定代表人身份证复印件（无授权委托的）；</w:t>
      </w:r>
    </w:p>
    <w:p w14:paraId="05DD8CEF">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★第一章比选公告中“二、申请人的资格要求规定的资格条件证明文件”；</w:t>
      </w:r>
    </w:p>
    <w:p w14:paraId="1B7AB04C">
      <w:pPr>
        <w:pStyle w:val="18"/>
        <w:widowControl/>
        <w:numPr>
          <w:ilvl w:val="0"/>
          <w:numId w:val="17"/>
        </w:numPr>
        <w:ind w:firstLineChars="0"/>
        <w:rPr>
          <w:rFonts w:ascii="宋体" w:hAnsi="宋体" w:cs="宋体"/>
          <w:color w:val="auto"/>
          <w:highlight w:val="none"/>
        </w:rPr>
      </w:pPr>
      <w:r>
        <w:rPr>
          <w:rFonts w:hint="eastAsia" w:ascii="宋体" w:hAnsi="宋体" w:cs="宋体"/>
          <w:color w:val="auto"/>
          <w:highlight w:val="none"/>
        </w:rPr>
        <w:t>《商务条款偏离表》；</w:t>
      </w:r>
    </w:p>
    <w:p w14:paraId="72B20DD4">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合同条款；</w:t>
      </w:r>
    </w:p>
    <w:p w14:paraId="26D49A11">
      <w:pPr>
        <w:pStyle w:val="18"/>
        <w:numPr>
          <w:ilvl w:val="0"/>
          <w:numId w:val="17"/>
        </w:numPr>
        <w:ind w:firstLineChars="0"/>
        <w:rPr>
          <w:rFonts w:ascii="宋体" w:hAnsi="宋体" w:cs="宋体"/>
          <w:color w:val="auto"/>
          <w:highlight w:val="none"/>
        </w:rPr>
      </w:pPr>
      <w:r>
        <w:rPr>
          <w:rFonts w:hint="eastAsia" w:ascii="宋体" w:hAnsi="宋体" w:cs="宋体"/>
          <w:color w:val="auto"/>
          <w:highlight w:val="none"/>
        </w:rPr>
        <w:t>供应商认为需要提供的其他资格证明文件和商务资料。</w:t>
      </w:r>
    </w:p>
    <w:p w14:paraId="7BCEF14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响应文件的技术部分</w:t>
      </w:r>
    </w:p>
    <w:p w14:paraId="00259AA4">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技术部分是证明供应商提供的服务是合格的、并符合采购文件要求的证明文件，以及对响应报价表中的服务的详细说明，这些文件可以是文字资料、图纸和数据等。</w:t>
      </w:r>
    </w:p>
    <w:p w14:paraId="5A51B910">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若提供的服务与采购文件要求有不符之处，应说明其差别之所在。</w:t>
      </w:r>
    </w:p>
    <w:p w14:paraId="7894376F">
      <w:pPr>
        <w:pStyle w:val="18"/>
        <w:numPr>
          <w:ilvl w:val="0"/>
          <w:numId w:val="18"/>
        </w:numPr>
        <w:ind w:firstLineChars="0"/>
        <w:rPr>
          <w:rFonts w:ascii="宋体" w:hAnsi="宋体" w:cs="宋体"/>
          <w:color w:val="auto"/>
          <w:highlight w:val="none"/>
        </w:rPr>
      </w:pPr>
      <w:r>
        <w:rPr>
          <w:rFonts w:hint="eastAsia" w:ascii="宋体" w:hAnsi="宋体" w:cs="宋体"/>
          <w:color w:val="auto"/>
          <w:highlight w:val="none"/>
        </w:rPr>
        <w:t>响应文件应按照采购文件要求提供服务说明，技术资料、文件和有关证明，包括但不限于以下材料：</w:t>
      </w:r>
    </w:p>
    <w:p w14:paraId="344B0405">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提供技术及服务方案；</w:t>
      </w:r>
    </w:p>
    <w:p w14:paraId="3B4FF1D0">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《技术条款偏离表》；</w:t>
      </w:r>
    </w:p>
    <w:p w14:paraId="1DE3B72B">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服务承诺；</w:t>
      </w:r>
    </w:p>
    <w:p w14:paraId="7299E80D">
      <w:pPr>
        <w:pStyle w:val="18"/>
        <w:numPr>
          <w:ilvl w:val="0"/>
          <w:numId w:val="19"/>
        </w:numPr>
        <w:ind w:firstLineChars="0"/>
        <w:rPr>
          <w:rFonts w:ascii="宋体" w:hAnsi="宋体" w:cs="宋体"/>
          <w:color w:val="auto"/>
          <w:highlight w:val="none"/>
        </w:rPr>
      </w:pPr>
      <w:r>
        <w:rPr>
          <w:rFonts w:hint="eastAsia" w:ascii="宋体" w:hAnsi="宋体" w:cs="宋体"/>
          <w:color w:val="auto"/>
          <w:highlight w:val="none"/>
        </w:rPr>
        <w:t>供应商拟投入本项目的设备、人员情况一览表；</w:t>
      </w:r>
    </w:p>
    <w:p w14:paraId="78433357">
      <w:pPr>
        <w:pStyle w:val="18"/>
        <w:widowControl/>
        <w:numPr>
          <w:ilvl w:val="0"/>
          <w:numId w:val="19"/>
        </w:numPr>
        <w:ind w:firstLineChars="0"/>
        <w:rPr>
          <w:rFonts w:ascii="宋体" w:hAnsi="宋体" w:cs="宋体"/>
          <w:color w:val="auto"/>
          <w:highlight w:val="none"/>
        </w:rPr>
      </w:pPr>
      <w:r>
        <w:rPr>
          <w:rFonts w:hint="eastAsia" w:ascii="宋体" w:hAnsi="宋体" w:cs="宋体"/>
          <w:color w:val="auto"/>
          <w:highlight w:val="none"/>
        </w:rPr>
        <w:t>供应商认为需要提供的其他技术资料。</w:t>
      </w:r>
    </w:p>
    <w:p w14:paraId="0DEB41F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响应文件的价格部分</w:t>
      </w:r>
    </w:p>
    <w:p w14:paraId="26304A8D">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价格部分是对响应服务价格构成的说明，每一项服务仅接受一个价格。</w:t>
      </w:r>
    </w:p>
    <w:p w14:paraId="22F9BF15">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48F71647">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供应商的任何错漏、优惠、竞争性报价不得作为减轻责任、减少服务、增加收费、降低质量的理由。</w:t>
      </w:r>
    </w:p>
    <w:p w14:paraId="3C91A5FD">
      <w:pPr>
        <w:pStyle w:val="18"/>
        <w:numPr>
          <w:ilvl w:val="0"/>
          <w:numId w:val="20"/>
        </w:numPr>
        <w:ind w:firstLineChars="0"/>
        <w:rPr>
          <w:rFonts w:ascii="宋体" w:hAnsi="宋体" w:cs="宋体"/>
          <w:color w:val="auto"/>
          <w:highlight w:val="none"/>
        </w:rPr>
      </w:pPr>
      <w:r>
        <w:rPr>
          <w:rFonts w:hint="eastAsia" w:ascii="宋体" w:hAnsi="宋体" w:cs="宋体"/>
          <w:color w:val="auto"/>
          <w:highlight w:val="none"/>
        </w:rPr>
        <w:t>供应商应在《响应一览表》《分项报价表》中列明提供货物和服务的单价、总价以及分项报价。</w:t>
      </w:r>
    </w:p>
    <w:p w14:paraId="78FC314A">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响应文件的其他部分</w:t>
      </w:r>
    </w:p>
    <w:p w14:paraId="3897ED6F">
      <w:pPr>
        <w:pStyle w:val="18"/>
        <w:ind w:firstLine="480"/>
        <w:rPr>
          <w:rFonts w:ascii="宋体" w:hAnsi="宋体" w:cs="宋体"/>
          <w:color w:val="auto"/>
          <w:highlight w:val="none"/>
        </w:rPr>
      </w:pPr>
      <w:r>
        <w:rPr>
          <w:rFonts w:hint="eastAsia" w:ascii="宋体" w:hAnsi="宋体" w:cs="宋体"/>
          <w:color w:val="auto"/>
          <w:highlight w:val="none"/>
        </w:rPr>
        <w:t>供应商编制响应文件需要提供的其他相关文件。</w:t>
      </w:r>
    </w:p>
    <w:p w14:paraId="1084562F">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响应保证金：无。</w:t>
      </w:r>
    </w:p>
    <w:p w14:paraId="0F8317CE">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响应有效期</w:t>
      </w:r>
    </w:p>
    <w:p w14:paraId="28CD7C86">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自响应文件开启之日起六十日内响应有效。</w:t>
      </w:r>
    </w:p>
    <w:p w14:paraId="5FE07338">
      <w:pPr>
        <w:pStyle w:val="18"/>
        <w:numPr>
          <w:ilvl w:val="0"/>
          <w:numId w:val="21"/>
        </w:numPr>
        <w:ind w:firstLineChars="0"/>
        <w:rPr>
          <w:rFonts w:ascii="宋体" w:hAnsi="宋体" w:cs="宋体"/>
          <w:color w:val="auto"/>
          <w:highlight w:val="none"/>
        </w:rPr>
      </w:pPr>
      <w:r>
        <w:rPr>
          <w:rFonts w:hint="eastAsia" w:ascii="宋体" w:hAnsi="宋体" w:cs="宋体"/>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34D92BB9">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响应文件的份数、签署</w:t>
      </w:r>
    </w:p>
    <w:p w14:paraId="65BD6C2D">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供应商应按照采购文件要求的份数准备响应文件，每份响应文件须清楚地标明“正本”或“副本”字样。正本和副本不符时，以正本为准。</w:t>
      </w:r>
    </w:p>
    <w:p w14:paraId="140149A8">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7B3AD817">
      <w:pPr>
        <w:pStyle w:val="18"/>
        <w:numPr>
          <w:ilvl w:val="0"/>
          <w:numId w:val="22"/>
        </w:numPr>
        <w:ind w:firstLineChars="0"/>
        <w:rPr>
          <w:rFonts w:ascii="宋体" w:hAnsi="宋体" w:cs="宋体"/>
          <w:color w:val="auto"/>
          <w:highlight w:val="none"/>
        </w:rPr>
      </w:pPr>
      <w:r>
        <w:rPr>
          <w:rFonts w:hint="eastAsia" w:ascii="宋体" w:hAnsi="宋体" w:cs="宋体"/>
          <w:color w:val="auto"/>
          <w:highlight w:val="none"/>
        </w:rPr>
        <w:t>除供应商对错处做必要修改外，响应文件不得行间插字、涂改或增删。如有修改错漏处，必须由响应文件签署人签字或加盖公章。</w:t>
      </w:r>
    </w:p>
    <w:p w14:paraId="1252B012">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响应文件的密封和递交</w:t>
      </w:r>
    </w:p>
    <w:p w14:paraId="5B4FD2D6">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供应商应当将响应文件密封。</w:t>
      </w:r>
    </w:p>
    <w:p w14:paraId="15F3FE4A">
      <w:pPr>
        <w:pStyle w:val="18"/>
        <w:numPr>
          <w:ilvl w:val="0"/>
          <w:numId w:val="23"/>
        </w:numPr>
        <w:ind w:firstLineChars="0"/>
        <w:rPr>
          <w:rFonts w:ascii="宋体" w:hAnsi="宋体" w:cs="宋体"/>
          <w:color w:val="auto"/>
          <w:highlight w:val="none"/>
        </w:rPr>
      </w:pPr>
      <w:r>
        <w:rPr>
          <w:rFonts w:hint="eastAsia" w:ascii="宋体" w:hAnsi="宋体" w:cs="宋体"/>
          <w:color w:val="auto"/>
          <w:highlight w:val="none"/>
        </w:rPr>
        <w:t>供应商应当在采购文件要求提交响应文件的截止时间前，将密封的响应文件送达响应地点。</w:t>
      </w:r>
    </w:p>
    <w:p w14:paraId="7BFCA83B">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有下列情形之一的响应文件将被拒收</w:t>
      </w:r>
    </w:p>
    <w:p w14:paraId="75F8E092">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在采购文件要求提交响应文件的截止时间之后送达的。</w:t>
      </w:r>
    </w:p>
    <w:p w14:paraId="58FC2E6A">
      <w:pPr>
        <w:pStyle w:val="18"/>
        <w:numPr>
          <w:ilvl w:val="0"/>
          <w:numId w:val="24"/>
        </w:numPr>
        <w:ind w:firstLineChars="0"/>
        <w:rPr>
          <w:rFonts w:ascii="宋体" w:hAnsi="宋体" w:cs="宋体"/>
          <w:color w:val="auto"/>
          <w:highlight w:val="none"/>
        </w:rPr>
      </w:pPr>
      <w:r>
        <w:rPr>
          <w:rFonts w:hint="eastAsia" w:ascii="宋体" w:hAnsi="宋体" w:cs="宋体"/>
          <w:color w:val="auto"/>
          <w:highlight w:val="none"/>
        </w:rPr>
        <w:t>响应文件未密封的。</w:t>
      </w:r>
    </w:p>
    <w:p w14:paraId="45459480">
      <w:pPr>
        <w:pStyle w:val="18"/>
        <w:numPr>
          <w:ilvl w:val="0"/>
          <w:numId w:val="12"/>
        </w:numPr>
        <w:ind w:firstLineChars="0"/>
        <w:rPr>
          <w:rFonts w:ascii="宋体" w:hAnsi="宋体" w:cs="宋体"/>
          <w:b/>
          <w:color w:val="auto"/>
          <w:highlight w:val="none"/>
        </w:rPr>
      </w:pPr>
      <w:r>
        <w:rPr>
          <w:rFonts w:hint="eastAsia" w:ascii="宋体" w:hAnsi="宋体" w:cs="宋体"/>
          <w:b/>
          <w:color w:val="auto"/>
          <w:highlight w:val="none"/>
        </w:rPr>
        <w:t>响应文件的修改和撤回</w:t>
      </w:r>
    </w:p>
    <w:p w14:paraId="7E1128FE">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4341AEFB">
      <w:pPr>
        <w:pStyle w:val="18"/>
        <w:numPr>
          <w:ilvl w:val="0"/>
          <w:numId w:val="25"/>
        </w:numPr>
        <w:ind w:firstLineChars="0"/>
        <w:rPr>
          <w:rFonts w:ascii="宋体" w:hAnsi="宋体" w:cs="宋体"/>
          <w:color w:val="auto"/>
          <w:highlight w:val="none"/>
        </w:rPr>
      </w:pPr>
      <w:r>
        <w:rPr>
          <w:rFonts w:hint="eastAsia" w:ascii="宋体" w:hAnsi="宋体" w:cs="宋体"/>
          <w:color w:val="auto"/>
          <w:highlight w:val="none"/>
        </w:rPr>
        <w:t>响应截止时间之后，响应文件不得撤回。</w:t>
      </w:r>
    </w:p>
    <w:p w14:paraId="729206A5">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响应文件开启、评审与确定成交供应商</w:t>
      </w:r>
    </w:p>
    <w:p w14:paraId="0A749FD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响应文件开启</w:t>
      </w:r>
    </w:p>
    <w:p w14:paraId="54AC7FC3">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代理机构将在采购文件确定的时间和地点进行响应文件开启。供应商应委派代表准时参加，未参加响应文件开启的，视同认可响应文件开启结果。</w:t>
      </w:r>
    </w:p>
    <w:p w14:paraId="609B162A">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响应文件开启时，由供应商或者其推选的代表检查响应文件的密封情况，经确认无误后，由采购人或者代理机构工作人员当众拆封，宣布供应商名称、响应价格和采购文件规定的需要宣布的其他内容。</w:t>
      </w:r>
    </w:p>
    <w:p w14:paraId="109A29B7">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未宣读的响应价格、价格折扣和采购文件允许提供的备选响应方案等实质性内容，评审时不予承认。</w:t>
      </w:r>
    </w:p>
    <w:p w14:paraId="23A4BA01">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响应文件开启时，《响应一览表》（报价表）内容与响应文件中相应内容不一致的，以《响应一览表》（报价表）为准。</w:t>
      </w:r>
    </w:p>
    <w:p w14:paraId="2C824C08">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响应文件、《响应一览表》（报价表）中报价的大写金额与小写金额不一致的，以大写金额为准。</w:t>
      </w:r>
    </w:p>
    <w:p w14:paraId="6AA88752">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单价金额小数点或者百分比有明显错位的，以《响应一览表》（报价表）的总价为准，并修改单价。</w:t>
      </w:r>
    </w:p>
    <w:p w14:paraId="7B63E2DA">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总价金额与按单价汇总金额不一致的，以单价金额计算结果为准。</w:t>
      </w:r>
    </w:p>
    <w:p w14:paraId="1564767B">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同时出现19.4-19.7中两种以上不一致的，按照19.4-19.7的顺序修正。修正后的报价由法定代表人或其授权的代表确认后产生约束力，供应商不确认的，响应无效。</w:t>
      </w:r>
    </w:p>
    <w:p w14:paraId="374F2E5D">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对不同文字文本响应文件的解释发生异议的，以中文文本为准。</w:t>
      </w:r>
    </w:p>
    <w:p w14:paraId="223AE03B">
      <w:pPr>
        <w:pStyle w:val="18"/>
        <w:numPr>
          <w:ilvl w:val="0"/>
          <w:numId w:val="27"/>
        </w:numPr>
        <w:ind w:firstLineChars="0"/>
        <w:rPr>
          <w:rFonts w:ascii="宋体" w:hAnsi="宋体" w:cs="宋体"/>
          <w:color w:val="auto"/>
          <w:highlight w:val="none"/>
        </w:rPr>
      </w:pPr>
      <w:r>
        <w:rPr>
          <w:rFonts w:hint="eastAsia" w:ascii="宋体" w:hAnsi="宋体" w:cs="宋体"/>
          <w:color w:val="auto"/>
          <w:highlight w:val="none"/>
        </w:rPr>
        <w:t>响应截止时间响应供应商或者合格供应商不足3家，可按以下情形处理：</w:t>
      </w:r>
    </w:p>
    <w:p w14:paraId="10665333">
      <w:pPr>
        <w:pStyle w:val="18"/>
        <w:adjustRightInd w:val="0"/>
        <w:snapToGrid w:val="0"/>
        <w:ind w:firstLine="480"/>
        <w:rPr>
          <w:rFonts w:ascii="宋体" w:hAnsi="宋体" w:cs="宋体"/>
          <w:color w:val="auto"/>
          <w:highlight w:val="none"/>
        </w:rPr>
      </w:pPr>
      <w:r>
        <w:rPr>
          <w:rFonts w:hint="eastAsia" w:ascii="宋体" w:hAnsi="宋体" w:cs="宋体"/>
          <w:color w:val="auto"/>
          <w:highlight w:val="none"/>
        </w:rPr>
        <w:t>19.10.1采用公开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52868CF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w:t>
      </w:r>
    </w:p>
    <w:p w14:paraId="14CD7B93">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评审组织</w:t>
      </w:r>
    </w:p>
    <w:p w14:paraId="3BB1277F">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评审工作由代理机构组织，具体评审事务由依法组建的评审委员会负责，并独立履行下列职责：</w:t>
      </w:r>
    </w:p>
    <w:p w14:paraId="0EC7B037">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审查、评价响应文件是否符合采购文件的商务、技术等实质性要求；</w:t>
      </w:r>
    </w:p>
    <w:p w14:paraId="1859D32D">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要求供应商对响应文件有关事项作出澄清或者说明；</w:t>
      </w:r>
    </w:p>
    <w:p w14:paraId="53107D68">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对响应文件进行比较和评价；</w:t>
      </w:r>
    </w:p>
    <w:p w14:paraId="247EE7FF">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推荐成交候选人或根据采购人委托直接确定成交供应商；</w:t>
      </w:r>
    </w:p>
    <w:p w14:paraId="7A415565">
      <w:pPr>
        <w:pStyle w:val="18"/>
        <w:numPr>
          <w:ilvl w:val="0"/>
          <w:numId w:val="30"/>
        </w:numPr>
        <w:ind w:firstLineChars="0"/>
        <w:rPr>
          <w:rFonts w:ascii="宋体" w:hAnsi="宋体" w:cs="宋体"/>
          <w:color w:val="auto"/>
          <w:highlight w:val="none"/>
        </w:rPr>
      </w:pPr>
      <w:r>
        <w:rPr>
          <w:rFonts w:hint="eastAsia" w:ascii="宋体" w:hAnsi="宋体" w:cs="宋体"/>
          <w:color w:val="auto"/>
          <w:highlight w:val="none"/>
        </w:rPr>
        <w:t>向采购人报告评审中发现的违法行为。</w:t>
      </w:r>
    </w:p>
    <w:p w14:paraId="760A01DE">
      <w:pPr>
        <w:pStyle w:val="18"/>
        <w:numPr>
          <w:ilvl w:val="0"/>
          <w:numId w:val="29"/>
        </w:numPr>
        <w:ind w:firstLineChars="0"/>
        <w:rPr>
          <w:rFonts w:ascii="宋体" w:hAnsi="宋体" w:cs="宋体"/>
          <w:color w:val="auto"/>
          <w:highlight w:val="none"/>
        </w:rPr>
      </w:pPr>
      <w:r>
        <w:rPr>
          <w:rFonts w:hint="eastAsia" w:ascii="宋体" w:hAnsi="宋体" w:cs="宋体"/>
          <w:color w:val="auto"/>
          <w:highlight w:val="none"/>
        </w:rPr>
        <w:t>评审委员会由采购人代表和有关技术、经济等方面的专家组成，独立开展评审工作。</w:t>
      </w:r>
    </w:p>
    <w:p w14:paraId="1D79A7D4">
      <w:pPr>
        <w:pStyle w:val="18"/>
        <w:numPr>
          <w:ilvl w:val="0"/>
          <w:numId w:val="28"/>
        </w:numPr>
        <w:ind w:firstLineChars="0"/>
        <w:rPr>
          <w:rFonts w:ascii="宋体" w:hAnsi="宋体" w:cs="宋体"/>
          <w:b/>
          <w:color w:val="auto"/>
          <w:highlight w:val="none"/>
        </w:rPr>
      </w:pPr>
      <w:r>
        <w:rPr>
          <w:rFonts w:hint="eastAsia" w:ascii="宋体" w:hAnsi="宋体" w:cs="宋体"/>
          <w:b/>
          <w:color w:val="auto"/>
          <w:highlight w:val="none"/>
        </w:rPr>
        <w:t>评审程序</w:t>
      </w:r>
    </w:p>
    <w:p w14:paraId="4263F69D">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响应文件的资格审查</w:t>
      </w:r>
    </w:p>
    <w:p w14:paraId="364E68A0">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采购代理机构依法对供应商的资格进行审查。</w:t>
      </w:r>
    </w:p>
    <w:p w14:paraId="15570EBD">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采购代理机构依据法律法规和采购文件的规定，对响应文件中的资格证明文件等进行审查，以确定供应商是否具备响应资格。</w:t>
      </w:r>
    </w:p>
    <w:p w14:paraId="065D1139">
      <w:pPr>
        <w:pStyle w:val="18"/>
        <w:numPr>
          <w:ilvl w:val="0"/>
          <w:numId w:val="32"/>
        </w:numPr>
        <w:ind w:firstLineChars="0"/>
        <w:rPr>
          <w:rFonts w:ascii="宋体" w:hAnsi="宋体" w:cs="宋体"/>
          <w:color w:val="auto"/>
          <w:highlight w:val="none"/>
        </w:rPr>
      </w:pPr>
      <w:r>
        <w:rPr>
          <w:rFonts w:hint="eastAsia" w:ascii="宋体" w:hAnsi="宋体" w:cs="宋体"/>
          <w:color w:val="auto"/>
          <w:highlight w:val="none"/>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28B9583F">
      <w:pPr>
        <w:pStyle w:val="18"/>
        <w:widowControl/>
        <w:numPr>
          <w:ilvl w:val="0"/>
          <w:numId w:val="32"/>
        </w:numPr>
        <w:ind w:firstLineChars="0"/>
        <w:rPr>
          <w:rFonts w:ascii="宋体" w:hAnsi="宋体" w:cs="宋体"/>
          <w:b/>
          <w:color w:val="auto"/>
          <w:highlight w:val="none"/>
        </w:rPr>
      </w:pPr>
      <w:r>
        <w:rPr>
          <w:rFonts w:hint="eastAsia" w:ascii="宋体" w:hAnsi="宋体" w:cs="宋体"/>
          <w:b/>
          <w:color w:val="auto"/>
          <w:highlight w:val="none"/>
        </w:rPr>
        <w:t>响应文件有下列情况之一的，在资格审查时按照无效响应处理</w:t>
      </w:r>
    </w:p>
    <w:p w14:paraId="4D01B8AE">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不具备采购文件规定资格条件的；</w:t>
      </w:r>
    </w:p>
    <w:p w14:paraId="1E310B00">
      <w:pPr>
        <w:pStyle w:val="18"/>
        <w:widowControl/>
        <w:numPr>
          <w:ilvl w:val="0"/>
          <w:numId w:val="33"/>
        </w:numPr>
        <w:ind w:firstLineChars="0"/>
        <w:rPr>
          <w:rFonts w:ascii="宋体" w:hAnsi="宋体" w:cs="宋体"/>
          <w:color w:val="auto"/>
          <w:highlight w:val="none"/>
        </w:rPr>
      </w:pPr>
      <w:r>
        <w:rPr>
          <w:rFonts w:hint="eastAsia" w:ascii="宋体" w:hAnsi="宋体" w:cs="宋体"/>
          <w:color w:val="auto"/>
          <w:highlight w:val="none"/>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2D6F1BFB">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响应文件的符合性审查</w:t>
      </w:r>
    </w:p>
    <w:p w14:paraId="724A615B">
      <w:pPr>
        <w:pStyle w:val="18"/>
        <w:ind w:firstLine="480" w:firstLineChars="0"/>
        <w:rPr>
          <w:rFonts w:ascii="宋体" w:hAnsi="宋体" w:cs="宋体"/>
          <w:color w:val="auto"/>
          <w:highlight w:val="none"/>
        </w:rPr>
      </w:pPr>
      <w:r>
        <w:rPr>
          <w:rFonts w:hint="eastAsia" w:ascii="宋体" w:hAnsi="宋体" w:cs="宋体"/>
          <w:color w:val="auto"/>
          <w:highlight w:val="none"/>
        </w:rPr>
        <w:t>20.2.2.1评审委员会将依据法律法规和采购文件的规定，对响应文件的有效性、完整性和对采购文件的响应程度进行审查，以确定是否对采购文件的实质性要求作出响应。</w:t>
      </w:r>
    </w:p>
    <w:p w14:paraId="04DE54CC">
      <w:pPr>
        <w:pStyle w:val="18"/>
        <w:ind w:firstLine="480" w:firstLineChars="0"/>
        <w:rPr>
          <w:rFonts w:ascii="宋体" w:hAnsi="宋体" w:cs="宋体"/>
          <w:color w:val="auto"/>
          <w:highlight w:val="none"/>
        </w:rPr>
      </w:pPr>
      <w:r>
        <w:rPr>
          <w:rFonts w:hint="eastAsia" w:ascii="宋体" w:hAnsi="宋体" w:cs="宋体"/>
          <w:color w:val="auto"/>
          <w:highlight w:val="none"/>
        </w:rPr>
        <w:t>20.2.2.2实质性要求是指本采购文件中带“★”的商务和技术要求。</w:t>
      </w:r>
    </w:p>
    <w:p w14:paraId="630426D3">
      <w:pPr>
        <w:pStyle w:val="18"/>
        <w:ind w:firstLine="480" w:firstLineChars="0"/>
        <w:rPr>
          <w:rFonts w:ascii="宋体" w:hAnsi="宋体" w:cs="宋体"/>
          <w:color w:val="auto"/>
          <w:highlight w:val="none"/>
        </w:rPr>
      </w:pPr>
      <w:r>
        <w:rPr>
          <w:rFonts w:hint="eastAsia" w:ascii="宋体" w:hAnsi="宋体" w:cs="宋体"/>
          <w:color w:val="auto"/>
          <w:highlight w:val="none"/>
        </w:rPr>
        <w:t>20.2.2.3如果响应文件实质上没有响应采购文件的要求，评审委员会将予以拒绝，供应商不得通过修改或撤销不符合要求的偏离而使其响应成为实质性响应的响应。</w:t>
      </w:r>
    </w:p>
    <w:p w14:paraId="3A6BE909">
      <w:pPr>
        <w:pStyle w:val="18"/>
        <w:ind w:firstLine="480" w:firstLineChars="0"/>
        <w:rPr>
          <w:rFonts w:ascii="宋体" w:hAnsi="宋体" w:cs="宋体"/>
          <w:b/>
          <w:color w:val="auto"/>
          <w:highlight w:val="none"/>
        </w:rPr>
      </w:pPr>
      <w:r>
        <w:rPr>
          <w:rFonts w:hint="eastAsia" w:ascii="宋体" w:hAnsi="宋体" w:cs="宋体"/>
          <w:b/>
          <w:color w:val="auto"/>
          <w:highlight w:val="none"/>
        </w:rPr>
        <w:t>20.2.2.4响应文件有下列情况之一的，在符合性审查时按照无效响应处理</w:t>
      </w:r>
    </w:p>
    <w:p w14:paraId="74B6080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未按照采购文件规定的要求密封、签署、盖章的；</w:t>
      </w:r>
    </w:p>
    <w:p w14:paraId="6F5307A0">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不具备采购文件中规定的资格要求的；</w:t>
      </w:r>
    </w:p>
    <w:p w14:paraId="6668B54E">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报价超过采购文件中规定的预算金额或者最高限价的；</w:t>
      </w:r>
    </w:p>
    <w:p w14:paraId="6D16F608">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响应文件含有采购人不能接受的附加条件的；</w:t>
      </w:r>
    </w:p>
    <w:p w14:paraId="707CAABC">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响应文件不符合采购文件中规定的其它实质性要求的；</w:t>
      </w:r>
    </w:p>
    <w:p w14:paraId="0B47118A">
      <w:pPr>
        <w:pStyle w:val="18"/>
        <w:widowControl/>
        <w:numPr>
          <w:ilvl w:val="0"/>
          <w:numId w:val="34"/>
        </w:numPr>
        <w:ind w:firstLineChars="0"/>
        <w:rPr>
          <w:rFonts w:ascii="宋体" w:hAnsi="宋体" w:cs="宋体"/>
          <w:color w:val="auto"/>
          <w:highlight w:val="none"/>
        </w:rPr>
      </w:pPr>
      <w:r>
        <w:rPr>
          <w:rFonts w:hint="eastAsia" w:ascii="宋体" w:hAnsi="宋体" w:cs="宋体"/>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09D38A8E">
      <w:pPr>
        <w:pStyle w:val="18"/>
        <w:ind w:firstLine="480" w:firstLineChars="0"/>
        <w:rPr>
          <w:rFonts w:ascii="宋体" w:hAnsi="宋体" w:cs="宋体"/>
          <w:b/>
          <w:color w:val="auto"/>
          <w:highlight w:val="none"/>
        </w:rPr>
      </w:pPr>
      <w:r>
        <w:rPr>
          <w:rFonts w:hint="eastAsia" w:ascii="宋体" w:hAnsi="宋体" w:cs="宋体"/>
          <w:b/>
          <w:color w:val="auto"/>
          <w:highlight w:val="none"/>
        </w:rPr>
        <w:t>20.2.2.5提交响应文件截止时间后供应商不足3家或者通过资格审查或符合性审查的供应商不足3家的，除采购任务取消情形外，按照19.10条款处理：</w:t>
      </w:r>
    </w:p>
    <w:p w14:paraId="0533613B">
      <w:pPr>
        <w:pStyle w:val="18"/>
        <w:ind w:firstLine="480" w:firstLineChars="0"/>
        <w:rPr>
          <w:rFonts w:ascii="宋体" w:hAnsi="宋体" w:cs="宋体"/>
          <w:b/>
          <w:color w:val="auto"/>
          <w:highlight w:val="none"/>
        </w:rPr>
      </w:pPr>
      <w:r>
        <w:rPr>
          <w:rFonts w:hint="eastAsia" w:ascii="宋体" w:hAnsi="宋体" w:cs="宋体"/>
          <w:b/>
          <w:color w:val="auto"/>
          <w:highlight w:val="none"/>
        </w:rPr>
        <w:t>20.2.2.6有下列情形之一的予以废标，同时将废标理由通知所有供应商</w:t>
      </w:r>
    </w:p>
    <w:p w14:paraId="3DDD378F">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除19.10中规定的情形外，符合资格条件的供应商或者对采购文件作实质性响应的供应商不足三家的；</w:t>
      </w:r>
    </w:p>
    <w:p w14:paraId="18869005">
      <w:pPr>
        <w:pStyle w:val="18"/>
        <w:numPr>
          <w:ilvl w:val="0"/>
          <w:numId w:val="35"/>
        </w:numPr>
        <w:ind w:firstLineChars="0"/>
        <w:rPr>
          <w:rFonts w:ascii="宋体" w:hAnsi="宋体" w:cs="宋体"/>
          <w:color w:val="auto"/>
          <w:highlight w:val="none"/>
        </w:rPr>
      </w:pPr>
      <w:r>
        <w:rPr>
          <w:rFonts w:hint="eastAsia" w:ascii="宋体" w:hAnsi="宋体" w:cs="宋体"/>
          <w:color w:val="auto"/>
          <w:highlight w:val="none"/>
        </w:rPr>
        <w:t>出现影响采购公正的违法、违规行为的；</w:t>
      </w:r>
    </w:p>
    <w:p w14:paraId="3B037056">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因重大变故，采购任务取消的；</w:t>
      </w:r>
    </w:p>
    <w:p w14:paraId="6F03A0B8">
      <w:pPr>
        <w:pStyle w:val="18"/>
        <w:widowControl/>
        <w:numPr>
          <w:ilvl w:val="0"/>
          <w:numId w:val="35"/>
        </w:numPr>
        <w:ind w:firstLineChars="0"/>
        <w:rPr>
          <w:rFonts w:ascii="宋体" w:hAnsi="宋体" w:cs="宋体"/>
          <w:color w:val="auto"/>
          <w:highlight w:val="none"/>
        </w:rPr>
      </w:pPr>
      <w:r>
        <w:rPr>
          <w:rFonts w:hint="eastAsia" w:ascii="宋体" w:hAnsi="宋体" w:cs="宋体"/>
          <w:color w:val="auto"/>
          <w:highlight w:val="none"/>
        </w:rPr>
        <w:t>采购文件存在歧义、重大缺陷，或者采购文件内容违反国家有关强制性规定的；</w:t>
      </w:r>
    </w:p>
    <w:p w14:paraId="3AF47E4A">
      <w:pPr>
        <w:pStyle w:val="18"/>
        <w:numPr>
          <w:ilvl w:val="0"/>
          <w:numId w:val="31"/>
        </w:numPr>
        <w:ind w:firstLineChars="0"/>
        <w:rPr>
          <w:rFonts w:ascii="宋体" w:hAnsi="宋体" w:cs="宋体"/>
          <w:b/>
          <w:color w:val="auto"/>
          <w:highlight w:val="none"/>
        </w:rPr>
      </w:pPr>
      <w:r>
        <w:rPr>
          <w:rFonts w:hint="eastAsia" w:ascii="宋体" w:hAnsi="宋体" w:cs="宋体"/>
          <w:b/>
          <w:color w:val="auto"/>
          <w:highlight w:val="none"/>
        </w:rPr>
        <w:t>响应文件的进一步评审</w:t>
      </w:r>
    </w:p>
    <w:p w14:paraId="59C57119">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评审委员会将对确定为实质性响应的响应文件进行进一步评审，看其是否有计算上或累加上的算术错误，修正错误的原则如下：</w:t>
      </w:r>
    </w:p>
    <w:p w14:paraId="60D9BE7D">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如果用数字表示的金额和用文字表示的金额不一致时，应以文字表示的金额为准进行修正；</w:t>
      </w:r>
    </w:p>
    <w:p w14:paraId="60FFC505">
      <w:pPr>
        <w:pStyle w:val="18"/>
        <w:numPr>
          <w:ilvl w:val="0"/>
          <w:numId w:val="37"/>
        </w:numPr>
        <w:ind w:firstLineChars="0"/>
        <w:rPr>
          <w:rFonts w:ascii="宋体" w:hAnsi="宋体" w:cs="宋体"/>
          <w:color w:val="auto"/>
          <w:highlight w:val="none"/>
        </w:rPr>
      </w:pPr>
      <w:r>
        <w:rPr>
          <w:rFonts w:hint="eastAsia" w:ascii="宋体" w:hAnsi="宋体" w:cs="宋体"/>
          <w:color w:val="auto"/>
          <w:highlight w:val="none"/>
        </w:rPr>
        <w:t>当单价与数量的乘积和总价不一致时，以单价为准进行修正。只有在评审委员会认为单价有明显的小数点错误时，才能以标出的总价为准，并修改单价。</w:t>
      </w:r>
    </w:p>
    <w:p w14:paraId="4F8586E1">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评审委员会将按上述修正错误的方法调整响应文件中的响应价，调整后的价格应对供应商具有约束力。如果供应商不接受修正后的价格，则其响应将被拒绝。</w:t>
      </w:r>
    </w:p>
    <w:p w14:paraId="20ECEFCE">
      <w:pPr>
        <w:pStyle w:val="18"/>
        <w:numPr>
          <w:ilvl w:val="0"/>
          <w:numId w:val="36"/>
        </w:numPr>
        <w:ind w:firstLineChars="0"/>
        <w:rPr>
          <w:rFonts w:ascii="宋体" w:hAnsi="宋体" w:cs="宋体"/>
          <w:color w:val="auto"/>
          <w:highlight w:val="none"/>
        </w:rPr>
      </w:pPr>
      <w:r>
        <w:rPr>
          <w:rFonts w:hint="eastAsia" w:ascii="宋体" w:hAnsi="宋体" w:cs="宋体"/>
          <w:color w:val="auto"/>
          <w:highlight w:val="none"/>
        </w:rPr>
        <w:t>评审委员会将允许修正响应文件中不构成重大偏离的、微小的、非正规的、不一致的或不规则的地方，但这些修改不能影响任何供应商相应的名次排列。</w:t>
      </w:r>
    </w:p>
    <w:p w14:paraId="2C0216E6">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09AF974E">
      <w:pPr>
        <w:pStyle w:val="18"/>
        <w:widowControl/>
        <w:numPr>
          <w:ilvl w:val="0"/>
          <w:numId w:val="36"/>
        </w:numPr>
        <w:ind w:firstLineChars="0"/>
        <w:rPr>
          <w:rFonts w:ascii="宋体" w:hAnsi="宋体" w:cs="宋体"/>
          <w:color w:val="auto"/>
          <w:highlight w:val="none"/>
        </w:rPr>
      </w:pPr>
      <w:r>
        <w:rPr>
          <w:rFonts w:hint="eastAsia" w:ascii="宋体" w:hAnsi="宋体" w:cs="宋体"/>
          <w:color w:val="auto"/>
          <w:highlight w:val="none"/>
        </w:rPr>
        <w:t>评价。按照采购文件中规定的评审方法和标准，对资格性检查和符合性检查合格的响应文件进行评价。</w:t>
      </w:r>
    </w:p>
    <w:p w14:paraId="4D57EDFF">
      <w:pPr>
        <w:pStyle w:val="18"/>
        <w:widowControl/>
        <w:numPr>
          <w:ilvl w:val="0"/>
          <w:numId w:val="28"/>
        </w:numPr>
        <w:ind w:firstLineChars="0"/>
        <w:rPr>
          <w:rFonts w:ascii="宋体" w:hAnsi="宋体" w:cs="宋体"/>
          <w:b/>
          <w:color w:val="auto"/>
          <w:highlight w:val="none"/>
        </w:rPr>
      </w:pPr>
      <w:r>
        <w:rPr>
          <w:rFonts w:hint="eastAsia" w:ascii="宋体" w:hAnsi="宋体" w:cs="宋体"/>
          <w:b/>
          <w:color w:val="auto"/>
          <w:highlight w:val="none"/>
        </w:rPr>
        <w:t>评审方法和标准</w:t>
      </w:r>
    </w:p>
    <w:p w14:paraId="7DE24176">
      <w:pPr>
        <w:pStyle w:val="18"/>
        <w:widowControl/>
        <w:numPr>
          <w:ilvl w:val="0"/>
          <w:numId w:val="38"/>
        </w:numPr>
        <w:ind w:firstLineChars="0"/>
        <w:rPr>
          <w:rFonts w:ascii="宋体" w:hAnsi="宋体" w:cs="宋体"/>
          <w:color w:val="auto"/>
          <w:highlight w:val="none"/>
        </w:rPr>
      </w:pPr>
      <w:r>
        <w:rPr>
          <w:rFonts w:hint="eastAsia" w:ascii="宋体" w:hAnsi="宋体" w:cs="宋体"/>
          <w:color w:val="auto"/>
          <w:highlight w:val="none"/>
        </w:rPr>
        <w:t>采用综合评分法。即在响应文件满足采购文件全部实质性要求前提下，按照评审因素的量化指标评分。</w:t>
      </w:r>
    </w:p>
    <w:p w14:paraId="3FF4DF51">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综合评分的主要因素是：价格、技术、服务、业绩、履约能力等。</w:t>
      </w:r>
    </w:p>
    <w:p w14:paraId="00EF57E8">
      <w:pPr>
        <w:pStyle w:val="18"/>
        <w:numPr>
          <w:ilvl w:val="0"/>
          <w:numId w:val="38"/>
        </w:numPr>
        <w:ind w:firstLineChars="0"/>
        <w:rPr>
          <w:rFonts w:ascii="宋体" w:hAnsi="宋体" w:cs="宋体"/>
          <w:color w:val="auto"/>
          <w:highlight w:val="none"/>
        </w:rPr>
      </w:pPr>
      <w:r>
        <w:rPr>
          <w:rFonts w:hint="eastAsia" w:ascii="宋体" w:hAnsi="宋体" w:cs="宋体"/>
          <w:color w:val="auto"/>
          <w:highlight w:val="none"/>
        </w:rPr>
        <w:t>评分标准详见文件第三章。</w:t>
      </w:r>
    </w:p>
    <w:p w14:paraId="1474620B">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确定成交供应商</w:t>
      </w:r>
    </w:p>
    <w:p w14:paraId="1548919F">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highlight w:val="none"/>
          <w:u w:val="single"/>
        </w:rPr>
        <w:t>（2）</w:t>
      </w:r>
      <w:r>
        <w:rPr>
          <w:rFonts w:hint="eastAsia" w:ascii="宋体" w:hAnsi="宋体" w:cs="宋体"/>
          <w:color w:val="auto"/>
          <w:highlight w:val="none"/>
        </w:rPr>
        <w:t>种方式确定成交供应商</w:t>
      </w:r>
    </w:p>
    <w:p w14:paraId="1BE743C3">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评审委员会直接确定排名第一的成交候选人为成交供应商；</w:t>
      </w:r>
    </w:p>
    <w:p w14:paraId="6ACC869C">
      <w:pPr>
        <w:pStyle w:val="18"/>
        <w:numPr>
          <w:ilvl w:val="0"/>
          <w:numId w:val="40"/>
        </w:numPr>
        <w:ind w:firstLineChars="0"/>
        <w:rPr>
          <w:rFonts w:ascii="宋体" w:hAnsi="宋体" w:cs="宋体"/>
          <w:color w:val="auto"/>
          <w:highlight w:val="none"/>
        </w:rPr>
      </w:pPr>
      <w:r>
        <w:rPr>
          <w:rFonts w:hint="eastAsia" w:ascii="宋体" w:hAnsi="宋体" w:cs="宋体"/>
          <w:color w:val="auto"/>
          <w:highlight w:val="none"/>
        </w:rPr>
        <w:t>采购人项目单位在评审委员会推荐的成交候选人中按顺序确定成交供应商。</w:t>
      </w:r>
    </w:p>
    <w:p w14:paraId="48D45A99">
      <w:pPr>
        <w:pStyle w:val="18"/>
        <w:ind w:firstLine="480"/>
        <w:rPr>
          <w:rFonts w:ascii="宋体" w:hAnsi="宋体" w:cs="宋体"/>
          <w:color w:val="auto"/>
          <w:highlight w:val="none"/>
        </w:rPr>
      </w:pPr>
      <w:r>
        <w:rPr>
          <w:rFonts w:hint="eastAsia" w:ascii="宋体" w:hAnsi="宋体" w:cs="宋体"/>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07F2129">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成交供应商确定之日起两个工作日内，将在“南京邮电大学校园网”发布公告，并向成交供应商发出《成交通知书》。</w:t>
      </w:r>
    </w:p>
    <w:p w14:paraId="15149080">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《成交通知书》对采购人和成交供应商具有同等法律效力。</w:t>
      </w:r>
    </w:p>
    <w:p w14:paraId="6C821D40">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《成交通知书》发出后，成交供应商无正当理由不与采购人签订合同的，应当依法承担法律责任。</w:t>
      </w:r>
    </w:p>
    <w:p w14:paraId="09AA1C99">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代理机构和评审委员会对未成交的供应商不作未成交原因的解释。</w:t>
      </w:r>
    </w:p>
    <w:p w14:paraId="296E51FD">
      <w:pPr>
        <w:pStyle w:val="18"/>
        <w:numPr>
          <w:ilvl w:val="0"/>
          <w:numId w:val="39"/>
        </w:numPr>
        <w:ind w:firstLineChars="0"/>
        <w:rPr>
          <w:rFonts w:ascii="宋体" w:hAnsi="宋体" w:cs="宋体"/>
          <w:color w:val="auto"/>
          <w:highlight w:val="none"/>
        </w:rPr>
      </w:pPr>
      <w:r>
        <w:rPr>
          <w:rFonts w:hint="eastAsia" w:ascii="宋体" w:hAnsi="宋体" w:cs="宋体"/>
          <w:color w:val="auto"/>
          <w:highlight w:val="none"/>
        </w:rPr>
        <w:t>所有响应文件不论成交与否均不退回。</w:t>
      </w:r>
    </w:p>
    <w:p w14:paraId="79A14A81">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编写评审报告</w:t>
      </w:r>
    </w:p>
    <w:p w14:paraId="62D72915">
      <w:pPr>
        <w:pStyle w:val="18"/>
        <w:ind w:firstLine="480"/>
        <w:rPr>
          <w:rFonts w:ascii="宋体" w:hAnsi="宋体" w:cs="宋体"/>
          <w:color w:val="auto"/>
          <w:highlight w:val="none"/>
        </w:rPr>
      </w:pPr>
      <w:r>
        <w:rPr>
          <w:rFonts w:hint="eastAsia" w:ascii="宋体" w:hAnsi="宋体" w:cs="宋体"/>
          <w:color w:val="auto"/>
          <w:highlight w:val="none"/>
        </w:rPr>
        <w:t>评审委员会根据全体评审成员签字的原始评审记录和评审结果编写评审报告。</w:t>
      </w:r>
    </w:p>
    <w:p w14:paraId="637D20D7">
      <w:pPr>
        <w:pStyle w:val="18"/>
        <w:numPr>
          <w:ilvl w:val="0"/>
          <w:numId w:val="26"/>
        </w:numPr>
        <w:ind w:firstLineChars="0"/>
        <w:rPr>
          <w:rFonts w:ascii="宋体" w:hAnsi="宋体" w:cs="宋体"/>
          <w:b/>
          <w:color w:val="auto"/>
          <w:highlight w:val="none"/>
        </w:rPr>
      </w:pPr>
      <w:r>
        <w:rPr>
          <w:rFonts w:hint="eastAsia" w:ascii="宋体" w:hAnsi="宋体" w:cs="宋体"/>
          <w:b/>
          <w:color w:val="auto"/>
          <w:highlight w:val="none"/>
        </w:rPr>
        <w:t>评审过程的保密</w:t>
      </w:r>
    </w:p>
    <w:p w14:paraId="70341144">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代理机构将采取必要措施，保证评审在严格保密的情况下进行。</w:t>
      </w:r>
    </w:p>
    <w:p w14:paraId="1E5D7D49">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任何单位和个人不得非法干预、影响评审办法的确定，以及评审过程和结果。</w:t>
      </w:r>
    </w:p>
    <w:p w14:paraId="6E7D33EE">
      <w:pPr>
        <w:pStyle w:val="18"/>
        <w:numPr>
          <w:ilvl w:val="0"/>
          <w:numId w:val="41"/>
        </w:numPr>
        <w:ind w:firstLineChars="0"/>
        <w:rPr>
          <w:rFonts w:ascii="宋体" w:hAnsi="宋体" w:cs="宋体"/>
          <w:color w:val="auto"/>
          <w:highlight w:val="none"/>
        </w:rPr>
      </w:pPr>
      <w:r>
        <w:rPr>
          <w:rFonts w:hint="eastAsia" w:ascii="宋体" w:hAnsi="宋体" w:cs="宋体"/>
          <w:color w:val="auto"/>
          <w:highlight w:val="none"/>
        </w:rPr>
        <w:t>凡是与审查、澄清、评价和比较响应的有关资料等，均不得向供应商及与评审无关的人员透露。</w:t>
      </w:r>
    </w:p>
    <w:p w14:paraId="6AD52F3B">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签订合同</w:t>
      </w:r>
    </w:p>
    <w:p w14:paraId="7D3DEBCD">
      <w:pPr>
        <w:pStyle w:val="18"/>
        <w:ind w:firstLine="482"/>
        <w:rPr>
          <w:rFonts w:ascii="宋体" w:hAnsi="宋体" w:cs="宋体"/>
          <w:b/>
          <w:color w:val="auto"/>
          <w:highlight w:val="none"/>
        </w:rPr>
      </w:pPr>
      <w:r>
        <w:rPr>
          <w:rFonts w:hint="eastAsia" w:ascii="宋体" w:hAnsi="宋体" w:cs="宋体"/>
          <w:b/>
          <w:color w:val="auto"/>
          <w:highlight w:val="none"/>
        </w:rPr>
        <w:t>24.签订合同</w:t>
      </w:r>
    </w:p>
    <w:p w14:paraId="53D64DF3">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6E3D1EAD">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采购人不得向成交供应商提出任何不合理的要求作为签订合同的条件，不得与成交供应商私下订立背离合同实质性内容的协议。</w:t>
      </w:r>
    </w:p>
    <w:p w14:paraId="10F43EF0">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A259FEF">
      <w:pPr>
        <w:pStyle w:val="18"/>
        <w:numPr>
          <w:ilvl w:val="0"/>
          <w:numId w:val="42"/>
        </w:numPr>
        <w:ind w:firstLineChars="0"/>
        <w:rPr>
          <w:rFonts w:ascii="宋体" w:hAnsi="宋体" w:cs="宋体"/>
          <w:color w:val="auto"/>
          <w:highlight w:val="none"/>
        </w:rPr>
      </w:pPr>
      <w:r>
        <w:rPr>
          <w:rFonts w:hint="eastAsia" w:ascii="宋体" w:hAnsi="宋体" w:cs="宋体"/>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5F36543D">
      <w:pPr>
        <w:pStyle w:val="18"/>
        <w:numPr>
          <w:ilvl w:val="0"/>
          <w:numId w:val="8"/>
        </w:numPr>
        <w:ind w:firstLineChars="0"/>
        <w:rPr>
          <w:rFonts w:ascii="宋体" w:hAnsi="宋体" w:cs="宋体"/>
          <w:b/>
          <w:color w:val="auto"/>
          <w:highlight w:val="none"/>
        </w:rPr>
      </w:pPr>
      <w:r>
        <w:rPr>
          <w:rFonts w:hint="eastAsia" w:ascii="宋体" w:hAnsi="宋体" w:cs="宋体"/>
          <w:b/>
          <w:color w:val="auto"/>
          <w:highlight w:val="none"/>
        </w:rPr>
        <w:t>询问、质疑、投诉和诚实信用</w:t>
      </w:r>
    </w:p>
    <w:p w14:paraId="077C2767">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询问提出与答复</w:t>
      </w:r>
    </w:p>
    <w:p w14:paraId="1E62C27F">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492D6B75">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1962320D">
      <w:pPr>
        <w:pStyle w:val="18"/>
        <w:ind w:firstLine="480"/>
        <w:rPr>
          <w:rFonts w:ascii="宋体" w:hAnsi="宋体" w:cs="宋体"/>
          <w:color w:val="auto"/>
          <w:highlight w:val="none"/>
        </w:rPr>
      </w:pPr>
      <w:r>
        <w:rPr>
          <w:rFonts w:hint="eastAsia" w:ascii="宋体" w:hAnsi="宋体" w:cs="宋体"/>
          <w:color w:val="auto"/>
          <w:highlight w:val="none"/>
        </w:rPr>
        <w:t>对采购文件资格条件、采购需求、评审办法等实质性内容提出的询问，被询问人可以按照审慎原则组织专家论证，参考论证意见进行澄清、修改和答复。</w:t>
      </w:r>
    </w:p>
    <w:p w14:paraId="5466EC9E">
      <w:pPr>
        <w:pStyle w:val="18"/>
        <w:numPr>
          <w:ilvl w:val="0"/>
          <w:numId w:val="44"/>
        </w:numPr>
        <w:ind w:firstLineChars="0"/>
        <w:rPr>
          <w:rFonts w:ascii="宋体" w:hAnsi="宋体" w:cs="宋体"/>
          <w:color w:val="auto"/>
          <w:highlight w:val="none"/>
        </w:rPr>
      </w:pPr>
      <w:r>
        <w:rPr>
          <w:rFonts w:hint="eastAsia" w:ascii="宋体" w:hAnsi="宋体" w:cs="宋体"/>
          <w:color w:val="auto"/>
          <w:highlight w:val="none"/>
        </w:rPr>
        <w:t>如供应商询问事项涉及依法应当保密的内容，被询问人不予答复，向供应商说明理由和依据。</w:t>
      </w:r>
    </w:p>
    <w:p w14:paraId="11335FF0">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质疑提出与答复</w:t>
      </w:r>
    </w:p>
    <w:p w14:paraId="2CBE1D8D">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供应商认为采购文件、采购过程、成交或者成交结果使自己的权益受到损害的，可以在知道或者应知其权益受到损害之日起规定质疑期 5 个工作日内，以书面形式向采购人、代理机构提出质疑。</w:t>
      </w:r>
    </w:p>
    <w:p w14:paraId="319257B1">
      <w:pPr>
        <w:pStyle w:val="18"/>
        <w:ind w:firstLine="480"/>
        <w:rPr>
          <w:rFonts w:ascii="宋体" w:hAnsi="宋体" w:cs="宋体"/>
          <w:color w:val="auto"/>
          <w:highlight w:val="none"/>
        </w:rPr>
      </w:pPr>
      <w:r>
        <w:rPr>
          <w:rFonts w:hint="eastAsia" w:ascii="宋体" w:hAnsi="宋体" w:cs="宋体"/>
          <w:color w:val="auto"/>
          <w:highlight w:val="none"/>
        </w:rPr>
        <w:t>26.1.1供应商在规定质疑期内应一次性提出针对同一采购程序环节的质疑。</w:t>
      </w:r>
    </w:p>
    <w:p w14:paraId="2B95444A">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供应商知道或者应知其权益受到损害之日，是指：</w:t>
      </w:r>
    </w:p>
    <w:p w14:paraId="20292158">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对可以质疑的采购文件提出质疑的，为收到采购文件之日或者采购文件公告期限届满之日；</w:t>
      </w:r>
    </w:p>
    <w:p w14:paraId="7D2E8EEF">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对采购过程提出质疑的，为各采购程序环节结束之日；</w:t>
      </w:r>
    </w:p>
    <w:p w14:paraId="4D96A51F">
      <w:pPr>
        <w:pStyle w:val="18"/>
        <w:numPr>
          <w:ilvl w:val="0"/>
          <w:numId w:val="46"/>
        </w:numPr>
        <w:ind w:firstLineChars="0"/>
        <w:rPr>
          <w:rFonts w:ascii="宋体" w:hAnsi="宋体" w:cs="宋体"/>
          <w:color w:val="auto"/>
          <w:highlight w:val="none"/>
        </w:rPr>
      </w:pPr>
      <w:r>
        <w:rPr>
          <w:rFonts w:hint="eastAsia" w:ascii="宋体" w:hAnsi="宋体" w:cs="宋体"/>
          <w:color w:val="auto"/>
          <w:highlight w:val="none"/>
        </w:rPr>
        <w:t>对成交或者成交结果提出质疑的，为成交或者成交结果公告期限届满之日。</w:t>
      </w:r>
    </w:p>
    <w:p w14:paraId="463EC059">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提出质疑的供应商应当是参与所质疑项目采购活动的供应商。潜在供应商已依法获取其可质疑的采购文件的，可以对该文件提出质疑。</w:t>
      </w:r>
    </w:p>
    <w:p w14:paraId="281139F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供应商提出质疑应当提交质疑函和必要的证明材料。质疑函应当包括下列内容：</w:t>
      </w:r>
    </w:p>
    <w:p w14:paraId="10328CB1">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供应商的姓名或者名称、地址、邮编、联系人及联系电话；</w:t>
      </w:r>
    </w:p>
    <w:p w14:paraId="30FE9ED2">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质疑项目的名称、编号；</w:t>
      </w:r>
    </w:p>
    <w:p w14:paraId="0B47E973">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具体、明确的质疑事项和与质疑事项相关的请求；</w:t>
      </w:r>
    </w:p>
    <w:p w14:paraId="569C62C0">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事实依据；</w:t>
      </w:r>
    </w:p>
    <w:p w14:paraId="1CD9F1D7">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必要的法律依据；</w:t>
      </w:r>
    </w:p>
    <w:p w14:paraId="0139312B">
      <w:pPr>
        <w:pStyle w:val="18"/>
        <w:numPr>
          <w:ilvl w:val="0"/>
          <w:numId w:val="47"/>
        </w:numPr>
        <w:ind w:firstLineChars="0"/>
        <w:rPr>
          <w:rFonts w:ascii="宋体" w:hAnsi="宋体" w:cs="宋体"/>
          <w:color w:val="auto"/>
          <w:highlight w:val="none"/>
        </w:rPr>
      </w:pPr>
      <w:r>
        <w:rPr>
          <w:rFonts w:hint="eastAsia" w:ascii="宋体" w:hAnsi="宋体" w:cs="宋体"/>
          <w:color w:val="auto"/>
          <w:highlight w:val="none"/>
        </w:rPr>
        <w:t>提出质疑的日期。</w:t>
      </w:r>
    </w:p>
    <w:p w14:paraId="0BD28A60">
      <w:pPr>
        <w:pStyle w:val="18"/>
        <w:ind w:firstLine="480"/>
        <w:rPr>
          <w:rFonts w:ascii="宋体" w:hAnsi="宋体" w:cs="宋体"/>
          <w:color w:val="auto"/>
          <w:highlight w:val="none"/>
        </w:rPr>
      </w:pPr>
      <w:r>
        <w:rPr>
          <w:rFonts w:hint="eastAsia" w:ascii="宋体" w:hAnsi="宋体" w:cs="宋体"/>
          <w:color w:val="auto"/>
          <w:highlight w:val="none"/>
        </w:rPr>
        <w:t>供应商为自然人的，应当由本人签字；供应商为法人或者其他组织的，应当由法定代表人、主要负责人，或者其授权代表签字或者盖章，并加盖公章。</w:t>
      </w:r>
    </w:p>
    <w:p w14:paraId="0EACDA1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采购人、代理机构不得拒收质疑供应商在规定质疑期内发出的质疑函。质疑函通过邮寄送达的，按交邮时间计算。逾期送达的，不予接收。</w:t>
      </w:r>
    </w:p>
    <w:p w14:paraId="156E11C0">
      <w:pPr>
        <w:pStyle w:val="18"/>
        <w:numPr>
          <w:ilvl w:val="0"/>
          <w:numId w:val="45"/>
        </w:numPr>
        <w:ind w:firstLineChars="0"/>
        <w:rPr>
          <w:rFonts w:ascii="宋体" w:hAnsi="宋体" w:cs="宋体"/>
          <w:color w:val="auto"/>
          <w:highlight w:val="none"/>
        </w:rPr>
      </w:pPr>
      <w:r>
        <w:rPr>
          <w:rFonts w:hint="eastAsia" w:ascii="宋体" w:hAnsi="宋体" w:cs="宋体"/>
          <w:color w:val="auto"/>
          <w:highlight w:val="none"/>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435794DC">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供应商不是参与所质疑项目采购活动的供应商或依法获取可质疑采购文件的潜在供应商；</w:t>
      </w:r>
    </w:p>
    <w:p w14:paraId="1FAE8C2E">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潜在供应商所质疑事项均为采购文件以外的事项；</w:t>
      </w:r>
    </w:p>
    <w:p w14:paraId="0B7FDE66">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供应商提交质疑的时间已超过规定质疑期。</w:t>
      </w:r>
    </w:p>
    <w:p w14:paraId="7F2C0F76">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质疑函未按规定签字、盖章，或代理人提出质疑未提交供应商签署的授权委托书，采购人、代理机构告知后，供应商或代理人未在规定质疑期内补正后提出的。</w:t>
      </w:r>
    </w:p>
    <w:p w14:paraId="281BFEA7">
      <w:pPr>
        <w:pStyle w:val="18"/>
        <w:numPr>
          <w:ilvl w:val="0"/>
          <w:numId w:val="48"/>
        </w:numPr>
        <w:ind w:firstLineChars="0"/>
        <w:rPr>
          <w:rFonts w:ascii="宋体" w:hAnsi="宋体" w:cs="宋体"/>
          <w:color w:val="auto"/>
          <w:highlight w:val="none"/>
        </w:rPr>
      </w:pPr>
      <w:r>
        <w:rPr>
          <w:rFonts w:hint="eastAsia" w:ascii="宋体" w:hAnsi="宋体" w:cs="宋体"/>
          <w:color w:val="auto"/>
          <w:highlight w:val="none"/>
        </w:rPr>
        <w:t>其它不符合受理条件的情形。</w:t>
      </w:r>
    </w:p>
    <w:p w14:paraId="5DEFD61A">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投诉提起与处理</w:t>
      </w:r>
    </w:p>
    <w:p w14:paraId="4BDA5F18">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投诉提起</w:t>
      </w:r>
    </w:p>
    <w:p w14:paraId="368D34B4">
      <w:pPr>
        <w:pStyle w:val="18"/>
        <w:ind w:firstLine="480"/>
        <w:rPr>
          <w:rFonts w:ascii="宋体" w:hAnsi="宋体" w:cs="宋体"/>
          <w:color w:val="auto"/>
          <w:highlight w:val="none"/>
        </w:rPr>
      </w:pPr>
      <w:r>
        <w:rPr>
          <w:rFonts w:hint="eastAsia" w:ascii="宋体" w:hAnsi="宋体" w:cs="宋体"/>
          <w:color w:val="auto"/>
          <w:highlight w:val="none"/>
        </w:rPr>
        <w:t>质疑供应商对代理机构的答复不满意，或者代理机构未在规定时间内作出答复的，可以在答复期满后法律法规规定的期限内向有关行政监督部门提起投诉。</w:t>
      </w:r>
    </w:p>
    <w:p w14:paraId="73AA5777">
      <w:pPr>
        <w:pStyle w:val="18"/>
        <w:numPr>
          <w:ilvl w:val="0"/>
          <w:numId w:val="49"/>
        </w:numPr>
        <w:ind w:firstLineChars="0"/>
        <w:rPr>
          <w:rFonts w:ascii="宋体" w:hAnsi="宋体" w:cs="宋体"/>
          <w:color w:val="auto"/>
          <w:highlight w:val="none"/>
        </w:rPr>
      </w:pPr>
      <w:r>
        <w:rPr>
          <w:rFonts w:hint="eastAsia" w:ascii="宋体" w:hAnsi="宋体" w:cs="宋体"/>
          <w:color w:val="auto"/>
          <w:highlight w:val="none"/>
        </w:rPr>
        <w:t>供应商投诉时，应当提交投诉书和必要的证明材料。投诉书应当包括下列内容：</w:t>
      </w:r>
    </w:p>
    <w:p w14:paraId="339CD6D2">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投诉人和被投诉人的姓名或者名称、通讯地址、邮编、联系人及联系电话；</w:t>
      </w:r>
    </w:p>
    <w:p w14:paraId="422646BB">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质疑和质疑答复情况说明及相关证明材料；</w:t>
      </w:r>
    </w:p>
    <w:p w14:paraId="348C472A">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具体、明确的投诉事项和与投诉事项相关的投诉请求；</w:t>
      </w:r>
    </w:p>
    <w:p w14:paraId="0EF03C31">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事实依据；</w:t>
      </w:r>
    </w:p>
    <w:p w14:paraId="1C691E34">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法律依据；</w:t>
      </w:r>
    </w:p>
    <w:p w14:paraId="703BDD4C">
      <w:pPr>
        <w:pStyle w:val="18"/>
        <w:numPr>
          <w:ilvl w:val="0"/>
          <w:numId w:val="50"/>
        </w:numPr>
        <w:ind w:firstLineChars="0"/>
        <w:rPr>
          <w:rFonts w:ascii="宋体" w:hAnsi="宋体" w:cs="宋体"/>
          <w:color w:val="auto"/>
          <w:highlight w:val="none"/>
        </w:rPr>
      </w:pPr>
      <w:r>
        <w:rPr>
          <w:rFonts w:hint="eastAsia" w:ascii="宋体" w:hAnsi="宋体" w:cs="宋体"/>
          <w:color w:val="auto"/>
          <w:highlight w:val="none"/>
        </w:rPr>
        <w:t>提起投诉的日期。</w:t>
      </w:r>
    </w:p>
    <w:p w14:paraId="52832B2A">
      <w:pPr>
        <w:pStyle w:val="18"/>
        <w:ind w:firstLine="480"/>
        <w:rPr>
          <w:rFonts w:ascii="宋体" w:hAnsi="宋体" w:cs="宋体"/>
          <w:color w:val="auto"/>
          <w:highlight w:val="none"/>
        </w:rPr>
      </w:pPr>
      <w:r>
        <w:rPr>
          <w:rFonts w:hint="eastAsia" w:ascii="宋体" w:hAnsi="宋体" w:cs="宋体"/>
          <w:color w:val="auto"/>
          <w:highlight w:val="none"/>
        </w:rPr>
        <w:t>投诉人为自然人的，应当由本人签字；投诉人为法人或者其他组织的，应当由法定代表人、主要负责人，或者其授权代表签字或者盖章，并加盖公章。</w:t>
      </w:r>
    </w:p>
    <w:p w14:paraId="30EEEA88">
      <w:pPr>
        <w:pStyle w:val="18"/>
        <w:numPr>
          <w:ilvl w:val="0"/>
          <w:numId w:val="43"/>
        </w:numPr>
        <w:ind w:firstLineChars="0"/>
        <w:rPr>
          <w:rFonts w:ascii="宋体" w:hAnsi="宋体" w:cs="宋体"/>
          <w:b/>
          <w:color w:val="auto"/>
          <w:highlight w:val="none"/>
        </w:rPr>
      </w:pPr>
      <w:r>
        <w:rPr>
          <w:rFonts w:hint="eastAsia" w:ascii="宋体" w:hAnsi="宋体" w:cs="宋体"/>
          <w:b/>
          <w:color w:val="auto"/>
          <w:highlight w:val="none"/>
        </w:rPr>
        <w:t>诚实信用</w:t>
      </w:r>
    </w:p>
    <w:p w14:paraId="0C3311CA">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供应商之间不得相互串通响应报价，不得妨碍其他供应商的公平竞争，不得损害采购人和其他供应商的合法权益。</w:t>
      </w:r>
    </w:p>
    <w:p w14:paraId="2936AFDE">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21E1BC53">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64447FC5">
      <w:pPr>
        <w:pStyle w:val="18"/>
        <w:numPr>
          <w:ilvl w:val="0"/>
          <w:numId w:val="51"/>
        </w:numPr>
        <w:ind w:firstLineChars="0"/>
        <w:rPr>
          <w:rFonts w:ascii="宋体" w:hAnsi="宋体" w:cs="宋体"/>
          <w:color w:val="auto"/>
          <w:highlight w:val="none"/>
        </w:rPr>
      </w:pPr>
      <w:r>
        <w:rPr>
          <w:rFonts w:hint="eastAsia" w:ascii="宋体" w:hAnsi="宋体" w:cs="宋体"/>
          <w:color w:val="auto"/>
          <w:highlight w:val="none"/>
        </w:rPr>
        <w:t>供应商不得虚假承诺，否则，按照提供虚假材料谋取成交处理。</w:t>
      </w:r>
    </w:p>
    <w:p w14:paraId="17BB0292">
      <w:pPr>
        <w:rPr>
          <w:rFonts w:ascii="宋体" w:hAnsi="宋体" w:cs="宋体"/>
          <w:b/>
          <w:color w:val="auto"/>
          <w:sz w:val="36"/>
          <w:highlight w:val="none"/>
        </w:rPr>
      </w:pPr>
      <w:r>
        <w:rPr>
          <w:rFonts w:hint="eastAsia" w:ascii="宋体" w:hAnsi="宋体" w:cs="宋体"/>
          <w:b/>
          <w:color w:val="auto"/>
          <w:sz w:val="36"/>
          <w:highlight w:val="none"/>
        </w:rPr>
        <w:br w:type="page"/>
      </w:r>
    </w:p>
    <w:p w14:paraId="4F3739B2">
      <w:pPr>
        <w:pStyle w:val="262"/>
        <w:rPr>
          <w:rFonts w:ascii="宋体" w:hAnsi="宋体" w:eastAsia="宋体" w:cs="宋体"/>
          <w:color w:val="auto"/>
          <w:highlight w:val="none"/>
        </w:rPr>
      </w:pPr>
      <w:r>
        <w:rPr>
          <w:rFonts w:hint="eastAsia" w:ascii="宋体" w:hAnsi="宋体" w:eastAsia="宋体" w:cs="宋体"/>
          <w:color w:val="auto"/>
          <w:highlight w:val="none"/>
        </w:rPr>
        <w:t>第三章  评审标准</w:t>
      </w:r>
    </w:p>
    <w:p w14:paraId="6AEA43F9">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评审方法与确定成交供应商原则</w:t>
      </w:r>
    </w:p>
    <w:p w14:paraId="5D313E5A">
      <w:pPr>
        <w:pStyle w:val="18"/>
        <w:ind w:firstLine="480"/>
        <w:rPr>
          <w:rFonts w:ascii="宋体" w:hAnsi="宋体" w:cs="宋体"/>
          <w:color w:val="auto"/>
          <w:highlight w:val="none"/>
        </w:rPr>
      </w:pPr>
      <w:r>
        <w:rPr>
          <w:rFonts w:hint="eastAsia" w:ascii="宋体" w:hAnsi="宋体" w:cs="宋体"/>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4CA64A64">
      <w:pPr>
        <w:pStyle w:val="18"/>
        <w:ind w:firstLine="480"/>
        <w:rPr>
          <w:rFonts w:ascii="宋体" w:hAnsi="宋体" w:cs="宋体"/>
          <w:color w:val="auto"/>
          <w:highlight w:val="none"/>
        </w:rPr>
      </w:pPr>
      <w:r>
        <w:rPr>
          <w:rFonts w:hint="eastAsia" w:ascii="宋体" w:hAnsi="宋体" w:cs="宋体"/>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244F6DBB">
      <w:pPr>
        <w:pStyle w:val="18"/>
        <w:numPr>
          <w:ilvl w:val="0"/>
          <w:numId w:val="52"/>
        </w:numPr>
        <w:ind w:firstLineChars="0"/>
        <w:rPr>
          <w:rFonts w:ascii="宋体" w:hAnsi="宋体" w:cs="宋体"/>
          <w:b/>
          <w:color w:val="auto"/>
          <w:highlight w:val="none"/>
        </w:rPr>
      </w:pPr>
      <w:r>
        <w:rPr>
          <w:rFonts w:hint="eastAsia" w:ascii="宋体" w:hAnsi="宋体" w:cs="宋体"/>
          <w:b/>
          <w:color w:val="auto"/>
          <w:highlight w:val="none"/>
        </w:rPr>
        <w:t>评分标准</w:t>
      </w:r>
    </w:p>
    <w:tbl>
      <w:tblPr>
        <w:tblStyle w:val="44"/>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338"/>
        <w:gridCol w:w="6600"/>
        <w:gridCol w:w="913"/>
      </w:tblGrid>
      <w:tr w14:paraId="0FC81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500" w:type="dxa"/>
            <w:tcBorders>
              <w:top w:val="single" w:color="auto" w:sz="4" w:space="0"/>
              <w:left w:val="single" w:color="auto" w:sz="4" w:space="0"/>
              <w:bottom w:val="single" w:color="auto" w:sz="4" w:space="0"/>
              <w:right w:val="single" w:color="auto" w:sz="4" w:space="0"/>
            </w:tcBorders>
            <w:vAlign w:val="center"/>
          </w:tcPr>
          <w:p w14:paraId="10DE8777">
            <w:pPr>
              <w:widowControl/>
              <w:snapToGrid w:val="0"/>
              <w:spacing w:line="276" w:lineRule="auto"/>
              <w:jc w:val="center"/>
              <w:rPr>
                <w:rFonts w:hint="eastAsia" w:ascii="宋体" w:hAnsi="宋体" w:eastAsia="宋体" w:cs="宋体"/>
                <w:b/>
                <w:szCs w:val="21"/>
              </w:rPr>
            </w:pPr>
            <w:r>
              <w:rPr>
                <w:rFonts w:hint="eastAsia" w:ascii="宋体" w:hAnsi="宋体" w:eastAsia="宋体" w:cs="宋体"/>
                <w:b/>
                <w:szCs w:val="21"/>
              </w:rPr>
              <w:t>序号</w:t>
            </w:r>
          </w:p>
        </w:tc>
        <w:tc>
          <w:tcPr>
            <w:tcW w:w="1338" w:type="dxa"/>
            <w:tcBorders>
              <w:top w:val="single" w:color="auto" w:sz="4" w:space="0"/>
              <w:left w:val="single" w:color="auto" w:sz="4" w:space="0"/>
              <w:bottom w:val="single" w:color="auto" w:sz="4" w:space="0"/>
              <w:right w:val="single" w:color="auto" w:sz="4" w:space="0"/>
            </w:tcBorders>
            <w:vAlign w:val="center"/>
          </w:tcPr>
          <w:p w14:paraId="43FF9F05">
            <w:pPr>
              <w:widowControl/>
              <w:snapToGrid w:val="0"/>
              <w:spacing w:line="276" w:lineRule="auto"/>
              <w:jc w:val="center"/>
              <w:rPr>
                <w:rFonts w:hint="eastAsia" w:ascii="宋体" w:hAnsi="宋体" w:eastAsia="宋体" w:cs="宋体"/>
                <w:b/>
                <w:szCs w:val="21"/>
              </w:rPr>
            </w:pPr>
            <w:r>
              <w:rPr>
                <w:rFonts w:hint="eastAsia" w:ascii="宋体" w:hAnsi="宋体" w:eastAsia="宋体" w:cs="宋体"/>
                <w:b/>
                <w:szCs w:val="21"/>
              </w:rPr>
              <w:t>评审</w:t>
            </w:r>
          </w:p>
          <w:p w14:paraId="408464E6">
            <w:pPr>
              <w:widowControl/>
              <w:snapToGrid w:val="0"/>
              <w:spacing w:line="276" w:lineRule="auto"/>
              <w:jc w:val="center"/>
              <w:rPr>
                <w:rFonts w:hint="eastAsia" w:ascii="宋体" w:hAnsi="宋体" w:eastAsia="宋体" w:cs="宋体"/>
                <w:b/>
                <w:szCs w:val="21"/>
              </w:rPr>
            </w:pPr>
            <w:r>
              <w:rPr>
                <w:rFonts w:hint="eastAsia" w:ascii="宋体" w:hAnsi="宋体" w:eastAsia="宋体" w:cs="宋体"/>
                <w:b/>
                <w:szCs w:val="21"/>
              </w:rPr>
              <w:t>项目</w:t>
            </w:r>
          </w:p>
        </w:tc>
        <w:tc>
          <w:tcPr>
            <w:tcW w:w="6600" w:type="dxa"/>
            <w:tcBorders>
              <w:top w:val="single" w:color="auto" w:sz="4" w:space="0"/>
              <w:left w:val="single" w:color="auto" w:sz="4" w:space="0"/>
              <w:bottom w:val="single" w:color="auto" w:sz="4" w:space="0"/>
              <w:right w:val="single" w:color="auto" w:sz="4" w:space="0"/>
            </w:tcBorders>
            <w:vAlign w:val="center"/>
          </w:tcPr>
          <w:p w14:paraId="321F9C7A">
            <w:pPr>
              <w:widowControl/>
              <w:snapToGrid w:val="0"/>
              <w:spacing w:line="276" w:lineRule="auto"/>
              <w:jc w:val="center"/>
              <w:rPr>
                <w:rFonts w:hint="eastAsia" w:ascii="宋体" w:hAnsi="宋体" w:eastAsia="宋体" w:cs="宋体"/>
                <w:b/>
                <w:szCs w:val="21"/>
              </w:rPr>
            </w:pPr>
            <w:r>
              <w:rPr>
                <w:rFonts w:hint="eastAsia" w:ascii="宋体" w:hAnsi="宋体" w:eastAsia="宋体" w:cs="宋体"/>
                <w:b/>
                <w:szCs w:val="21"/>
              </w:rPr>
              <w:t>评审细则</w:t>
            </w:r>
          </w:p>
        </w:tc>
        <w:tc>
          <w:tcPr>
            <w:tcW w:w="913" w:type="dxa"/>
            <w:tcBorders>
              <w:top w:val="single" w:color="auto" w:sz="4" w:space="0"/>
              <w:left w:val="single" w:color="auto" w:sz="4" w:space="0"/>
              <w:bottom w:val="single" w:color="auto" w:sz="4" w:space="0"/>
              <w:right w:val="single" w:color="auto" w:sz="4" w:space="0"/>
            </w:tcBorders>
            <w:vAlign w:val="center"/>
          </w:tcPr>
          <w:p w14:paraId="01C2D4C2">
            <w:pPr>
              <w:widowControl/>
              <w:snapToGrid w:val="0"/>
              <w:spacing w:line="276" w:lineRule="auto"/>
              <w:jc w:val="center"/>
              <w:rPr>
                <w:rFonts w:hint="eastAsia" w:ascii="宋体" w:hAnsi="宋体" w:eastAsia="宋体" w:cs="宋体"/>
                <w:b/>
                <w:szCs w:val="21"/>
              </w:rPr>
            </w:pPr>
          </w:p>
          <w:p w14:paraId="2A68C130">
            <w:pPr>
              <w:widowControl/>
              <w:snapToGrid w:val="0"/>
              <w:spacing w:line="276" w:lineRule="auto"/>
              <w:jc w:val="center"/>
              <w:rPr>
                <w:rFonts w:hint="eastAsia" w:ascii="宋体" w:hAnsi="宋体" w:eastAsia="宋体" w:cs="宋体"/>
                <w:b/>
                <w:szCs w:val="21"/>
              </w:rPr>
            </w:pPr>
            <w:r>
              <w:rPr>
                <w:rFonts w:hint="eastAsia" w:ascii="宋体" w:hAnsi="宋体" w:eastAsia="宋体" w:cs="宋体"/>
                <w:b/>
                <w:szCs w:val="21"/>
              </w:rPr>
              <w:t>分值</w:t>
            </w:r>
          </w:p>
        </w:tc>
      </w:tr>
      <w:tr w14:paraId="2B99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exact"/>
          <w:jc w:val="center"/>
        </w:trPr>
        <w:tc>
          <w:tcPr>
            <w:tcW w:w="500" w:type="dxa"/>
            <w:tcBorders>
              <w:top w:val="single" w:color="auto" w:sz="4" w:space="0"/>
              <w:left w:val="single" w:color="auto" w:sz="4" w:space="0"/>
              <w:bottom w:val="single" w:color="auto" w:sz="4" w:space="0"/>
              <w:right w:val="single" w:color="auto" w:sz="4" w:space="0"/>
            </w:tcBorders>
            <w:vAlign w:val="center"/>
          </w:tcPr>
          <w:p w14:paraId="0A11F340">
            <w:pPr>
              <w:widowControl/>
              <w:snapToGrid w:val="0"/>
              <w:jc w:val="center"/>
              <w:rPr>
                <w:rFonts w:hint="eastAsia" w:ascii="宋体" w:hAnsi="宋体" w:eastAsia="宋体" w:cs="宋体"/>
                <w:szCs w:val="21"/>
              </w:rPr>
            </w:pPr>
            <w:r>
              <w:rPr>
                <w:rFonts w:hint="eastAsia" w:ascii="宋体" w:hAnsi="宋体" w:eastAsia="宋体" w:cs="宋体"/>
                <w:szCs w:val="21"/>
              </w:rPr>
              <w:t>1</w:t>
            </w:r>
          </w:p>
        </w:tc>
        <w:tc>
          <w:tcPr>
            <w:tcW w:w="1338" w:type="dxa"/>
            <w:tcBorders>
              <w:top w:val="single" w:color="auto" w:sz="4" w:space="0"/>
              <w:left w:val="single" w:color="auto" w:sz="4" w:space="0"/>
              <w:bottom w:val="single" w:color="auto" w:sz="4" w:space="0"/>
              <w:right w:val="single" w:color="auto" w:sz="4" w:space="0"/>
            </w:tcBorders>
            <w:vAlign w:val="center"/>
          </w:tcPr>
          <w:p w14:paraId="3890E92A">
            <w:pPr>
              <w:widowControl/>
              <w:snapToGrid w:val="0"/>
              <w:jc w:val="center"/>
              <w:rPr>
                <w:rFonts w:ascii="Arial" w:hAnsi="Arial" w:eastAsia="幼圆" w:cs="Arial"/>
                <w:b/>
                <w:bCs/>
                <w:szCs w:val="21"/>
              </w:rPr>
            </w:pPr>
            <w:r>
              <w:rPr>
                <w:rFonts w:hint="eastAsia" w:ascii="Calibri" w:hAnsi="Calibri" w:eastAsia="宋体" w:cs="Times New Roman"/>
                <w:szCs w:val="21"/>
              </w:rPr>
              <w:t>报价</w:t>
            </w:r>
          </w:p>
        </w:tc>
        <w:tc>
          <w:tcPr>
            <w:tcW w:w="6600" w:type="dxa"/>
            <w:tcBorders>
              <w:top w:val="single" w:color="auto" w:sz="4" w:space="0"/>
              <w:left w:val="single" w:color="auto" w:sz="4" w:space="0"/>
              <w:bottom w:val="single" w:color="auto" w:sz="4" w:space="0"/>
              <w:right w:val="single" w:color="auto" w:sz="4" w:space="0"/>
            </w:tcBorders>
            <w:vAlign w:val="center"/>
          </w:tcPr>
          <w:p w14:paraId="3B606447">
            <w:pPr>
              <w:rPr>
                <w:rFonts w:hint="eastAsia" w:ascii="Calibri" w:hAnsi="Calibri" w:eastAsia="宋体" w:cs="Times New Roman"/>
                <w:szCs w:val="21"/>
              </w:rPr>
            </w:pPr>
            <w:r>
              <w:rPr>
                <w:rFonts w:hint="eastAsia" w:ascii="Calibri" w:hAnsi="Calibri" w:eastAsia="宋体" w:cs="Times New Roman"/>
                <w:szCs w:val="21"/>
              </w:rPr>
              <w:t>价格分采用低价优先法计算，即满足采购文件要求且报价最低的为评审基准价，其价格分为满分。其他报价单位的价格分统一按下列公式计算：报价得分=（评定基准价/报价）×</w:t>
            </w:r>
            <w:r>
              <w:rPr>
                <w:rFonts w:hint="eastAsia" w:cs="Times New Roman"/>
                <w:szCs w:val="21"/>
                <w:lang w:val="en-US" w:eastAsia="zh-CN"/>
              </w:rPr>
              <w:t>4</w:t>
            </w:r>
            <w:r>
              <w:rPr>
                <w:rFonts w:hint="eastAsia" w:ascii="Calibri" w:hAnsi="Calibri" w:eastAsia="宋体" w:cs="Times New Roman"/>
                <w:szCs w:val="21"/>
              </w:rPr>
              <w:t>0；计算结果保留至小数点后两位。</w:t>
            </w:r>
          </w:p>
          <w:p w14:paraId="2A4DB62B">
            <w:pPr>
              <w:rPr>
                <w:rFonts w:hint="eastAsia" w:ascii="Calibri" w:hAnsi="Calibri" w:eastAsia="宋体" w:cs="Times New Roman"/>
                <w:szCs w:val="21"/>
              </w:rPr>
            </w:pPr>
            <w:r>
              <w:rPr>
                <w:rFonts w:hint="eastAsia" w:ascii="Calibri" w:hAnsi="Calibri" w:eastAsia="宋体" w:cs="Times New Roman"/>
                <w:szCs w:val="21"/>
              </w:rPr>
              <w:t>评审委员会认为投标人报价明显低于其他通过符合性审查投标人的报价，有可能影响履约的，应当要求其在合理时间内提供书面说明及证明材料；不能证明其报价合理性的，按无效投标处理。</w:t>
            </w:r>
          </w:p>
          <w:p w14:paraId="32B46E0B">
            <w:pPr>
              <w:rPr>
                <w:rFonts w:hint="eastAsia" w:ascii="Calibri" w:hAnsi="Calibri" w:eastAsia="宋体" w:cs="Times New Roman"/>
                <w:szCs w:val="21"/>
              </w:rPr>
            </w:pPr>
          </w:p>
        </w:tc>
        <w:tc>
          <w:tcPr>
            <w:tcW w:w="913" w:type="dxa"/>
            <w:tcBorders>
              <w:top w:val="single" w:color="auto" w:sz="4" w:space="0"/>
              <w:left w:val="single" w:color="auto" w:sz="4" w:space="0"/>
              <w:bottom w:val="single" w:color="auto" w:sz="4" w:space="0"/>
              <w:right w:val="single" w:color="auto" w:sz="4" w:space="0"/>
            </w:tcBorders>
            <w:vAlign w:val="center"/>
          </w:tcPr>
          <w:p w14:paraId="02525529">
            <w:pPr>
              <w:widowControl/>
              <w:snapToGrid w:val="0"/>
              <w:spacing w:line="276" w:lineRule="auto"/>
              <w:jc w:val="center"/>
              <w:rPr>
                <w:rFonts w:hint="eastAsia" w:ascii="宋体" w:hAnsi="宋体" w:eastAsia="宋体" w:cs="宋体"/>
                <w:szCs w:val="21"/>
              </w:rPr>
            </w:pPr>
            <w:r>
              <w:rPr>
                <w:rFonts w:hint="eastAsia" w:ascii="宋体" w:hAnsi="宋体" w:cs="宋体"/>
                <w:szCs w:val="21"/>
                <w:lang w:val="en-US" w:eastAsia="zh-CN"/>
              </w:rPr>
              <w:t>4</w:t>
            </w:r>
            <w:r>
              <w:rPr>
                <w:rFonts w:ascii="宋体" w:hAnsi="宋体" w:eastAsia="宋体" w:cs="宋体"/>
                <w:szCs w:val="21"/>
              </w:rPr>
              <w:t>0</w:t>
            </w:r>
          </w:p>
        </w:tc>
      </w:tr>
      <w:tr w14:paraId="1788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500" w:type="dxa"/>
            <w:vMerge w:val="restart"/>
            <w:tcBorders>
              <w:left w:val="single" w:color="auto" w:sz="4" w:space="0"/>
              <w:right w:val="single" w:color="auto" w:sz="4" w:space="0"/>
            </w:tcBorders>
            <w:vAlign w:val="center"/>
          </w:tcPr>
          <w:p w14:paraId="40E56028">
            <w:pPr>
              <w:snapToGrid w:val="0"/>
              <w:jc w:val="center"/>
              <w:rPr>
                <w:rFonts w:hint="eastAsia" w:ascii="宋体" w:hAnsi="宋体" w:eastAsia="宋体" w:cs="宋体"/>
                <w:szCs w:val="21"/>
              </w:rPr>
            </w:pPr>
            <w:r>
              <w:rPr>
                <w:rFonts w:hint="eastAsia" w:ascii="宋体" w:hAnsi="宋体" w:eastAsia="宋体" w:cs="宋体"/>
                <w:szCs w:val="21"/>
              </w:rPr>
              <w:t>2</w:t>
            </w:r>
          </w:p>
        </w:tc>
        <w:tc>
          <w:tcPr>
            <w:tcW w:w="1338" w:type="dxa"/>
            <w:vMerge w:val="restart"/>
            <w:tcBorders>
              <w:left w:val="single" w:color="auto" w:sz="4" w:space="0"/>
              <w:right w:val="single" w:color="auto" w:sz="4" w:space="0"/>
            </w:tcBorders>
            <w:vAlign w:val="center"/>
          </w:tcPr>
          <w:p w14:paraId="26F95D56">
            <w:pPr>
              <w:widowControl/>
              <w:snapToGrid w:val="0"/>
              <w:jc w:val="center"/>
              <w:rPr>
                <w:rFonts w:hint="eastAsia" w:ascii="宋体" w:hAnsi="宋体" w:eastAsia="宋体" w:cs="Times New Roman"/>
                <w:szCs w:val="21"/>
              </w:rPr>
            </w:pPr>
            <w:r>
              <w:rPr>
                <w:rFonts w:hint="eastAsia" w:ascii="宋体" w:hAnsi="宋体" w:eastAsia="宋体" w:cs="Times New Roman"/>
                <w:szCs w:val="21"/>
              </w:rPr>
              <w:t>业绩</w:t>
            </w:r>
          </w:p>
        </w:tc>
        <w:tc>
          <w:tcPr>
            <w:tcW w:w="6600" w:type="dxa"/>
            <w:tcBorders>
              <w:top w:val="single" w:color="auto" w:sz="4" w:space="0"/>
              <w:left w:val="single" w:color="auto" w:sz="4" w:space="0"/>
              <w:right w:val="single" w:color="auto" w:sz="4" w:space="0"/>
            </w:tcBorders>
            <w:vAlign w:val="center"/>
          </w:tcPr>
          <w:p w14:paraId="477E6809">
            <w:pPr>
              <w:rPr>
                <w:rFonts w:ascii="Calibri" w:hAnsi="Calibri" w:eastAsia="宋体" w:cs="Times New Roman"/>
                <w:szCs w:val="21"/>
              </w:rPr>
            </w:pPr>
            <w:r>
              <w:rPr>
                <w:rFonts w:hint="eastAsia" w:ascii="Calibri" w:hAnsi="Calibri" w:eastAsia="宋体" w:cs="Times New Roman"/>
                <w:szCs w:val="21"/>
              </w:rPr>
              <w:t>提供近4年（20</w:t>
            </w:r>
            <w:r>
              <w:rPr>
                <w:rFonts w:hint="eastAsia" w:ascii="Calibri" w:hAnsi="Calibri" w:eastAsia="宋体" w:cs="Times New Roman"/>
                <w:szCs w:val="21"/>
                <w:lang w:val="en-US" w:eastAsia="zh-CN"/>
              </w:rPr>
              <w:t>22</w:t>
            </w:r>
            <w:r>
              <w:rPr>
                <w:rFonts w:hint="eastAsia" w:ascii="Calibri" w:hAnsi="Calibri" w:eastAsia="宋体" w:cs="Times New Roman"/>
                <w:szCs w:val="21"/>
              </w:rPr>
              <w:t>年10月1日以来）签订</w:t>
            </w:r>
            <w:r>
              <w:rPr>
                <w:rFonts w:ascii="Calibri" w:hAnsi="Calibri" w:eastAsia="宋体" w:cs="Times New Roman"/>
                <w:szCs w:val="21"/>
              </w:rPr>
              <w:t>的水泵维保</w:t>
            </w:r>
            <w:r>
              <w:rPr>
                <w:rFonts w:hint="eastAsia" w:eastAsia="宋体" w:cs="Times New Roman"/>
                <w:szCs w:val="21"/>
                <w:lang w:eastAsia="zh-CN"/>
              </w:rPr>
              <w:t>或</w:t>
            </w:r>
            <w:r>
              <w:rPr>
                <w:rFonts w:ascii="Calibri" w:hAnsi="Calibri" w:eastAsia="宋体" w:cs="Times New Roman"/>
                <w:szCs w:val="21"/>
              </w:rPr>
              <w:t>给排水设备维保</w:t>
            </w:r>
            <w:r>
              <w:rPr>
                <w:rFonts w:hint="eastAsia" w:ascii="Calibri" w:hAnsi="Calibri" w:eastAsia="宋体" w:cs="Times New Roman"/>
                <w:szCs w:val="21"/>
              </w:rPr>
              <w:t>合同，</w:t>
            </w:r>
            <w:r>
              <w:rPr>
                <w:rFonts w:ascii="Calibri" w:hAnsi="Calibri" w:eastAsia="宋体" w:cs="Times New Roman"/>
                <w:szCs w:val="21"/>
              </w:rPr>
              <w:t>每提供一个得</w:t>
            </w:r>
            <w:r>
              <w:rPr>
                <w:rFonts w:hint="eastAsia" w:ascii="Calibri" w:hAnsi="Calibri" w:eastAsia="宋体" w:cs="Times New Roman"/>
                <w:szCs w:val="21"/>
                <w:lang w:val="en-US" w:eastAsia="zh-CN"/>
              </w:rPr>
              <w:t>2</w:t>
            </w:r>
            <w:r>
              <w:rPr>
                <w:rFonts w:hint="eastAsia" w:ascii="Calibri" w:hAnsi="Calibri" w:eastAsia="宋体" w:cs="Times New Roman"/>
                <w:szCs w:val="21"/>
              </w:rPr>
              <w:t>分</w:t>
            </w:r>
            <w:r>
              <w:rPr>
                <w:rFonts w:ascii="Calibri" w:hAnsi="Calibri" w:eastAsia="宋体" w:cs="Times New Roman"/>
                <w:szCs w:val="21"/>
              </w:rPr>
              <w:t>，</w:t>
            </w:r>
            <w:r>
              <w:rPr>
                <w:rFonts w:hint="eastAsia" w:ascii="Calibri" w:hAnsi="Calibri" w:eastAsia="宋体" w:cs="Times New Roman"/>
                <w:szCs w:val="21"/>
              </w:rPr>
              <w:t>最高得</w:t>
            </w:r>
            <w:r>
              <w:rPr>
                <w:rFonts w:hint="eastAsia" w:ascii="Calibri" w:hAnsi="Calibri" w:eastAsia="宋体" w:cs="Times New Roman"/>
                <w:szCs w:val="21"/>
                <w:lang w:val="en-US" w:eastAsia="zh-CN"/>
              </w:rPr>
              <w:t>10</w:t>
            </w:r>
            <w:r>
              <w:rPr>
                <w:rFonts w:hint="eastAsia" w:ascii="Calibri" w:hAnsi="Calibri" w:eastAsia="宋体" w:cs="Times New Roman"/>
                <w:szCs w:val="21"/>
              </w:rPr>
              <w:t>分。（以</w:t>
            </w:r>
            <w:r>
              <w:rPr>
                <w:rFonts w:ascii="Calibri" w:hAnsi="Calibri" w:eastAsia="宋体" w:cs="Times New Roman"/>
                <w:szCs w:val="21"/>
              </w:rPr>
              <w:t>合同签订日期为准，提供合同复印件</w:t>
            </w:r>
            <w:r>
              <w:rPr>
                <w:rFonts w:hint="eastAsia" w:ascii="Calibri" w:hAnsi="Calibri" w:eastAsia="宋体" w:cs="Times New Roman"/>
                <w:szCs w:val="21"/>
              </w:rPr>
              <w:t>并加盖公章</w:t>
            </w:r>
            <w:r>
              <w:rPr>
                <w:rFonts w:ascii="Calibri" w:hAnsi="Calibri" w:eastAsia="宋体" w:cs="Times New Roman"/>
                <w:szCs w:val="21"/>
              </w:rPr>
              <w:t>，合同须</w:t>
            </w:r>
            <w:r>
              <w:rPr>
                <w:rFonts w:hint="eastAsia" w:eastAsia="宋体" w:cs="Times New Roman"/>
                <w:szCs w:val="21"/>
                <w:lang w:eastAsia="zh-CN"/>
              </w:rPr>
              <w:t>体现</w:t>
            </w:r>
            <w:r>
              <w:rPr>
                <w:rFonts w:ascii="Calibri" w:hAnsi="Calibri" w:eastAsia="宋体" w:cs="Times New Roman"/>
                <w:szCs w:val="21"/>
              </w:rPr>
              <w:t>签订时间、服务内容</w:t>
            </w:r>
            <w:r>
              <w:rPr>
                <w:rFonts w:hint="eastAsia" w:ascii="Calibri" w:hAnsi="Calibri" w:eastAsia="宋体" w:cs="Times New Roman"/>
                <w:szCs w:val="21"/>
              </w:rPr>
              <w:t>等</w:t>
            </w:r>
            <w:r>
              <w:rPr>
                <w:rFonts w:hint="eastAsia" w:eastAsia="宋体" w:cs="Times New Roman"/>
                <w:szCs w:val="21"/>
                <w:lang w:eastAsia="zh-CN"/>
              </w:rPr>
              <w:t>内容</w:t>
            </w:r>
            <w:r>
              <w:rPr>
                <w:rFonts w:hint="eastAsia" w:ascii="Calibri" w:hAnsi="Calibri" w:eastAsia="宋体" w:cs="Times New Roman"/>
                <w:szCs w:val="21"/>
              </w:rPr>
              <w:t>，否则不得分。）</w:t>
            </w:r>
          </w:p>
        </w:tc>
        <w:tc>
          <w:tcPr>
            <w:tcW w:w="913" w:type="dxa"/>
            <w:tcBorders>
              <w:top w:val="single" w:color="auto" w:sz="4" w:space="0"/>
              <w:left w:val="single" w:color="auto" w:sz="4" w:space="0"/>
              <w:right w:val="single" w:color="auto" w:sz="4" w:space="0"/>
            </w:tcBorders>
            <w:vAlign w:val="center"/>
          </w:tcPr>
          <w:p w14:paraId="5769F929">
            <w:pPr>
              <w:widowControl/>
              <w:snapToGrid w:val="0"/>
              <w:spacing w:line="276" w:lineRule="auto"/>
              <w:jc w:val="center"/>
              <w:rPr>
                <w:rFonts w:hint="default" w:ascii="宋体" w:hAnsi="宋体" w:eastAsia="宋体" w:cs="宋体"/>
                <w:szCs w:val="21"/>
                <w:lang w:val="en-US" w:eastAsia="zh-CN"/>
              </w:rPr>
            </w:pPr>
            <w:r>
              <w:rPr>
                <w:rFonts w:hint="eastAsia" w:ascii="宋体" w:hAnsi="宋体" w:eastAsia="宋体" w:cs="宋体"/>
                <w:szCs w:val="21"/>
                <w:lang w:val="en-US" w:eastAsia="zh-CN"/>
              </w:rPr>
              <w:t>10</w:t>
            </w:r>
          </w:p>
        </w:tc>
      </w:tr>
      <w:tr w14:paraId="16A3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500" w:type="dxa"/>
            <w:vMerge w:val="continue"/>
            <w:tcBorders>
              <w:left w:val="single" w:color="auto" w:sz="4" w:space="0"/>
              <w:right w:val="single" w:color="auto" w:sz="4" w:space="0"/>
            </w:tcBorders>
            <w:vAlign w:val="center"/>
          </w:tcPr>
          <w:p w14:paraId="692BA0B3">
            <w:pPr>
              <w:rPr>
                <w:rFonts w:ascii="Times New Roman" w:hAnsi="Times New Roman" w:eastAsia="宋体" w:cs="Times New Roman"/>
                <w:szCs w:val="21"/>
              </w:rPr>
            </w:pPr>
          </w:p>
        </w:tc>
        <w:tc>
          <w:tcPr>
            <w:tcW w:w="1338" w:type="dxa"/>
            <w:vMerge w:val="continue"/>
            <w:tcBorders>
              <w:left w:val="single" w:color="auto" w:sz="4" w:space="0"/>
              <w:right w:val="single" w:color="auto" w:sz="4" w:space="0"/>
            </w:tcBorders>
            <w:vAlign w:val="center"/>
          </w:tcPr>
          <w:p w14:paraId="49C0DDE0">
            <w:pPr>
              <w:rPr>
                <w:rFonts w:ascii="Times New Roman" w:hAnsi="Times New Roman" w:eastAsia="宋体" w:cs="Times New Roman"/>
                <w:szCs w:val="21"/>
              </w:rPr>
            </w:pPr>
          </w:p>
        </w:tc>
        <w:tc>
          <w:tcPr>
            <w:tcW w:w="6600" w:type="dxa"/>
            <w:tcBorders>
              <w:top w:val="single" w:color="auto" w:sz="4" w:space="0"/>
              <w:left w:val="single" w:color="auto" w:sz="4" w:space="0"/>
              <w:right w:val="single" w:color="auto" w:sz="4" w:space="0"/>
            </w:tcBorders>
            <w:vAlign w:val="center"/>
          </w:tcPr>
          <w:p w14:paraId="070CB4F8">
            <w:pPr>
              <w:rPr>
                <w:rFonts w:ascii="Calibri" w:hAnsi="Calibri" w:eastAsia="宋体" w:cs="Times New Roman"/>
                <w:szCs w:val="21"/>
              </w:rPr>
            </w:pPr>
            <w:r>
              <w:rPr>
                <w:rFonts w:hint="eastAsia" w:eastAsia="宋体" w:cs="Times New Roman"/>
                <w:szCs w:val="21"/>
                <w:lang w:eastAsia="zh-CN"/>
              </w:rPr>
              <w:t>提供以上</w:t>
            </w:r>
            <w:r>
              <w:rPr>
                <w:rFonts w:hint="eastAsia" w:ascii="Calibri" w:hAnsi="Calibri" w:eastAsia="宋体" w:cs="Times New Roman"/>
                <w:szCs w:val="21"/>
              </w:rPr>
              <w:t>业绩合同</w:t>
            </w:r>
            <w:r>
              <w:rPr>
                <w:rFonts w:hint="eastAsia" w:eastAsia="宋体" w:cs="Times New Roman"/>
                <w:szCs w:val="21"/>
                <w:lang w:eastAsia="zh-CN"/>
              </w:rPr>
              <w:t>的</w:t>
            </w:r>
            <w:r>
              <w:rPr>
                <w:rFonts w:hint="eastAsia" w:ascii="Calibri" w:hAnsi="Calibri" w:eastAsia="宋体" w:cs="Times New Roman"/>
                <w:szCs w:val="21"/>
              </w:rPr>
              <w:t>甲方考核评价表（得分需为90分以上）或用户满意度表（满意度为满意</w:t>
            </w:r>
            <w:r>
              <w:rPr>
                <w:rFonts w:hint="eastAsia" w:ascii="Calibri" w:hAnsi="Calibri" w:eastAsia="宋体" w:cs="Times New Roman"/>
                <w:szCs w:val="21"/>
                <w:lang w:val="en-US" w:eastAsia="zh-CN"/>
              </w:rPr>
              <w:t>或优秀</w:t>
            </w:r>
            <w:r>
              <w:rPr>
                <w:rFonts w:hint="eastAsia" w:ascii="Calibri" w:hAnsi="Calibri" w:eastAsia="宋体" w:cs="Times New Roman"/>
                <w:szCs w:val="21"/>
              </w:rPr>
              <w:t>）</w:t>
            </w:r>
            <w:r>
              <w:rPr>
                <w:rFonts w:hint="eastAsia" w:eastAsia="宋体" w:cs="Times New Roman"/>
                <w:szCs w:val="21"/>
                <w:lang w:eastAsia="zh-CN"/>
              </w:rPr>
              <w:t>，</w:t>
            </w:r>
            <w:r>
              <w:rPr>
                <w:rFonts w:ascii="Calibri" w:hAnsi="Calibri" w:eastAsia="宋体" w:cs="Times New Roman"/>
                <w:szCs w:val="21"/>
              </w:rPr>
              <w:t>每提供一个得</w:t>
            </w:r>
            <w:r>
              <w:rPr>
                <w:rFonts w:hint="eastAsia" w:ascii="Calibri" w:hAnsi="Calibri" w:eastAsia="宋体" w:cs="Times New Roman"/>
                <w:szCs w:val="21"/>
                <w:lang w:val="en-US" w:eastAsia="zh-CN"/>
              </w:rPr>
              <w:t>2</w:t>
            </w:r>
            <w:r>
              <w:rPr>
                <w:rFonts w:hint="eastAsia" w:ascii="Calibri" w:hAnsi="Calibri" w:eastAsia="宋体" w:cs="Times New Roman"/>
                <w:szCs w:val="21"/>
              </w:rPr>
              <w:t>分</w:t>
            </w:r>
            <w:r>
              <w:rPr>
                <w:rFonts w:ascii="Calibri" w:hAnsi="Calibri" w:eastAsia="宋体" w:cs="Times New Roman"/>
                <w:szCs w:val="21"/>
              </w:rPr>
              <w:t>，</w:t>
            </w:r>
            <w:r>
              <w:rPr>
                <w:rFonts w:hint="eastAsia" w:ascii="Calibri" w:hAnsi="Calibri" w:eastAsia="宋体" w:cs="Times New Roman"/>
                <w:szCs w:val="21"/>
              </w:rPr>
              <w:t>最高得</w:t>
            </w:r>
            <w:r>
              <w:rPr>
                <w:rFonts w:hint="eastAsia" w:ascii="Calibri" w:hAnsi="Calibri" w:eastAsia="宋体" w:cs="Times New Roman"/>
                <w:szCs w:val="21"/>
                <w:lang w:val="en-US" w:eastAsia="zh-CN"/>
              </w:rPr>
              <w:t>10</w:t>
            </w:r>
            <w:r>
              <w:rPr>
                <w:rFonts w:hint="eastAsia" w:ascii="Calibri" w:hAnsi="Calibri" w:eastAsia="宋体" w:cs="Times New Roman"/>
                <w:szCs w:val="21"/>
              </w:rPr>
              <w:t>分（需加盖被服务单位公章）。</w:t>
            </w:r>
          </w:p>
        </w:tc>
        <w:tc>
          <w:tcPr>
            <w:tcW w:w="913" w:type="dxa"/>
            <w:tcBorders>
              <w:left w:val="single" w:color="auto" w:sz="4" w:space="0"/>
              <w:bottom w:val="single" w:color="auto" w:sz="4" w:space="0"/>
              <w:right w:val="single" w:color="auto" w:sz="4" w:space="0"/>
            </w:tcBorders>
            <w:vAlign w:val="center"/>
          </w:tcPr>
          <w:p w14:paraId="0D87325D">
            <w:pPr>
              <w:jc w:val="center"/>
              <w:rPr>
                <w:rFonts w:hint="default" w:ascii="Calibri" w:hAnsi="Calibri" w:eastAsia="宋体" w:cs="Times New Roman"/>
                <w:szCs w:val="21"/>
                <w:lang w:val="en-US" w:eastAsia="zh-CN"/>
              </w:rPr>
            </w:pPr>
            <w:r>
              <w:rPr>
                <w:rFonts w:hint="eastAsia" w:ascii="宋体" w:hAnsi="宋体" w:eastAsia="宋体" w:cs="宋体"/>
                <w:szCs w:val="21"/>
                <w:lang w:val="en-US" w:eastAsia="zh-CN"/>
              </w:rPr>
              <w:t>10</w:t>
            </w:r>
          </w:p>
        </w:tc>
      </w:tr>
      <w:tr w14:paraId="3294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500" w:type="dxa"/>
            <w:vMerge w:val="restart"/>
            <w:tcBorders>
              <w:left w:val="single" w:color="auto" w:sz="4" w:space="0"/>
              <w:right w:val="single" w:color="auto" w:sz="4" w:space="0"/>
            </w:tcBorders>
            <w:vAlign w:val="center"/>
          </w:tcPr>
          <w:p w14:paraId="2487DAB4">
            <w:pPr>
              <w:snapToGrid w:val="0"/>
              <w:jc w:val="center"/>
              <w:rPr>
                <w:rFonts w:hint="eastAsia" w:ascii="宋体" w:hAnsi="宋体" w:eastAsia="宋体" w:cs="宋体"/>
                <w:szCs w:val="21"/>
              </w:rPr>
            </w:pPr>
            <w:r>
              <w:rPr>
                <w:rFonts w:hint="eastAsia" w:ascii="宋体" w:hAnsi="宋体" w:eastAsia="宋体" w:cs="宋体"/>
                <w:szCs w:val="21"/>
              </w:rPr>
              <w:t>3</w:t>
            </w:r>
          </w:p>
        </w:tc>
        <w:tc>
          <w:tcPr>
            <w:tcW w:w="1338" w:type="dxa"/>
            <w:vMerge w:val="restart"/>
            <w:tcBorders>
              <w:left w:val="single" w:color="auto" w:sz="4" w:space="0"/>
              <w:right w:val="single" w:color="auto" w:sz="4" w:space="0"/>
            </w:tcBorders>
            <w:vAlign w:val="center"/>
          </w:tcPr>
          <w:p w14:paraId="00D7CCFE">
            <w:pPr>
              <w:widowControl/>
              <w:snapToGrid w:val="0"/>
              <w:jc w:val="center"/>
              <w:rPr>
                <w:rFonts w:hint="eastAsia" w:ascii="宋体" w:hAnsi="宋体" w:eastAsia="宋体" w:cs="Times New Roman"/>
                <w:szCs w:val="21"/>
              </w:rPr>
            </w:pPr>
            <w:r>
              <w:rPr>
                <w:rFonts w:hint="eastAsia" w:ascii="宋体" w:hAnsi="宋体" w:eastAsia="宋体" w:cs="Times New Roman"/>
                <w:szCs w:val="21"/>
              </w:rPr>
              <w:t>项目实施方案</w:t>
            </w:r>
          </w:p>
        </w:tc>
        <w:tc>
          <w:tcPr>
            <w:tcW w:w="6600" w:type="dxa"/>
            <w:tcBorders>
              <w:top w:val="single" w:color="auto" w:sz="4" w:space="0"/>
              <w:left w:val="single" w:color="auto" w:sz="4" w:space="0"/>
              <w:right w:val="single" w:color="auto" w:sz="4" w:space="0"/>
            </w:tcBorders>
            <w:vAlign w:val="center"/>
          </w:tcPr>
          <w:p w14:paraId="1AB581D6">
            <w:pPr>
              <w:rPr>
                <w:rFonts w:hint="eastAsia" w:ascii="Segoe UI" w:hAnsi="Segoe UI" w:eastAsia="宋体" w:cs="Segoe UI"/>
                <w:i w:val="0"/>
                <w:iCs w:val="0"/>
                <w:caps w:val="0"/>
                <w:color w:val="0F1115"/>
                <w:spacing w:val="0"/>
                <w:sz w:val="24"/>
                <w:szCs w:val="24"/>
                <w:shd w:val="clear" w:fill="FFFFFF"/>
                <w:lang w:eastAsia="zh-CN"/>
              </w:rPr>
            </w:pPr>
            <w:r>
              <w:rPr>
                <w:rFonts w:hint="eastAsia" w:ascii="Calibri" w:hAnsi="Calibri" w:eastAsia="宋体" w:cs="Times New Roman"/>
                <w:b/>
                <w:bCs/>
                <w:szCs w:val="21"/>
              </w:rPr>
              <w:t>提供实施计划方案。</w:t>
            </w:r>
            <w:r>
              <w:rPr>
                <w:rFonts w:hint="eastAsia" w:ascii="Calibri" w:hAnsi="Calibri" w:eastAsia="宋体" w:cs="Times New Roman"/>
                <w:szCs w:val="21"/>
              </w:rPr>
              <w:t>内容须包含但不限于：人员组织与分工、作业进度安排、清洗吸污作业流程、质量控制措施、与甲方协调机制等</w:t>
            </w:r>
            <w:r>
              <w:rPr>
                <w:rFonts w:hint="eastAsia" w:ascii="Calibri" w:hAnsi="Calibri" w:eastAsia="宋体" w:cs="Times New Roman"/>
                <w:szCs w:val="21"/>
                <w:lang w:eastAsia="zh-CN"/>
              </w:rPr>
              <w:t>，</w:t>
            </w:r>
          </w:p>
          <w:p w14:paraId="71DFD329">
            <w:pPr>
              <w:rPr>
                <w:rFonts w:ascii="Calibri" w:hAnsi="Calibri" w:eastAsia="宋体" w:cs="Times New Roman"/>
                <w:szCs w:val="21"/>
              </w:rPr>
            </w:pPr>
            <w:r>
              <w:rPr>
                <w:rFonts w:hint="eastAsia" w:ascii="Calibri" w:hAnsi="Calibri" w:eastAsia="宋体" w:cs="Times New Roman"/>
                <w:szCs w:val="21"/>
              </w:rPr>
              <w:t>方案详实、可操作性强、</w:t>
            </w:r>
            <w:r>
              <w:rPr>
                <w:rFonts w:hint="eastAsia" w:ascii="Calibri" w:hAnsi="Calibri" w:eastAsia="宋体" w:cs="Times New Roman"/>
                <w:szCs w:val="21"/>
                <w:lang w:val="en-US" w:eastAsia="zh-CN"/>
              </w:rPr>
              <w:t>非常贴合</w:t>
            </w:r>
            <w:r>
              <w:rPr>
                <w:rFonts w:hint="eastAsia" w:ascii="Calibri" w:hAnsi="Calibri" w:eastAsia="宋体" w:cs="Times New Roman"/>
                <w:szCs w:val="21"/>
              </w:rPr>
              <w:t>项目需求得</w:t>
            </w:r>
            <w:r>
              <w:rPr>
                <w:rFonts w:hint="eastAsia" w:cs="Times New Roman"/>
                <w:szCs w:val="21"/>
                <w:lang w:val="en-US" w:eastAsia="zh-CN"/>
              </w:rPr>
              <w:t>6</w:t>
            </w:r>
            <w:r>
              <w:rPr>
                <w:rFonts w:hint="eastAsia" w:ascii="Calibri" w:hAnsi="Calibri" w:eastAsia="宋体" w:cs="Times New Roman"/>
                <w:szCs w:val="21"/>
              </w:rPr>
              <w:t>分；</w:t>
            </w:r>
          </w:p>
          <w:p w14:paraId="32B4B027">
            <w:pPr>
              <w:rPr>
                <w:rFonts w:ascii="Calibri" w:hAnsi="Calibri" w:eastAsia="宋体" w:cs="Times New Roman"/>
                <w:szCs w:val="21"/>
              </w:rPr>
            </w:pPr>
            <w:r>
              <w:rPr>
                <w:rFonts w:hint="eastAsia" w:ascii="Calibri" w:hAnsi="Calibri" w:eastAsia="宋体" w:cs="Times New Roman"/>
                <w:szCs w:val="21"/>
              </w:rPr>
              <w:t>方案较详实、可操作性较强、</w:t>
            </w:r>
            <w:r>
              <w:rPr>
                <w:rFonts w:hint="eastAsia" w:ascii="Calibri" w:hAnsi="Calibri" w:eastAsia="宋体" w:cs="Times New Roman"/>
                <w:szCs w:val="21"/>
                <w:lang w:val="en-US" w:eastAsia="zh-CN"/>
              </w:rPr>
              <w:t>基本满足</w:t>
            </w:r>
            <w:r>
              <w:rPr>
                <w:rFonts w:hint="eastAsia" w:ascii="Calibri" w:hAnsi="Calibri" w:eastAsia="宋体" w:cs="Times New Roman"/>
                <w:szCs w:val="21"/>
              </w:rPr>
              <w:t>项目需求得</w:t>
            </w:r>
            <w:r>
              <w:rPr>
                <w:rFonts w:hint="eastAsia" w:cs="Times New Roman"/>
                <w:szCs w:val="21"/>
                <w:lang w:val="en-US" w:eastAsia="zh-CN"/>
              </w:rPr>
              <w:t>3</w:t>
            </w:r>
            <w:r>
              <w:rPr>
                <w:rFonts w:hint="eastAsia" w:ascii="Calibri" w:hAnsi="Calibri" w:eastAsia="宋体" w:cs="Times New Roman"/>
                <w:szCs w:val="21"/>
              </w:rPr>
              <w:t>分；</w:t>
            </w:r>
          </w:p>
          <w:p w14:paraId="3940A45F">
            <w:pPr>
              <w:rPr>
                <w:rFonts w:ascii="Calibri" w:hAnsi="Calibri" w:eastAsia="宋体" w:cs="Times New Roman"/>
                <w:szCs w:val="21"/>
              </w:rPr>
            </w:pPr>
            <w:r>
              <w:rPr>
                <w:rFonts w:hint="eastAsia" w:ascii="Calibri" w:hAnsi="Calibri" w:eastAsia="宋体" w:cs="Times New Roman"/>
                <w:szCs w:val="21"/>
              </w:rPr>
              <w:t>方案详实性一般、可操作性一般</w:t>
            </w:r>
            <w:r>
              <w:rPr>
                <w:rFonts w:hint="eastAsia" w:ascii="Calibri" w:hAnsi="Calibri" w:eastAsia="宋体" w:cs="Times New Roman"/>
                <w:szCs w:val="21"/>
                <w:lang w:eastAsia="zh-CN"/>
              </w:rPr>
              <w:t>，</w:t>
            </w:r>
            <w:r>
              <w:rPr>
                <w:rFonts w:hint="eastAsia" w:ascii="Calibri" w:hAnsi="Calibri" w:eastAsia="宋体" w:cs="Times New Roman"/>
                <w:szCs w:val="21"/>
                <w:lang w:val="en-US" w:eastAsia="zh-CN"/>
              </w:rPr>
              <w:t>部分满足</w:t>
            </w:r>
            <w:r>
              <w:rPr>
                <w:rFonts w:hint="eastAsia" w:ascii="Calibri" w:hAnsi="Calibri" w:eastAsia="宋体" w:cs="Times New Roman"/>
                <w:szCs w:val="21"/>
              </w:rPr>
              <w:t>项目需求得</w:t>
            </w:r>
            <w:r>
              <w:rPr>
                <w:rFonts w:hint="eastAsia" w:cs="Times New Roman"/>
                <w:szCs w:val="21"/>
                <w:lang w:val="en-US" w:eastAsia="zh-CN"/>
              </w:rPr>
              <w:t>1</w:t>
            </w:r>
            <w:r>
              <w:rPr>
                <w:rFonts w:hint="eastAsia" w:ascii="Calibri" w:hAnsi="Calibri" w:eastAsia="宋体" w:cs="Times New Roman"/>
                <w:szCs w:val="21"/>
              </w:rPr>
              <w:t>分；</w:t>
            </w:r>
          </w:p>
          <w:p w14:paraId="7FEE979D">
            <w:pPr>
              <w:rPr>
                <w:rFonts w:ascii="Calibri" w:hAnsi="Calibri" w:eastAsia="宋体" w:cs="Times New Roman"/>
                <w:szCs w:val="21"/>
              </w:rPr>
            </w:pPr>
            <w:r>
              <w:rPr>
                <w:rFonts w:hint="eastAsia" w:ascii="Calibri" w:hAnsi="Calibri" w:eastAsia="宋体" w:cs="Times New Roman"/>
                <w:szCs w:val="21"/>
              </w:rPr>
              <w:t>未提供者不得分。</w:t>
            </w:r>
          </w:p>
        </w:tc>
        <w:tc>
          <w:tcPr>
            <w:tcW w:w="913" w:type="dxa"/>
            <w:tcBorders>
              <w:top w:val="single" w:color="auto" w:sz="4" w:space="0"/>
              <w:left w:val="single" w:color="auto" w:sz="4" w:space="0"/>
              <w:right w:val="single" w:color="auto" w:sz="4" w:space="0"/>
            </w:tcBorders>
            <w:vAlign w:val="center"/>
          </w:tcPr>
          <w:p w14:paraId="265F56E0">
            <w:pPr>
              <w:snapToGrid w:val="0"/>
              <w:spacing w:line="276" w:lineRule="auto"/>
              <w:jc w:val="center"/>
              <w:rPr>
                <w:rFonts w:hint="eastAsia" w:ascii="宋体" w:hAnsi="宋体" w:eastAsia="宋体" w:cs="宋体"/>
                <w:szCs w:val="21"/>
                <w:lang w:eastAsia="zh-CN"/>
              </w:rPr>
            </w:pPr>
            <w:r>
              <w:rPr>
                <w:rFonts w:hint="eastAsia" w:ascii="宋体" w:hAnsi="宋体" w:cs="宋体"/>
                <w:szCs w:val="21"/>
                <w:lang w:val="en-US" w:eastAsia="zh-CN"/>
              </w:rPr>
              <w:t>6</w:t>
            </w:r>
          </w:p>
        </w:tc>
      </w:tr>
      <w:tr w14:paraId="18A4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exact"/>
          <w:jc w:val="center"/>
        </w:trPr>
        <w:tc>
          <w:tcPr>
            <w:tcW w:w="500" w:type="dxa"/>
            <w:vMerge w:val="continue"/>
            <w:tcBorders>
              <w:left w:val="single" w:color="auto" w:sz="4" w:space="0"/>
              <w:right w:val="single" w:color="auto" w:sz="4" w:space="0"/>
            </w:tcBorders>
            <w:vAlign w:val="center"/>
          </w:tcPr>
          <w:p w14:paraId="07E825CD">
            <w:pPr>
              <w:snapToGrid w:val="0"/>
              <w:jc w:val="center"/>
              <w:rPr>
                <w:rFonts w:hint="eastAsia" w:ascii="宋体" w:hAnsi="宋体" w:eastAsia="宋体" w:cs="宋体"/>
                <w:szCs w:val="21"/>
              </w:rPr>
            </w:pPr>
          </w:p>
        </w:tc>
        <w:tc>
          <w:tcPr>
            <w:tcW w:w="1338" w:type="dxa"/>
            <w:vMerge w:val="continue"/>
            <w:tcBorders>
              <w:left w:val="single" w:color="auto" w:sz="4" w:space="0"/>
              <w:right w:val="single" w:color="auto" w:sz="4" w:space="0"/>
            </w:tcBorders>
            <w:vAlign w:val="center"/>
          </w:tcPr>
          <w:p w14:paraId="6FFED59A">
            <w:pPr>
              <w:widowControl/>
              <w:snapToGrid w:val="0"/>
              <w:jc w:val="center"/>
              <w:rPr>
                <w:rFonts w:hint="eastAsia" w:ascii="宋体" w:hAnsi="宋体" w:eastAsia="宋体" w:cs="Times New Roman"/>
                <w:szCs w:val="21"/>
              </w:rPr>
            </w:pPr>
          </w:p>
        </w:tc>
        <w:tc>
          <w:tcPr>
            <w:tcW w:w="6600" w:type="dxa"/>
            <w:tcBorders>
              <w:top w:val="single" w:color="auto" w:sz="4" w:space="0"/>
              <w:left w:val="single" w:color="auto" w:sz="4" w:space="0"/>
              <w:right w:val="single" w:color="auto" w:sz="4" w:space="0"/>
            </w:tcBorders>
            <w:vAlign w:val="center"/>
          </w:tcPr>
          <w:p w14:paraId="6C0C5E7C">
            <w:pPr>
              <w:rPr>
                <w:rFonts w:hint="eastAsia" w:ascii="Calibri" w:hAnsi="Calibri" w:eastAsia="宋体" w:cs="Times New Roman"/>
                <w:szCs w:val="21"/>
                <w:lang w:val="en-US" w:eastAsia="zh-CN"/>
              </w:rPr>
            </w:pPr>
            <w:r>
              <w:rPr>
                <w:rFonts w:hint="eastAsia" w:ascii="Calibri" w:hAnsi="Calibri" w:eastAsia="宋体" w:cs="Times New Roman"/>
                <w:b/>
                <w:bCs/>
                <w:szCs w:val="21"/>
              </w:rPr>
              <w:t>提供安全文明方案。</w:t>
            </w:r>
            <w:r>
              <w:rPr>
                <w:rFonts w:hint="eastAsia" w:ascii="Calibri" w:hAnsi="Calibri" w:eastAsia="宋体" w:cs="Times New Roman"/>
                <w:szCs w:val="21"/>
                <w:lang w:val="en-US" w:eastAsia="zh-CN"/>
              </w:rPr>
              <w:t>内容包含安全管理制度与人员职责，有限空间作业安全措施，现场安全防护与警示，文明施工与场地恢复等措施，</w:t>
            </w:r>
          </w:p>
          <w:p w14:paraId="1E5574A0">
            <w:pPr>
              <w:rPr>
                <w:rFonts w:ascii="Calibri" w:hAnsi="Calibri" w:eastAsia="宋体" w:cs="Times New Roman"/>
                <w:szCs w:val="21"/>
              </w:rPr>
            </w:pPr>
            <w:r>
              <w:rPr>
                <w:rFonts w:hint="eastAsia" w:ascii="Calibri" w:hAnsi="Calibri" w:eastAsia="宋体" w:cs="Times New Roman"/>
                <w:szCs w:val="21"/>
                <w:lang w:val="en-US" w:eastAsia="zh-CN"/>
              </w:rPr>
              <w:t>方案详实，可操性强，贴合</w:t>
            </w:r>
            <w:r>
              <w:rPr>
                <w:rFonts w:hint="eastAsia" w:ascii="Calibri" w:hAnsi="Calibri" w:eastAsia="宋体" w:cs="Times New Roman"/>
                <w:szCs w:val="21"/>
              </w:rPr>
              <w:t>项目需求得</w:t>
            </w:r>
            <w:r>
              <w:rPr>
                <w:rFonts w:hint="eastAsia" w:cs="Times New Roman"/>
                <w:szCs w:val="21"/>
                <w:lang w:val="en-US" w:eastAsia="zh-CN"/>
              </w:rPr>
              <w:t>6</w:t>
            </w:r>
            <w:r>
              <w:rPr>
                <w:rFonts w:hint="eastAsia" w:ascii="Calibri" w:hAnsi="Calibri" w:eastAsia="宋体" w:cs="Times New Roman"/>
                <w:szCs w:val="21"/>
              </w:rPr>
              <w:t>分；</w:t>
            </w:r>
          </w:p>
          <w:p w14:paraId="4F67E562">
            <w:pPr>
              <w:rPr>
                <w:rFonts w:ascii="Calibri" w:hAnsi="Calibri" w:eastAsia="宋体" w:cs="Times New Roman"/>
                <w:szCs w:val="21"/>
              </w:rPr>
            </w:pPr>
            <w:r>
              <w:rPr>
                <w:rFonts w:hint="eastAsia" w:ascii="Calibri" w:hAnsi="Calibri" w:eastAsia="宋体" w:cs="Times New Roman"/>
                <w:szCs w:val="21"/>
              </w:rPr>
              <w:t>方案较详实、可操作性较强、</w:t>
            </w:r>
            <w:r>
              <w:rPr>
                <w:rFonts w:hint="eastAsia" w:ascii="Calibri" w:hAnsi="Calibri" w:eastAsia="宋体" w:cs="Times New Roman"/>
                <w:szCs w:val="21"/>
                <w:lang w:val="en-US" w:eastAsia="zh-CN"/>
              </w:rPr>
              <w:t>基本</w:t>
            </w:r>
            <w:r>
              <w:rPr>
                <w:rFonts w:hint="eastAsia" w:ascii="Calibri" w:hAnsi="Calibri" w:eastAsia="宋体" w:cs="Times New Roman"/>
                <w:szCs w:val="21"/>
              </w:rPr>
              <w:t>满足项目需求得</w:t>
            </w:r>
            <w:r>
              <w:rPr>
                <w:rFonts w:hint="eastAsia" w:cs="Times New Roman"/>
                <w:szCs w:val="21"/>
                <w:lang w:val="en-US" w:eastAsia="zh-CN"/>
              </w:rPr>
              <w:t>3</w:t>
            </w:r>
            <w:r>
              <w:rPr>
                <w:rFonts w:hint="eastAsia" w:ascii="Calibri" w:hAnsi="Calibri" w:eastAsia="宋体" w:cs="Times New Roman"/>
                <w:szCs w:val="21"/>
              </w:rPr>
              <w:t>分；</w:t>
            </w:r>
          </w:p>
          <w:p w14:paraId="5FD7B079">
            <w:pPr>
              <w:rPr>
                <w:rFonts w:ascii="Calibri" w:hAnsi="Calibri" w:eastAsia="宋体" w:cs="Times New Roman"/>
                <w:szCs w:val="21"/>
              </w:rPr>
            </w:pPr>
            <w:r>
              <w:rPr>
                <w:rFonts w:hint="eastAsia" w:ascii="Calibri" w:hAnsi="Calibri" w:eastAsia="宋体" w:cs="Times New Roman"/>
                <w:szCs w:val="21"/>
              </w:rPr>
              <w:t>方案详实性一般、可操作性一般、</w:t>
            </w:r>
            <w:r>
              <w:rPr>
                <w:rFonts w:hint="eastAsia" w:ascii="Calibri" w:hAnsi="Calibri" w:eastAsia="宋体" w:cs="Times New Roman"/>
                <w:szCs w:val="21"/>
                <w:lang w:val="en-US" w:eastAsia="zh-CN"/>
              </w:rPr>
              <w:t>部分</w:t>
            </w:r>
            <w:r>
              <w:rPr>
                <w:rFonts w:hint="eastAsia" w:ascii="Calibri" w:hAnsi="Calibri" w:eastAsia="宋体" w:cs="Times New Roman"/>
                <w:szCs w:val="21"/>
              </w:rPr>
              <w:t>满足项目需求得</w:t>
            </w:r>
            <w:r>
              <w:rPr>
                <w:rFonts w:hint="eastAsia" w:cs="Times New Roman"/>
                <w:szCs w:val="21"/>
                <w:lang w:val="en-US" w:eastAsia="zh-CN"/>
              </w:rPr>
              <w:t>1</w:t>
            </w:r>
            <w:r>
              <w:rPr>
                <w:rFonts w:hint="eastAsia" w:ascii="Calibri" w:hAnsi="Calibri" w:eastAsia="宋体" w:cs="Times New Roman"/>
                <w:szCs w:val="21"/>
              </w:rPr>
              <w:t>分；</w:t>
            </w:r>
          </w:p>
          <w:p w14:paraId="5F955923">
            <w:pPr>
              <w:rPr>
                <w:rFonts w:ascii="Calibri" w:hAnsi="Calibri" w:eastAsia="宋体" w:cs="Times New Roman"/>
                <w:szCs w:val="21"/>
              </w:rPr>
            </w:pPr>
            <w:r>
              <w:rPr>
                <w:rFonts w:hint="eastAsia" w:ascii="Calibri" w:hAnsi="Calibri" w:eastAsia="宋体" w:cs="Times New Roman"/>
                <w:szCs w:val="21"/>
              </w:rPr>
              <w:t>未提供者不得分。</w:t>
            </w:r>
          </w:p>
          <w:p w14:paraId="7F897CD6">
            <w:pPr>
              <w:rPr>
                <w:rFonts w:ascii="Calibri" w:hAnsi="Calibri" w:eastAsia="宋体" w:cs="Times New Roman"/>
                <w:szCs w:val="21"/>
              </w:rPr>
            </w:pPr>
          </w:p>
          <w:p w14:paraId="588717E0">
            <w:pPr>
              <w:rPr>
                <w:rFonts w:ascii="Calibri" w:hAnsi="Calibri" w:eastAsia="宋体" w:cs="Times New Roman"/>
                <w:szCs w:val="21"/>
              </w:rPr>
            </w:pPr>
          </w:p>
          <w:p w14:paraId="51ABC936">
            <w:pPr>
              <w:rPr>
                <w:rFonts w:ascii="Calibri" w:hAnsi="Calibri" w:eastAsia="宋体" w:cs="Times New Roman"/>
                <w:szCs w:val="21"/>
              </w:rPr>
            </w:pPr>
          </w:p>
          <w:p w14:paraId="4652F87B">
            <w:pPr>
              <w:rPr>
                <w:rFonts w:ascii="Calibri" w:hAnsi="Calibri" w:eastAsia="宋体" w:cs="Times New Roman"/>
                <w:szCs w:val="21"/>
              </w:rPr>
            </w:pPr>
          </w:p>
        </w:tc>
        <w:tc>
          <w:tcPr>
            <w:tcW w:w="913" w:type="dxa"/>
            <w:tcBorders>
              <w:left w:val="single" w:color="auto" w:sz="4" w:space="0"/>
              <w:bottom w:val="single" w:color="auto" w:sz="4" w:space="0"/>
              <w:right w:val="single" w:color="auto" w:sz="4" w:space="0"/>
            </w:tcBorders>
            <w:vAlign w:val="center"/>
          </w:tcPr>
          <w:p w14:paraId="781354AE">
            <w:pPr>
              <w:widowControl/>
              <w:snapToGrid w:val="0"/>
              <w:spacing w:line="276" w:lineRule="auto"/>
              <w:jc w:val="center"/>
              <w:rPr>
                <w:rFonts w:hint="eastAsia" w:ascii="宋体" w:hAnsi="宋体" w:eastAsia="宋体" w:cs="宋体"/>
                <w:szCs w:val="21"/>
                <w:lang w:eastAsia="zh-CN"/>
              </w:rPr>
            </w:pPr>
            <w:r>
              <w:rPr>
                <w:rFonts w:hint="eastAsia" w:ascii="宋体" w:hAnsi="宋体" w:cs="宋体"/>
                <w:szCs w:val="21"/>
                <w:lang w:val="en-US" w:eastAsia="zh-CN"/>
              </w:rPr>
              <w:t>6</w:t>
            </w:r>
          </w:p>
        </w:tc>
      </w:tr>
      <w:tr w14:paraId="5AF5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exact"/>
          <w:jc w:val="center"/>
        </w:trPr>
        <w:tc>
          <w:tcPr>
            <w:tcW w:w="500" w:type="dxa"/>
            <w:vMerge w:val="continue"/>
            <w:tcBorders>
              <w:left w:val="single" w:color="auto" w:sz="4" w:space="0"/>
              <w:right w:val="single" w:color="auto" w:sz="4" w:space="0"/>
            </w:tcBorders>
            <w:vAlign w:val="center"/>
          </w:tcPr>
          <w:p w14:paraId="7DD2E95B">
            <w:pPr>
              <w:snapToGrid w:val="0"/>
              <w:jc w:val="center"/>
              <w:rPr>
                <w:rFonts w:hint="eastAsia" w:ascii="宋体" w:hAnsi="宋体" w:eastAsia="宋体" w:cs="宋体"/>
                <w:szCs w:val="21"/>
              </w:rPr>
            </w:pPr>
          </w:p>
        </w:tc>
        <w:tc>
          <w:tcPr>
            <w:tcW w:w="1338" w:type="dxa"/>
            <w:vMerge w:val="continue"/>
            <w:tcBorders>
              <w:left w:val="single" w:color="auto" w:sz="4" w:space="0"/>
              <w:right w:val="single" w:color="auto" w:sz="4" w:space="0"/>
            </w:tcBorders>
            <w:vAlign w:val="center"/>
          </w:tcPr>
          <w:p w14:paraId="1F4F4E2F">
            <w:pPr>
              <w:widowControl/>
              <w:snapToGrid w:val="0"/>
              <w:jc w:val="center"/>
              <w:rPr>
                <w:rFonts w:hint="eastAsia" w:ascii="宋体" w:hAnsi="宋体" w:eastAsia="宋体" w:cs="Times New Roman"/>
                <w:szCs w:val="21"/>
              </w:rPr>
            </w:pPr>
          </w:p>
        </w:tc>
        <w:tc>
          <w:tcPr>
            <w:tcW w:w="6600" w:type="dxa"/>
            <w:tcBorders>
              <w:top w:val="single" w:color="auto" w:sz="4" w:space="0"/>
              <w:left w:val="single" w:color="auto" w:sz="4" w:space="0"/>
              <w:right w:val="single" w:color="auto" w:sz="4" w:space="0"/>
            </w:tcBorders>
            <w:vAlign w:val="center"/>
          </w:tcPr>
          <w:p w14:paraId="407719F2">
            <w:pPr>
              <w:rPr>
                <w:rFonts w:hint="default" w:ascii="Calibri" w:hAnsi="Calibri" w:eastAsia="宋体" w:cs="Times New Roman"/>
                <w:b/>
                <w:bCs/>
                <w:szCs w:val="21"/>
                <w:lang w:val="en-US" w:eastAsia="zh-CN"/>
              </w:rPr>
            </w:pPr>
            <w:r>
              <w:rPr>
                <w:rFonts w:hint="eastAsia" w:ascii="Calibri" w:hAnsi="Calibri" w:eastAsia="宋体" w:cs="Times New Roman"/>
                <w:b/>
                <w:bCs/>
                <w:szCs w:val="21"/>
              </w:rPr>
              <w:t>提供应急预案。</w:t>
            </w:r>
            <w:r>
              <w:rPr>
                <w:rFonts w:hint="eastAsia" w:ascii="Calibri" w:hAnsi="Calibri" w:eastAsia="宋体" w:cs="Times New Roman"/>
                <w:b w:val="0"/>
                <w:bCs w:val="0"/>
                <w:szCs w:val="21"/>
                <w:lang w:val="en-US" w:eastAsia="zh-CN"/>
              </w:rPr>
              <w:t>内容包括有限空间作业事故专项应急处置，水泵故障和积水外溢应急处置，暴雨倒灌地下车库应急处置等，</w:t>
            </w:r>
          </w:p>
          <w:p w14:paraId="342B2D96">
            <w:pPr>
              <w:rPr>
                <w:rFonts w:ascii="Calibri" w:hAnsi="Calibri" w:eastAsia="宋体" w:cs="Times New Roman"/>
                <w:szCs w:val="21"/>
              </w:rPr>
            </w:pPr>
            <w:r>
              <w:rPr>
                <w:rFonts w:hint="eastAsia" w:ascii="Calibri" w:hAnsi="Calibri" w:eastAsia="宋体" w:cs="Times New Roman"/>
                <w:szCs w:val="21"/>
              </w:rPr>
              <w:t>方案详实、可操作性强、</w:t>
            </w:r>
            <w:r>
              <w:rPr>
                <w:rFonts w:hint="eastAsia" w:ascii="Calibri" w:hAnsi="Calibri" w:eastAsia="宋体" w:cs="Times New Roman"/>
                <w:szCs w:val="21"/>
                <w:lang w:val="en-US" w:eastAsia="zh-CN"/>
              </w:rPr>
              <w:t>贴合</w:t>
            </w:r>
            <w:r>
              <w:rPr>
                <w:rFonts w:hint="eastAsia" w:ascii="Calibri" w:hAnsi="Calibri" w:eastAsia="宋体" w:cs="Times New Roman"/>
                <w:szCs w:val="21"/>
              </w:rPr>
              <w:t>项目需求得</w:t>
            </w:r>
            <w:r>
              <w:rPr>
                <w:rFonts w:hint="eastAsia" w:cs="Times New Roman"/>
                <w:szCs w:val="21"/>
                <w:lang w:val="en-US" w:eastAsia="zh-CN"/>
              </w:rPr>
              <w:t>6</w:t>
            </w:r>
            <w:r>
              <w:rPr>
                <w:rFonts w:hint="eastAsia" w:ascii="Calibri" w:hAnsi="Calibri" w:eastAsia="宋体" w:cs="Times New Roman"/>
                <w:szCs w:val="21"/>
              </w:rPr>
              <w:t>分；</w:t>
            </w:r>
          </w:p>
          <w:p w14:paraId="778090B5">
            <w:pPr>
              <w:rPr>
                <w:rFonts w:ascii="Calibri" w:hAnsi="Calibri" w:eastAsia="宋体" w:cs="Times New Roman"/>
                <w:szCs w:val="21"/>
              </w:rPr>
            </w:pPr>
            <w:r>
              <w:rPr>
                <w:rFonts w:hint="eastAsia" w:ascii="Calibri" w:hAnsi="Calibri" w:eastAsia="宋体" w:cs="Times New Roman"/>
                <w:szCs w:val="21"/>
              </w:rPr>
              <w:t>方案较详实、可操作性较强、</w:t>
            </w:r>
            <w:r>
              <w:rPr>
                <w:rFonts w:hint="eastAsia" w:ascii="Calibri" w:hAnsi="Calibri" w:eastAsia="宋体" w:cs="Times New Roman"/>
                <w:szCs w:val="21"/>
                <w:lang w:val="en-US" w:eastAsia="zh-CN"/>
              </w:rPr>
              <w:t>基本</w:t>
            </w:r>
            <w:r>
              <w:rPr>
                <w:rFonts w:hint="eastAsia" w:ascii="Calibri" w:hAnsi="Calibri" w:eastAsia="宋体" w:cs="Times New Roman"/>
                <w:szCs w:val="21"/>
              </w:rPr>
              <w:t>满足项目需求得</w:t>
            </w:r>
            <w:r>
              <w:rPr>
                <w:rFonts w:hint="eastAsia" w:cs="Times New Roman"/>
                <w:szCs w:val="21"/>
                <w:lang w:val="en-US" w:eastAsia="zh-CN"/>
              </w:rPr>
              <w:t>3</w:t>
            </w:r>
            <w:r>
              <w:rPr>
                <w:rFonts w:hint="eastAsia" w:ascii="Calibri" w:hAnsi="Calibri" w:eastAsia="宋体" w:cs="Times New Roman"/>
                <w:szCs w:val="21"/>
              </w:rPr>
              <w:t>分；</w:t>
            </w:r>
          </w:p>
          <w:p w14:paraId="1A3C58F5">
            <w:pPr>
              <w:rPr>
                <w:rFonts w:ascii="Calibri" w:hAnsi="Calibri" w:eastAsia="宋体" w:cs="Times New Roman"/>
                <w:szCs w:val="21"/>
              </w:rPr>
            </w:pPr>
            <w:r>
              <w:rPr>
                <w:rFonts w:hint="eastAsia" w:ascii="Calibri" w:hAnsi="Calibri" w:eastAsia="宋体" w:cs="Times New Roman"/>
                <w:szCs w:val="21"/>
              </w:rPr>
              <w:t>方案详实性一般、可操作性一般、</w:t>
            </w:r>
            <w:r>
              <w:rPr>
                <w:rFonts w:hint="eastAsia" w:ascii="Calibri" w:hAnsi="Calibri" w:eastAsia="宋体" w:cs="Times New Roman"/>
                <w:szCs w:val="21"/>
                <w:lang w:val="en-US" w:eastAsia="zh-CN"/>
              </w:rPr>
              <w:t>部分</w:t>
            </w:r>
            <w:r>
              <w:rPr>
                <w:rFonts w:hint="eastAsia" w:ascii="Calibri" w:hAnsi="Calibri" w:eastAsia="宋体" w:cs="Times New Roman"/>
                <w:szCs w:val="21"/>
              </w:rPr>
              <w:t>基本满足项目需求得</w:t>
            </w:r>
            <w:r>
              <w:rPr>
                <w:rFonts w:hint="eastAsia" w:cs="Times New Roman"/>
                <w:szCs w:val="21"/>
                <w:lang w:val="en-US" w:eastAsia="zh-CN"/>
              </w:rPr>
              <w:t>1</w:t>
            </w:r>
            <w:r>
              <w:rPr>
                <w:rFonts w:hint="eastAsia" w:ascii="Calibri" w:hAnsi="Calibri" w:eastAsia="宋体" w:cs="Times New Roman"/>
                <w:szCs w:val="21"/>
              </w:rPr>
              <w:t>分；</w:t>
            </w:r>
          </w:p>
          <w:p w14:paraId="204A58CE">
            <w:pPr>
              <w:rPr>
                <w:rFonts w:ascii="Calibri" w:hAnsi="Calibri" w:eastAsia="宋体" w:cs="Times New Roman"/>
                <w:szCs w:val="21"/>
              </w:rPr>
            </w:pPr>
            <w:r>
              <w:rPr>
                <w:rFonts w:hint="eastAsia" w:ascii="Calibri" w:hAnsi="Calibri" w:eastAsia="宋体" w:cs="Times New Roman"/>
                <w:szCs w:val="21"/>
              </w:rPr>
              <w:t>未提供者不得分。</w:t>
            </w:r>
          </w:p>
        </w:tc>
        <w:tc>
          <w:tcPr>
            <w:tcW w:w="913" w:type="dxa"/>
            <w:tcBorders>
              <w:left w:val="single" w:color="auto" w:sz="4" w:space="0"/>
              <w:bottom w:val="single" w:color="auto" w:sz="4" w:space="0"/>
              <w:right w:val="single" w:color="auto" w:sz="4" w:space="0"/>
            </w:tcBorders>
            <w:vAlign w:val="center"/>
          </w:tcPr>
          <w:p w14:paraId="5F3DA522">
            <w:pPr>
              <w:widowControl/>
              <w:snapToGrid w:val="0"/>
              <w:spacing w:line="276" w:lineRule="auto"/>
              <w:jc w:val="center"/>
              <w:rPr>
                <w:rFonts w:hint="eastAsia" w:ascii="宋体" w:hAnsi="宋体" w:eastAsia="宋体" w:cs="宋体"/>
                <w:szCs w:val="21"/>
                <w:lang w:eastAsia="zh-CN"/>
              </w:rPr>
            </w:pPr>
            <w:r>
              <w:rPr>
                <w:rFonts w:hint="eastAsia" w:ascii="宋体" w:hAnsi="宋体" w:cs="宋体"/>
                <w:szCs w:val="21"/>
                <w:lang w:val="en-US" w:eastAsia="zh-CN"/>
              </w:rPr>
              <w:t>6</w:t>
            </w:r>
          </w:p>
        </w:tc>
      </w:tr>
      <w:tr w14:paraId="33CB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500" w:type="dxa"/>
            <w:tcBorders>
              <w:left w:val="single" w:color="auto" w:sz="4" w:space="0"/>
              <w:right w:val="single" w:color="auto" w:sz="4" w:space="0"/>
            </w:tcBorders>
            <w:vAlign w:val="center"/>
          </w:tcPr>
          <w:p w14:paraId="046B4A8C">
            <w:pPr>
              <w:snapToGrid w:val="0"/>
              <w:jc w:val="center"/>
              <w:rPr>
                <w:rFonts w:hint="eastAsia" w:ascii="宋体" w:hAnsi="宋体" w:eastAsia="宋体" w:cs="宋体"/>
                <w:szCs w:val="21"/>
              </w:rPr>
            </w:pPr>
            <w:r>
              <w:rPr>
                <w:rFonts w:hint="eastAsia" w:ascii="宋体" w:hAnsi="宋体" w:eastAsia="宋体" w:cs="宋体"/>
                <w:szCs w:val="21"/>
              </w:rPr>
              <w:t>4</w:t>
            </w:r>
          </w:p>
        </w:tc>
        <w:tc>
          <w:tcPr>
            <w:tcW w:w="1338" w:type="dxa"/>
            <w:tcBorders>
              <w:left w:val="single" w:color="auto" w:sz="4" w:space="0"/>
              <w:right w:val="single" w:color="auto" w:sz="4" w:space="0"/>
            </w:tcBorders>
            <w:vAlign w:val="center"/>
          </w:tcPr>
          <w:p w14:paraId="35AB69FF">
            <w:pPr>
              <w:widowControl/>
              <w:snapToGrid w:val="0"/>
              <w:jc w:val="center"/>
              <w:rPr>
                <w:rFonts w:hint="default" w:ascii="宋体" w:hAnsi="宋体" w:eastAsia="宋体" w:cs="Times New Roman"/>
                <w:kern w:val="0"/>
                <w:szCs w:val="21"/>
                <w:lang w:val="en-US" w:eastAsia="zh-CN"/>
              </w:rPr>
            </w:pPr>
            <w:r>
              <w:rPr>
                <w:rFonts w:hint="eastAsia" w:ascii="宋体" w:hAnsi="宋体" w:eastAsia="宋体" w:cs="Times New Roman"/>
                <w:kern w:val="0"/>
                <w:szCs w:val="21"/>
              </w:rPr>
              <w:t>履约能力</w:t>
            </w:r>
          </w:p>
        </w:tc>
        <w:tc>
          <w:tcPr>
            <w:tcW w:w="6600" w:type="dxa"/>
            <w:tcBorders>
              <w:top w:val="single" w:color="auto" w:sz="4" w:space="0"/>
              <w:left w:val="single" w:color="auto" w:sz="4" w:space="0"/>
              <w:right w:val="single" w:color="auto" w:sz="4" w:space="0"/>
            </w:tcBorders>
            <w:vAlign w:val="center"/>
          </w:tcPr>
          <w:p w14:paraId="5B25981C">
            <w:pPr>
              <w:rPr>
                <w:rFonts w:ascii="Calibri" w:hAnsi="Calibri" w:eastAsia="宋体" w:cs="Times New Roman"/>
                <w:szCs w:val="21"/>
              </w:rPr>
            </w:pPr>
            <w:r>
              <w:rPr>
                <w:rFonts w:hint="eastAsia" w:ascii="Calibri" w:hAnsi="Calibri" w:eastAsia="宋体" w:cs="Times New Roman"/>
                <w:color w:val="000000"/>
                <w:szCs w:val="21"/>
              </w:rPr>
              <w:t>为本项目配备给排水或机电相关专业中级及以上工程师</w:t>
            </w:r>
            <w:r>
              <w:rPr>
                <w:rFonts w:hint="eastAsia" w:cs="Times New Roman"/>
                <w:color w:val="000000"/>
                <w:szCs w:val="21"/>
                <w:lang w:eastAsia="zh-CN"/>
              </w:rPr>
              <w:t>的，提供一个</w:t>
            </w:r>
            <w:r>
              <w:rPr>
                <w:rFonts w:hint="eastAsia" w:ascii="Calibri" w:hAnsi="Calibri" w:eastAsia="宋体" w:cs="Times New Roman"/>
                <w:color w:val="000000"/>
                <w:szCs w:val="21"/>
              </w:rPr>
              <w:t>得</w:t>
            </w:r>
            <w:r>
              <w:rPr>
                <w:rFonts w:hint="eastAsia" w:ascii="Calibri" w:hAnsi="Calibri" w:eastAsia="宋体" w:cs="Times New Roman"/>
                <w:color w:val="000000"/>
                <w:szCs w:val="21"/>
                <w:lang w:val="en-US" w:eastAsia="zh-CN"/>
              </w:rPr>
              <w:t>5</w:t>
            </w:r>
            <w:r>
              <w:rPr>
                <w:rFonts w:hint="eastAsia" w:ascii="Calibri" w:hAnsi="Calibri" w:eastAsia="宋体" w:cs="Times New Roman"/>
                <w:color w:val="000000"/>
                <w:szCs w:val="21"/>
              </w:rPr>
              <w:t>分</w:t>
            </w:r>
            <w:r>
              <w:rPr>
                <w:rFonts w:hint="eastAsia" w:cs="Times New Roman"/>
                <w:color w:val="000000"/>
                <w:szCs w:val="21"/>
                <w:lang w:eastAsia="zh-CN"/>
              </w:rPr>
              <w:t>，满分</w:t>
            </w:r>
            <w:r>
              <w:rPr>
                <w:rFonts w:hint="eastAsia" w:cs="Times New Roman"/>
                <w:color w:val="000000"/>
                <w:szCs w:val="21"/>
                <w:lang w:val="en-US" w:eastAsia="zh-CN"/>
              </w:rPr>
              <w:t>5分</w:t>
            </w:r>
            <w:r>
              <w:rPr>
                <w:rFonts w:hint="eastAsia" w:ascii="Calibri" w:hAnsi="Calibri" w:eastAsia="宋体" w:cs="Times New Roman"/>
                <w:color w:val="000000"/>
                <w:szCs w:val="21"/>
              </w:rPr>
              <w:t>（</w:t>
            </w:r>
            <w:r>
              <w:rPr>
                <w:rFonts w:hint="eastAsia" w:cs="Times New Roman"/>
                <w:color w:val="000000"/>
                <w:szCs w:val="21"/>
                <w:lang w:eastAsia="zh-CN"/>
              </w:rPr>
              <w:t>需</w:t>
            </w:r>
            <w:r>
              <w:rPr>
                <w:rFonts w:hint="eastAsia" w:ascii="Calibri" w:hAnsi="Calibri" w:eastAsia="宋体" w:cs="Times New Roman"/>
                <w:color w:val="000000"/>
                <w:szCs w:val="21"/>
              </w:rPr>
              <w:t>提供社保</w:t>
            </w:r>
            <w:r>
              <w:rPr>
                <w:rFonts w:hint="eastAsia" w:cs="Times New Roman"/>
                <w:color w:val="000000"/>
                <w:szCs w:val="21"/>
                <w:lang w:eastAsia="zh-CN"/>
              </w:rPr>
              <w:t>缴纳</w:t>
            </w:r>
            <w:r>
              <w:rPr>
                <w:rFonts w:hint="eastAsia" w:ascii="Calibri" w:hAnsi="Calibri" w:eastAsia="宋体" w:cs="Times New Roman"/>
                <w:color w:val="000000"/>
                <w:szCs w:val="21"/>
              </w:rPr>
              <w:t>证明</w:t>
            </w:r>
            <w:r>
              <w:rPr>
                <w:rFonts w:hint="eastAsia" w:ascii="Calibri" w:hAnsi="Calibri" w:eastAsia="宋体" w:cs="Times New Roman"/>
                <w:color w:val="000000"/>
                <w:szCs w:val="21"/>
                <w:lang w:eastAsia="zh-CN"/>
              </w:rPr>
              <w:t>，</w:t>
            </w:r>
            <w:r>
              <w:rPr>
                <w:rFonts w:hint="eastAsia" w:ascii="Calibri" w:hAnsi="Calibri" w:eastAsia="宋体" w:cs="Times New Roman"/>
                <w:color w:val="000000"/>
                <w:szCs w:val="21"/>
                <w:lang w:val="en-US" w:eastAsia="zh-CN"/>
              </w:rPr>
              <w:t>社保缴纳单位须与投标人名称一致</w:t>
            </w:r>
            <w:r>
              <w:rPr>
                <w:rFonts w:hint="eastAsia" w:ascii="Calibri" w:hAnsi="Calibri" w:eastAsia="宋体" w:cs="Times New Roman"/>
                <w:color w:val="000000"/>
                <w:szCs w:val="21"/>
                <w:lang w:eastAsia="zh-CN"/>
              </w:rPr>
              <w:t>；</w:t>
            </w:r>
            <w:r>
              <w:rPr>
                <w:rFonts w:hint="eastAsia" w:cs="Times New Roman"/>
                <w:color w:val="000000"/>
                <w:szCs w:val="21"/>
                <w:lang w:eastAsia="zh-CN"/>
              </w:rPr>
              <w:t>社保缴纳证明及</w:t>
            </w:r>
            <w:r>
              <w:rPr>
                <w:rFonts w:hint="eastAsia" w:ascii="Calibri" w:hAnsi="Calibri" w:eastAsia="宋体" w:cs="Times New Roman"/>
                <w:color w:val="000000"/>
                <w:szCs w:val="21"/>
                <w:lang w:val="en-US" w:eastAsia="zh-CN"/>
              </w:rPr>
              <w:t>证书</w:t>
            </w:r>
            <w:r>
              <w:rPr>
                <w:rFonts w:hint="eastAsia" w:ascii="Calibri" w:hAnsi="Calibri" w:eastAsia="宋体" w:cs="Times New Roman"/>
                <w:color w:val="000000"/>
                <w:szCs w:val="21"/>
              </w:rPr>
              <w:t>复印件</w:t>
            </w:r>
            <w:r>
              <w:rPr>
                <w:rFonts w:hint="eastAsia" w:ascii="Calibri" w:hAnsi="Calibri" w:eastAsia="宋体" w:cs="Times New Roman"/>
                <w:color w:val="000000"/>
                <w:szCs w:val="21"/>
                <w:lang w:val="en-US" w:eastAsia="zh-CN"/>
              </w:rPr>
              <w:t>须</w:t>
            </w:r>
            <w:r>
              <w:rPr>
                <w:rFonts w:hint="eastAsia" w:ascii="Calibri" w:hAnsi="Calibri" w:eastAsia="宋体" w:cs="Times New Roman"/>
                <w:color w:val="000000"/>
                <w:szCs w:val="21"/>
              </w:rPr>
              <w:t>加盖公章）。</w:t>
            </w:r>
          </w:p>
        </w:tc>
        <w:tc>
          <w:tcPr>
            <w:tcW w:w="913" w:type="dxa"/>
            <w:tcBorders>
              <w:top w:val="single" w:color="auto" w:sz="4" w:space="0"/>
              <w:left w:val="single" w:color="auto" w:sz="4" w:space="0"/>
              <w:right w:val="single" w:color="auto" w:sz="4" w:space="0"/>
            </w:tcBorders>
            <w:vAlign w:val="center"/>
          </w:tcPr>
          <w:p w14:paraId="4C495193">
            <w:pPr>
              <w:spacing w:line="276" w:lineRule="auto"/>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5</w:t>
            </w:r>
          </w:p>
        </w:tc>
      </w:tr>
      <w:tr w14:paraId="4684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500" w:type="dxa"/>
            <w:tcBorders>
              <w:top w:val="single" w:color="auto" w:sz="4" w:space="0"/>
              <w:left w:val="single" w:color="auto" w:sz="4" w:space="0"/>
              <w:bottom w:val="single" w:color="auto" w:sz="4" w:space="0"/>
              <w:right w:val="single" w:color="auto" w:sz="4" w:space="0"/>
            </w:tcBorders>
            <w:vAlign w:val="center"/>
          </w:tcPr>
          <w:p w14:paraId="17970871">
            <w:pPr>
              <w:widowControl/>
              <w:snapToGrid w:val="0"/>
              <w:jc w:val="center"/>
              <w:rPr>
                <w:rFonts w:hint="eastAsia" w:ascii="宋体" w:hAnsi="宋体" w:eastAsia="宋体" w:cs="宋体"/>
                <w:kern w:val="0"/>
                <w:szCs w:val="21"/>
              </w:rPr>
            </w:pPr>
            <w:r>
              <w:rPr>
                <w:rFonts w:hint="eastAsia" w:ascii="宋体" w:hAnsi="宋体" w:eastAsia="宋体" w:cs="宋体"/>
                <w:kern w:val="0"/>
                <w:szCs w:val="21"/>
              </w:rPr>
              <w:t>5</w:t>
            </w:r>
          </w:p>
        </w:tc>
        <w:tc>
          <w:tcPr>
            <w:tcW w:w="1338" w:type="dxa"/>
            <w:tcBorders>
              <w:top w:val="single" w:color="auto" w:sz="4" w:space="0"/>
              <w:left w:val="single" w:color="auto" w:sz="4" w:space="0"/>
              <w:bottom w:val="single" w:color="auto" w:sz="4" w:space="0"/>
              <w:right w:val="single" w:color="auto" w:sz="4" w:space="0"/>
            </w:tcBorders>
            <w:vAlign w:val="center"/>
          </w:tcPr>
          <w:p w14:paraId="5C1A4FEF">
            <w:pPr>
              <w:jc w:val="center"/>
              <w:rPr>
                <w:rFonts w:ascii="Calibri" w:hAnsi="Calibri" w:eastAsia="宋体" w:cs="Times New Roman"/>
                <w:color w:val="000000"/>
                <w:szCs w:val="21"/>
              </w:rPr>
            </w:pPr>
            <w:r>
              <w:rPr>
                <w:rFonts w:hint="eastAsia" w:ascii="Calibri" w:hAnsi="Calibri" w:eastAsia="宋体" w:cs="Times New Roman"/>
                <w:color w:val="000000"/>
                <w:szCs w:val="21"/>
              </w:rPr>
              <w:t>设备配备</w:t>
            </w:r>
          </w:p>
        </w:tc>
        <w:tc>
          <w:tcPr>
            <w:tcW w:w="6600" w:type="dxa"/>
            <w:tcBorders>
              <w:top w:val="single" w:color="auto" w:sz="4" w:space="0"/>
              <w:left w:val="single" w:color="auto" w:sz="4" w:space="0"/>
              <w:bottom w:val="single" w:color="auto" w:sz="4" w:space="0"/>
              <w:right w:val="single" w:color="auto" w:sz="4" w:space="0"/>
            </w:tcBorders>
            <w:vAlign w:val="center"/>
          </w:tcPr>
          <w:p w14:paraId="78796DD8">
            <w:pPr>
              <w:rPr>
                <w:rFonts w:hint="eastAsia" w:ascii="Calibri" w:hAnsi="Calibri" w:eastAsia="宋体" w:cs="Times New Roman"/>
                <w:color w:val="000000"/>
                <w:szCs w:val="21"/>
              </w:rPr>
            </w:pPr>
            <w:r>
              <w:rPr>
                <w:rFonts w:hint="eastAsia" w:ascii="Calibri" w:hAnsi="Calibri" w:eastAsia="宋体" w:cs="Times New Roman"/>
                <w:color w:val="000000"/>
                <w:szCs w:val="21"/>
              </w:rPr>
              <w:t>供应商自有吸污疏通车辆，</w:t>
            </w:r>
            <w:r>
              <w:rPr>
                <w:rFonts w:hint="eastAsia" w:ascii="Calibri" w:hAnsi="Calibri" w:eastAsia="宋体" w:cs="Times New Roman"/>
                <w:color w:val="000000"/>
                <w:szCs w:val="21"/>
                <w:lang w:val="en-US" w:eastAsia="zh-CN"/>
              </w:rPr>
              <w:t>自有1辆得</w:t>
            </w:r>
            <w:r>
              <w:rPr>
                <w:rFonts w:hint="eastAsia" w:cs="Times New Roman"/>
                <w:color w:val="000000"/>
                <w:szCs w:val="21"/>
                <w:lang w:val="en-US" w:eastAsia="zh-CN"/>
              </w:rPr>
              <w:t>8</w:t>
            </w:r>
            <w:r>
              <w:rPr>
                <w:rFonts w:hint="eastAsia" w:ascii="Calibri" w:hAnsi="Calibri" w:eastAsia="宋体" w:cs="Times New Roman"/>
                <w:color w:val="000000"/>
                <w:szCs w:val="21"/>
                <w:lang w:val="en-US" w:eastAsia="zh-CN"/>
              </w:rPr>
              <w:t>分，自有2辆及以上得</w:t>
            </w:r>
            <w:r>
              <w:rPr>
                <w:rFonts w:hint="eastAsia" w:cs="Times New Roman"/>
                <w:color w:val="000000"/>
                <w:szCs w:val="21"/>
                <w:lang w:val="en-US" w:eastAsia="zh-CN"/>
              </w:rPr>
              <w:t>14</w:t>
            </w:r>
            <w:r>
              <w:rPr>
                <w:rFonts w:hint="eastAsia" w:ascii="Calibri" w:hAnsi="Calibri" w:eastAsia="宋体" w:cs="Times New Roman"/>
                <w:color w:val="000000"/>
                <w:szCs w:val="21"/>
                <w:lang w:val="en-US" w:eastAsia="zh-CN"/>
              </w:rPr>
              <w:t>分；租赁1辆得</w:t>
            </w:r>
            <w:r>
              <w:rPr>
                <w:rFonts w:hint="eastAsia" w:cs="Times New Roman"/>
                <w:color w:val="000000"/>
                <w:szCs w:val="21"/>
                <w:lang w:val="en-US" w:eastAsia="zh-CN"/>
              </w:rPr>
              <w:t>5</w:t>
            </w:r>
            <w:r>
              <w:rPr>
                <w:rFonts w:hint="eastAsia" w:ascii="Calibri" w:hAnsi="Calibri" w:eastAsia="宋体" w:cs="Times New Roman"/>
                <w:color w:val="000000"/>
                <w:szCs w:val="21"/>
                <w:lang w:val="en-US" w:eastAsia="zh-CN"/>
              </w:rPr>
              <w:t>分，租赁2辆及以上得</w:t>
            </w:r>
            <w:r>
              <w:rPr>
                <w:rFonts w:hint="eastAsia" w:cs="Times New Roman"/>
                <w:color w:val="000000"/>
                <w:szCs w:val="21"/>
                <w:lang w:val="en-US" w:eastAsia="zh-CN"/>
              </w:rPr>
              <w:t>8</w:t>
            </w:r>
            <w:r>
              <w:rPr>
                <w:rFonts w:hint="eastAsia" w:ascii="Calibri" w:hAnsi="Calibri" w:eastAsia="宋体" w:cs="Times New Roman"/>
                <w:color w:val="000000"/>
                <w:szCs w:val="21"/>
                <w:lang w:val="en-US" w:eastAsia="zh-CN"/>
              </w:rPr>
              <w:t>分</w:t>
            </w:r>
            <w:r>
              <w:rPr>
                <w:rFonts w:hint="eastAsia" w:ascii="Calibri" w:hAnsi="Calibri" w:eastAsia="宋体" w:cs="Times New Roman"/>
                <w:color w:val="000000"/>
                <w:szCs w:val="21"/>
              </w:rPr>
              <w:t>；</w:t>
            </w:r>
            <w:r>
              <w:rPr>
                <w:rFonts w:hint="eastAsia" w:ascii="Calibri" w:hAnsi="Calibri" w:eastAsia="宋体" w:cs="Times New Roman"/>
                <w:color w:val="000000"/>
                <w:szCs w:val="21"/>
                <w:lang w:val="en-US" w:eastAsia="zh-CN"/>
              </w:rPr>
              <w:t>该项目最高得分1</w:t>
            </w:r>
            <w:r>
              <w:rPr>
                <w:rFonts w:hint="eastAsia" w:cs="Times New Roman"/>
                <w:color w:val="000000"/>
                <w:szCs w:val="21"/>
                <w:lang w:val="en-US" w:eastAsia="zh-CN"/>
              </w:rPr>
              <w:t>4</w:t>
            </w:r>
            <w:r>
              <w:rPr>
                <w:rFonts w:hint="eastAsia" w:ascii="Calibri" w:hAnsi="Calibri" w:eastAsia="宋体" w:cs="Times New Roman"/>
                <w:color w:val="000000"/>
                <w:szCs w:val="21"/>
                <w:lang w:val="en-US" w:eastAsia="zh-CN"/>
              </w:rPr>
              <w:t>分</w:t>
            </w:r>
            <w:r>
              <w:rPr>
                <w:rFonts w:hint="eastAsia" w:ascii="Calibri" w:hAnsi="Calibri" w:eastAsia="宋体" w:cs="Times New Roman"/>
                <w:color w:val="000000"/>
                <w:szCs w:val="21"/>
              </w:rPr>
              <w:t>(自有车辆提供行驶证</w:t>
            </w:r>
            <w:r>
              <w:rPr>
                <w:rFonts w:hint="eastAsia" w:ascii="Calibri" w:hAnsi="Calibri" w:eastAsia="宋体" w:cs="Times New Roman"/>
                <w:color w:val="000000"/>
                <w:szCs w:val="21"/>
                <w:lang w:val="en-US" w:eastAsia="zh-CN"/>
              </w:rPr>
              <w:t>或</w:t>
            </w:r>
            <w:r>
              <w:rPr>
                <w:rFonts w:hint="eastAsia" w:ascii="Calibri" w:hAnsi="Calibri" w:eastAsia="宋体" w:cs="Times New Roman"/>
                <w:color w:val="000000"/>
                <w:szCs w:val="21"/>
              </w:rPr>
              <w:t>购置发票复印件</w:t>
            </w:r>
            <w:r>
              <w:rPr>
                <w:rFonts w:hint="eastAsia" w:cs="Times New Roman"/>
                <w:color w:val="000000"/>
                <w:szCs w:val="21"/>
                <w:lang w:eastAsia="zh-CN"/>
              </w:rPr>
              <w:t>并</w:t>
            </w:r>
            <w:r>
              <w:rPr>
                <w:rFonts w:hint="eastAsia" w:ascii="Calibri" w:hAnsi="Calibri" w:eastAsia="宋体" w:cs="Times New Roman"/>
                <w:color w:val="000000"/>
                <w:szCs w:val="21"/>
              </w:rPr>
              <w:t>加盖公章；租赁车辆提供租赁合同及行驶证复印件</w:t>
            </w:r>
            <w:r>
              <w:rPr>
                <w:rFonts w:hint="eastAsia" w:cs="Times New Roman"/>
                <w:color w:val="000000"/>
                <w:szCs w:val="21"/>
                <w:lang w:eastAsia="zh-CN"/>
              </w:rPr>
              <w:t>并</w:t>
            </w:r>
            <w:r>
              <w:rPr>
                <w:rFonts w:hint="eastAsia" w:ascii="Calibri" w:hAnsi="Calibri" w:eastAsia="宋体" w:cs="Times New Roman"/>
                <w:color w:val="000000"/>
                <w:szCs w:val="21"/>
              </w:rPr>
              <w:t>加盖公章）</w:t>
            </w:r>
          </w:p>
        </w:tc>
        <w:tc>
          <w:tcPr>
            <w:tcW w:w="913" w:type="dxa"/>
            <w:tcBorders>
              <w:top w:val="single" w:color="auto" w:sz="4" w:space="0"/>
              <w:left w:val="single" w:color="auto" w:sz="4" w:space="0"/>
              <w:bottom w:val="single" w:color="auto" w:sz="4" w:space="0"/>
              <w:right w:val="single" w:color="auto" w:sz="4" w:space="0"/>
            </w:tcBorders>
            <w:vAlign w:val="center"/>
          </w:tcPr>
          <w:p w14:paraId="6577F87E">
            <w:pPr>
              <w:widowControl/>
              <w:snapToGrid w:val="0"/>
              <w:spacing w:line="276" w:lineRule="auto"/>
              <w:jc w:val="center"/>
              <w:rPr>
                <w:rFonts w:hint="eastAsia" w:ascii="宋体" w:hAnsi="宋体" w:eastAsia="宋体" w:cs="宋体"/>
                <w:szCs w:val="21"/>
                <w:lang w:eastAsia="zh-CN"/>
              </w:rPr>
            </w:pPr>
            <w:r>
              <w:rPr>
                <w:rFonts w:hint="eastAsia" w:ascii="宋体" w:hAnsi="宋体" w:eastAsia="宋体" w:cs="宋体"/>
                <w:szCs w:val="21"/>
              </w:rPr>
              <w:t>1</w:t>
            </w:r>
            <w:r>
              <w:rPr>
                <w:rFonts w:hint="eastAsia" w:ascii="宋体" w:hAnsi="宋体" w:cs="宋体"/>
                <w:szCs w:val="21"/>
                <w:lang w:val="en-US" w:eastAsia="zh-CN"/>
              </w:rPr>
              <w:t>4</w:t>
            </w:r>
          </w:p>
        </w:tc>
      </w:tr>
      <w:tr w14:paraId="4757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500" w:type="dxa"/>
            <w:tcBorders>
              <w:top w:val="single" w:color="auto" w:sz="4" w:space="0"/>
              <w:left w:val="single" w:color="auto" w:sz="4" w:space="0"/>
              <w:bottom w:val="single" w:color="auto" w:sz="4" w:space="0"/>
              <w:right w:val="single" w:color="auto" w:sz="4" w:space="0"/>
            </w:tcBorders>
            <w:vAlign w:val="center"/>
          </w:tcPr>
          <w:p w14:paraId="75404B75">
            <w:pPr>
              <w:widowControl/>
              <w:snapToGrid w:val="0"/>
              <w:jc w:val="center"/>
              <w:rPr>
                <w:rFonts w:hint="eastAsia" w:ascii="宋体" w:hAnsi="宋体" w:eastAsia="宋体" w:cs="宋体"/>
                <w:kern w:val="0"/>
                <w:szCs w:val="21"/>
              </w:rPr>
            </w:pPr>
            <w:r>
              <w:rPr>
                <w:rFonts w:hint="eastAsia" w:ascii="宋体" w:hAnsi="宋体" w:eastAsia="宋体" w:cs="宋体"/>
                <w:kern w:val="0"/>
                <w:szCs w:val="21"/>
              </w:rPr>
              <w:t>6</w:t>
            </w:r>
          </w:p>
        </w:tc>
        <w:tc>
          <w:tcPr>
            <w:tcW w:w="1338" w:type="dxa"/>
            <w:tcBorders>
              <w:top w:val="single" w:color="auto" w:sz="4" w:space="0"/>
              <w:left w:val="single" w:color="auto" w:sz="4" w:space="0"/>
              <w:bottom w:val="single" w:color="auto" w:sz="4" w:space="0"/>
              <w:right w:val="single" w:color="auto" w:sz="4" w:space="0"/>
            </w:tcBorders>
            <w:vAlign w:val="center"/>
          </w:tcPr>
          <w:p w14:paraId="76ED97A8">
            <w:pPr>
              <w:widowControl/>
              <w:snapToGrid w:val="0"/>
              <w:jc w:val="center"/>
              <w:rPr>
                <w:rFonts w:hint="eastAsia" w:ascii="宋体" w:hAnsi="宋体" w:eastAsia="宋体" w:cs="宋体"/>
                <w:kern w:val="0"/>
                <w:szCs w:val="21"/>
              </w:rPr>
            </w:pPr>
            <w:r>
              <w:rPr>
                <w:rFonts w:hint="eastAsia" w:cs="Times New Roman"/>
                <w:color w:val="000000"/>
                <w:szCs w:val="21"/>
                <w:lang w:eastAsia="zh-CN"/>
              </w:rPr>
              <w:t>企业</w:t>
            </w:r>
            <w:r>
              <w:rPr>
                <w:rFonts w:hint="eastAsia" w:ascii="宋体" w:hAnsi="宋体" w:eastAsia="宋体" w:cs="宋体"/>
                <w:kern w:val="0"/>
                <w:szCs w:val="21"/>
              </w:rPr>
              <w:t>资质</w:t>
            </w:r>
          </w:p>
        </w:tc>
        <w:tc>
          <w:tcPr>
            <w:tcW w:w="6600" w:type="dxa"/>
            <w:tcBorders>
              <w:top w:val="single" w:color="auto" w:sz="4" w:space="0"/>
              <w:left w:val="single" w:color="auto" w:sz="4" w:space="0"/>
              <w:bottom w:val="single" w:color="auto" w:sz="4" w:space="0"/>
              <w:right w:val="single" w:color="auto" w:sz="4" w:space="0"/>
            </w:tcBorders>
            <w:vAlign w:val="center"/>
          </w:tcPr>
          <w:p w14:paraId="13DFFDD2">
            <w:pPr>
              <w:rPr>
                <w:rFonts w:hint="eastAsia" w:ascii="Calibri" w:hAnsi="Calibri" w:eastAsia="宋体" w:cs="Times New Roman"/>
                <w:color w:val="000000"/>
                <w:szCs w:val="21"/>
              </w:rPr>
            </w:pPr>
            <w:bookmarkStart w:id="15" w:name="_GoBack"/>
            <w:r>
              <w:rPr>
                <w:rFonts w:hint="eastAsia" w:cs="Times New Roman"/>
                <w:color w:val="000000"/>
                <w:szCs w:val="21"/>
                <w:lang w:eastAsia="zh-CN"/>
              </w:rPr>
              <w:t>企业</w:t>
            </w:r>
            <w:r>
              <w:rPr>
                <w:rFonts w:hint="eastAsia" w:ascii="Calibri" w:hAnsi="Calibri" w:eastAsia="宋体" w:cs="Times New Roman"/>
                <w:color w:val="000000"/>
                <w:szCs w:val="21"/>
              </w:rPr>
              <w:t>具有</w:t>
            </w:r>
            <w:r>
              <w:rPr>
                <w:rFonts w:hint="eastAsia" w:cs="Times New Roman"/>
                <w:color w:val="000000"/>
                <w:szCs w:val="21"/>
                <w:lang w:eastAsia="zh-CN"/>
              </w:rPr>
              <w:t>有效期内的</w:t>
            </w:r>
            <w:r>
              <w:rPr>
                <w:rFonts w:hint="default" w:ascii="Calibri" w:hAnsi="Calibri" w:eastAsia="宋体" w:cs="Times New Roman"/>
                <w:color w:val="000000"/>
                <w:szCs w:val="21"/>
              </w:rPr>
              <w:t>机电工程施工</w:t>
            </w:r>
            <w:r>
              <w:rPr>
                <w:rFonts w:hint="eastAsia" w:cs="Times New Roman"/>
                <w:color w:val="000000"/>
                <w:szCs w:val="21"/>
                <w:lang w:eastAsia="zh-CN"/>
              </w:rPr>
              <w:t>总承包三级及以上或</w:t>
            </w:r>
            <w:r>
              <w:rPr>
                <w:rFonts w:hint="default" w:ascii="Calibri" w:hAnsi="Calibri" w:eastAsia="宋体" w:cs="Times New Roman"/>
                <w:color w:val="000000"/>
                <w:szCs w:val="21"/>
              </w:rPr>
              <w:t>建筑机电安装工程</w:t>
            </w:r>
            <w:r>
              <w:rPr>
                <w:rFonts w:hint="eastAsia" w:cs="Times New Roman"/>
                <w:color w:val="000000"/>
                <w:szCs w:val="21"/>
                <w:lang w:eastAsia="zh-CN"/>
              </w:rPr>
              <w:t>专业承包三级及以上</w:t>
            </w:r>
            <w:r>
              <w:rPr>
                <w:rFonts w:hint="default" w:ascii="Calibri" w:hAnsi="Calibri" w:eastAsia="宋体" w:cs="Times New Roman"/>
                <w:color w:val="000000"/>
                <w:szCs w:val="21"/>
              </w:rPr>
              <w:t>或</w:t>
            </w:r>
            <w:r>
              <w:rPr>
                <w:rFonts w:hint="eastAsia" w:ascii="Calibri" w:hAnsi="Calibri" w:eastAsia="宋体" w:cs="Times New Roman"/>
                <w:color w:val="000000"/>
                <w:szCs w:val="21"/>
              </w:rPr>
              <w:t>环保工程</w:t>
            </w:r>
            <w:r>
              <w:rPr>
                <w:rFonts w:hint="eastAsia" w:ascii="Calibri" w:hAnsi="Calibri" w:eastAsia="宋体" w:cs="Times New Roman"/>
                <w:color w:val="000000"/>
                <w:szCs w:val="21"/>
                <w:lang w:val="en-US" w:eastAsia="zh-CN"/>
              </w:rPr>
              <w:t>专业</w:t>
            </w:r>
            <w:r>
              <w:rPr>
                <w:rFonts w:hint="default" w:ascii="Calibri" w:hAnsi="Calibri" w:eastAsia="宋体" w:cs="Times New Roman"/>
                <w:color w:val="000000"/>
                <w:szCs w:val="21"/>
              </w:rPr>
              <w:t>承包三级及以上资质</w:t>
            </w:r>
            <w:r>
              <w:rPr>
                <w:rFonts w:hint="eastAsia" w:ascii="Calibri" w:hAnsi="Calibri" w:eastAsia="宋体" w:cs="Times New Roman"/>
                <w:color w:val="000000"/>
                <w:szCs w:val="21"/>
              </w:rPr>
              <w:t>的得3分。</w:t>
            </w:r>
            <w:r>
              <w:rPr>
                <w:rFonts w:hint="eastAsia" w:cs="Times New Roman"/>
                <w:color w:val="000000"/>
                <w:szCs w:val="21"/>
                <w:lang w:eastAsia="zh-CN"/>
              </w:rPr>
              <w:t>（</w:t>
            </w:r>
            <w:r>
              <w:rPr>
                <w:rFonts w:hint="eastAsia" w:ascii="Calibri" w:hAnsi="Calibri" w:eastAsia="宋体" w:cs="Times New Roman"/>
                <w:color w:val="000000"/>
                <w:szCs w:val="21"/>
              </w:rPr>
              <w:t>提供有效</w:t>
            </w:r>
            <w:r>
              <w:rPr>
                <w:rFonts w:hint="eastAsia" w:cs="Times New Roman"/>
                <w:color w:val="000000"/>
                <w:szCs w:val="21"/>
                <w:lang w:eastAsia="zh-CN"/>
              </w:rPr>
              <w:t>证书</w:t>
            </w:r>
            <w:r>
              <w:rPr>
                <w:rFonts w:hint="eastAsia" w:ascii="Calibri" w:hAnsi="Calibri" w:eastAsia="宋体" w:cs="Times New Roman"/>
                <w:color w:val="000000"/>
                <w:szCs w:val="21"/>
              </w:rPr>
              <w:t>复印件</w:t>
            </w:r>
            <w:r>
              <w:rPr>
                <w:rFonts w:hint="eastAsia" w:cs="Times New Roman"/>
                <w:color w:val="000000"/>
                <w:szCs w:val="21"/>
                <w:lang w:eastAsia="zh-CN"/>
              </w:rPr>
              <w:t>并</w:t>
            </w:r>
            <w:r>
              <w:rPr>
                <w:rFonts w:hint="eastAsia" w:ascii="Calibri" w:hAnsi="Calibri" w:eastAsia="宋体" w:cs="Times New Roman"/>
                <w:color w:val="000000"/>
                <w:szCs w:val="21"/>
              </w:rPr>
              <w:t>加盖公章。</w:t>
            </w:r>
            <w:r>
              <w:rPr>
                <w:rFonts w:hint="eastAsia" w:cs="Times New Roman"/>
                <w:color w:val="000000"/>
                <w:szCs w:val="21"/>
                <w:lang w:eastAsia="zh-CN"/>
              </w:rPr>
              <w:t>）</w:t>
            </w:r>
            <w:bookmarkEnd w:id="15"/>
          </w:p>
        </w:tc>
        <w:tc>
          <w:tcPr>
            <w:tcW w:w="913" w:type="dxa"/>
            <w:tcBorders>
              <w:top w:val="single" w:color="auto" w:sz="4" w:space="0"/>
              <w:left w:val="single" w:color="auto" w:sz="4" w:space="0"/>
              <w:bottom w:val="single" w:color="auto" w:sz="4" w:space="0"/>
              <w:right w:val="single" w:color="auto" w:sz="4" w:space="0"/>
            </w:tcBorders>
            <w:vAlign w:val="center"/>
          </w:tcPr>
          <w:p w14:paraId="13192973">
            <w:pPr>
              <w:widowControl/>
              <w:snapToGrid w:val="0"/>
              <w:spacing w:line="276" w:lineRule="auto"/>
              <w:jc w:val="center"/>
              <w:rPr>
                <w:rFonts w:hint="eastAsia" w:ascii="宋体" w:hAnsi="宋体" w:eastAsia="宋体" w:cs="宋体"/>
                <w:szCs w:val="21"/>
              </w:rPr>
            </w:pPr>
            <w:r>
              <w:rPr>
                <w:rFonts w:hint="eastAsia" w:ascii="宋体" w:hAnsi="宋体" w:eastAsia="宋体" w:cs="宋体"/>
                <w:szCs w:val="21"/>
              </w:rPr>
              <w:t>3</w:t>
            </w:r>
          </w:p>
        </w:tc>
      </w:tr>
      <w:tr w14:paraId="4F11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438" w:type="dxa"/>
            <w:gridSpan w:val="3"/>
            <w:tcBorders>
              <w:top w:val="single" w:color="auto" w:sz="4" w:space="0"/>
              <w:left w:val="single" w:color="auto" w:sz="4" w:space="0"/>
              <w:bottom w:val="single" w:color="auto" w:sz="4" w:space="0"/>
              <w:right w:val="single" w:color="auto" w:sz="4" w:space="0"/>
            </w:tcBorders>
            <w:vAlign w:val="center"/>
          </w:tcPr>
          <w:p w14:paraId="0F00B897">
            <w:pPr>
              <w:widowControl/>
              <w:snapToGrid w:val="0"/>
              <w:jc w:val="center"/>
              <w:rPr>
                <w:rFonts w:hint="eastAsia" w:ascii="宋体" w:hAnsi="宋体" w:eastAsia="宋体" w:cs="宋体"/>
                <w:kern w:val="0"/>
                <w:sz w:val="24"/>
                <w:szCs w:val="24"/>
              </w:rPr>
            </w:pPr>
            <w:r>
              <w:rPr>
                <w:rFonts w:hint="eastAsia" w:ascii="宋体" w:hAnsi="宋体" w:eastAsia="宋体" w:cs="宋体"/>
                <w:kern w:val="0"/>
                <w:sz w:val="24"/>
                <w:szCs w:val="24"/>
              </w:rPr>
              <w:t>合    计</w:t>
            </w:r>
          </w:p>
        </w:tc>
        <w:tc>
          <w:tcPr>
            <w:tcW w:w="913" w:type="dxa"/>
            <w:tcBorders>
              <w:top w:val="single" w:color="auto" w:sz="4" w:space="0"/>
              <w:left w:val="single" w:color="auto" w:sz="4" w:space="0"/>
              <w:bottom w:val="single" w:color="auto" w:sz="4" w:space="0"/>
              <w:right w:val="single" w:color="auto" w:sz="4" w:space="0"/>
            </w:tcBorders>
            <w:vAlign w:val="center"/>
          </w:tcPr>
          <w:p w14:paraId="29B63B65">
            <w:pPr>
              <w:widowControl/>
              <w:snapToGrid w:val="0"/>
              <w:spacing w:line="276" w:lineRule="auto"/>
              <w:jc w:val="center"/>
              <w:rPr>
                <w:rFonts w:hint="eastAsia" w:ascii="宋体" w:hAnsi="宋体" w:eastAsia="宋体" w:cs="宋体"/>
                <w:sz w:val="24"/>
                <w:szCs w:val="24"/>
              </w:rPr>
            </w:pPr>
            <w:r>
              <w:rPr>
                <w:rFonts w:ascii="宋体" w:hAnsi="宋体" w:eastAsia="宋体" w:cs="宋体"/>
                <w:sz w:val="24"/>
                <w:szCs w:val="24"/>
              </w:rPr>
              <w:t>100</w:t>
            </w:r>
            <w:r>
              <w:rPr>
                <w:rFonts w:hint="eastAsia" w:ascii="宋体" w:hAnsi="宋体" w:eastAsia="宋体" w:cs="宋体"/>
                <w:sz w:val="24"/>
                <w:szCs w:val="24"/>
              </w:rPr>
              <w:t>分</w:t>
            </w:r>
          </w:p>
        </w:tc>
      </w:tr>
    </w:tbl>
    <w:p w14:paraId="68AF7CB6">
      <w:pPr>
        <w:rPr>
          <w:rFonts w:ascii="宋体" w:hAnsi="宋体" w:cs="宋体"/>
          <w:color w:val="auto"/>
          <w:highlight w:val="none"/>
        </w:rPr>
      </w:pPr>
    </w:p>
    <w:p w14:paraId="7846114D">
      <w:pPr>
        <w:rPr>
          <w:rFonts w:ascii="宋体" w:hAnsi="宋体" w:cs="宋体"/>
          <w:b/>
          <w:color w:val="auto"/>
          <w:sz w:val="36"/>
          <w:highlight w:val="none"/>
        </w:rPr>
      </w:pPr>
      <w:r>
        <w:rPr>
          <w:rFonts w:hint="eastAsia" w:ascii="宋体" w:hAnsi="宋体" w:cs="宋体"/>
          <w:b/>
          <w:color w:val="auto"/>
          <w:sz w:val="36"/>
          <w:highlight w:val="none"/>
        </w:rPr>
        <w:br w:type="page"/>
      </w:r>
    </w:p>
    <w:p w14:paraId="46DA4162">
      <w:pPr>
        <w:pStyle w:val="262"/>
        <w:numPr>
          <w:ilvl w:val="0"/>
          <w:numId w:val="53"/>
        </w:numPr>
        <w:rPr>
          <w:rFonts w:ascii="宋体" w:hAnsi="宋体" w:eastAsia="宋体" w:cs="宋体"/>
          <w:color w:val="auto"/>
          <w:highlight w:val="none"/>
        </w:rPr>
      </w:pPr>
      <w:r>
        <w:rPr>
          <w:rFonts w:hint="eastAsia" w:ascii="宋体" w:hAnsi="宋体" w:eastAsia="宋体" w:cs="宋体"/>
          <w:color w:val="auto"/>
          <w:highlight w:val="none"/>
        </w:rPr>
        <w:t xml:space="preserve"> 采购需求</w:t>
      </w:r>
    </w:p>
    <w:p w14:paraId="7328D069">
      <w:pPr>
        <w:rPr>
          <w:rFonts w:hint="eastAsia" w:ascii="宋体" w:hAnsi="宋体" w:eastAsia="宋体" w:cs="宋体"/>
          <w:color w:val="auto"/>
          <w:szCs w:val="21"/>
          <w:highlight w:val="none"/>
          <w:lang w:eastAsia="zh-CN"/>
        </w:rPr>
      </w:pPr>
      <w:r>
        <w:rPr>
          <w:rFonts w:hint="eastAsia" w:ascii="宋体" w:hAnsi="宋体" w:cs="宋体"/>
          <w:b/>
          <w:bCs/>
          <w:color w:val="auto"/>
          <w:sz w:val="24"/>
          <w:szCs w:val="24"/>
          <w:highlight w:val="none"/>
        </w:rPr>
        <w:t>一、项目名称：</w:t>
      </w:r>
      <w:r>
        <w:rPr>
          <w:rFonts w:hint="eastAsia" w:ascii="宋体" w:hAnsi="宋体" w:cs="宋体"/>
          <w:color w:val="auto"/>
          <w:szCs w:val="21"/>
          <w:highlight w:val="none"/>
          <w:lang w:eastAsia="zh-CN"/>
        </w:rPr>
        <w:t>南京邮电大学2026年--2029年地下停车场</w:t>
      </w:r>
      <w:r>
        <w:rPr>
          <w:rFonts w:hint="eastAsia" w:ascii="宋体" w:hAnsi="宋体" w:cs="宋体"/>
          <w:color w:val="auto"/>
          <w:szCs w:val="21"/>
          <w:highlight w:val="none"/>
          <w:lang w:val="en-US" w:eastAsia="zh-CN"/>
        </w:rPr>
        <w:t>排水系统</w:t>
      </w:r>
      <w:r>
        <w:rPr>
          <w:rFonts w:hint="eastAsia" w:ascii="宋体" w:hAnsi="宋体" w:cs="宋体"/>
          <w:color w:val="auto"/>
          <w:szCs w:val="21"/>
          <w:highlight w:val="none"/>
          <w:lang w:eastAsia="zh-CN"/>
        </w:rPr>
        <w:t>维保服务采购</w:t>
      </w:r>
    </w:p>
    <w:p w14:paraId="7B8D424F">
      <w:pPr>
        <w:rPr>
          <w:rFonts w:hint="eastAsia" w:ascii="宋体" w:hAnsi="宋体" w:eastAsia="宋体" w:cs="宋体"/>
          <w:color w:val="auto"/>
          <w:szCs w:val="21"/>
          <w:highlight w:val="none"/>
          <w:lang w:eastAsia="zh-CN"/>
        </w:rPr>
      </w:pPr>
      <w:r>
        <w:rPr>
          <w:rFonts w:hint="eastAsia" w:ascii="宋体" w:hAnsi="宋体" w:cs="宋体"/>
          <w:b/>
          <w:bCs/>
          <w:color w:val="auto"/>
          <w:sz w:val="24"/>
          <w:szCs w:val="24"/>
          <w:highlight w:val="none"/>
        </w:rPr>
        <w:t>二、</w:t>
      </w:r>
      <w:r>
        <w:rPr>
          <w:rFonts w:hint="eastAsia" w:ascii="宋体" w:hAnsi="宋体" w:cs="宋体"/>
          <w:b/>
          <w:bCs/>
          <w:color w:val="auto"/>
          <w:sz w:val="24"/>
          <w:szCs w:val="24"/>
          <w:highlight w:val="none"/>
          <w:lang w:val="en-US" w:eastAsia="zh-CN"/>
        </w:rPr>
        <w:t>服务区域：</w:t>
      </w:r>
      <w:r>
        <w:rPr>
          <w:rFonts w:hint="eastAsia" w:ascii="宋体" w:hAnsi="宋体" w:cs="宋体"/>
          <w:color w:val="auto"/>
          <w:szCs w:val="21"/>
          <w:highlight w:val="none"/>
          <w:lang w:val="en-US" w:eastAsia="zh-CN"/>
        </w:rPr>
        <w:t>南邮仙林校区、三牌楼校区</w:t>
      </w:r>
    </w:p>
    <w:p w14:paraId="55A56F6A">
      <w:pPr>
        <w:rPr>
          <w:rFonts w:ascii="宋体" w:hAnsi="宋体" w:cs="宋体"/>
          <w:b/>
          <w:bCs/>
          <w:color w:val="auto"/>
          <w:sz w:val="24"/>
          <w:szCs w:val="24"/>
          <w:highlight w:val="none"/>
        </w:rPr>
      </w:pPr>
      <w:r>
        <w:rPr>
          <w:rFonts w:hint="eastAsia" w:ascii="宋体" w:hAnsi="宋体" w:cs="宋体"/>
          <w:b/>
          <w:bCs/>
          <w:color w:val="auto"/>
          <w:sz w:val="24"/>
          <w:szCs w:val="24"/>
          <w:highlight w:val="none"/>
        </w:rPr>
        <w:t>三、采购需求：</w:t>
      </w:r>
    </w:p>
    <w:p w14:paraId="7E435B87">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（一）项目概况及范围</w:t>
      </w:r>
    </w:p>
    <w:p w14:paraId="791B4E4A">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为保障校区地下停车场设施安全稳定运行，有效防范积水内涝、设备故障等安全隐患，筑牢校园防汛安全防线，拟实施2026-2029年度南京邮电大学校区地下停车场排水系统维保服务。</w:t>
      </w:r>
    </w:p>
    <w:p w14:paraId="27975DA7">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服务范围覆盖仙林校区行政楼、教五楼、新材料学科楼、新体育馆、青教1期、青教3期、学科楼组团、学生宿舍（27栋、33栋）、大学生活动中心等楼宇地下停车场集水池水泵、控制柜及闸阀；三牌楼校区科研楼地下室水泵控制柜及闸阀；共有</w:t>
      </w:r>
      <w:r>
        <w:rPr>
          <w:rFonts w:hint="eastAsia" w:ascii="宋体" w:hAnsi="宋体" w:eastAsia="宋体" w:cs="宋体"/>
          <w:color w:val="000000"/>
          <w:kern w:val="0"/>
          <w:sz w:val="22"/>
          <w:lang w:val="en-US" w:eastAsia="zh-CN" w:bidi="ar"/>
        </w:rPr>
        <w:t>集水坑37座</w:t>
      </w:r>
      <w:r>
        <w:rPr>
          <w:rFonts w:hint="eastAsia" w:ascii="宋体" w:hAnsi="宋体" w:cs="宋体"/>
          <w:color w:val="000000"/>
          <w:kern w:val="0"/>
          <w:sz w:val="22"/>
          <w:lang w:val="en-US" w:eastAsia="zh-CN" w:bidi="ar"/>
        </w:rPr>
        <w:t>，</w:t>
      </w:r>
      <w:r>
        <w:rPr>
          <w:rFonts w:hint="eastAsia" w:ascii="宋体" w:hAnsi="宋体" w:eastAsia="宋体" w:cs="宋体"/>
          <w:color w:val="000000"/>
          <w:kern w:val="0"/>
          <w:sz w:val="22"/>
          <w:lang w:val="en-US" w:eastAsia="zh-CN" w:bidi="ar"/>
        </w:rPr>
        <w:t>控制柜104个，水泵闸阀175个</w:t>
      </w:r>
      <w:r>
        <w:rPr>
          <w:rFonts w:hint="eastAsia" w:ascii="宋体" w:hAnsi="宋体" w:cs="宋体"/>
          <w:color w:val="000000"/>
          <w:kern w:val="0"/>
          <w:sz w:val="22"/>
          <w:lang w:val="en-US" w:eastAsia="zh-CN" w:bidi="ar"/>
        </w:rPr>
        <w:t>。</w:t>
      </w:r>
      <w:r>
        <w:rPr>
          <w:rFonts w:hint="eastAsia" w:ascii="宋体" w:hAnsi="宋体" w:cs="宋体"/>
          <w:color w:val="auto"/>
          <w:szCs w:val="21"/>
          <w:highlight w:val="none"/>
          <w:lang w:val="en-US" w:eastAsia="zh-CN"/>
        </w:rPr>
        <w:t>服务商须具备相应专业维保能力，按要求开展常态化巡检、季度深度检修，汛期加密排查检修，提供24小时应急故障处置服务，及时排查整改设备隐患、完善维保台账，实行包干服务、无隐形收费，确保设备长期稳定运行。</w:t>
      </w:r>
    </w:p>
    <w:p w14:paraId="74F09161">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（二）采购需求及技术要求</w:t>
      </w:r>
    </w:p>
    <w:p w14:paraId="4C061B8A">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 常态化巡检养护：非汛期每季度至少开展一次设备全面巡检；汛期每两周至少开展一次设备全面巡检；暴雨时节结合气象预警情况每周排查不少于一次。清理设备、管路杂物及淤泥，集水坑杂物及淤泥每季度至少彻底清理一次，汛期视淤积情况免费增加频次，全面排查设备安全隐患，做好完整巡检记录。</w:t>
      </w:r>
    </w:p>
    <w:p w14:paraId="215B6D27">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 专业保养调试：每季度都要完成对蓄水池水泵、电气控制柜、传感器、闸阀、浮球、法兰等设备开展日常维护以及清洁、润滑、除锈、参数校准与整机性能调试，保证设备运行参数达标、工况稳定、可靠耐用；汛期免费增加保养调试频次。</w:t>
      </w:r>
    </w:p>
    <w:p w14:paraId="4B7739D9">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 故障维修处置：接到设备故障报修后及时响应、排查、维修，材料费单价200元以下水泵机组易损配件（含滤网、密封件等常规易损小件）免费更换；材料费单价超过200元的配件维修更换，经校方确认后方可更换，服务商承诺仅收取材料费，做到所有设备问题闭环整改，严禁设备带病运行。</w:t>
      </w:r>
    </w:p>
    <w:p w14:paraId="188BB176">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 应急防汛保障：建立24小时全天候应急响应机制，收到设备故障、积水险情通知后，接报后30分钟内响应（电话确认、远程指导），2小时内到达现场，及时赶赴现场处置，快速恢复排水系统功能，一般维修24小时之内完成（维修时间内免费提供应急泵保证排水系统正常工作），全力保障地下车库防汛排水安全。</w:t>
      </w:r>
    </w:p>
    <w:p w14:paraId="3A1E672A">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5.服务商须自备至少1台移动式应急排水泵（流量扬程适配现场），费用已含在报价中，应急使用时服务商不得再另行收费。</w:t>
      </w:r>
    </w:p>
    <w:p w14:paraId="24ACD8CF">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每季度提交巡查台账记录，台账要体现巡查人员、时间、设备参数、运行情况、现场照片；每次巡检必须拍照留痕，照片带时间水印，维保记录经校方现场人员签字确认；年度考核时需提交年度报告，体现全年各设备运行情况、故障频次和维修情况等。</w:t>
      </w:r>
    </w:p>
    <w:p w14:paraId="4223CA64">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（三）服务单位责任要求</w:t>
      </w:r>
    </w:p>
    <w:p w14:paraId="721845F4">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 人员专业合规：维保作业人员须具备相应专业资质及现场实操经验，持证上岗、规范作业，杜绝违规操作，防范人身及设备安全事故。</w:t>
      </w:r>
    </w:p>
    <w:p w14:paraId="2840838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 安全规范作业：合理安排作业时段，尽量避开师生出行高峰；作业现场按规定设置安全警示标识，严格遵守用电、有限空间作业等安全管理规定；作业完毕及时清理现场，恢复场地原貌。属于紧急抢修情形的，经校方审批同意，作业时间不受时段限制，避免因“避峰”要求导致应急响应迟滞，严守安全底线。</w:t>
      </w:r>
    </w:p>
    <w:p w14:paraId="4E0181AB">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 规范服务管理：维保单位指定项目专人对接，保障信息传递与故障响应及时，巡检巡视以及维修、维护保养的记录必须由校方现场工作人员签字才算有效，且维保报告须包含维修前后图片、故障点图片、更换配件清单、关键参数检测数据，每次巡检和维修须形成书面记录（含照片，带时间水印），经校方现场人员签字确认后作为付款依据。</w:t>
      </w:r>
    </w:p>
    <w:p w14:paraId="5A8EFE2F">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发现服务质量问题后，校方书面通知整改，服务商须在48小时内提交整改方案并限期完成；逾期未整改或整改不到位的，扣减当季度服务费合同额的10%；超过5天未有效整改的，视为严重违约，采购人有权单方解约并追偿。</w:t>
      </w:r>
    </w:p>
    <w:p w14:paraId="2AD8517E">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（四）服务标准与奖惩要求</w:t>
      </w:r>
    </w:p>
    <w:p w14:paraId="47BB167B">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本项目维保服务除本招标文件约定内容外，须严格遵照国家及行业机电设备、给排水水泵维保相关技术规范执行，包括但不限于《城镇排水管渠与泵站运行、维护及安全技术规程》（CJJ 68-2016）和《潜水轴流泵》（CJ/T 518-2017）等行业技术标准。本文件所列维保内容为最低服务标准，服务商须根据设备运行工况、季节变化、设备老化程度等实际情况主动优化维保频次与养护质量，确保设备运行工况良好、无安全隐患。服务商维保服务质量未达到本文件及行业规范要求的，采购人将根据实际情况予以相应经济处罚。</w:t>
      </w:r>
    </w:p>
    <w:p w14:paraId="6F5A400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（五）服务考核管理</w:t>
      </w:r>
    </w:p>
    <w:p w14:paraId="74563F9A">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1、考核依据：依据国家水泵机电维保行业标准、本招标文件及合同约定，对服务商日常维保服务质量进行综合考核，考核结果作为服务费支付、合同续签、履约评价的重要依据。</w:t>
      </w:r>
    </w:p>
    <w:p w14:paraId="2BD2DDAC">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考核方式：采购人采取日常不定期巡查、季度抽查、半年度集中考核相结合的方式开展考评。日常检查发现的问题，由采购人下发书面整改通知，服务商须在规定期限内整改到位并反馈，按期整改合格不予扣分；对问题反复出现、逾期未整改、整改不合格的，纳入半年度考核计分。</w:t>
      </w:r>
    </w:p>
    <w:p w14:paraId="79BBB513">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考核计分及结果运用（总分100分）：（1）考核得分90分及以上，全额支付当期维保费用；80分（含）—89分，以90分为基准，每低1分扣减当期服务费的1%，采购人有权约谈项目负责人并责令限期全面整改提升；80分以下，扣减当期服务费20%，采购人有权单方面解除合同并追偿。（2）考核每半年进行一次，第一次考核安排在每年5月份进行；年度综合考核安排在每年10月进行；年度考核80分（含）以上，可续签下一年度合同；年度考核80分以下，采购人有权单方面解除合同。</w:t>
      </w:r>
    </w:p>
    <w:p w14:paraId="2CC7E4C2">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4、量化考核标准（总分100分）</w:t>
      </w:r>
    </w:p>
    <w:p w14:paraId="5D7A81B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设备运维保养（30分）。未及时排查处置水泵机组、控制柜、节流阀运行异常，每处扣2分；设备存在积尘、锈蚀、渗漏、松动等问题未按期整改保养，每2处扣1分；设备运行参数异常、压力不稳、频繁启停未调试修复，每次扣2分；设备密封、老化配件未及时更换，每处扣2分。</w:t>
      </w:r>
    </w:p>
    <w:p w14:paraId="5CEF45D1">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故障处置与隐患治理（40分）。一般故障未按时限响应、到场处置，每次扣3分；影响排水的紧急故障响应超时，每次扣5分；汛期险情接报后未按时到场，每次扣8分；故障维修不彻底、重复返修，每次扣2分；设备安全隐患未按期整改或未及时上报，每处扣3分；涉及防汛安全的隐患未整改或未上报，每处扣5分；未按规定完成季度维保及参数校准工作，每次扣3分。</w:t>
      </w:r>
    </w:p>
    <w:p w14:paraId="1B97A8DB">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台账资料与规范服务（15分）。维保巡检、维修台账记录缺项、漏项、填写不规范，每次扣2分；未按期提交维保总结、隐患排查报告等资料，每次扣2分；台账资料与实际服务不符、弄虚作假的，首次每次扣10分并书面警告，再次发现当期考核直接认定为不合格，采购人有权单方面解除合同。</w:t>
      </w:r>
    </w:p>
    <w:p w14:paraId="3A8570E9">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（4）安全作业与现场管理（15分）。维保作业未遵守校园安全管理规定、未落实安全防护措施，每次扣3分；作业垃圾、废料未及时清运、现场遗留杂物，每次扣2分；作业操作不规范、存在安全隐患，每次扣3分。</w:t>
      </w:r>
    </w:p>
    <w:p w14:paraId="32745DDF">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 扣分规则</w:t>
      </w:r>
    </w:p>
    <w:p w14:paraId="5B190EC5">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一般问题（台账缺项、现场清洁不到位）：首次下发整改通知，整改期3—7天，整改到位不予扣分。</w:t>
      </w:r>
    </w:p>
    <w:p w14:paraId="62DAE3F9">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设备隐患（渗漏、锈蚀、参数异常）：整改期48小时，整改到位不予扣分。</w:t>
      </w:r>
    </w:p>
    <w:p w14:paraId="5C9D4529">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紧急故障（水泵停转、控制柜失效、大量积水）：立即处置，不适用整改期，超时直接按故障处置条款扣分。</w:t>
      </w:r>
    </w:p>
    <w:p w14:paraId="5A9A7BD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同一问题重复发生、整改不到位或拒不整改的，按标准双倍扣分。</w:t>
      </w:r>
    </w:p>
    <w:p w14:paraId="36EF775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单次考核中，同一子项累计扣分不超过该项分值的50%；单次考核总扣分上限为30分。</w:t>
      </w:r>
    </w:p>
    <w:p w14:paraId="4072E664">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（六）交付及验收要求</w:t>
      </w:r>
    </w:p>
    <w:p w14:paraId="12FD51E3">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 服务周期：本项目总服务周期三年，自2026年11月6日起至2029年11月5日止。项目年度预算为6.5万元，合同实行一年一签、每年10月份年度考核合格后续签下一年度服务合同，单个服务年度为每年11月6日至次年11月5日，各年度合同价款以当期中标成交价为准。</w:t>
      </w:r>
    </w:p>
    <w:p w14:paraId="1B3B36DA">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 验收标准：维保范围不含消防水泵；维保范围内集水坑水泵、控制柜及闸阀运行正常，地下停车场蓄水池排水系统稳定可靠，响应及时、排水通畅，完全满足校园防汛排水及日常使用要求。</w:t>
      </w:r>
    </w:p>
    <w:p w14:paraId="49B40450">
      <w:pPr>
        <w:adjustRightInd w:val="0"/>
        <w:snapToGrid w:val="0"/>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（七）付款方式</w:t>
      </w:r>
    </w:p>
    <w:p w14:paraId="3C9D12DB">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本项目无预付款，各年度维保期满且验收合格后，服务商提供合法合规正规发票，甲方全额无息付清当年维保款项。</w:t>
      </w:r>
    </w:p>
    <w:p w14:paraId="43D99356">
      <w:pPr>
        <w:adjustRightInd w:val="0"/>
        <w:snapToGrid w:val="0"/>
        <w:spacing w:line="360" w:lineRule="auto"/>
        <w:ind w:firstLine="420" w:firstLineChars="200"/>
        <w:rPr>
          <w:rFonts w:ascii="宋体" w:hAnsi="宋体" w:cs="宋体"/>
          <w:color w:val="auto"/>
          <w:szCs w:val="21"/>
          <w:highlight w:val="none"/>
        </w:rPr>
      </w:pPr>
    </w:p>
    <w:p w14:paraId="0F90EC13">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br w:type="page"/>
      </w:r>
    </w:p>
    <w:p w14:paraId="4EBBBE99">
      <w:pPr>
        <w:pStyle w:val="262"/>
        <w:rPr>
          <w:rFonts w:ascii="宋体" w:hAnsi="宋体" w:eastAsia="宋体" w:cs="宋体"/>
          <w:color w:val="auto"/>
          <w:highlight w:val="none"/>
        </w:rPr>
      </w:pPr>
      <w:r>
        <w:rPr>
          <w:rFonts w:hint="eastAsia" w:ascii="宋体" w:hAnsi="宋体" w:eastAsia="宋体" w:cs="宋体"/>
          <w:color w:val="auto"/>
          <w:highlight w:val="none"/>
        </w:rPr>
        <w:t>第五章  合同主要条款及格式</w:t>
      </w:r>
    </w:p>
    <w:p w14:paraId="1B3D67C7">
      <w:pPr>
        <w:pStyle w:val="18"/>
        <w:ind w:firstLine="480"/>
        <w:rPr>
          <w:rFonts w:ascii="宋体" w:hAnsi="宋体" w:cs="宋体"/>
          <w:color w:val="auto"/>
          <w:highlight w:val="none"/>
        </w:rPr>
      </w:pPr>
      <w:bookmarkStart w:id="6" w:name="_Toc16938559"/>
      <w:bookmarkStart w:id="7" w:name="_Toc20823315"/>
      <w:bookmarkStart w:id="8" w:name="_Toc513029243"/>
      <w:r>
        <w:rPr>
          <w:rFonts w:hint="eastAsia" w:ascii="宋体" w:hAnsi="宋体" w:cs="宋体"/>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49F28B30">
      <w:pPr>
        <w:jc w:val="center"/>
        <w:rPr>
          <w:sz w:val="30"/>
          <w:szCs w:val="30"/>
        </w:rPr>
      </w:pPr>
      <w:bookmarkStart w:id="9" w:name="_Hlt16619369"/>
      <w:bookmarkEnd w:id="9"/>
      <w:r>
        <w:rPr>
          <w:rFonts w:hint="eastAsia"/>
          <w:sz w:val="30"/>
          <w:szCs w:val="30"/>
        </w:rPr>
        <w:t>南京邮电大学仙林校区202</w:t>
      </w:r>
      <w:r>
        <w:rPr>
          <w:rFonts w:hint="eastAsia"/>
          <w:sz w:val="30"/>
          <w:szCs w:val="30"/>
          <w:lang w:val="en-US" w:eastAsia="zh-CN"/>
        </w:rPr>
        <w:t>*</w:t>
      </w:r>
      <w:r>
        <w:rPr>
          <w:rFonts w:hint="eastAsia"/>
          <w:sz w:val="30"/>
          <w:szCs w:val="30"/>
        </w:rPr>
        <w:t>-202</w:t>
      </w:r>
      <w:r>
        <w:rPr>
          <w:rFonts w:hint="eastAsia"/>
          <w:sz w:val="30"/>
          <w:szCs w:val="30"/>
          <w:lang w:val="en-US" w:eastAsia="zh-CN"/>
        </w:rPr>
        <w:t>*年</w:t>
      </w:r>
      <w:r>
        <w:rPr>
          <w:sz w:val="30"/>
          <w:szCs w:val="30"/>
        </w:rPr>
        <w:t xml:space="preserve"> </w:t>
      </w:r>
    </w:p>
    <w:p w14:paraId="5102FF0D">
      <w:pPr>
        <w:jc w:val="center"/>
        <w:rPr>
          <w:rFonts w:hint="eastAsia"/>
          <w:sz w:val="30"/>
          <w:szCs w:val="30"/>
        </w:rPr>
      </w:pPr>
      <w:r>
        <w:rPr>
          <w:rFonts w:hint="eastAsia"/>
          <w:sz w:val="30"/>
          <w:szCs w:val="30"/>
        </w:rPr>
        <w:t>地下停车场</w:t>
      </w:r>
      <w:r>
        <w:rPr>
          <w:rFonts w:hint="eastAsia"/>
          <w:sz w:val="30"/>
          <w:szCs w:val="30"/>
          <w:lang w:val="en-US" w:eastAsia="zh-CN"/>
        </w:rPr>
        <w:t>排水系统</w:t>
      </w:r>
      <w:r>
        <w:rPr>
          <w:rFonts w:hint="eastAsia"/>
          <w:sz w:val="30"/>
          <w:szCs w:val="30"/>
        </w:rPr>
        <w:t>维保服务</w:t>
      </w:r>
    </w:p>
    <w:p w14:paraId="46E6DCDF">
      <w:pPr>
        <w:jc w:val="center"/>
        <w:rPr>
          <w:szCs w:val="21"/>
        </w:rPr>
      </w:pPr>
    </w:p>
    <w:p w14:paraId="05203569">
      <w:pPr>
        <w:jc w:val="center"/>
        <w:rPr>
          <w:rFonts w:hint="eastAsia"/>
          <w:szCs w:val="21"/>
        </w:rPr>
      </w:pPr>
    </w:p>
    <w:p w14:paraId="24C35FF9">
      <w:pPr>
        <w:adjustRightInd w:val="0"/>
        <w:spacing w:line="360" w:lineRule="auto"/>
        <w:jc w:val="left"/>
        <w:rPr>
          <w:rFonts w:hint="eastAsia" w:ascii="宋体" w:hAnsi="宋体" w:cs="宋体"/>
          <w:szCs w:val="21"/>
        </w:rPr>
      </w:pPr>
      <w:r>
        <w:rPr>
          <w:rFonts w:hint="eastAsia" w:ascii="宋体" w:hAnsi="宋体" w:cs="宋体"/>
          <w:szCs w:val="21"/>
        </w:rPr>
        <w:t>发包人：</w:t>
      </w:r>
      <w:r>
        <w:rPr>
          <w:rFonts w:hint="eastAsia" w:ascii="宋体" w:hAnsi="宋体" w:cs="宋体"/>
          <w:szCs w:val="21"/>
          <w:u w:val="single"/>
        </w:rPr>
        <w:t xml:space="preserve">    南京邮电大学      </w:t>
      </w:r>
      <w:r>
        <w:rPr>
          <w:rFonts w:hint="eastAsia" w:ascii="宋体" w:hAnsi="宋体" w:cs="宋体"/>
          <w:szCs w:val="21"/>
        </w:rPr>
        <w:t>（以下简称甲方）</w:t>
      </w:r>
    </w:p>
    <w:p w14:paraId="722E7B6B">
      <w:pPr>
        <w:adjustRightInd w:val="0"/>
        <w:spacing w:line="360" w:lineRule="auto"/>
        <w:jc w:val="left"/>
        <w:rPr>
          <w:rFonts w:hint="eastAsia" w:ascii="宋体" w:hAnsi="宋体" w:cs="宋体"/>
          <w:szCs w:val="21"/>
        </w:rPr>
      </w:pPr>
      <w:r>
        <w:rPr>
          <w:rFonts w:hint="eastAsia" w:ascii="宋体" w:hAnsi="宋体" w:cs="宋体"/>
          <w:szCs w:val="21"/>
        </w:rPr>
        <w:t>地址：</w:t>
      </w:r>
      <w:r>
        <w:rPr>
          <w:rFonts w:hint="eastAsia" w:ascii="宋体" w:hAnsi="宋体" w:cs="宋体"/>
          <w:szCs w:val="21"/>
          <w:u w:val="single"/>
        </w:rPr>
        <w:t xml:space="preserve">  南京市栖霞区文苑路9号 </w:t>
      </w:r>
    </w:p>
    <w:p w14:paraId="3B066B8C">
      <w:pPr>
        <w:adjustRightInd w:val="0"/>
        <w:spacing w:line="360" w:lineRule="auto"/>
        <w:jc w:val="left"/>
        <w:rPr>
          <w:rFonts w:hint="eastAsia" w:ascii="宋体" w:hAnsi="宋体" w:cs="宋体"/>
          <w:szCs w:val="21"/>
        </w:rPr>
      </w:pPr>
      <w:r>
        <w:rPr>
          <w:rFonts w:hint="eastAsia" w:ascii="宋体" w:hAnsi="宋体" w:cs="宋体"/>
          <w:szCs w:val="21"/>
        </w:rPr>
        <w:t>电话：</w:t>
      </w:r>
      <w:r>
        <w:rPr>
          <w:rFonts w:hint="eastAsia" w:ascii="宋体" w:hAnsi="宋体" w:cs="宋体"/>
          <w:szCs w:val="21"/>
          <w:u w:val="single"/>
        </w:rPr>
        <w:t xml:space="preserve"> </w:t>
      </w:r>
      <w:r>
        <w:rPr>
          <w:rFonts w:ascii="宋体" w:hAnsi="宋体" w:cs="宋体"/>
          <w:szCs w:val="21"/>
          <w:u w:val="single"/>
        </w:rPr>
        <w:t>025</w:t>
      </w:r>
      <w:r>
        <w:rPr>
          <w:rFonts w:hint="eastAsia" w:ascii="宋体" w:hAnsi="宋体" w:cs="宋体"/>
          <w:szCs w:val="21"/>
          <w:u w:val="single"/>
        </w:rPr>
        <w:t>-</w:t>
      </w:r>
      <w:r>
        <w:rPr>
          <w:rFonts w:ascii="宋体" w:hAnsi="宋体" w:cs="宋体"/>
          <w:szCs w:val="21"/>
          <w:u w:val="single"/>
        </w:rPr>
        <w:t>85866</w:t>
      </w:r>
      <w:r>
        <w:rPr>
          <w:rFonts w:hint="eastAsia" w:ascii="宋体" w:hAnsi="宋体" w:cs="宋体"/>
          <w:szCs w:val="21"/>
          <w:u w:val="single"/>
          <w:lang w:val="en-US" w:eastAsia="zh-CN"/>
        </w:rPr>
        <w:t>367</w:t>
      </w:r>
      <w:r>
        <w:rPr>
          <w:rFonts w:hint="eastAsia" w:ascii="宋体" w:hAnsi="宋体" w:cs="宋体"/>
          <w:szCs w:val="21"/>
          <w:u w:val="single"/>
        </w:rPr>
        <w:t xml:space="preserve"> </w:t>
      </w:r>
    </w:p>
    <w:p w14:paraId="2E951FE1">
      <w:pPr>
        <w:spacing w:line="360" w:lineRule="auto"/>
        <w:jc w:val="left"/>
        <w:rPr>
          <w:rFonts w:hint="eastAsia" w:ascii="宋体" w:hAnsi="宋体" w:cs="宋体"/>
          <w:szCs w:val="21"/>
        </w:rPr>
      </w:pPr>
    </w:p>
    <w:p w14:paraId="2B614E9B">
      <w:pPr>
        <w:spacing w:line="360" w:lineRule="auto"/>
        <w:jc w:val="left"/>
        <w:rPr>
          <w:rFonts w:hint="eastAsia" w:ascii="宋体" w:hAnsi="宋体" w:cs="宋体"/>
          <w:szCs w:val="21"/>
        </w:rPr>
      </w:pPr>
      <w:r>
        <w:rPr>
          <w:rFonts w:hint="eastAsia" w:ascii="宋体" w:hAnsi="宋体" w:cs="宋体"/>
          <w:szCs w:val="21"/>
        </w:rPr>
        <w:t xml:space="preserve">承包人：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（以下简称乙方）</w:t>
      </w:r>
    </w:p>
    <w:p w14:paraId="27C82A5C">
      <w:pPr>
        <w:spacing w:line="360" w:lineRule="auto"/>
        <w:jc w:val="left"/>
        <w:rPr>
          <w:rFonts w:hint="eastAsia" w:ascii="宋体" w:hAnsi="宋体" w:cs="宋体"/>
          <w:szCs w:val="21"/>
          <w:u w:val="single"/>
        </w:rPr>
      </w:pPr>
      <w:r>
        <w:rPr>
          <w:rFonts w:hint="eastAsia" w:ascii="宋体" w:hAnsi="宋体" w:cs="宋体"/>
          <w:szCs w:val="21"/>
        </w:rPr>
        <w:t xml:space="preserve">地址：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14:paraId="291C1C04">
      <w:pPr>
        <w:spacing w:line="360" w:lineRule="auto"/>
        <w:jc w:val="left"/>
        <w:rPr>
          <w:rFonts w:hint="eastAsia" w:ascii="宋体" w:hAnsi="宋体" w:cs="宋体"/>
          <w:szCs w:val="21"/>
          <w:u w:val="single"/>
        </w:rPr>
      </w:pPr>
      <w:r>
        <w:rPr>
          <w:rFonts w:hint="eastAsia" w:ascii="宋体" w:hAnsi="宋体" w:cs="宋体"/>
          <w:szCs w:val="21"/>
        </w:rPr>
        <w:t>电话：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p>
    <w:p w14:paraId="51F91EEF">
      <w:pPr>
        <w:jc w:val="left"/>
        <w:rPr>
          <w:rFonts w:hint="eastAsia" w:ascii="宋体" w:hAnsi="宋体" w:cs="宋体"/>
          <w:szCs w:val="21"/>
        </w:rPr>
      </w:pPr>
    </w:p>
    <w:p w14:paraId="75D7E907">
      <w:pPr>
        <w:snapToGrid w:val="0"/>
        <w:spacing w:line="300" w:lineRule="auto"/>
        <w:jc w:val="left"/>
        <w:rPr>
          <w:rFonts w:hint="eastAsia" w:ascii="宋体" w:hAnsi="宋体" w:cs="宋体"/>
        </w:rPr>
      </w:pPr>
      <w:r>
        <w:rPr>
          <w:rFonts w:hint="eastAsia" w:ascii="宋体" w:hAnsi="宋体" w:cs="宋体"/>
        </w:rPr>
        <w:t xml:space="preserve">    甲乙双方本着公平、公正的原则，根据我国法律法规的规定，协商一致，达成以下协议：</w:t>
      </w:r>
    </w:p>
    <w:p w14:paraId="1CAFCF91">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服务概况：</w:t>
      </w:r>
    </w:p>
    <w:p w14:paraId="50A2FF61">
      <w:pPr>
        <w:pStyle w:val="3"/>
        <w:numPr>
          <w:ilvl w:val="0"/>
          <w:numId w:val="55"/>
        </w:numPr>
        <w:snapToGrid w:val="0"/>
        <w:spacing w:line="300" w:lineRule="auto"/>
        <w:ind w:firstLineChars="0"/>
        <w:jc w:val="left"/>
        <w:rPr>
          <w:rFonts w:hint="eastAsia" w:ascii="宋体" w:hAnsi="宋体" w:cs="宋体"/>
        </w:rPr>
      </w:pPr>
      <w:r>
        <w:rPr>
          <w:rFonts w:hint="eastAsia" w:ascii="宋体" w:hAnsi="宋体" w:cs="宋体"/>
        </w:rPr>
        <w:t>服务地址：</w:t>
      </w:r>
      <w:r>
        <w:rPr>
          <w:rFonts w:hint="eastAsia" w:ascii="宋体" w:hAnsi="宋体" w:cs="宋体"/>
          <w:szCs w:val="21"/>
        </w:rPr>
        <w:t xml:space="preserve"> </w:t>
      </w:r>
      <w:r>
        <w:rPr>
          <w:rFonts w:hint="eastAsia" w:ascii="宋体" w:hAnsi="宋体" w:cs="宋体"/>
          <w:szCs w:val="21"/>
          <w:u w:val="single"/>
        </w:rPr>
        <w:t xml:space="preserve">  南京邮电大学仙林校区</w:t>
      </w:r>
      <w:r>
        <w:rPr>
          <w:rFonts w:hint="eastAsia" w:ascii="宋体" w:hAnsi="宋体" w:cs="宋体"/>
          <w:szCs w:val="21"/>
          <w:u w:val="single"/>
          <w:lang w:eastAsia="zh-CN"/>
        </w:rPr>
        <w:t>、</w:t>
      </w:r>
      <w:r>
        <w:rPr>
          <w:rFonts w:hint="eastAsia" w:ascii="宋体" w:hAnsi="宋体" w:cs="宋体"/>
          <w:szCs w:val="21"/>
          <w:u w:val="single"/>
          <w:lang w:val="en-US" w:eastAsia="zh-CN"/>
        </w:rPr>
        <w:t>三牌楼校区</w:t>
      </w:r>
      <w:r>
        <w:rPr>
          <w:rFonts w:hint="eastAsia" w:ascii="宋体" w:hAnsi="宋体" w:cs="宋体"/>
          <w:szCs w:val="21"/>
          <w:u w:val="single"/>
        </w:rPr>
        <w:t xml:space="preserve">      </w:t>
      </w:r>
      <w:r>
        <w:rPr>
          <w:rFonts w:hint="eastAsia" w:ascii="宋体" w:hAnsi="宋体" w:cs="宋体"/>
        </w:rPr>
        <w:t>。</w:t>
      </w:r>
    </w:p>
    <w:p w14:paraId="24D62C5C">
      <w:pPr>
        <w:pStyle w:val="3"/>
        <w:numPr>
          <w:ilvl w:val="0"/>
          <w:numId w:val="55"/>
        </w:numPr>
        <w:snapToGrid w:val="0"/>
        <w:spacing w:line="300" w:lineRule="auto"/>
        <w:ind w:firstLineChars="0"/>
        <w:jc w:val="left"/>
        <w:rPr>
          <w:rFonts w:hint="eastAsia" w:ascii="宋体" w:hAnsi="宋体" w:cs="宋体"/>
        </w:rPr>
      </w:pPr>
      <w:r>
        <w:rPr>
          <w:rFonts w:hint="eastAsia" w:ascii="宋体" w:hAnsi="宋体" w:cs="宋体"/>
        </w:rPr>
        <w:t>服务内容： 仙林校区行政楼、教</w:t>
      </w:r>
      <w:r>
        <w:rPr>
          <w:rFonts w:hint="eastAsia" w:ascii="宋体" w:hAnsi="宋体" w:cs="宋体"/>
          <w:lang w:val="en-US" w:eastAsia="zh-CN"/>
        </w:rPr>
        <w:t>五楼</w:t>
      </w:r>
      <w:r>
        <w:rPr>
          <w:rFonts w:hint="eastAsia" w:ascii="宋体" w:hAnsi="宋体" w:cs="宋体"/>
        </w:rPr>
        <w:t>、青教1期、青教3期、学科楼</w:t>
      </w:r>
      <w:r>
        <w:rPr>
          <w:rFonts w:hint="eastAsia" w:ascii="宋体" w:hAnsi="宋体" w:cs="宋体"/>
          <w:lang w:val="en-US" w:eastAsia="zh-CN"/>
        </w:rPr>
        <w:t>组团</w:t>
      </w:r>
      <w:r>
        <w:rPr>
          <w:rFonts w:hint="eastAsia" w:ascii="宋体" w:hAnsi="宋体" w:cs="宋体"/>
        </w:rPr>
        <w:t>、学生宿舍（27</w:t>
      </w:r>
      <w:r>
        <w:rPr>
          <w:rFonts w:hint="eastAsia" w:ascii="宋体" w:hAnsi="宋体" w:cs="宋体"/>
          <w:lang w:val="en-US" w:eastAsia="zh-CN"/>
        </w:rPr>
        <w:t>幢</w:t>
      </w:r>
      <w:r>
        <w:rPr>
          <w:rFonts w:hint="eastAsia" w:ascii="宋体" w:hAnsi="宋体" w:cs="宋体"/>
        </w:rPr>
        <w:t>、33</w:t>
      </w:r>
      <w:r>
        <w:rPr>
          <w:rFonts w:hint="eastAsia" w:ascii="宋体" w:hAnsi="宋体" w:cs="宋体"/>
          <w:lang w:val="en-US" w:eastAsia="zh-CN"/>
        </w:rPr>
        <w:t>幢</w:t>
      </w:r>
      <w:r>
        <w:rPr>
          <w:rFonts w:hint="eastAsia" w:ascii="宋体" w:hAnsi="宋体" w:cs="宋体"/>
        </w:rPr>
        <w:t>）、大学生活动中心</w:t>
      </w:r>
      <w:r>
        <w:rPr>
          <w:rFonts w:hint="eastAsia" w:ascii="宋体" w:hAnsi="宋体" w:cs="宋体"/>
          <w:lang w:eastAsia="zh-CN"/>
        </w:rPr>
        <w:t>、</w:t>
      </w:r>
      <w:r>
        <w:rPr>
          <w:rFonts w:hint="eastAsia" w:ascii="宋体" w:hAnsi="宋体" w:cs="宋体"/>
          <w:lang w:val="en-US" w:eastAsia="zh-CN"/>
        </w:rPr>
        <w:t>新体育馆、新材料学科楼和三牌楼校区科研楼</w:t>
      </w:r>
      <w:r>
        <w:rPr>
          <w:rFonts w:hint="eastAsia" w:ascii="宋体" w:hAnsi="宋体" w:cs="宋体"/>
        </w:rPr>
        <w:t>等楼宇地下停车场</w:t>
      </w:r>
      <w:r>
        <w:rPr>
          <w:rFonts w:hint="eastAsia" w:ascii="宋体" w:hAnsi="宋体" w:cs="宋体"/>
          <w:lang w:val="en-US" w:eastAsia="zh-CN"/>
        </w:rPr>
        <w:t>集水</w:t>
      </w:r>
      <w:r>
        <w:rPr>
          <w:rFonts w:hint="eastAsia" w:ascii="宋体" w:hAnsi="宋体" w:cs="宋体"/>
        </w:rPr>
        <w:t>池清淤、水泵、控制柜及</w:t>
      </w:r>
      <w:r>
        <w:rPr>
          <w:rFonts w:hint="eastAsia" w:ascii="宋体" w:hAnsi="宋体" w:cs="宋体"/>
          <w:lang w:val="en-US" w:eastAsia="zh-CN"/>
        </w:rPr>
        <w:t>闸</w:t>
      </w:r>
      <w:r>
        <w:rPr>
          <w:rFonts w:hint="eastAsia" w:ascii="宋体" w:hAnsi="宋体" w:cs="宋体"/>
        </w:rPr>
        <w:t>阀</w:t>
      </w:r>
      <w:r>
        <w:rPr>
          <w:rFonts w:hint="eastAsia" w:ascii="宋体" w:hAnsi="宋体" w:cs="宋体"/>
          <w:lang w:val="en-US" w:eastAsia="zh-CN"/>
        </w:rPr>
        <w:t>等</w:t>
      </w:r>
      <w:r>
        <w:rPr>
          <w:rFonts w:hint="eastAsia" w:ascii="宋体" w:hAnsi="宋体" w:cs="宋体"/>
        </w:rPr>
        <w:t>维保</w:t>
      </w:r>
      <w:r>
        <w:rPr>
          <w:rFonts w:hint="eastAsia" w:ascii="宋体" w:hAnsi="宋体" w:cs="宋体"/>
          <w:lang w:val="en-US" w:eastAsia="zh-CN"/>
        </w:rPr>
        <w:t>服务</w:t>
      </w:r>
      <w:r>
        <w:rPr>
          <w:rFonts w:hint="eastAsia" w:ascii="宋体" w:hAnsi="宋体" w:cs="宋体"/>
        </w:rPr>
        <w:t>，消防水泵除外，确保水泵正常工作。</w:t>
      </w:r>
    </w:p>
    <w:p w14:paraId="7F0F30CB">
      <w:pPr>
        <w:pStyle w:val="3"/>
        <w:numPr>
          <w:ilvl w:val="0"/>
          <w:numId w:val="55"/>
        </w:numPr>
        <w:snapToGrid w:val="0"/>
        <w:spacing w:line="300" w:lineRule="auto"/>
        <w:ind w:firstLineChars="0"/>
        <w:jc w:val="left"/>
        <w:rPr>
          <w:rFonts w:hint="eastAsia" w:ascii="宋体" w:hAnsi="宋体" w:cs="宋体"/>
        </w:rPr>
      </w:pPr>
      <w:r>
        <w:rPr>
          <w:rFonts w:hint="eastAsia" w:ascii="宋体" w:hAnsi="宋体" w:cs="宋体"/>
        </w:rPr>
        <w:t>服务期：</w:t>
      </w:r>
      <w:r>
        <w:rPr>
          <w:rFonts w:hint="eastAsia" w:ascii="宋体" w:hAnsi="宋体" w:cs="宋体"/>
          <w:u w:val="single"/>
        </w:rPr>
        <w:t xml:space="preserve"> </w:t>
      </w:r>
      <w:r>
        <w:rPr>
          <w:rFonts w:ascii="宋体" w:hAnsi="宋体" w:cs="宋体"/>
          <w:u w:val="single"/>
        </w:rPr>
        <w:t>202</w:t>
      </w:r>
      <w:r>
        <w:rPr>
          <w:rFonts w:hint="eastAsia" w:ascii="宋体" w:hAnsi="宋体" w:cs="宋体"/>
          <w:u w:val="single"/>
          <w:lang w:val="en-US" w:eastAsia="zh-CN"/>
        </w:rPr>
        <w:t>*</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日至</w:t>
      </w:r>
      <w:r>
        <w:rPr>
          <w:rFonts w:hint="eastAsia" w:ascii="宋体" w:hAnsi="宋体" w:cs="宋体"/>
          <w:u w:val="single"/>
        </w:rPr>
        <w:t xml:space="preserve"> </w:t>
      </w:r>
      <w:r>
        <w:rPr>
          <w:rFonts w:ascii="宋体" w:hAnsi="宋体" w:cs="宋体"/>
          <w:u w:val="single"/>
        </w:rPr>
        <w:t>202</w:t>
      </w:r>
      <w:r>
        <w:rPr>
          <w:rFonts w:hint="eastAsia" w:ascii="宋体" w:hAnsi="宋体" w:cs="宋体"/>
          <w:u w:val="single"/>
          <w:lang w:val="en-US" w:eastAsia="zh-CN"/>
        </w:rPr>
        <w:t>*</w:t>
      </w:r>
      <w:r>
        <w:rPr>
          <w:rFonts w:hint="eastAsia" w:ascii="宋体" w:hAnsi="宋体" w:cs="宋体"/>
        </w:rPr>
        <w:t>年</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rPr>
        <w:t>月</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rPr>
        <w:t>日。</w:t>
      </w:r>
    </w:p>
    <w:p w14:paraId="005E8E41">
      <w:pPr>
        <w:pStyle w:val="3"/>
        <w:numPr>
          <w:ilvl w:val="0"/>
          <w:numId w:val="55"/>
        </w:numPr>
        <w:snapToGrid w:val="0"/>
        <w:spacing w:line="300" w:lineRule="auto"/>
        <w:ind w:firstLineChars="0"/>
        <w:jc w:val="left"/>
        <w:rPr>
          <w:rFonts w:hint="eastAsia" w:ascii="宋体" w:hAnsi="宋体" w:cs="宋体"/>
        </w:rPr>
      </w:pPr>
      <w:r>
        <w:rPr>
          <w:rFonts w:hint="eastAsia" w:ascii="宋体" w:hAnsi="宋体" w:cs="宋体"/>
        </w:rPr>
        <w:t>合同价款：人民币</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lang w:val="en-US" w:eastAsia="zh-CN"/>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u w:val="single"/>
          <w:lang w:val="en-US" w:eastAsia="zh-CN"/>
        </w:rPr>
        <w:t>元</w:t>
      </w:r>
      <w:r>
        <w:rPr>
          <w:rFonts w:hint="eastAsia" w:ascii="宋体" w:hAnsi="宋体" w:cs="宋体"/>
          <w:u w:val="single"/>
        </w:rPr>
        <w:t xml:space="preserve"> </w:t>
      </w:r>
      <w:r>
        <w:rPr>
          <w:rFonts w:hint="eastAsia" w:ascii="宋体" w:hAnsi="宋体" w:cs="宋体"/>
        </w:rPr>
        <w:t>，￥:</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元整  </w:t>
      </w:r>
      <w:r>
        <w:rPr>
          <w:rFonts w:hint="eastAsia" w:ascii="宋体" w:hAnsi="宋体" w:cs="宋体"/>
        </w:rPr>
        <w:t>。</w:t>
      </w:r>
    </w:p>
    <w:p w14:paraId="70A1168A">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双方工作：</w:t>
      </w:r>
    </w:p>
    <w:p w14:paraId="65A52BCA">
      <w:pPr>
        <w:pStyle w:val="3"/>
        <w:snapToGrid w:val="0"/>
        <w:spacing w:line="300" w:lineRule="auto"/>
        <w:ind w:left="420" w:firstLine="0" w:firstLineChars="0"/>
        <w:jc w:val="left"/>
        <w:rPr>
          <w:rFonts w:hint="eastAsia" w:ascii="宋体" w:hAnsi="宋体" w:cs="宋体"/>
        </w:rPr>
      </w:pPr>
      <w:r>
        <w:rPr>
          <w:rFonts w:hint="eastAsia" w:ascii="宋体" w:hAnsi="宋体" w:cs="宋体"/>
        </w:rPr>
        <w:t>甲方工作</w:t>
      </w:r>
    </w:p>
    <w:p w14:paraId="33BA2E0E">
      <w:pPr>
        <w:pStyle w:val="3"/>
        <w:numPr>
          <w:ilvl w:val="0"/>
          <w:numId w:val="56"/>
        </w:numPr>
        <w:snapToGrid w:val="0"/>
        <w:spacing w:line="300" w:lineRule="auto"/>
        <w:ind w:firstLineChars="0"/>
        <w:jc w:val="left"/>
        <w:rPr>
          <w:rFonts w:hint="eastAsia" w:ascii="宋体" w:hAnsi="宋体" w:cs="宋体"/>
        </w:rPr>
      </w:pPr>
      <w:r>
        <w:rPr>
          <w:rFonts w:hint="eastAsia" w:ascii="宋体" w:hAnsi="宋体" w:cs="宋体"/>
        </w:rPr>
        <w:t>办理施工所涉及的各种申请、批件等各项手续，协助乙方接通施工所需的水、电，协调有关部门做好通道、电梯、消防设备的使用和保护。</w:t>
      </w:r>
    </w:p>
    <w:p w14:paraId="4EDEC1E0">
      <w:pPr>
        <w:pStyle w:val="3"/>
        <w:numPr>
          <w:ilvl w:val="0"/>
          <w:numId w:val="56"/>
        </w:numPr>
        <w:snapToGrid w:val="0"/>
        <w:spacing w:line="300" w:lineRule="auto"/>
        <w:ind w:firstLineChars="0"/>
        <w:jc w:val="left"/>
        <w:rPr>
          <w:rFonts w:hint="eastAsia" w:ascii="宋体" w:hAnsi="宋体" w:cs="宋体"/>
        </w:rPr>
      </w:pPr>
      <w:r>
        <w:rPr>
          <w:rFonts w:hint="eastAsia" w:ascii="宋体" w:hAnsi="宋体" w:cs="宋体"/>
        </w:rPr>
        <w:t>指派</w:t>
      </w:r>
      <w:r>
        <w:rPr>
          <w:rFonts w:hint="eastAsia" w:ascii="宋体" w:hAnsi="宋体" w:cs="宋体"/>
          <w:u w:val="single"/>
        </w:rPr>
        <w:t xml:space="preserve">  潘月明 </w:t>
      </w:r>
      <w:r>
        <w:rPr>
          <w:rFonts w:hint="eastAsia" w:ascii="宋体" w:hAnsi="宋体" w:cs="宋体"/>
        </w:rPr>
        <w:t>为甲方代表，负责对服务质量、进度进行监督检查，办理验收、变更登记手续和其他事宜。</w:t>
      </w:r>
    </w:p>
    <w:p w14:paraId="2CE296C7">
      <w:pPr>
        <w:pStyle w:val="3"/>
        <w:snapToGrid w:val="0"/>
        <w:spacing w:line="300" w:lineRule="auto"/>
        <w:ind w:left="360" w:firstLine="0" w:firstLineChars="0"/>
        <w:jc w:val="left"/>
        <w:rPr>
          <w:rFonts w:hint="eastAsia" w:ascii="宋体" w:hAnsi="宋体" w:cs="宋体"/>
        </w:rPr>
      </w:pPr>
      <w:r>
        <w:rPr>
          <w:rFonts w:hint="eastAsia" w:ascii="宋体" w:hAnsi="宋体" w:cs="宋体"/>
        </w:rPr>
        <w:t>乙方工作</w:t>
      </w:r>
    </w:p>
    <w:p w14:paraId="05782D99">
      <w:pPr>
        <w:pStyle w:val="3"/>
        <w:numPr>
          <w:ilvl w:val="0"/>
          <w:numId w:val="57"/>
        </w:numPr>
        <w:snapToGrid w:val="0"/>
        <w:spacing w:line="300" w:lineRule="auto"/>
        <w:ind w:firstLineChars="0"/>
        <w:jc w:val="left"/>
        <w:rPr>
          <w:rFonts w:hint="eastAsia" w:ascii="宋体" w:hAnsi="宋体" w:cs="宋体"/>
        </w:rPr>
      </w:pPr>
      <w:r>
        <w:rPr>
          <w:rFonts w:hint="eastAsia" w:ascii="宋体" w:hAnsi="宋体" w:cs="宋体"/>
        </w:rPr>
        <w:t>严格执行施工规范、安全操作规程、防火安全和环境保护规定。严格按照图纸或双方确认的作法说明进行施工，做好各项事宜。保证施工现场的整洁，每日完工后清扫施工现场。</w:t>
      </w:r>
    </w:p>
    <w:p w14:paraId="6FCBA232">
      <w:pPr>
        <w:pStyle w:val="3"/>
        <w:numPr>
          <w:ilvl w:val="0"/>
          <w:numId w:val="57"/>
        </w:numPr>
        <w:snapToGrid w:val="0"/>
        <w:spacing w:line="300" w:lineRule="auto"/>
        <w:ind w:firstLineChars="0"/>
        <w:jc w:val="left"/>
        <w:rPr>
          <w:rFonts w:hint="eastAsia" w:ascii="宋体" w:hAnsi="宋体" w:cs="宋体"/>
        </w:rPr>
      </w:pPr>
      <w:r>
        <w:rPr>
          <w:rFonts w:hint="eastAsia" w:ascii="宋体" w:hAnsi="宋体" w:cs="宋体"/>
        </w:rPr>
        <w:t>指派</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为乙方代表，负责履行合同组织实施，按期限保质保量完成合同任务，解决由乙方负责的各项事宜。</w:t>
      </w:r>
    </w:p>
    <w:p w14:paraId="3E28D37D">
      <w:pPr>
        <w:pStyle w:val="3"/>
        <w:snapToGrid w:val="0"/>
        <w:spacing w:line="300" w:lineRule="auto"/>
        <w:ind w:firstLine="0" w:firstLineChars="0"/>
        <w:jc w:val="left"/>
        <w:rPr>
          <w:rFonts w:hint="eastAsia" w:ascii="宋体" w:hAnsi="宋体" w:cs="宋体"/>
        </w:rPr>
      </w:pPr>
    </w:p>
    <w:p w14:paraId="727BA72E">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服务价款及结算</w:t>
      </w:r>
    </w:p>
    <w:p w14:paraId="295B29A9">
      <w:pPr>
        <w:pStyle w:val="3"/>
        <w:numPr>
          <w:ilvl w:val="0"/>
          <w:numId w:val="58"/>
        </w:numPr>
        <w:snapToGrid w:val="0"/>
        <w:spacing w:line="300" w:lineRule="auto"/>
        <w:ind w:firstLineChars="0"/>
        <w:jc w:val="left"/>
        <w:rPr>
          <w:rFonts w:hint="default" w:ascii="宋体" w:hAnsi="宋体" w:cs="宋体"/>
          <w:lang w:val="en-US" w:eastAsia="zh-CN"/>
        </w:rPr>
      </w:pPr>
      <w:r>
        <w:rPr>
          <w:rFonts w:hint="eastAsia" w:ascii="宋体" w:hAnsi="宋体" w:cs="宋体"/>
        </w:rPr>
        <w:t>付款方式：本服务无预付款，</w:t>
      </w:r>
      <w:r>
        <w:rPr>
          <w:rFonts w:hint="eastAsia" w:ascii="宋体" w:hAnsi="宋体" w:cs="宋体"/>
          <w:lang w:val="en-US" w:eastAsia="zh-CN"/>
        </w:rPr>
        <w:t>每年考核</w:t>
      </w:r>
      <w:r>
        <w:rPr>
          <w:rFonts w:hint="eastAsia" w:ascii="宋体" w:hAnsi="宋体" w:cs="宋体"/>
        </w:rPr>
        <w:t>验收合格后，</w:t>
      </w:r>
      <w:r>
        <w:rPr>
          <w:rFonts w:hint="eastAsia" w:ascii="宋体" w:hAnsi="宋体" w:cs="宋体"/>
          <w:lang w:val="en-US" w:eastAsia="zh-CN"/>
        </w:rPr>
        <w:t>服务商按照学校审计要求提供合规的结算材料，</w:t>
      </w:r>
      <w:r>
        <w:rPr>
          <w:rFonts w:hint="eastAsia" w:ascii="宋体" w:hAnsi="宋体" w:cs="宋体"/>
        </w:rPr>
        <w:t>经审计后</w:t>
      </w:r>
      <w:r>
        <w:rPr>
          <w:rFonts w:hint="eastAsia" w:ascii="宋体" w:hAnsi="宋体" w:cs="宋体"/>
          <w:lang w:eastAsia="zh-CN"/>
        </w:rPr>
        <w:t>，</w:t>
      </w:r>
      <w:r>
        <w:rPr>
          <w:rFonts w:hint="eastAsia" w:ascii="宋体" w:hAnsi="宋体" w:cs="宋体"/>
          <w:lang w:val="en-US" w:eastAsia="zh-CN"/>
        </w:rPr>
        <w:t>按审定价</w:t>
      </w:r>
      <w:r>
        <w:rPr>
          <w:rFonts w:hint="eastAsia" w:ascii="宋体" w:hAnsi="宋体" w:cs="宋体"/>
        </w:rPr>
        <w:t>一次性付清</w:t>
      </w:r>
      <w:r>
        <w:rPr>
          <w:rFonts w:hint="eastAsia" w:ascii="宋体" w:hAnsi="宋体" w:cs="宋体"/>
          <w:lang w:val="en-US" w:eastAsia="zh-CN"/>
        </w:rPr>
        <w:t>当年费用</w:t>
      </w:r>
      <w:r>
        <w:rPr>
          <w:rFonts w:hint="eastAsia" w:ascii="宋体" w:hAnsi="宋体" w:cs="宋体"/>
          <w:lang w:eastAsia="zh-CN"/>
        </w:rPr>
        <w:t>；</w:t>
      </w:r>
      <w:r>
        <w:rPr>
          <w:rFonts w:hint="eastAsia" w:ascii="宋体" w:hAnsi="宋体" w:cs="宋体"/>
          <w:lang w:val="en-US" w:eastAsia="zh-CN"/>
        </w:rPr>
        <w:t>服务商</w:t>
      </w:r>
      <w:r>
        <w:rPr>
          <w:rFonts w:hint="eastAsia" w:ascii="宋体" w:hAnsi="宋体" w:cs="宋体"/>
        </w:rPr>
        <w:t>需提供正规发票。</w:t>
      </w:r>
    </w:p>
    <w:p w14:paraId="1EE8BB49">
      <w:pPr>
        <w:pStyle w:val="3"/>
        <w:numPr>
          <w:ilvl w:val="0"/>
          <w:numId w:val="58"/>
        </w:numPr>
        <w:snapToGrid w:val="0"/>
        <w:spacing w:line="300" w:lineRule="auto"/>
        <w:ind w:firstLineChars="0"/>
        <w:jc w:val="left"/>
        <w:rPr>
          <w:rFonts w:hint="eastAsia" w:ascii="宋体" w:hAnsi="宋体" w:cs="宋体"/>
        </w:rPr>
      </w:pPr>
      <w:r>
        <w:rPr>
          <w:rFonts w:hint="default" w:ascii="宋体" w:hAnsi="宋体" w:cs="宋体"/>
          <w:lang w:val="en-US" w:eastAsia="zh-CN"/>
        </w:rPr>
        <w:t>考核得分90分及以上，全额支付当期维保费用；80分（含）</w:t>
      </w:r>
      <w:r>
        <w:rPr>
          <w:rFonts w:hint="eastAsia" w:ascii="宋体" w:hAnsi="宋体" w:cs="宋体"/>
          <w:lang w:val="en-US" w:eastAsia="zh-CN"/>
        </w:rPr>
        <w:t>—</w:t>
      </w:r>
      <w:r>
        <w:rPr>
          <w:rFonts w:hint="default" w:ascii="宋体" w:hAnsi="宋体" w:cs="宋体"/>
          <w:lang w:val="en-US" w:eastAsia="zh-CN"/>
        </w:rPr>
        <w:t>89分，以90分为基准，每低1分扣减当期服务费的1%</w:t>
      </w:r>
      <w:r>
        <w:rPr>
          <w:rFonts w:hint="eastAsia" w:ascii="宋体" w:hAnsi="宋体" w:cs="宋体"/>
          <w:lang w:val="en-US" w:eastAsia="zh-CN"/>
        </w:rPr>
        <w:t>，</w:t>
      </w:r>
      <w:r>
        <w:rPr>
          <w:rFonts w:hint="default" w:ascii="宋体" w:hAnsi="宋体" w:cs="宋体"/>
          <w:lang w:val="en-US" w:eastAsia="zh-CN"/>
        </w:rPr>
        <w:t>采购人有权约谈项目负责人并责令限期全面整改</w:t>
      </w:r>
      <w:r>
        <w:rPr>
          <w:rFonts w:hint="eastAsia" w:ascii="宋体" w:hAnsi="宋体" w:cs="宋体"/>
          <w:lang w:val="en-US" w:eastAsia="zh-CN"/>
        </w:rPr>
        <w:t>提升</w:t>
      </w:r>
      <w:r>
        <w:rPr>
          <w:rFonts w:hint="default" w:ascii="宋体" w:hAnsi="宋体" w:cs="宋体"/>
          <w:lang w:val="en-US" w:eastAsia="zh-CN"/>
        </w:rPr>
        <w:t>；80分以下，扣减当期服务费20%，采购人有权</w:t>
      </w:r>
      <w:r>
        <w:rPr>
          <w:rFonts w:hint="eastAsia" w:ascii="宋体" w:hAnsi="宋体" w:cs="宋体"/>
          <w:lang w:val="en-US" w:eastAsia="zh-CN"/>
        </w:rPr>
        <w:t>单方面解除合同并追偿</w:t>
      </w:r>
      <w:r>
        <w:rPr>
          <w:rFonts w:hint="default" w:ascii="宋体" w:hAnsi="宋体" w:cs="宋体"/>
          <w:lang w:val="en-US" w:eastAsia="zh-CN"/>
        </w:rPr>
        <w:t>。</w:t>
      </w:r>
      <w:r>
        <w:rPr>
          <w:rFonts w:hint="eastAsia" w:ascii="宋体" w:hAnsi="宋体" w:cs="宋体"/>
          <w:lang w:val="en-US" w:eastAsia="zh-CN"/>
        </w:rPr>
        <w:t>年度综合考核安排在</w:t>
      </w:r>
      <w:r>
        <w:rPr>
          <w:rFonts w:hint="default" w:ascii="宋体" w:hAnsi="宋体" w:cs="宋体"/>
          <w:lang w:val="en-US" w:eastAsia="zh-CN"/>
        </w:rPr>
        <w:t>每年</w:t>
      </w:r>
      <w:r>
        <w:rPr>
          <w:rFonts w:hint="eastAsia" w:ascii="宋体" w:hAnsi="宋体" w:cs="宋体"/>
          <w:lang w:val="en-US" w:eastAsia="zh-CN"/>
        </w:rPr>
        <w:t>10</w:t>
      </w:r>
      <w:r>
        <w:rPr>
          <w:rFonts w:hint="default" w:ascii="宋体" w:hAnsi="宋体" w:cs="宋体"/>
          <w:lang w:val="en-US" w:eastAsia="zh-CN"/>
        </w:rPr>
        <w:t>月</w:t>
      </w:r>
      <w:r>
        <w:rPr>
          <w:rFonts w:hint="eastAsia" w:ascii="宋体" w:hAnsi="宋体" w:cs="宋体"/>
          <w:lang w:val="en-US" w:eastAsia="zh-CN"/>
        </w:rPr>
        <w:t>进行；</w:t>
      </w:r>
      <w:r>
        <w:rPr>
          <w:rFonts w:hint="default" w:ascii="宋体" w:hAnsi="宋体" w:cs="宋体"/>
          <w:lang w:val="en-US" w:eastAsia="zh-CN"/>
        </w:rPr>
        <w:t>年度考核80分（含）以上，可续签下一年度合同；年度考核80分以下，采购人有权单方面解除合同。</w:t>
      </w:r>
    </w:p>
    <w:p w14:paraId="38B38B9D">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安全生产和防火</w:t>
      </w:r>
    </w:p>
    <w:p w14:paraId="05BB184A">
      <w:pPr>
        <w:pStyle w:val="3"/>
        <w:numPr>
          <w:ilvl w:val="0"/>
          <w:numId w:val="59"/>
        </w:numPr>
        <w:snapToGrid w:val="0"/>
        <w:spacing w:line="300" w:lineRule="auto"/>
        <w:ind w:firstLineChars="0"/>
        <w:jc w:val="left"/>
        <w:rPr>
          <w:rFonts w:hint="eastAsia" w:ascii="宋体" w:hAnsi="宋体" w:cs="宋体"/>
        </w:rPr>
      </w:pPr>
      <w:r>
        <w:rPr>
          <w:rFonts w:hint="eastAsia" w:ascii="宋体" w:hAnsi="宋体" w:cs="宋体"/>
        </w:rPr>
        <w:t>乙方在施工期间应严格遵守学校相关规定和其他相关的法规、规范。</w:t>
      </w:r>
    </w:p>
    <w:p w14:paraId="38C2BC3D">
      <w:pPr>
        <w:pStyle w:val="3"/>
        <w:numPr>
          <w:ilvl w:val="0"/>
          <w:numId w:val="59"/>
        </w:numPr>
        <w:snapToGrid w:val="0"/>
        <w:spacing w:line="300" w:lineRule="auto"/>
        <w:ind w:firstLineChars="0"/>
        <w:jc w:val="left"/>
        <w:rPr>
          <w:rFonts w:hint="eastAsia" w:ascii="宋体" w:hAnsi="宋体" w:cs="宋体"/>
        </w:rPr>
      </w:pPr>
      <w:r>
        <w:rPr>
          <w:rFonts w:hint="eastAsia" w:ascii="宋体" w:hAnsi="宋体" w:cs="宋体"/>
        </w:rPr>
        <w:t>乙方</w:t>
      </w:r>
      <w:r>
        <w:rPr>
          <w:rFonts w:hint="eastAsia" w:ascii="宋体" w:hAnsi="宋体" w:cs="宋体"/>
          <w:lang w:val="en-US" w:eastAsia="zh-CN"/>
        </w:rPr>
        <w:t>承诺独立</w:t>
      </w:r>
      <w:r>
        <w:rPr>
          <w:rFonts w:hint="eastAsia" w:ascii="宋体" w:hAnsi="宋体" w:cs="宋体"/>
        </w:rPr>
        <w:t>承担因安全措施不力</w:t>
      </w:r>
      <w:r>
        <w:rPr>
          <w:rFonts w:hint="eastAsia" w:ascii="宋体" w:hAnsi="宋体" w:cs="宋体"/>
          <w:lang w:val="en-US" w:eastAsia="zh-CN"/>
        </w:rPr>
        <w:t>等因素</w:t>
      </w:r>
      <w:r>
        <w:rPr>
          <w:rFonts w:hint="eastAsia" w:ascii="宋体" w:hAnsi="宋体" w:cs="宋体"/>
        </w:rPr>
        <w:t>引发的一切安全后果及经济损失，甲方不承担任何责任</w:t>
      </w:r>
      <w:r>
        <w:rPr>
          <w:rFonts w:hint="eastAsia" w:ascii="宋体" w:hAnsi="宋体" w:cs="宋体"/>
          <w:lang w:eastAsia="zh-CN"/>
        </w:rPr>
        <w:t>；</w:t>
      </w:r>
      <w:r>
        <w:rPr>
          <w:rFonts w:hint="eastAsia" w:ascii="宋体" w:hAnsi="宋体" w:cs="宋体"/>
        </w:rPr>
        <w:t>由于乙方在施工生产过程中违反有关安全操作规程和消防条例，导致发生安全事故或火灾事故，若给甲方造成相关其他损失的，甲方有权向乙方追偿。</w:t>
      </w:r>
    </w:p>
    <w:p w14:paraId="5C5EDB84">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违约责任</w:t>
      </w:r>
    </w:p>
    <w:p w14:paraId="3D71473E">
      <w:pPr>
        <w:pStyle w:val="3"/>
        <w:numPr>
          <w:ilvl w:val="0"/>
          <w:numId w:val="60"/>
        </w:numPr>
        <w:snapToGrid w:val="0"/>
        <w:spacing w:line="300" w:lineRule="auto"/>
        <w:ind w:firstLineChars="0"/>
        <w:jc w:val="left"/>
        <w:rPr>
          <w:rFonts w:hint="eastAsia" w:ascii="宋体" w:hAnsi="宋体" w:cs="宋体"/>
        </w:rPr>
      </w:pPr>
      <w:r>
        <w:rPr>
          <w:rFonts w:hint="eastAsia" w:ascii="宋体" w:hAnsi="宋体" w:cs="宋体"/>
        </w:rPr>
        <w:t>甲方或乙方未按本合同条款约定内容履行自己的各项义务致使合同无法履行，应承担相应的违约金，赔偿因其违约给对方造成的损失，违约方按合同约定总价款的</w:t>
      </w:r>
      <w:r>
        <w:rPr>
          <w:rFonts w:hint="eastAsia" w:ascii="宋体" w:hAnsi="宋体" w:cs="宋体"/>
          <w:u w:val="single"/>
        </w:rPr>
        <w:t xml:space="preserve"> 5% </w:t>
      </w:r>
      <w:r>
        <w:rPr>
          <w:rFonts w:hint="eastAsia" w:ascii="宋体" w:hAnsi="宋体" w:cs="宋体"/>
        </w:rPr>
        <w:t xml:space="preserve"> 支付违约金。如实际损失大于合同总价款的</w:t>
      </w:r>
      <w:r>
        <w:rPr>
          <w:rFonts w:hint="eastAsia" w:ascii="宋体" w:hAnsi="宋体" w:cs="宋体"/>
          <w:u w:val="single"/>
        </w:rPr>
        <w:t xml:space="preserve">  5%  </w:t>
      </w:r>
      <w:r>
        <w:rPr>
          <w:rFonts w:hint="eastAsia" w:ascii="宋体" w:hAnsi="宋体" w:cs="宋体"/>
        </w:rPr>
        <w:t>，则按实际损失支付违约金。</w:t>
      </w:r>
    </w:p>
    <w:p w14:paraId="3AEAC951">
      <w:pPr>
        <w:pStyle w:val="3"/>
        <w:numPr>
          <w:ilvl w:val="0"/>
          <w:numId w:val="60"/>
        </w:numPr>
        <w:snapToGrid w:val="0"/>
        <w:spacing w:line="300" w:lineRule="auto"/>
        <w:ind w:firstLineChars="0"/>
        <w:jc w:val="left"/>
        <w:rPr>
          <w:rFonts w:hint="eastAsia" w:ascii="宋体" w:hAnsi="宋体" w:cs="宋体"/>
        </w:rPr>
      </w:pPr>
      <w:r>
        <w:rPr>
          <w:rFonts w:hint="eastAsia" w:ascii="宋体" w:hAnsi="宋体" w:cs="宋体"/>
        </w:rPr>
        <w:t>乙方应妥善保护甲方提供的设备及现场堆放的家具、陈设和服务成品，如造成损失，应照价赔偿。</w:t>
      </w:r>
    </w:p>
    <w:p w14:paraId="0883A3F5">
      <w:pPr>
        <w:numPr>
          <w:ilvl w:val="0"/>
          <w:numId w:val="60"/>
        </w:numPr>
        <w:snapToGrid w:val="0"/>
        <w:spacing w:line="300" w:lineRule="auto"/>
        <w:jc w:val="left"/>
        <w:rPr>
          <w:rFonts w:hint="eastAsia" w:ascii="宋体" w:hAnsi="宋体" w:cs="宋体"/>
        </w:rPr>
      </w:pPr>
      <w:r>
        <w:rPr>
          <w:rFonts w:hint="eastAsia" w:ascii="宋体" w:hAnsi="宋体" w:cs="宋体"/>
        </w:rPr>
        <w:t>乙方因保证服务所用材料应为符合本项目要求、并符合国家相关标准的合格产品。凡乙方采购的材料，如不符合质量要求或规格有差异，应禁止使用。若已使用，对服务造成的损失全部由乙方承担。</w:t>
      </w:r>
    </w:p>
    <w:p w14:paraId="4F500D55">
      <w:pPr>
        <w:numPr>
          <w:ilvl w:val="0"/>
          <w:numId w:val="60"/>
        </w:numPr>
        <w:snapToGrid w:val="0"/>
        <w:spacing w:line="300" w:lineRule="auto"/>
        <w:jc w:val="left"/>
        <w:rPr>
          <w:rFonts w:hint="eastAsia" w:ascii="宋体" w:hAnsi="宋体" w:cs="宋体"/>
        </w:rPr>
      </w:pPr>
      <w:r>
        <w:rPr>
          <w:rFonts w:hint="eastAsia" w:ascii="宋体" w:hAnsi="宋体" w:cs="宋体"/>
        </w:rPr>
        <w:t>乙方如中途退场，甲方有权要求乙方两天内撤离现场（包括人员、材料、机械设备等），乙方所完成的服务量自动放弃，不向甲方索要已完成的服务量款，作为由此造成甲方损失的赔偿，给甲方造成的损失大于服务量款的，甲方有权要求乙方继续赔偿。</w:t>
      </w:r>
    </w:p>
    <w:p w14:paraId="51E56AB3">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其他</w:t>
      </w:r>
    </w:p>
    <w:p w14:paraId="497A691E">
      <w:pPr>
        <w:numPr>
          <w:ilvl w:val="0"/>
          <w:numId w:val="61"/>
        </w:numPr>
        <w:snapToGrid w:val="0"/>
        <w:spacing w:line="300" w:lineRule="auto"/>
        <w:jc w:val="left"/>
        <w:rPr>
          <w:rFonts w:hint="eastAsia" w:ascii="宋体" w:hAnsi="宋体" w:cs="宋体"/>
        </w:rPr>
      </w:pPr>
      <w:r>
        <w:rPr>
          <w:rFonts w:hint="eastAsia" w:ascii="宋体" w:hAnsi="宋体" w:cs="宋体"/>
        </w:rPr>
        <w:t>乙方要时刻注意施工安全，同时尽量避免在校园内产生很大的噪声，以免影响学生的正常学习和人身安全。</w:t>
      </w:r>
    </w:p>
    <w:p w14:paraId="4FCC442D">
      <w:pPr>
        <w:pStyle w:val="3"/>
        <w:numPr>
          <w:ilvl w:val="0"/>
          <w:numId w:val="61"/>
        </w:numPr>
        <w:snapToGrid w:val="0"/>
        <w:spacing w:line="300" w:lineRule="auto"/>
        <w:ind w:firstLineChars="0"/>
        <w:jc w:val="left"/>
        <w:rPr>
          <w:rFonts w:hint="eastAsia" w:ascii="宋体" w:hAnsi="宋体" w:cs="宋体"/>
        </w:rPr>
      </w:pPr>
      <w:r>
        <w:rPr>
          <w:rFonts w:hint="eastAsia" w:ascii="宋体" w:hAnsi="宋体" w:cs="宋体"/>
        </w:rPr>
        <w:t>乙方在施工过程中，因乙方原因发生的服务安全事故，均由乙方负责解决，并承担全部法律责任和损失，与甲方无关。</w:t>
      </w:r>
    </w:p>
    <w:p w14:paraId="64706C3D">
      <w:pPr>
        <w:pStyle w:val="3"/>
        <w:numPr>
          <w:ilvl w:val="0"/>
          <w:numId w:val="61"/>
        </w:numPr>
        <w:snapToGrid w:val="0"/>
        <w:spacing w:line="300" w:lineRule="auto"/>
        <w:ind w:firstLineChars="0"/>
        <w:jc w:val="left"/>
        <w:rPr>
          <w:rFonts w:hint="eastAsia" w:ascii="宋体" w:hAnsi="宋体" w:cs="宋体"/>
        </w:rPr>
      </w:pPr>
      <w:r>
        <w:rPr>
          <w:rFonts w:hint="eastAsia" w:ascii="宋体" w:hAnsi="宋体" w:cs="宋体"/>
        </w:rPr>
        <w:t>乙方应与其施工人员建立合法的劳动关系或者劳务关系，其与施工人员发生的一切劳资争议、纠纷</w:t>
      </w:r>
      <w:r>
        <w:rPr>
          <w:rFonts w:hint="eastAsia" w:ascii="宋体" w:hAnsi="宋体" w:cs="宋体"/>
          <w:lang w:val="en-US" w:eastAsia="zh-CN"/>
        </w:rPr>
        <w:t>和人身伤害赔偿</w:t>
      </w:r>
      <w:r>
        <w:rPr>
          <w:rFonts w:hint="eastAsia" w:ascii="宋体" w:hAnsi="宋体" w:cs="宋体"/>
        </w:rPr>
        <w:t>等均与甲方无关，由乙方自行解决，给甲方造成不利影响的，甲方有权向乙方进行追诉。</w:t>
      </w:r>
    </w:p>
    <w:p w14:paraId="2DC2562F">
      <w:pPr>
        <w:pStyle w:val="3"/>
        <w:numPr>
          <w:ilvl w:val="0"/>
          <w:numId w:val="61"/>
        </w:numPr>
        <w:snapToGrid w:val="0"/>
        <w:spacing w:line="300" w:lineRule="auto"/>
        <w:ind w:firstLineChars="0"/>
        <w:jc w:val="left"/>
        <w:rPr>
          <w:rFonts w:hint="eastAsia" w:ascii="宋体" w:hAnsi="宋体" w:cs="宋体"/>
        </w:rPr>
      </w:pPr>
      <w:r>
        <w:rPr>
          <w:rFonts w:hint="eastAsia" w:ascii="宋体" w:hAnsi="宋体" w:cs="宋体"/>
        </w:rPr>
        <w:t>本合同约定的由乙方承担的赔偿责任，若由甲方先行垫付的，甲方</w:t>
      </w:r>
      <w:r>
        <w:rPr>
          <w:rFonts w:hint="eastAsia" w:ascii="宋体" w:hAnsi="宋体" w:cs="宋体"/>
          <w:lang w:val="en-US" w:eastAsia="zh-CN"/>
        </w:rPr>
        <w:t>有权</w:t>
      </w:r>
      <w:r>
        <w:rPr>
          <w:rFonts w:hint="eastAsia" w:ascii="宋体" w:hAnsi="宋体" w:cs="宋体"/>
        </w:rPr>
        <w:t>从合同款中先期扣除，不足部分应由乙方补足。</w:t>
      </w:r>
    </w:p>
    <w:p w14:paraId="03FA8D4B">
      <w:pPr>
        <w:pStyle w:val="3"/>
        <w:numPr>
          <w:ilvl w:val="0"/>
          <w:numId w:val="54"/>
        </w:numPr>
        <w:snapToGrid w:val="0"/>
        <w:spacing w:line="300" w:lineRule="auto"/>
        <w:ind w:firstLineChars="0"/>
        <w:jc w:val="left"/>
        <w:rPr>
          <w:rFonts w:hint="eastAsia" w:ascii="宋体" w:hAnsi="宋体" w:cs="宋体"/>
        </w:rPr>
      </w:pPr>
      <w:r>
        <w:rPr>
          <w:rFonts w:hint="eastAsia" w:ascii="宋体" w:hAnsi="宋体" w:cs="宋体"/>
        </w:rPr>
        <w:t>争议解决：本合同履行过程中，如有争议，双方应当协商解决。协商不成时，采用诉讼解决，由甲方所在地人民法院诉讼管辖。</w:t>
      </w:r>
    </w:p>
    <w:p w14:paraId="7ECFE321">
      <w:pPr>
        <w:pStyle w:val="3"/>
        <w:snapToGrid w:val="0"/>
        <w:spacing w:line="300" w:lineRule="auto"/>
        <w:ind w:firstLine="0" w:firstLineChars="0"/>
        <w:jc w:val="left"/>
        <w:rPr>
          <w:rFonts w:hint="eastAsia" w:ascii="宋体" w:hAnsi="宋体" w:cs="宋体"/>
        </w:rPr>
      </w:pPr>
      <w:r>
        <w:rPr>
          <w:rFonts w:hint="eastAsia" w:ascii="宋体" w:hAnsi="宋体" w:cs="宋体"/>
        </w:rPr>
        <w:t>八、合同的生效、变更、解除和终止</w:t>
      </w:r>
    </w:p>
    <w:p w14:paraId="22F8602B">
      <w:pPr>
        <w:pStyle w:val="3"/>
        <w:numPr>
          <w:ilvl w:val="0"/>
          <w:numId w:val="62"/>
        </w:numPr>
        <w:snapToGrid w:val="0"/>
        <w:spacing w:line="300" w:lineRule="auto"/>
        <w:ind w:firstLineChars="0"/>
        <w:jc w:val="left"/>
        <w:rPr>
          <w:rFonts w:hint="eastAsia" w:ascii="宋体" w:hAnsi="宋体" w:cs="宋体"/>
          <w:lang w:val="en-US" w:eastAsia="zh-CN"/>
        </w:rPr>
      </w:pPr>
      <w:r>
        <w:rPr>
          <w:rFonts w:hint="eastAsia" w:ascii="宋体" w:hAnsi="宋体" w:cs="宋体"/>
        </w:rPr>
        <w:t>合同生效时间</w:t>
      </w:r>
      <w:r>
        <w:rPr>
          <w:rFonts w:hint="eastAsia" w:ascii="宋体" w:hAnsi="宋体" w:cs="宋体"/>
          <w:lang w:eastAsia="zh-CN"/>
        </w:rPr>
        <w:t>，</w:t>
      </w:r>
      <w:r>
        <w:rPr>
          <w:rFonts w:hint="eastAsia" w:ascii="宋体" w:hAnsi="宋体" w:cs="宋体"/>
          <w:lang w:val="en-US" w:eastAsia="zh-CN"/>
        </w:rPr>
        <w:t>合同经双方签字盖章即刻生效。</w:t>
      </w:r>
    </w:p>
    <w:p w14:paraId="02224884">
      <w:pPr>
        <w:pStyle w:val="3"/>
        <w:numPr>
          <w:ilvl w:val="0"/>
          <w:numId w:val="62"/>
        </w:numPr>
        <w:snapToGrid w:val="0"/>
        <w:spacing w:line="300" w:lineRule="auto"/>
        <w:ind w:firstLineChars="0"/>
        <w:jc w:val="left"/>
        <w:rPr>
          <w:rFonts w:hint="eastAsia" w:ascii="宋体" w:hAnsi="宋体" w:cs="宋体"/>
          <w:lang w:val="en-US" w:eastAsia="zh-CN"/>
        </w:rPr>
      </w:pPr>
      <w:r>
        <w:rPr>
          <w:rFonts w:hint="eastAsia" w:ascii="宋体" w:hAnsi="宋体" w:cs="宋体"/>
          <w:lang w:val="en-US" w:eastAsia="zh-CN"/>
        </w:rPr>
        <w:t>本次采购文件中的各项约定要求，以及供应商在投标（响应）文件中作出的承诺，均构成采购合同的组成部分，是合同履行的依据，对采购人和供应商具有约束力。</w:t>
      </w:r>
    </w:p>
    <w:p w14:paraId="4D61E35B">
      <w:pPr>
        <w:pStyle w:val="3"/>
        <w:numPr>
          <w:ilvl w:val="0"/>
          <w:numId w:val="62"/>
        </w:numPr>
        <w:snapToGrid w:val="0"/>
        <w:spacing w:line="300" w:lineRule="auto"/>
        <w:ind w:firstLineChars="0"/>
        <w:jc w:val="left"/>
        <w:rPr>
          <w:rFonts w:hint="eastAsia" w:ascii="宋体" w:hAnsi="宋体" w:cs="宋体"/>
          <w:lang w:val="en-US" w:eastAsia="zh-CN"/>
        </w:rPr>
      </w:pPr>
      <w:r>
        <w:rPr>
          <w:rFonts w:hint="eastAsia" w:ascii="宋体" w:hAnsi="宋体" w:cs="宋体"/>
          <w:lang w:val="en-US" w:eastAsia="zh-CN"/>
        </w:rPr>
        <w:t>本合同未尽事宜双方可另行协商，签订书面补充协议，与本合同具有同等的法律效力。</w:t>
      </w:r>
    </w:p>
    <w:p w14:paraId="13215638">
      <w:pPr>
        <w:pStyle w:val="3"/>
        <w:numPr>
          <w:ilvl w:val="0"/>
          <w:numId w:val="62"/>
        </w:numPr>
        <w:snapToGrid w:val="0"/>
        <w:spacing w:line="300" w:lineRule="auto"/>
        <w:ind w:firstLineChars="0"/>
        <w:jc w:val="left"/>
        <w:rPr>
          <w:rFonts w:hint="eastAsia" w:ascii="宋体" w:hAnsi="宋体" w:cs="宋体"/>
        </w:rPr>
      </w:pPr>
      <w:r>
        <w:rPr>
          <w:rFonts w:hint="eastAsia" w:ascii="宋体" w:hAnsi="宋体" w:cs="宋体"/>
        </w:rPr>
        <w:t>有下列情形之一的可以解除合同。</w:t>
      </w:r>
    </w:p>
    <w:p w14:paraId="3DB2C663">
      <w:pPr>
        <w:pStyle w:val="3"/>
        <w:numPr>
          <w:ilvl w:val="0"/>
          <w:numId w:val="63"/>
        </w:numPr>
        <w:snapToGrid w:val="0"/>
        <w:spacing w:line="300" w:lineRule="auto"/>
        <w:jc w:val="left"/>
        <w:rPr>
          <w:rFonts w:hint="eastAsia" w:ascii="宋体" w:hAnsi="宋体" w:cs="宋体"/>
        </w:rPr>
      </w:pPr>
      <w:r>
        <w:rPr>
          <w:rFonts w:hint="eastAsia" w:ascii="宋体" w:hAnsi="宋体" w:cs="宋体"/>
        </w:rPr>
        <w:t>甲乙双方协商一致；</w:t>
      </w:r>
    </w:p>
    <w:p w14:paraId="502ADDFF">
      <w:pPr>
        <w:pStyle w:val="3"/>
        <w:numPr>
          <w:ilvl w:val="0"/>
          <w:numId w:val="63"/>
        </w:numPr>
        <w:snapToGrid w:val="0"/>
        <w:spacing w:line="300" w:lineRule="auto"/>
        <w:jc w:val="left"/>
        <w:rPr>
          <w:rFonts w:hint="eastAsia" w:ascii="宋体" w:hAnsi="宋体" w:cs="宋体"/>
        </w:rPr>
      </w:pPr>
      <w:r>
        <w:rPr>
          <w:rFonts w:hint="eastAsia" w:ascii="宋体" w:hAnsi="宋体" w:cs="宋体"/>
        </w:rPr>
        <w:t>因不可抗力致使合同无法履行。</w:t>
      </w:r>
    </w:p>
    <w:p w14:paraId="29D9B3BE">
      <w:pPr>
        <w:pStyle w:val="3"/>
        <w:numPr>
          <w:ilvl w:val="0"/>
          <w:numId w:val="62"/>
        </w:numPr>
        <w:snapToGrid w:val="0"/>
        <w:spacing w:line="300" w:lineRule="auto"/>
        <w:ind w:firstLineChars="0"/>
        <w:jc w:val="left"/>
        <w:rPr>
          <w:rFonts w:hint="eastAsia" w:ascii="宋体" w:hAnsi="宋体" w:cs="宋体"/>
        </w:rPr>
      </w:pPr>
      <w:r>
        <w:rPr>
          <w:rFonts w:hint="eastAsia" w:ascii="宋体" w:hAnsi="宋体" w:cs="宋体"/>
        </w:rPr>
        <w:t>合同终止：甲乙双方履行完本合同全部义务，服务已办理移交手续，服务竣工结算价款支付完毕，本合同即告终止（但本合同保修及争议解决条款继续有效）。</w:t>
      </w:r>
    </w:p>
    <w:p w14:paraId="2045E3BD">
      <w:pPr>
        <w:snapToGrid w:val="0"/>
        <w:spacing w:line="300" w:lineRule="auto"/>
        <w:jc w:val="left"/>
        <w:rPr>
          <w:rFonts w:hint="eastAsia" w:ascii="宋体" w:hAnsi="宋体" w:cs="宋体"/>
        </w:rPr>
      </w:pPr>
      <w:r>
        <w:rPr>
          <w:rFonts w:hint="eastAsia" w:ascii="宋体" w:hAnsi="宋体" w:cs="宋体"/>
        </w:rPr>
        <w:t>九、附则：</w:t>
      </w:r>
    </w:p>
    <w:p w14:paraId="41C9D201">
      <w:pPr>
        <w:snapToGrid w:val="0"/>
        <w:spacing w:line="300" w:lineRule="auto"/>
        <w:ind w:firstLine="420"/>
        <w:jc w:val="left"/>
        <w:rPr>
          <w:rFonts w:hint="eastAsia" w:ascii="宋体" w:hAnsi="宋体" w:cs="宋体"/>
        </w:rPr>
      </w:pPr>
      <w:r>
        <w:rPr>
          <w:rFonts w:hint="eastAsia" w:ascii="宋体" w:hAnsi="宋体" w:cs="宋体"/>
        </w:rPr>
        <w:t>本合同</w:t>
      </w:r>
      <w:r>
        <w:rPr>
          <w:rFonts w:hint="eastAsia" w:ascii="宋体" w:hAnsi="宋体" w:cs="宋体"/>
          <w:lang w:val="en-US" w:eastAsia="zh-CN"/>
        </w:rPr>
        <w:t>一式六份</w:t>
      </w:r>
      <w:r>
        <w:rPr>
          <w:rFonts w:hint="eastAsia" w:ascii="宋体" w:hAnsi="宋体" w:cs="宋体"/>
        </w:rPr>
        <w:t>，</w:t>
      </w:r>
      <w:r>
        <w:rPr>
          <w:rFonts w:hint="eastAsia" w:ascii="宋体" w:hAnsi="宋体" w:cs="宋体"/>
          <w:lang w:val="en-US" w:eastAsia="zh-CN"/>
        </w:rPr>
        <w:t>甲方</w:t>
      </w:r>
      <w:r>
        <w:rPr>
          <w:rFonts w:hint="eastAsia" w:ascii="宋体" w:hAnsi="宋体" w:cs="宋体"/>
        </w:rPr>
        <w:t>执</w:t>
      </w:r>
      <w:r>
        <w:rPr>
          <w:rFonts w:hint="eastAsia" w:ascii="宋体" w:hAnsi="宋体" w:cs="宋体"/>
          <w:lang w:val="en-US" w:eastAsia="zh-CN"/>
        </w:rPr>
        <w:t>四</w:t>
      </w:r>
      <w:r>
        <w:rPr>
          <w:rFonts w:hint="eastAsia" w:ascii="宋体" w:hAnsi="宋体" w:cs="宋体"/>
        </w:rPr>
        <w:t>份</w:t>
      </w:r>
      <w:r>
        <w:rPr>
          <w:rFonts w:hint="eastAsia" w:ascii="宋体" w:hAnsi="宋体" w:cs="宋体"/>
          <w:lang w:eastAsia="zh-CN"/>
        </w:rPr>
        <w:t>，</w:t>
      </w:r>
      <w:r>
        <w:rPr>
          <w:rFonts w:hint="eastAsia" w:ascii="宋体" w:hAnsi="宋体" w:cs="宋体"/>
          <w:lang w:val="en-US" w:eastAsia="zh-CN"/>
        </w:rPr>
        <w:t>乙方执二</w:t>
      </w:r>
      <w:r>
        <w:rPr>
          <w:rFonts w:hint="eastAsia" w:ascii="宋体" w:hAnsi="宋体" w:cs="宋体"/>
        </w:rPr>
        <w:t>份，均具同等法律效力。</w:t>
      </w:r>
    </w:p>
    <w:p w14:paraId="7C884F28">
      <w:pPr>
        <w:spacing w:line="300" w:lineRule="auto"/>
        <w:ind w:firstLine="420"/>
        <w:jc w:val="left"/>
        <w:rPr>
          <w:rFonts w:hint="eastAsia"/>
          <w:sz w:val="10"/>
          <w:szCs w:val="10"/>
        </w:rPr>
      </w:pPr>
    </w:p>
    <w:p w14:paraId="2F6A9EBA">
      <w:pPr>
        <w:spacing w:line="300" w:lineRule="auto"/>
        <w:ind w:firstLine="420"/>
        <w:jc w:val="left"/>
        <w:rPr>
          <w:rFonts w:hint="eastAsia"/>
          <w:sz w:val="10"/>
          <w:szCs w:val="10"/>
        </w:rPr>
      </w:pPr>
    </w:p>
    <w:p w14:paraId="3122C91A">
      <w:pPr>
        <w:spacing w:line="300" w:lineRule="auto"/>
        <w:ind w:firstLine="420"/>
        <w:jc w:val="left"/>
        <w:rPr>
          <w:rFonts w:hint="eastAsia"/>
          <w:sz w:val="10"/>
          <w:szCs w:val="10"/>
        </w:rPr>
      </w:pPr>
    </w:p>
    <w:p w14:paraId="15459026">
      <w:pPr>
        <w:spacing w:line="300" w:lineRule="auto"/>
        <w:ind w:firstLine="420"/>
        <w:jc w:val="left"/>
        <w:rPr>
          <w:rFonts w:hint="eastAsia"/>
          <w:sz w:val="10"/>
          <w:szCs w:val="10"/>
        </w:rPr>
      </w:pPr>
    </w:p>
    <w:p w14:paraId="4134003E">
      <w:pPr>
        <w:spacing w:line="300" w:lineRule="auto"/>
        <w:ind w:firstLine="420"/>
        <w:jc w:val="left"/>
        <w:rPr>
          <w:rFonts w:hint="eastAsia"/>
        </w:rPr>
      </w:pPr>
      <w:r>
        <w:rPr>
          <w:rFonts w:hint="eastAsia"/>
        </w:rPr>
        <w:t xml:space="preserve">发包人：                                   </w:t>
      </w:r>
      <w:r>
        <w:rPr>
          <w:rFonts w:hint="eastAsia"/>
          <w:lang w:val="en-US" w:eastAsia="zh-CN"/>
        </w:rPr>
        <w:t xml:space="preserve">    </w:t>
      </w:r>
      <w:r>
        <w:rPr>
          <w:rFonts w:hint="eastAsia"/>
        </w:rPr>
        <w:t>承包人：</w:t>
      </w:r>
    </w:p>
    <w:p w14:paraId="60EBBC8E">
      <w:pPr>
        <w:spacing w:line="300" w:lineRule="auto"/>
        <w:ind w:firstLine="420"/>
        <w:jc w:val="left"/>
        <w:rPr>
          <w:rFonts w:hint="eastAsia"/>
        </w:rPr>
      </w:pPr>
    </w:p>
    <w:p w14:paraId="54DE432A">
      <w:pPr>
        <w:spacing w:line="300" w:lineRule="auto"/>
        <w:ind w:firstLine="420"/>
        <w:jc w:val="left"/>
        <w:rPr>
          <w:rFonts w:hint="eastAsia"/>
        </w:rPr>
      </w:pPr>
      <w:r>
        <w:rPr>
          <w:rFonts w:hint="eastAsia"/>
        </w:rPr>
        <w:t>发包人代表：                               承包人代表：</w:t>
      </w:r>
    </w:p>
    <w:p w14:paraId="1FA7C8DF">
      <w:pPr>
        <w:spacing w:line="300" w:lineRule="auto"/>
        <w:ind w:firstLine="420"/>
        <w:jc w:val="left"/>
        <w:rPr>
          <w:rFonts w:hint="eastAsia"/>
        </w:rPr>
      </w:pPr>
    </w:p>
    <w:p w14:paraId="372BD560">
      <w:pPr>
        <w:spacing w:line="300" w:lineRule="auto"/>
        <w:ind w:firstLine="420"/>
        <w:jc w:val="left"/>
        <w:rPr>
          <w:rFonts w:hint="eastAsia"/>
        </w:rPr>
      </w:pPr>
      <w:r>
        <w:rPr>
          <w:rFonts w:hint="eastAsia"/>
        </w:rPr>
        <w:t xml:space="preserve">时间：                       </w:t>
      </w:r>
      <w:r>
        <w:rPr>
          <w:rFonts w:hint="eastAsia"/>
          <w:lang w:val="en-US" w:eastAsia="zh-CN"/>
        </w:rPr>
        <w:t xml:space="preserve">       </w:t>
      </w:r>
      <w:r>
        <w:rPr>
          <w:rFonts w:hint="eastAsia"/>
        </w:rPr>
        <w:t xml:space="preserve">              时间：</w:t>
      </w:r>
    </w:p>
    <w:p w14:paraId="48852AD9">
      <w:pPr>
        <w:rPr>
          <w:rFonts w:ascii="宋体" w:hAnsi="宋体" w:cs="宋体"/>
          <w:color w:val="auto"/>
          <w:highlight w:val="none"/>
        </w:rPr>
      </w:pPr>
    </w:p>
    <w:p w14:paraId="34E0204F">
      <w:pPr>
        <w:rPr>
          <w:rFonts w:ascii="宋体" w:hAnsi="宋体" w:cs="宋体"/>
          <w:color w:val="auto"/>
          <w:highlight w:val="none"/>
        </w:rPr>
      </w:pPr>
    </w:p>
    <w:p w14:paraId="1AF0A3F7">
      <w:pPr>
        <w:rPr>
          <w:rFonts w:ascii="宋体" w:hAnsi="宋体" w:cs="宋体"/>
          <w:color w:val="auto"/>
          <w:highlight w:val="none"/>
        </w:rPr>
      </w:pPr>
    </w:p>
    <w:p w14:paraId="3804FCCC">
      <w:pPr>
        <w:rPr>
          <w:rFonts w:ascii="宋体" w:hAnsi="宋体" w:cs="宋体"/>
          <w:color w:val="auto"/>
          <w:highlight w:val="none"/>
        </w:rPr>
      </w:pPr>
    </w:p>
    <w:p w14:paraId="1112F840">
      <w:pPr>
        <w:rPr>
          <w:rFonts w:ascii="宋体" w:hAnsi="宋体" w:cs="宋体"/>
          <w:color w:val="auto"/>
          <w:highlight w:val="none"/>
        </w:rPr>
      </w:pPr>
    </w:p>
    <w:p w14:paraId="16EAEE5B">
      <w:pPr>
        <w:rPr>
          <w:rFonts w:ascii="宋体" w:hAnsi="宋体" w:cs="宋体"/>
          <w:color w:val="auto"/>
          <w:highlight w:val="none"/>
        </w:rPr>
      </w:pPr>
    </w:p>
    <w:p w14:paraId="2CFE7B1F">
      <w:pPr>
        <w:rPr>
          <w:rFonts w:ascii="宋体" w:hAnsi="宋体" w:cs="宋体"/>
          <w:color w:val="auto"/>
          <w:highlight w:val="none"/>
        </w:rPr>
      </w:pPr>
    </w:p>
    <w:p w14:paraId="0D0B6127">
      <w:pPr>
        <w:rPr>
          <w:rFonts w:ascii="宋体" w:hAnsi="宋体" w:cs="宋体"/>
          <w:color w:val="auto"/>
          <w:highlight w:val="none"/>
        </w:rPr>
      </w:pPr>
    </w:p>
    <w:p w14:paraId="14ACE33A">
      <w:pPr>
        <w:rPr>
          <w:rFonts w:ascii="宋体" w:hAnsi="宋体" w:cs="宋体"/>
          <w:color w:val="auto"/>
          <w:highlight w:val="none"/>
        </w:rPr>
      </w:pPr>
    </w:p>
    <w:p w14:paraId="63F3CCA2">
      <w:pPr>
        <w:rPr>
          <w:rFonts w:ascii="宋体" w:hAnsi="宋体" w:cs="宋体"/>
          <w:color w:val="auto"/>
          <w:highlight w:val="none"/>
        </w:rPr>
      </w:pPr>
    </w:p>
    <w:p w14:paraId="10917A4D">
      <w:pPr>
        <w:rPr>
          <w:rFonts w:ascii="宋体" w:hAnsi="宋体" w:cs="宋体"/>
          <w:color w:val="auto"/>
          <w:highlight w:val="none"/>
        </w:rPr>
      </w:pPr>
    </w:p>
    <w:p w14:paraId="0173518F">
      <w:pPr>
        <w:rPr>
          <w:rFonts w:ascii="宋体" w:hAnsi="宋体" w:cs="宋体"/>
          <w:color w:val="auto"/>
          <w:highlight w:val="none"/>
        </w:rPr>
      </w:pPr>
    </w:p>
    <w:p w14:paraId="3FE4BB21">
      <w:pPr>
        <w:rPr>
          <w:rFonts w:ascii="宋体" w:hAnsi="宋体" w:cs="宋体"/>
          <w:color w:val="auto"/>
          <w:highlight w:val="none"/>
        </w:rPr>
      </w:pPr>
    </w:p>
    <w:p w14:paraId="1F5769BF">
      <w:pPr>
        <w:rPr>
          <w:rFonts w:ascii="宋体" w:hAnsi="宋体" w:cs="宋体"/>
          <w:color w:val="auto"/>
          <w:highlight w:val="none"/>
        </w:rPr>
      </w:pPr>
    </w:p>
    <w:p w14:paraId="4CDD45CB">
      <w:pPr>
        <w:rPr>
          <w:rFonts w:ascii="宋体" w:hAnsi="宋体" w:cs="宋体"/>
          <w:color w:val="auto"/>
          <w:highlight w:val="none"/>
        </w:rPr>
      </w:pPr>
    </w:p>
    <w:p w14:paraId="1855448B">
      <w:pPr>
        <w:rPr>
          <w:rFonts w:ascii="宋体" w:hAnsi="宋体" w:cs="宋体"/>
          <w:color w:val="auto"/>
          <w:highlight w:val="none"/>
        </w:rPr>
      </w:pPr>
    </w:p>
    <w:p w14:paraId="655D9A16">
      <w:pPr>
        <w:rPr>
          <w:rFonts w:ascii="宋体" w:hAnsi="宋体" w:cs="宋体"/>
          <w:color w:val="auto"/>
          <w:highlight w:val="none"/>
        </w:rPr>
      </w:pPr>
    </w:p>
    <w:p w14:paraId="4C85FF2B">
      <w:pPr>
        <w:rPr>
          <w:rFonts w:ascii="宋体" w:hAnsi="宋体" w:cs="宋体"/>
          <w:color w:val="auto"/>
          <w:highlight w:val="none"/>
        </w:rPr>
      </w:pPr>
    </w:p>
    <w:p w14:paraId="7EA1430E">
      <w:pPr>
        <w:rPr>
          <w:rFonts w:ascii="宋体" w:hAnsi="宋体" w:cs="宋体"/>
          <w:color w:val="auto"/>
          <w:highlight w:val="none"/>
        </w:rPr>
      </w:pPr>
    </w:p>
    <w:p w14:paraId="732601FB">
      <w:pPr>
        <w:rPr>
          <w:rFonts w:ascii="宋体" w:hAnsi="宋体" w:cs="宋体"/>
          <w:color w:val="auto"/>
          <w:highlight w:val="none"/>
        </w:rPr>
      </w:pPr>
    </w:p>
    <w:p w14:paraId="2F515D0B">
      <w:pPr>
        <w:rPr>
          <w:rFonts w:ascii="宋体" w:hAnsi="宋体" w:cs="宋体"/>
          <w:color w:val="auto"/>
          <w:highlight w:val="none"/>
        </w:rPr>
      </w:pPr>
    </w:p>
    <w:p w14:paraId="16040A57">
      <w:pPr>
        <w:rPr>
          <w:rFonts w:ascii="宋体" w:hAnsi="宋体" w:cs="宋体"/>
          <w:color w:val="auto"/>
          <w:highlight w:val="none"/>
        </w:rPr>
      </w:pPr>
    </w:p>
    <w:p w14:paraId="2E449E83">
      <w:pPr>
        <w:rPr>
          <w:rFonts w:ascii="宋体" w:hAnsi="宋体" w:cs="宋体"/>
          <w:color w:val="auto"/>
          <w:highlight w:val="none"/>
        </w:rPr>
      </w:pPr>
    </w:p>
    <w:p w14:paraId="7DB67B5E">
      <w:pPr>
        <w:rPr>
          <w:rFonts w:ascii="宋体" w:hAnsi="宋体" w:cs="宋体"/>
          <w:color w:val="auto"/>
          <w:highlight w:val="none"/>
        </w:rPr>
      </w:pPr>
    </w:p>
    <w:p w14:paraId="15BB8B52">
      <w:pPr>
        <w:rPr>
          <w:rFonts w:ascii="宋体" w:hAnsi="宋体" w:cs="宋体"/>
          <w:color w:val="auto"/>
          <w:highlight w:val="none"/>
        </w:rPr>
      </w:pPr>
    </w:p>
    <w:p w14:paraId="748A3727">
      <w:pPr>
        <w:rPr>
          <w:rFonts w:ascii="宋体" w:hAnsi="宋体" w:cs="宋体"/>
          <w:color w:val="auto"/>
          <w:highlight w:val="none"/>
        </w:rPr>
      </w:pPr>
    </w:p>
    <w:p w14:paraId="2F04E96E">
      <w:pPr>
        <w:rPr>
          <w:rFonts w:ascii="宋体" w:hAnsi="宋体" w:cs="宋体"/>
          <w:color w:val="auto"/>
          <w:highlight w:val="none"/>
        </w:rPr>
      </w:pPr>
    </w:p>
    <w:p w14:paraId="4FDF219D">
      <w:pPr>
        <w:rPr>
          <w:rFonts w:ascii="宋体" w:hAnsi="宋体" w:cs="宋体"/>
          <w:color w:val="auto"/>
          <w:highlight w:val="none"/>
        </w:rPr>
      </w:pPr>
    </w:p>
    <w:p w14:paraId="055CD27D">
      <w:pPr>
        <w:rPr>
          <w:rFonts w:ascii="宋体" w:hAnsi="宋体" w:cs="宋体"/>
          <w:color w:val="auto"/>
          <w:highlight w:val="none"/>
        </w:rPr>
      </w:pPr>
    </w:p>
    <w:p w14:paraId="0767A99F">
      <w:pPr>
        <w:rPr>
          <w:rFonts w:ascii="宋体" w:hAnsi="宋体" w:cs="宋体"/>
          <w:color w:val="auto"/>
          <w:highlight w:val="none"/>
        </w:rPr>
      </w:pPr>
    </w:p>
    <w:p w14:paraId="4645E515">
      <w:pPr>
        <w:rPr>
          <w:rFonts w:ascii="宋体" w:hAnsi="宋体" w:cs="宋体"/>
          <w:color w:val="auto"/>
          <w:highlight w:val="none"/>
        </w:rPr>
      </w:pPr>
    </w:p>
    <w:p w14:paraId="0A88B302">
      <w:pPr>
        <w:rPr>
          <w:rFonts w:ascii="宋体" w:hAnsi="宋体" w:cs="宋体"/>
          <w:color w:val="auto"/>
          <w:highlight w:val="none"/>
        </w:rPr>
      </w:pPr>
    </w:p>
    <w:p w14:paraId="7307724A">
      <w:pPr>
        <w:rPr>
          <w:rFonts w:ascii="宋体" w:hAnsi="宋体" w:cs="宋体"/>
          <w:color w:val="auto"/>
          <w:highlight w:val="none"/>
        </w:rPr>
      </w:pPr>
    </w:p>
    <w:p w14:paraId="2B1AA98A">
      <w:pPr>
        <w:rPr>
          <w:rFonts w:ascii="宋体" w:hAnsi="宋体" w:cs="宋体"/>
          <w:color w:val="auto"/>
          <w:highlight w:val="none"/>
        </w:rPr>
      </w:pPr>
    </w:p>
    <w:p w14:paraId="65C387DC">
      <w:pPr>
        <w:rPr>
          <w:rFonts w:ascii="宋体" w:hAnsi="宋体" w:cs="宋体"/>
          <w:color w:val="auto"/>
          <w:highlight w:val="none"/>
        </w:rPr>
      </w:pPr>
    </w:p>
    <w:p w14:paraId="0C9C626B">
      <w:pPr>
        <w:rPr>
          <w:rFonts w:ascii="宋体" w:hAnsi="宋体" w:cs="宋体"/>
          <w:color w:val="auto"/>
          <w:highlight w:val="none"/>
        </w:rPr>
      </w:pPr>
    </w:p>
    <w:p w14:paraId="506273C4">
      <w:pPr>
        <w:rPr>
          <w:rFonts w:ascii="宋体" w:hAnsi="宋体" w:cs="宋体"/>
          <w:color w:val="auto"/>
          <w:highlight w:val="none"/>
        </w:rPr>
      </w:pPr>
    </w:p>
    <w:p w14:paraId="5704E6C3">
      <w:pPr>
        <w:rPr>
          <w:rFonts w:ascii="宋体" w:hAnsi="宋体" w:cs="宋体"/>
          <w:color w:val="auto"/>
          <w:highlight w:val="none"/>
        </w:rPr>
      </w:pPr>
    </w:p>
    <w:p w14:paraId="5EE136DC">
      <w:pPr>
        <w:rPr>
          <w:rFonts w:ascii="宋体" w:hAnsi="宋体" w:cs="宋体"/>
          <w:color w:val="auto"/>
          <w:highlight w:val="none"/>
        </w:rPr>
      </w:pPr>
    </w:p>
    <w:p w14:paraId="43525D10">
      <w:pPr>
        <w:rPr>
          <w:rFonts w:ascii="宋体" w:hAnsi="宋体" w:cs="宋体"/>
          <w:color w:val="auto"/>
          <w:highlight w:val="none"/>
        </w:rPr>
      </w:pPr>
    </w:p>
    <w:p w14:paraId="7B91998E">
      <w:pPr>
        <w:rPr>
          <w:rFonts w:ascii="宋体" w:hAnsi="宋体" w:cs="宋体"/>
          <w:color w:val="auto"/>
          <w:highlight w:val="none"/>
        </w:rPr>
      </w:pPr>
    </w:p>
    <w:p w14:paraId="20C8D364">
      <w:pPr>
        <w:rPr>
          <w:rFonts w:ascii="宋体" w:hAnsi="宋体" w:cs="宋体"/>
          <w:color w:val="auto"/>
          <w:highlight w:val="none"/>
        </w:rPr>
      </w:pPr>
    </w:p>
    <w:p w14:paraId="3580EA86">
      <w:pPr>
        <w:rPr>
          <w:rFonts w:ascii="宋体" w:hAnsi="宋体" w:cs="宋体"/>
          <w:color w:val="auto"/>
          <w:highlight w:val="none"/>
        </w:rPr>
      </w:pPr>
    </w:p>
    <w:p w14:paraId="26BF4088">
      <w:pPr>
        <w:rPr>
          <w:rFonts w:ascii="宋体" w:hAnsi="宋体" w:cs="宋体"/>
          <w:color w:val="auto"/>
          <w:highlight w:val="none"/>
        </w:rPr>
      </w:pPr>
    </w:p>
    <w:p w14:paraId="6470E156">
      <w:pPr>
        <w:pStyle w:val="262"/>
        <w:rPr>
          <w:rFonts w:ascii="宋体" w:hAnsi="宋体" w:eastAsia="宋体" w:cs="宋体"/>
          <w:color w:val="auto"/>
          <w:highlight w:val="none"/>
        </w:rPr>
      </w:pPr>
      <w:r>
        <w:rPr>
          <w:rFonts w:hint="eastAsia" w:ascii="宋体" w:hAnsi="宋体" w:eastAsia="宋体" w:cs="宋体"/>
          <w:color w:val="auto"/>
          <w:highlight w:val="none"/>
        </w:rPr>
        <w:t>第六章  响应文件格式及附件</w:t>
      </w:r>
    </w:p>
    <w:p w14:paraId="2FD78926">
      <w:pPr>
        <w:jc w:val="center"/>
        <w:rPr>
          <w:rFonts w:ascii="宋体" w:hAnsi="宋体" w:cs="宋体"/>
          <w:b/>
          <w:color w:val="auto"/>
          <w:sz w:val="72"/>
          <w:highlight w:val="none"/>
        </w:rPr>
      </w:pPr>
    </w:p>
    <w:p w14:paraId="1332E084">
      <w:pPr>
        <w:jc w:val="center"/>
        <w:rPr>
          <w:rFonts w:ascii="宋体" w:hAnsi="宋体" w:cs="宋体"/>
          <w:b/>
          <w:color w:val="auto"/>
          <w:sz w:val="72"/>
          <w:szCs w:val="72"/>
          <w:highlight w:val="none"/>
        </w:rPr>
      </w:pPr>
      <w:r>
        <w:rPr>
          <w:rFonts w:hint="eastAsia" w:ascii="宋体" w:hAnsi="宋体" w:cs="宋体"/>
          <w:b/>
          <w:color w:val="auto"/>
          <w:sz w:val="72"/>
          <w:szCs w:val="72"/>
          <w:highlight w:val="none"/>
        </w:rPr>
        <w:t>响应文件</w:t>
      </w:r>
    </w:p>
    <w:p w14:paraId="710E9E60">
      <w:pPr>
        <w:ind w:firstLine="2472" w:firstLineChars="1026"/>
        <w:rPr>
          <w:rFonts w:ascii="宋体" w:hAnsi="宋体" w:cs="宋体"/>
          <w:b/>
          <w:color w:val="auto"/>
          <w:sz w:val="24"/>
          <w:highlight w:val="none"/>
        </w:rPr>
      </w:pPr>
    </w:p>
    <w:p w14:paraId="5FCA849E">
      <w:pPr>
        <w:jc w:val="center"/>
        <w:rPr>
          <w:rFonts w:ascii="宋体" w:hAnsi="宋体" w:cs="宋体"/>
          <w:b/>
          <w:color w:val="auto"/>
          <w:sz w:val="24"/>
          <w:highlight w:val="none"/>
        </w:rPr>
      </w:pPr>
    </w:p>
    <w:p w14:paraId="429AF63B">
      <w:pPr>
        <w:jc w:val="center"/>
        <w:rPr>
          <w:rFonts w:ascii="宋体" w:hAnsi="宋体" w:cs="宋体"/>
          <w:b/>
          <w:color w:val="auto"/>
          <w:sz w:val="24"/>
          <w:highlight w:val="none"/>
        </w:rPr>
      </w:pPr>
    </w:p>
    <w:p w14:paraId="034B5F5B">
      <w:pPr>
        <w:jc w:val="center"/>
        <w:rPr>
          <w:rFonts w:ascii="宋体" w:hAnsi="宋体" w:cs="宋体"/>
          <w:b/>
          <w:color w:val="auto"/>
          <w:sz w:val="24"/>
          <w:highlight w:val="none"/>
        </w:rPr>
      </w:pPr>
    </w:p>
    <w:p w14:paraId="28C6DDF7">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0E5314D2">
      <w:pPr>
        <w:jc w:val="center"/>
        <w:rPr>
          <w:rFonts w:ascii="宋体" w:hAnsi="宋体" w:cs="宋体"/>
          <w:b/>
          <w:color w:val="auto"/>
          <w:sz w:val="24"/>
          <w:highlight w:val="none"/>
        </w:rPr>
      </w:pPr>
    </w:p>
    <w:p w14:paraId="1103C651">
      <w:pPr>
        <w:jc w:val="center"/>
        <w:rPr>
          <w:rFonts w:ascii="宋体" w:hAnsi="宋体" w:cs="宋体"/>
          <w:b/>
          <w:color w:val="auto"/>
          <w:sz w:val="24"/>
          <w:highlight w:val="none"/>
        </w:rPr>
      </w:pPr>
    </w:p>
    <w:p w14:paraId="3E2AFDB0">
      <w:pPr>
        <w:jc w:val="center"/>
        <w:rPr>
          <w:rFonts w:ascii="宋体" w:hAnsi="宋体" w:cs="宋体"/>
          <w:b/>
          <w:color w:val="auto"/>
          <w:sz w:val="24"/>
          <w:highlight w:val="none"/>
        </w:rPr>
      </w:pPr>
    </w:p>
    <w:p w14:paraId="38A54DA4">
      <w:pPr>
        <w:jc w:val="center"/>
        <w:rPr>
          <w:rFonts w:ascii="宋体" w:hAnsi="宋体" w:cs="宋体"/>
          <w:b/>
          <w:color w:val="auto"/>
          <w:sz w:val="24"/>
          <w:highlight w:val="none"/>
        </w:rPr>
      </w:pPr>
    </w:p>
    <w:p w14:paraId="1CD152A6">
      <w:pPr>
        <w:jc w:val="center"/>
        <w:rPr>
          <w:rFonts w:ascii="宋体" w:hAnsi="宋体" w:cs="宋体"/>
          <w:b/>
          <w:color w:val="auto"/>
          <w:sz w:val="24"/>
          <w:highlight w:val="none"/>
        </w:rPr>
      </w:pPr>
    </w:p>
    <w:p w14:paraId="292718A5">
      <w:pPr>
        <w:jc w:val="center"/>
        <w:rPr>
          <w:rFonts w:ascii="宋体" w:hAnsi="宋体" w:cs="宋体"/>
          <w:b/>
          <w:color w:val="auto"/>
          <w:sz w:val="24"/>
          <w:highlight w:val="none"/>
        </w:rPr>
      </w:pPr>
    </w:p>
    <w:p w14:paraId="181C8CFF">
      <w:pPr>
        <w:jc w:val="center"/>
        <w:rPr>
          <w:rFonts w:ascii="宋体" w:hAnsi="宋体" w:cs="宋体"/>
          <w:b/>
          <w:color w:val="auto"/>
          <w:sz w:val="24"/>
          <w:highlight w:val="none"/>
        </w:rPr>
      </w:pPr>
    </w:p>
    <w:p w14:paraId="39C3CEC3">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项目编号：</w:t>
      </w:r>
    </w:p>
    <w:p w14:paraId="17689F10">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项目名称：</w:t>
      </w:r>
    </w:p>
    <w:p w14:paraId="1FDF69A2">
      <w:pPr>
        <w:rPr>
          <w:rFonts w:ascii="宋体" w:hAnsi="宋体" w:cs="宋体"/>
          <w:b/>
          <w:color w:val="auto"/>
          <w:sz w:val="28"/>
          <w:szCs w:val="28"/>
          <w:highlight w:val="none"/>
        </w:rPr>
      </w:pPr>
    </w:p>
    <w:p w14:paraId="28EE06B9">
      <w:pPr>
        <w:rPr>
          <w:rFonts w:ascii="宋体" w:hAnsi="宋体" w:cs="宋体"/>
          <w:b/>
          <w:color w:val="auto"/>
          <w:sz w:val="28"/>
          <w:szCs w:val="28"/>
          <w:highlight w:val="none"/>
        </w:rPr>
      </w:pPr>
    </w:p>
    <w:p w14:paraId="70CCD720">
      <w:pPr>
        <w:rPr>
          <w:rFonts w:ascii="宋体" w:hAnsi="宋体" w:cs="宋体"/>
          <w:b/>
          <w:color w:val="auto"/>
          <w:sz w:val="28"/>
          <w:szCs w:val="28"/>
          <w:highlight w:val="none"/>
        </w:rPr>
      </w:pPr>
    </w:p>
    <w:p w14:paraId="750A8BD4">
      <w:pPr>
        <w:rPr>
          <w:rFonts w:ascii="宋体" w:hAnsi="宋体" w:cs="宋体"/>
          <w:b/>
          <w:color w:val="auto"/>
          <w:sz w:val="28"/>
          <w:szCs w:val="28"/>
          <w:highlight w:val="none"/>
        </w:rPr>
      </w:pPr>
    </w:p>
    <w:p w14:paraId="40F7CFB0">
      <w:pPr>
        <w:rPr>
          <w:rFonts w:ascii="宋体" w:hAnsi="宋体" w:cs="宋体"/>
          <w:b/>
          <w:color w:val="auto"/>
          <w:sz w:val="28"/>
          <w:szCs w:val="28"/>
          <w:highlight w:val="none"/>
        </w:rPr>
      </w:pPr>
    </w:p>
    <w:p w14:paraId="4F7416EC">
      <w:pPr>
        <w:rPr>
          <w:rFonts w:ascii="宋体" w:hAnsi="宋体" w:cs="宋体"/>
          <w:b/>
          <w:color w:val="auto"/>
          <w:sz w:val="28"/>
          <w:szCs w:val="28"/>
          <w:highlight w:val="none"/>
        </w:rPr>
      </w:pPr>
    </w:p>
    <w:p w14:paraId="64100308">
      <w:pPr>
        <w:ind w:firstLine="843" w:firstLineChars="300"/>
        <w:rPr>
          <w:rFonts w:ascii="宋体" w:hAnsi="宋体" w:cs="宋体"/>
          <w:b/>
          <w:color w:val="auto"/>
          <w:sz w:val="28"/>
          <w:szCs w:val="28"/>
          <w:highlight w:val="none"/>
          <w:u w:val="single"/>
        </w:rPr>
      </w:pPr>
      <w:r>
        <w:rPr>
          <w:rFonts w:hint="eastAsia" w:ascii="宋体" w:hAnsi="宋体" w:cs="宋体"/>
          <w:b/>
          <w:color w:val="auto"/>
          <w:sz w:val="28"/>
          <w:szCs w:val="28"/>
          <w:highlight w:val="none"/>
        </w:rPr>
        <w:t>供应商名称：</w:t>
      </w:r>
    </w:p>
    <w:p w14:paraId="5E88A9F5">
      <w:pPr>
        <w:ind w:firstLine="843" w:firstLineChars="300"/>
        <w:rPr>
          <w:rFonts w:ascii="宋体" w:hAnsi="宋体" w:cs="宋体"/>
          <w:b/>
          <w:color w:val="auto"/>
          <w:sz w:val="28"/>
          <w:szCs w:val="28"/>
          <w:highlight w:val="none"/>
        </w:rPr>
      </w:pPr>
      <w:r>
        <w:rPr>
          <w:rFonts w:hint="eastAsia" w:ascii="宋体" w:hAnsi="宋体" w:cs="宋体"/>
          <w:b/>
          <w:color w:val="auto"/>
          <w:sz w:val="28"/>
          <w:szCs w:val="28"/>
          <w:highlight w:val="none"/>
        </w:rPr>
        <w:t>日期：</w:t>
      </w:r>
    </w:p>
    <w:p w14:paraId="400486D9">
      <w:pPr>
        <w:jc w:val="center"/>
        <w:rPr>
          <w:rFonts w:ascii="宋体" w:hAnsi="宋体" w:cs="宋体"/>
          <w:b/>
          <w:bCs/>
          <w:color w:val="auto"/>
          <w:sz w:val="24"/>
          <w:highlight w:val="none"/>
        </w:rPr>
      </w:pPr>
    </w:p>
    <w:p w14:paraId="26C4A970">
      <w:pPr>
        <w:jc w:val="center"/>
        <w:rPr>
          <w:rFonts w:ascii="宋体" w:hAnsi="宋体" w:cs="宋体"/>
          <w:b/>
          <w:color w:val="auto"/>
          <w:sz w:val="30"/>
          <w:szCs w:val="30"/>
          <w:highlight w:val="none"/>
        </w:rPr>
      </w:pPr>
      <w:r>
        <w:rPr>
          <w:rFonts w:hint="eastAsia" w:ascii="宋体" w:hAnsi="宋体" w:cs="宋体"/>
          <w:b/>
          <w:bCs/>
          <w:color w:val="auto"/>
          <w:sz w:val="36"/>
          <w:highlight w:val="none"/>
        </w:rPr>
        <w:br w:type="page"/>
      </w:r>
      <w:bookmarkStart w:id="10" w:name="_Toc405408732"/>
      <w:r>
        <w:rPr>
          <w:rFonts w:hint="eastAsia" w:ascii="宋体" w:hAnsi="宋体" w:cs="宋体"/>
          <w:b/>
          <w:color w:val="auto"/>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2"/>
        <w:gridCol w:w="3374"/>
      </w:tblGrid>
      <w:tr w14:paraId="623E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9FEA47F">
            <w:pPr>
              <w:jc w:val="center"/>
              <w:rPr>
                <w:rFonts w:ascii="宋体" w:hAnsi="宋体" w:cs="宋体"/>
                <w:b/>
                <w:color w:val="auto"/>
                <w:highlight w:val="none"/>
              </w:rPr>
            </w:pPr>
            <w:r>
              <w:rPr>
                <w:rFonts w:hint="eastAsia" w:ascii="宋体" w:hAnsi="宋体" w:cs="宋体"/>
                <w:b/>
                <w:color w:val="auto"/>
                <w:highlight w:val="none"/>
              </w:rPr>
              <w:t>评分项目</w:t>
            </w:r>
          </w:p>
        </w:tc>
        <w:tc>
          <w:tcPr>
            <w:tcW w:w="1783" w:type="pct"/>
          </w:tcPr>
          <w:p w14:paraId="6F3392F3">
            <w:pPr>
              <w:jc w:val="center"/>
              <w:rPr>
                <w:rFonts w:ascii="宋体" w:hAnsi="宋体" w:cs="宋体"/>
                <w:b/>
                <w:color w:val="auto"/>
                <w:highlight w:val="none"/>
              </w:rPr>
            </w:pPr>
            <w:r>
              <w:rPr>
                <w:rFonts w:hint="eastAsia" w:ascii="宋体" w:hAnsi="宋体" w:cs="宋体"/>
                <w:b/>
                <w:color w:val="auto"/>
                <w:highlight w:val="none"/>
              </w:rPr>
              <w:t>在响应文件中的页码位置</w:t>
            </w:r>
          </w:p>
        </w:tc>
      </w:tr>
      <w:tr w14:paraId="01A6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50E29B01">
            <w:pPr>
              <w:rPr>
                <w:rFonts w:ascii="宋体" w:hAnsi="宋体" w:cs="宋体"/>
                <w:b/>
                <w:color w:val="auto"/>
                <w:highlight w:val="none"/>
              </w:rPr>
            </w:pPr>
          </w:p>
        </w:tc>
        <w:tc>
          <w:tcPr>
            <w:tcW w:w="1783" w:type="pct"/>
          </w:tcPr>
          <w:p w14:paraId="3F84818B">
            <w:pPr>
              <w:rPr>
                <w:rFonts w:ascii="宋体" w:hAnsi="宋体" w:cs="宋体"/>
                <w:b/>
                <w:color w:val="auto"/>
                <w:highlight w:val="none"/>
              </w:rPr>
            </w:pPr>
          </w:p>
        </w:tc>
      </w:tr>
      <w:tr w14:paraId="1387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53DFD20">
            <w:pPr>
              <w:rPr>
                <w:rFonts w:ascii="宋体" w:hAnsi="宋体" w:cs="宋体"/>
                <w:b/>
                <w:color w:val="auto"/>
                <w:highlight w:val="none"/>
              </w:rPr>
            </w:pPr>
          </w:p>
        </w:tc>
      </w:tr>
      <w:tr w14:paraId="64B5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65443775">
            <w:pPr>
              <w:rPr>
                <w:rFonts w:ascii="宋体" w:hAnsi="宋体" w:cs="宋体"/>
                <w:b/>
                <w:color w:val="auto"/>
                <w:highlight w:val="none"/>
              </w:rPr>
            </w:pPr>
          </w:p>
        </w:tc>
        <w:tc>
          <w:tcPr>
            <w:tcW w:w="1783" w:type="pct"/>
          </w:tcPr>
          <w:p w14:paraId="283B8BE4">
            <w:pPr>
              <w:rPr>
                <w:rFonts w:ascii="宋体" w:hAnsi="宋体" w:cs="宋体"/>
                <w:b/>
                <w:color w:val="auto"/>
                <w:highlight w:val="none"/>
              </w:rPr>
            </w:pPr>
          </w:p>
        </w:tc>
      </w:tr>
      <w:tr w14:paraId="12A0C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2F0AA2EE">
            <w:pPr>
              <w:rPr>
                <w:rFonts w:ascii="宋体" w:hAnsi="宋体" w:cs="宋体"/>
                <w:b/>
                <w:color w:val="auto"/>
                <w:highlight w:val="none"/>
              </w:rPr>
            </w:pPr>
          </w:p>
        </w:tc>
        <w:tc>
          <w:tcPr>
            <w:tcW w:w="1783" w:type="pct"/>
          </w:tcPr>
          <w:p w14:paraId="194D80B5">
            <w:pPr>
              <w:rPr>
                <w:rFonts w:ascii="宋体" w:hAnsi="宋体" w:cs="宋体"/>
                <w:b/>
                <w:color w:val="auto"/>
                <w:highlight w:val="none"/>
              </w:rPr>
            </w:pPr>
          </w:p>
        </w:tc>
      </w:tr>
      <w:tr w14:paraId="65D8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255C3D3">
            <w:pPr>
              <w:rPr>
                <w:rFonts w:ascii="宋体" w:hAnsi="宋体" w:cs="宋体"/>
                <w:b/>
                <w:color w:val="auto"/>
                <w:highlight w:val="none"/>
              </w:rPr>
            </w:pPr>
          </w:p>
        </w:tc>
        <w:tc>
          <w:tcPr>
            <w:tcW w:w="1783" w:type="pct"/>
          </w:tcPr>
          <w:p w14:paraId="6B641C68">
            <w:pPr>
              <w:rPr>
                <w:rFonts w:ascii="宋体" w:hAnsi="宋体" w:cs="宋体"/>
                <w:b/>
                <w:color w:val="auto"/>
                <w:highlight w:val="none"/>
              </w:rPr>
            </w:pPr>
          </w:p>
        </w:tc>
      </w:tr>
      <w:tr w14:paraId="3218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69CCB4E0">
            <w:pPr>
              <w:rPr>
                <w:rFonts w:ascii="宋体" w:hAnsi="宋体" w:cs="宋体"/>
                <w:b/>
                <w:color w:val="auto"/>
                <w:highlight w:val="none"/>
              </w:rPr>
            </w:pPr>
          </w:p>
        </w:tc>
        <w:tc>
          <w:tcPr>
            <w:tcW w:w="1783" w:type="pct"/>
          </w:tcPr>
          <w:p w14:paraId="18EFC324">
            <w:pPr>
              <w:rPr>
                <w:rFonts w:ascii="宋体" w:hAnsi="宋体" w:cs="宋体"/>
                <w:b/>
                <w:color w:val="auto"/>
                <w:highlight w:val="none"/>
              </w:rPr>
            </w:pPr>
          </w:p>
        </w:tc>
      </w:tr>
      <w:tr w14:paraId="4BE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474D28C0">
            <w:pPr>
              <w:rPr>
                <w:rFonts w:ascii="宋体" w:hAnsi="宋体" w:cs="宋体"/>
                <w:b/>
                <w:color w:val="auto"/>
                <w:highlight w:val="none"/>
              </w:rPr>
            </w:pPr>
          </w:p>
        </w:tc>
        <w:tc>
          <w:tcPr>
            <w:tcW w:w="1783" w:type="pct"/>
          </w:tcPr>
          <w:p w14:paraId="3FAF1BA8">
            <w:pPr>
              <w:rPr>
                <w:rFonts w:ascii="宋体" w:hAnsi="宋体" w:cs="宋体"/>
                <w:b/>
                <w:color w:val="auto"/>
                <w:highlight w:val="none"/>
              </w:rPr>
            </w:pPr>
          </w:p>
        </w:tc>
      </w:tr>
      <w:tr w14:paraId="7337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3979983D">
            <w:pPr>
              <w:rPr>
                <w:rFonts w:ascii="宋体" w:hAnsi="宋体" w:cs="宋体"/>
                <w:b/>
                <w:color w:val="auto"/>
                <w:highlight w:val="none"/>
              </w:rPr>
            </w:pPr>
          </w:p>
        </w:tc>
      </w:tr>
      <w:tr w14:paraId="336E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38F74E7">
            <w:pPr>
              <w:rPr>
                <w:rFonts w:ascii="宋体" w:hAnsi="宋体" w:cs="宋体"/>
                <w:b/>
                <w:color w:val="auto"/>
                <w:highlight w:val="none"/>
              </w:rPr>
            </w:pPr>
          </w:p>
        </w:tc>
        <w:tc>
          <w:tcPr>
            <w:tcW w:w="1783" w:type="pct"/>
          </w:tcPr>
          <w:p w14:paraId="5D8A2FF5">
            <w:pPr>
              <w:rPr>
                <w:rFonts w:ascii="宋体" w:hAnsi="宋体" w:cs="宋体"/>
                <w:b/>
                <w:color w:val="auto"/>
                <w:highlight w:val="none"/>
              </w:rPr>
            </w:pPr>
          </w:p>
        </w:tc>
      </w:tr>
      <w:tr w14:paraId="28C6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00647B25">
            <w:pPr>
              <w:rPr>
                <w:rFonts w:ascii="宋体" w:hAnsi="宋体" w:cs="宋体"/>
                <w:b/>
                <w:color w:val="auto"/>
                <w:highlight w:val="none"/>
              </w:rPr>
            </w:pPr>
          </w:p>
        </w:tc>
        <w:tc>
          <w:tcPr>
            <w:tcW w:w="1783" w:type="pct"/>
          </w:tcPr>
          <w:p w14:paraId="29780FC0">
            <w:pPr>
              <w:rPr>
                <w:rFonts w:ascii="宋体" w:hAnsi="宋体" w:cs="宋体"/>
                <w:b/>
                <w:color w:val="auto"/>
                <w:highlight w:val="none"/>
              </w:rPr>
            </w:pPr>
          </w:p>
        </w:tc>
      </w:tr>
      <w:tr w14:paraId="4D49E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16A3DCD4">
            <w:pPr>
              <w:rPr>
                <w:rFonts w:ascii="宋体" w:hAnsi="宋体" w:cs="宋体"/>
                <w:b/>
                <w:color w:val="auto"/>
                <w:highlight w:val="none"/>
              </w:rPr>
            </w:pPr>
          </w:p>
        </w:tc>
        <w:tc>
          <w:tcPr>
            <w:tcW w:w="1783" w:type="pct"/>
          </w:tcPr>
          <w:p w14:paraId="6ACD0BA7">
            <w:pPr>
              <w:rPr>
                <w:rFonts w:ascii="宋体" w:hAnsi="宋体" w:cs="宋体"/>
                <w:b/>
                <w:color w:val="auto"/>
                <w:highlight w:val="none"/>
              </w:rPr>
            </w:pPr>
          </w:p>
        </w:tc>
      </w:tr>
      <w:tr w14:paraId="1D288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6749BDA7">
            <w:pPr>
              <w:rPr>
                <w:rFonts w:ascii="宋体" w:hAnsi="宋体" w:cs="宋体"/>
                <w:b/>
                <w:color w:val="auto"/>
                <w:highlight w:val="none"/>
              </w:rPr>
            </w:pPr>
          </w:p>
        </w:tc>
        <w:tc>
          <w:tcPr>
            <w:tcW w:w="1783" w:type="pct"/>
          </w:tcPr>
          <w:p w14:paraId="278CED71">
            <w:pPr>
              <w:rPr>
                <w:rFonts w:ascii="宋体" w:hAnsi="宋体" w:cs="宋体"/>
                <w:b/>
                <w:color w:val="auto"/>
                <w:highlight w:val="none"/>
              </w:rPr>
            </w:pPr>
          </w:p>
        </w:tc>
      </w:tr>
      <w:tr w14:paraId="7A03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181A260">
            <w:pPr>
              <w:rPr>
                <w:rFonts w:ascii="宋体" w:hAnsi="宋体" w:cs="宋体"/>
                <w:b/>
                <w:color w:val="auto"/>
                <w:highlight w:val="none"/>
              </w:rPr>
            </w:pPr>
          </w:p>
        </w:tc>
        <w:tc>
          <w:tcPr>
            <w:tcW w:w="1783" w:type="pct"/>
          </w:tcPr>
          <w:p w14:paraId="24BFA88D">
            <w:pPr>
              <w:rPr>
                <w:rFonts w:ascii="宋体" w:hAnsi="宋体" w:cs="宋体"/>
                <w:b/>
                <w:color w:val="auto"/>
                <w:highlight w:val="none"/>
              </w:rPr>
            </w:pPr>
          </w:p>
        </w:tc>
      </w:tr>
      <w:tr w14:paraId="3C6C5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33E9BCEF">
            <w:pPr>
              <w:rPr>
                <w:rFonts w:ascii="宋体" w:hAnsi="宋体" w:cs="宋体"/>
                <w:b/>
                <w:color w:val="auto"/>
                <w:highlight w:val="none"/>
              </w:rPr>
            </w:pPr>
          </w:p>
        </w:tc>
      </w:tr>
      <w:tr w14:paraId="144E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4EC61C1">
            <w:pPr>
              <w:rPr>
                <w:rFonts w:ascii="宋体" w:hAnsi="宋体" w:cs="宋体"/>
                <w:b/>
                <w:color w:val="auto"/>
                <w:highlight w:val="none"/>
              </w:rPr>
            </w:pPr>
          </w:p>
        </w:tc>
        <w:tc>
          <w:tcPr>
            <w:tcW w:w="1783" w:type="pct"/>
          </w:tcPr>
          <w:p w14:paraId="15B78265">
            <w:pPr>
              <w:rPr>
                <w:rFonts w:ascii="宋体" w:hAnsi="宋体" w:cs="宋体"/>
                <w:b/>
                <w:color w:val="auto"/>
                <w:highlight w:val="none"/>
              </w:rPr>
            </w:pPr>
          </w:p>
        </w:tc>
      </w:tr>
      <w:tr w14:paraId="676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73AB6F03">
            <w:pPr>
              <w:rPr>
                <w:rFonts w:ascii="宋体" w:hAnsi="宋体" w:cs="宋体"/>
                <w:b/>
                <w:color w:val="auto"/>
                <w:highlight w:val="none"/>
              </w:rPr>
            </w:pPr>
          </w:p>
        </w:tc>
        <w:tc>
          <w:tcPr>
            <w:tcW w:w="1783" w:type="pct"/>
          </w:tcPr>
          <w:p w14:paraId="24B7DA32">
            <w:pPr>
              <w:rPr>
                <w:rFonts w:ascii="宋体" w:hAnsi="宋体" w:cs="宋体"/>
                <w:b/>
                <w:color w:val="auto"/>
                <w:highlight w:val="none"/>
              </w:rPr>
            </w:pPr>
          </w:p>
        </w:tc>
      </w:tr>
      <w:tr w14:paraId="228B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79659687">
            <w:pPr>
              <w:rPr>
                <w:rFonts w:ascii="宋体" w:hAnsi="宋体" w:cs="宋体"/>
                <w:b/>
                <w:color w:val="auto"/>
                <w:highlight w:val="none"/>
              </w:rPr>
            </w:pPr>
          </w:p>
        </w:tc>
        <w:tc>
          <w:tcPr>
            <w:tcW w:w="1783" w:type="pct"/>
          </w:tcPr>
          <w:p w14:paraId="286D206E">
            <w:pPr>
              <w:rPr>
                <w:rFonts w:ascii="宋体" w:hAnsi="宋体" w:cs="宋体"/>
                <w:b/>
                <w:color w:val="auto"/>
                <w:highlight w:val="none"/>
              </w:rPr>
            </w:pPr>
          </w:p>
        </w:tc>
      </w:tr>
      <w:tr w14:paraId="5CFE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4AA2B590">
            <w:pPr>
              <w:rPr>
                <w:rFonts w:ascii="宋体" w:hAnsi="宋体" w:cs="宋体"/>
                <w:b/>
                <w:color w:val="auto"/>
                <w:highlight w:val="none"/>
              </w:rPr>
            </w:pPr>
          </w:p>
        </w:tc>
      </w:tr>
      <w:tr w14:paraId="6B7D4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0BE00E9">
            <w:pPr>
              <w:rPr>
                <w:rFonts w:ascii="宋体" w:hAnsi="宋体" w:cs="宋体"/>
                <w:b/>
                <w:color w:val="auto"/>
                <w:highlight w:val="none"/>
              </w:rPr>
            </w:pPr>
          </w:p>
        </w:tc>
        <w:tc>
          <w:tcPr>
            <w:tcW w:w="1783" w:type="pct"/>
          </w:tcPr>
          <w:p w14:paraId="4D9B7026">
            <w:pPr>
              <w:rPr>
                <w:rFonts w:ascii="宋体" w:hAnsi="宋体" w:cs="宋体"/>
                <w:b/>
                <w:color w:val="auto"/>
                <w:highlight w:val="none"/>
              </w:rPr>
            </w:pPr>
          </w:p>
        </w:tc>
      </w:tr>
      <w:tr w14:paraId="4E87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C3091F3">
            <w:pPr>
              <w:rPr>
                <w:rFonts w:ascii="宋体" w:hAnsi="宋体" w:cs="宋体"/>
                <w:b/>
                <w:color w:val="auto"/>
                <w:highlight w:val="none"/>
              </w:rPr>
            </w:pPr>
          </w:p>
        </w:tc>
        <w:tc>
          <w:tcPr>
            <w:tcW w:w="1783" w:type="pct"/>
          </w:tcPr>
          <w:p w14:paraId="0F85C668">
            <w:pPr>
              <w:rPr>
                <w:rFonts w:ascii="宋体" w:hAnsi="宋体" w:cs="宋体"/>
                <w:b/>
                <w:color w:val="auto"/>
                <w:highlight w:val="none"/>
              </w:rPr>
            </w:pPr>
          </w:p>
        </w:tc>
      </w:tr>
    </w:tbl>
    <w:p w14:paraId="2635A172">
      <w:pPr>
        <w:rPr>
          <w:rFonts w:ascii="宋体" w:hAnsi="宋体" w:cs="宋体"/>
          <w:color w:val="auto"/>
          <w:highlight w:val="none"/>
        </w:rPr>
      </w:pPr>
    </w:p>
    <w:p w14:paraId="2C953C13">
      <w:pPr>
        <w:jc w:val="center"/>
        <w:rPr>
          <w:rFonts w:ascii="宋体" w:hAnsi="宋体" w:cs="宋体"/>
          <w:b/>
          <w:bCs/>
          <w:color w:val="auto"/>
          <w:sz w:val="36"/>
          <w:highlight w:val="none"/>
        </w:rPr>
      </w:pPr>
      <w:r>
        <w:rPr>
          <w:rFonts w:hint="eastAsia" w:ascii="宋体" w:hAnsi="宋体" w:cs="宋体"/>
          <w:b/>
          <w:bCs/>
          <w:color w:val="auto"/>
          <w:sz w:val="36"/>
          <w:highlight w:val="none"/>
        </w:rPr>
        <w:br w:type="page"/>
      </w:r>
      <w:bookmarkStart w:id="11" w:name="_Toc489655320"/>
    </w:p>
    <w:p w14:paraId="5A469FEA">
      <w:pPr>
        <w:pStyle w:val="261"/>
        <w:rPr>
          <w:rFonts w:ascii="宋体" w:hAnsi="宋体" w:eastAsia="宋体" w:cs="宋体"/>
          <w:color w:val="auto"/>
          <w:highlight w:val="none"/>
        </w:rPr>
      </w:pPr>
      <w:r>
        <w:rPr>
          <w:rFonts w:hint="eastAsia" w:ascii="宋体" w:hAnsi="宋体" w:eastAsia="宋体" w:cs="宋体"/>
          <w:color w:val="auto"/>
          <w:highlight w:val="none"/>
        </w:rPr>
        <w:t>响应文件主要目录</w:t>
      </w:r>
      <w:bookmarkEnd w:id="10"/>
      <w:bookmarkEnd w:id="11"/>
      <w:r>
        <w:rPr>
          <w:rFonts w:hint="eastAsia" w:ascii="宋体" w:hAnsi="宋体" w:eastAsia="宋体" w:cs="宋体"/>
          <w:color w:val="auto"/>
          <w:highlight w:val="none"/>
        </w:rPr>
        <w:t>及相关证明材料格式、附件</w:t>
      </w:r>
    </w:p>
    <w:p w14:paraId="25193FCC">
      <w:pPr>
        <w:rPr>
          <w:rFonts w:ascii="宋体" w:hAnsi="宋体" w:cs="宋体"/>
          <w:color w:val="auto"/>
          <w:sz w:val="28"/>
          <w:szCs w:val="28"/>
          <w:highlight w:val="none"/>
        </w:rPr>
      </w:pPr>
    </w:p>
    <w:p w14:paraId="07666A0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一、响应申请及声明</w:t>
      </w:r>
    </w:p>
    <w:p w14:paraId="6330CBF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二、法定代表人授权书</w:t>
      </w:r>
    </w:p>
    <w:p w14:paraId="5CF26764">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三、响应一览表</w:t>
      </w:r>
    </w:p>
    <w:p w14:paraId="2F08730E">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四、分项报价表</w:t>
      </w:r>
    </w:p>
    <w:p w14:paraId="5F6D22F0">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五、资格证明文件</w:t>
      </w:r>
    </w:p>
    <w:p w14:paraId="71810A2F">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六、技术条款偏离表</w:t>
      </w:r>
    </w:p>
    <w:p w14:paraId="3B5C4309">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七、商务条款偏离表</w:t>
      </w:r>
    </w:p>
    <w:p w14:paraId="4D012D1B">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八、服务方案</w:t>
      </w:r>
    </w:p>
    <w:p w14:paraId="2E58184A">
      <w:pPr>
        <w:spacing w:line="360" w:lineRule="auto"/>
        <w:ind w:left="2280" w:hanging="720"/>
        <w:rPr>
          <w:rFonts w:ascii="宋体" w:hAnsi="宋体" w:cs="宋体"/>
          <w:color w:val="auto"/>
          <w:sz w:val="28"/>
          <w:szCs w:val="28"/>
          <w:highlight w:val="none"/>
        </w:rPr>
      </w:pPr>
      <w:r>
        <w:rPr>
          <w:rFonts w:hint="eastAsia" w:ascii="宋体" w:hAnsi="宋体" w:cs="宋体"/>
          <w:color w:val="auto"/>
          <w:sz w:val="28"/>
          <w:szCs w:val="28"/>
          <w:highlight w:val="none"/>
        </w:rPr>
        <w:t>九、响应需要的其他证明文件及材料（若有）</w:t>
      </w:r>
    </w:p>
    <w:p w14:paraId="67456F4B">
      <w:pPr>
        <w:spacing w:line="360" w:lineRule="auto"/>
        <w:rPr>
          <w:rFonts w:ascii="宋体" w:hAnsi="宋体" w:cs="宋体"/>
          <w:color w:val="auto"/>
          <w:sz w:val="28"/>
          <w:szCs w:val="28"/>
          <w:highlight w:val="none"/>
        </w:rPr>
      </w:pPr>
    </w:p>
    <w:p w14:paraId="7AB65B06">
      <w:pPr>
        <w:spacing w:line="360" w:lineRule="auto"/>
        <w:ind w:firstLine="560" w:firstLineChars="200"/>
        <w:jc w:val="left"/>
        <w:rPr>
          <w:rFonts w:ascii="宋体" w:hAnsi="宋体" w:cs="宋体"/>
          <w:color w:val="auto"/>
          <w:sz w:val="28"/>
          <w:szCs w:val="28"/>
          <w:highlight w:val="none"/>
        </w:rPr>
      </w:pPr>
      <w:r>
        <w:rPr>
          <w:rFonts w:hint="eastAsia" w:ascii="宋体" w:hAnsi="宋体" w:cs="宋体"/>
          <w:color w:val="auto"/>
          <w:sz w:val="28"/>
          <w:szCs w:val="28"/>
          <w:highlight w:val="none"/>
        </w:rPr>
        <w:t>附件一、无重大违法记录声明格式；</w:t>
      </w:r>
    </w:p>
    <w:p w14:paraId="5FCD89E1">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附件二、具备履行合同所必需的设备和专业技术能力的声明格式及证明材料。</w:t>
      </w:r>
    </w:p>
    <w:p w14:paraId="1E1E6AE3">
      <w:pPr>
        <w:spacing w:line="360" w:lineRule="auto"/>
        <w:ind w:left="2941" w:leftChars="267" w:hanging="2380" w:hangingChars="850"/>
        <w:jc w:val="left"/>
        <w:rPr>
          <w:rFonts w:ascii="宋体" w:hAnsi="宋体" w:cs="宋体"/>
          <w:color w:val="auto"/>
          <w:sz w:val="28"/>
          <w:szCs w:val="28"/>
          <w:highlight w:val="none"/>
        </w:rPr>
      </w:pPr>
      <w:r>
        <w:rPr>
          <w:rFonts w:hint="eastAsia" w:ascii="宋体" w:hAnsi="宋体" w:cs="宋体"/>
          <w:color w:val="auto"/>
          <w:sz w:val="28"/>
          <w:szCs w:val="28"/>
          <w:highlight w:val="none"/>
        </w:rPr>
        <w:t>附件三、承诺书</w:t>
      </w:r>
    </w:p>
    <w:p w14:paraId="617EE67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64438094">
      <w:pPr>
        <w:pStyle w:val="18"/>
        <w:ind w:firstLine="482"/>
        <w:rPr>
          <w:rFonts w:ascii="宋体" w:hAnsi="宋体" w:cs="宋体"/>
          <w:b/>
          <w:color w:val="auto"/>
          <w:highlight w:val="none"/>
        </w:rPr>
      </w:pPr>
      <w:r>
        <w:rPr>
          <w:rFonts w:hint="eastAsia" w:ascii="宋体" w:hAnsi="宋体" w:cs="宋体"/>
          <w:b/>
          <w:color w:val="auto"/>
          <w:highlight w:val="none"/>
        </w:rPr>
        <w:t>目录一、响应申请及声明格式</w:t>
      </w:r>
    </w:p>
    <w:p w14:paraId="67CAD89C">
      <w:pPr>
        <w:pStyle w:val="263"/>
        <w:outlineLvl w:val="9"/>
        <w:rPr>
          <w:rFonts w:ascii="宋体" w:hAnsi="宋体" w:cs="宋体"/>
          <w:color w:val="auto"/>
          <w:highlight w:val="none"/>
        </w:rPr>
      </w:pPr>
      <w:r>
        <w:rPr>
          <w:rFonts w:hint="eastAsia" w:ascii="宋体" w:hAnsi="宋体" w:cs="宋体"/>
          <w:color w:val="auto"/>
          <w:highlight w:val="none"/>
        </w:rPr>
        <w:t>响应申请及声明</w:t>
      </w:r>
    </w:p>
    <w:p w14:paraId="1DC7A556">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003DCA80">
      <w:pPr>
        <w:pStyle w:val="18"/>
        <w:ind w:firstLine="480"/>
        <w:rPr>
          <w:rFonts w:ascii="宋体" w:hAnsi="宋体" w:cs="宋体"/>
          <w:color w:val="auto"/>
          <w:highlight w:val="none"/>
        </w:rPr>
      </w:pPr>
      <w:r>
        <w:rPr>
          <w:rFonts w:hint="eastAsia" w:ascii="宋体" w:hAnsi="宋体" w:cs="宋体"/>
          <w:color w:val="auto"/>
          <w:highlight w:val="none"/>
        </w:rPr>
        <w:t>根据贵方</w:t>
      </w:r>
      <w:r>
        <w:rPr>
          <w:rFonts w:hint="eastAsia" w:ascii="宋体" w:hAnsi="宋体" w:cs="宋体"/>
          <w:color w:val="auto"/>
          <w:highlight w:val="none"/>
          <w:u w:val="single"/>
        </w:rPr>
        <w:t xml:space="preserve">                                 </w:t>
      </w:r>
      <w:r>
        <w:rPr>
          <w:rFonts w:hint="eastAsia" w:ascii="宋体" w:hAnsi="宋体" w:cs="宋体"/>
          <w:color w:val="auto"/>
          <w:highlight w:val="none"/>
        </w:rPr>
        <w:t>（项目编号：</w:t>
      </w:r>
      <w:r>
        <w:rPr>
          <w:rFonts w:hint="eastAsia" w:ascii="宋体" w:hAnsi="宋体" w:cs="宋体"/>
          <w:color w:val="auto"/>
          <w:highlight w:val="none"/>
          <w:u w:val="single"/>
        </w:rPr>
        <w:t xml:space="preserve">       </w:t>
      </w:r>
      <w:r>
        <w:rPr>
          <w:rFonts w:hint="eastAsia" w:ascii="宋体" w:hAnsi="宋体" w:cs="宋体"/>
          <w:color w:val="auto"/>
          <w:highlight w:val="none"/>
        </w:rPr>
        <w:t>）响应邀请，正式授权下述签字人（姓名和职务）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代表供应商（供应商名称）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，提交响应文件。</w:t>
      </w:r>
    </w:p>
    <w:p w14:paraId="7F2D7929">
      <w:pPr>
        <w:pStyle w:val="18"/>
        <w:ind w:firstLine="480"/>
        <w:rPr>
          <w:rFonts w:ascii="宋体" w:hAnsi="宋体" w:cs="宋体"/>
          <w:color w:val="auto"/>
          <w:highlight w:val="none"/>
        </w:rPr>
      </w:pPr>
      <w:r>
        <w:rPr>
          <w:rFonts w:hint="eastAsia" w:ascii="宋体" w:hAnsi="宋体" w:cs="宋体"/>
          <w:color w:val="auto"/>
          <w:highlight w:val="none"/>
        </w:rPr>
        <w:t>据此函，签字人兹宣布声明和承诺如下：</w:t>
      </w:r>
    </w:p>
    <w:p w14:paraId="7071C12F">
      <w:pPr>
        <w:pStyle w:val="18"/>
        <w:numPr>
          <w:ilvl w:val="0"/>
          <w:numId w:val="64"/>
        </w:numPr>
        <w:ind w:firstLineChars="0"/>
        <w:rPr>
          <w:rFonts w:ascii="宋体" w:hAnsi="宋体" w:cs="宋体"/>
          <w:color w:val="auto"/>
          <w:highlight w:val="none"/>
        </w:rPr>
      </w:pPr>
      <w:r>
        <w:rPr>
          <w:rFonts w:hint="eastAsia" w:ascii="宋体" w:hAnsi="宋体" w:cs="宋体"/>
          <w:b/>
          <w:color w:val="auto"/>
          <w:highlight w:val="none"/>
        </w:rPr>
        <w:t>我们的资格条件完全符合本次采购要求</w:t>
      </w:r>
      <w:r>
        <w:rPr>
          <w:rFonts w:hint="eastAsia" w:ascii="宋体" w:hAnsi="宋体" w:cs="宋体"/>
          <w:color w:val="auto"/>
          <w:highlight w:val="none"/>
        </w:rPr>
        <w:t>，我们同意并向贵方提供了与响应有关的所有证据和资料。</w:t>
      </w:r>
    </w:p>
    <w:p w14:paraId="6A562837">
      <w:pPr>
        <w:pStyle w:val="18"/>
        <w:numPr>
          <w:ilvl w:val="0"/>
          <w:numId w:val="64"/>
        </w:numPr>
        <w:ind w:firstLineChars="0"/>
        <w:rPr>
          <w:rFonts w:ascii="宋体" w:hAnsi="宋体" w:cs="宋体"/>
          <w:color w:val="auto"/>
          <w:highlight w:val="none"/>
        </w:rPr>
      </w:pPr>
      <w:r>
        <w:rPr>
          <w:rFonts w:hint="eastAsia" w:ascii="宋体" w:hAnsi="宋体" w:cs="宋体"/>
          <w:color w:val="auto"/>
          <w:highlight w:val="none"/>
        </w:rPr>
        <w:t>我们已详细审核全部采购文件及其有效补充文件，我们放弃对采购文件任何误解的权利，提交响应文件后，</w:t>
      </w:r>
      <w:r>
        <w:rPr>
          <w:rFonts w:hint="eastAsia" w:ascii="宋体" w:hAnsi="宋体" w:cs="宋体"/>
          <w:b/>
          <w:color w:val="auto"/>
          <w:highlight w:val="none"/>
        </w:rPr>
        <w:t>不对采购文件本身提出质疑</w:t>
      </w:r>
      <w:r>
        <w:rPr>
          <w:rFonts w:hint="eastAsia" w:ascii="宋体" w:hAnsi="宋体" w:cs="宋体"/>
          <w:color w:val="auto"/>
          <w:highlight w:val="none"/>
        </w:rPr>
        <w:t>。</w:t>
      </w:r>
    </w:p>
    <w:p w14:paraId="2848388C">
      <w:pPr>
        <w:pStyle w:val="18"/>
        <w:numPr>
          <w:ilvl w:val="0"/>
          <w:numId w:val="64"/>
        </w:numPr>
        <w:ind w:firstLineChars="0"/>
        <w:rPr>
          <w:rFonts w:ascii="宋体" w:hAnsi="宋体" w:cs="宋体"/>
          <w:color w:val="auto"/>
          <w:highlight w:val="none"/>
        </w:rPr>
      </w:pPr>
      <w:r>
        <w:rPr>
          <w:rFonts w:hint="eastAsia" w:ascii="宋体" w:hAnsi="宋体" w:cs="宋体"/>
          <w:color w:val="auto"/>
          <w:highlight w:val="none"/>
        </w:rPr>
        <w:t>我们同意从规定的响应文件开启日期起遵循本响应文件，并在规定的响应有效期期满之前均具有约束力。</w:t>
      </w:r>
    </w:p>
    <w:p w14:paraId="72B1A572">
      <w:pPr>
        <w:pStyle w:val="18"/>
        <w:numPr>
          <w:ilvl w:val="0"/>
          <w:numId w:val="64"/>
        </w:numPr>
        <w:ind w:firstLineChars="0"/>
        <w:rPr>
          <w:rFonts w:ascii="宋体" w:hAnsi="宋体" w:cs="宋体"/>
          <w:color w:val="auto"/>
          <w:highlight w:val="none"/>
        </w:rPr>
      </w:pPr>
      <w:r>
        <w:rPr>
          <w:rFonts w:hint="eastAsia" w:ascii="宋体" w:hAnsi="宋体" w:cs="宋体"/>
          <w:color w:val="auto"/>
          <w:highlight w:val="none"/>
        </w:rPr>
        <w:t>一旦我方成交，我方将根据采购文件的规定严格履行合同，并保证于承诺的时间完成项目的启动等服务，交付采购人验收。</w:t>
      </w:r>
    </w:p>
    <w:p w14:paraId="0A230720">
      <w:pPr>
        <w:pStyle w:val="18"/>
        <w:numPr>
          <w:ilvl w:val="0"/>
          <w:numId w:val="64"/>
        </w:numPr>
        <w:ind w:firstLineChars="0"/>
        <w:rPr>
          <w:rFonts w:ascii="宋体" w:hAnsi="宋体" w:cs="宋体"/>
          <w:color w:val="auto"/>
          <w:highlight w:val="none"/>
        </w:rPr>
      </w:pPr>
      <w:r>
        <w:rPr>
          <w:rFonts w:hint="eastAsia" w:ascii="宋体" w:hAnsi="宋体" w:cs="宋体"/>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312618C">
      <w:pPr>
        <w:pStyle w:val="18"/>
        <w:numPr>
          <w:ilvl w:val="0"/>
          <w:numId w:val="64"/>
        </w:numPr>
        <w:ind w:firstLineChars="0"/>
        <w:rPr>
          <w:rFonts w:ascii="宋体" w:hAnsi="宋体" w:cs="宋体"/>
          <w:color w:val="auto"/>
          <w:highlight w:val="none"/>
        </w:rPr>
      </w:pPr>
      <w:r>
        <w:rPr>
          <w:rFonts w:hint="eastAsia" w:ascii="宋体" w:hAnsi="宋体" w:cs="宋体"/>
          <w:color w:val="auto"/>
          <w:highlight w:val="none"/>
        </w:rPr>
        <w:t>与本次响应有关的正式联系方式为：</w:t>
      </w:r>
    </w:p>
    <w:p w14:paraId="13C0BDA5">
      <w:pPr>
        <w:pStyle w:val="18"/>
        <w:ind w:firstLine="480"/>
        <w:rPr>
          <w:rFonts w:ascii="宋体" w:hAnsi="宋体" w:cs="宋体"/>
          <w:color w:val="auto"/>
          <w:highlight w:val="none"/>
          <w:u w:val="single"/>
        </w:rPr>
      </w:pPr>
      <w:r>
        <w:rPr>
          <w:rFonts w:hint="eastAsia" w:ascii="宋体" w:hAnsi="宋体" w:cs="宋体"/>
          <w:color w:val="auto"/>
          <w:highlight w:val="none"/>
        </w:rPr>
        <w:t>地址：</w:t>
      </w:r>
    </w:p>
    <w:p w14:paraId="6C7FF31E">
      <w:pPr>
        <w:pStyle w:val="18"/>
        <w:ind w:firstLine="480"/>
        <w:rPr>
          <w:rFonts w:ascii="宋体" w:hAnsi="宋体" w:cs="宋体"/>
          <w:color w:val="auto"/>
          <w:highlight w:val="none"/>
          <w:u w:val="single"/>
        </w:rPr>
      </w:pPr>
      <w:r>
        <w:rPr>
          <w:rFonts w:hint="eastAsia" w:ascii="宋体" w:hAnsi="宋体" w:cs="宋体"/>
          <w:color w:val="auto"/>
          <w:highlight w:val="none"/>
        </w:rPr>
        <w:t>电话：</w:t>
      </w:r>
    </w:p>
    <w:p w14:paraId="795BBCDC">
      <w:pPr>
        <w:pStyle w:val="18"/>
        <w:ind w:firstLine="480"/>
        <w:rPr>
          <w:rFonts w:ascii="宋体" w:hAnsi="宋体" w:cs="宋体"/>
          <w:color w:val="auto"/>
          <w:highlight w:val="none"/>
          <w:u w:val="single"/>
        </w:rPr>
      </w:pPr>
      <w:r>
        <w:rPr>
          <w:rFonts w:hint="eastAsia" w:ascii="宋体" w:hAnsi="宋体" w:cs="宋体"/>
          <w:color w:val="auto"/>
          <w:highlight w:val="none"/>
        </w:rPr>
        <w:t>传真：</w:t>
      </w:r>
    </w:p>
    <w:p w14:paraId="75C4AD8C">
      <w:pPr>
        <w:pStyle w:val="18"/>
        <w:ind w:firstLine="480"/>
        <w:rPr>
          <w:rFonts w:ascii="宋体" w:hAnsi="宋体" w:cs="宋体"/>
          <w:color w:val="auto"/>
          <w:highlight w:val="none"/>
        </w:rPr>
      </w:pPr>
      <w:r>
        <w:rPr>
          <w:rFonts w:hint="eastAsia" w:ascii="宋体" w:hAnsi="宋体" w:cs="宋体"/>
          <w:color w:val="auto"/>
          <w:highlight w:val="none"/>
        </w:rPr>
        <w:t>开户银行：</w:t>
      </w:r>
    </w:p>
    <w:p w14:paraId="6CBB0D0C">
      <w:pPr>
        <w:pStyle w:val="18"/>
        <w:ind w:firstLine="480"/>
        <w:rPr>
          <w:rFonts w:ascii="宋体" w:hAnsi="宋体" w:cs="宋体"/>
          <w:color w:val="auto"/>
          <w:highlight w:val="none"/>
        </w:rPr>
      </w:pPr>
      <w:r>
        <w:rPr>
          <w:rFonts w:hint="eastAsia" w:ascii="宋体" w:hAnsi="宋体" w:cs="宋体"/>
          <w:color w:val="auto"/>
          <w:highlight w:val="none"/>
        </w:rPr>
        <w:t>银行账号：</w:t>
      </w:r>
    </w:p>
    <w:p w14:paraId="5EAADC7D">
      <w:pPr>
        <w:autoSpaceDE w:val="0"/>
        <w:autoSpaceDN w:val="0"/>
        <w:adjustRightInd w:val="0"/>
        <w:spacing w:line="360" w:lineRule="auto"/>
        <w:ind w:firstLine="420"/>
        <w:rPr>
          <w:rFonts w:ascii="宋体" w:hAnsi="宋体" w:cs="宋体"/>
          <w:color w:val="auto"/>
          <w:sz w:val="24"/>
          <w:szCs w:val="21"/>
          <w:highlight w:val="none"/>
          <w:u w:val="single"/>
          <w:lang w:val="zh-CN"/>
        </w:rPr>
      </w:pPr>
      <w:r>
        <w:rPr>
          <w:rFonts w:hint="eastAsia" w:ascii="宋体" w:hAnsi="宋体" w:cs="宋体"/>
          <w:color w:val="auto"/>
          <w:sz w:val="24"/>
          <w:szCs w:val="21"/>
          <w:highlight w:val="none"/>
          <w:lang w:val="zh-CN"/>
        </w:rPr>
        <w:t>供应商授权代表姓名（签字）：</w:t>
      </w:r>
    </w:p>
    <w:p w14:paraId="306E5CA6">
      <w:pPr>
        <w:autoSpaceDE w:val="0"/>
        <w:autoSpaceDN w:val="0"/>
        <w:adjustRightInd w:val="0"/>
        <w:spacing w:line="360" w:lineRule="auto"/>
        <w:ind w:firstLine="420"/>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7D2247FF">
      <w:pPr>
        <w:autoSpaceDE w:val="0"/>
        <w:autoSpaceDN w:val="0"/>
        <w:adjustRightInd w:val="0"/>
        <w:spacing w:line="360" w:lineRule="auto"/>
        <w:ind w:firstLine="420"/>
        <w:rPr>
          <w:rFonts w:ascii="宋体" w:hAnsi="宋体" w:cs="宋体"/>
          <w:b/>
          <w:color w:val="auto"/>
          <w:sz w:val="24"/>
          <w:szCs w:val="21"/>
          <w:highlight w:val="none"/>
          <w:lang w:val="zh-CN"/>
        </w:rPr>
      </w:pPr>
      <w:r>
        <w:rPr>
          <w:rFonts w:hint="eastAsia" w:ascii="宋体" w:hAnsi="宋体" w:cs="宋体"/>
          <w:color w:val="auto"/>
          <w:sz w:val="24"/>
          <w:szCs w:val="21"/>
          <w:highlight w:val="none"/>
          <w:lang w:val="zh-CN"/>
        </w:rPr>
        <w:t>日期：</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年</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月</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lang w:val="zh-CN"/>
        </w:rPr>
        <w:t>日</w:t>
      </w:r>
    </w:p>
    <w:p w14:paraId="6BCED796">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87125A1">
      <w:pPr>
        <w:pStyle w:val="18"/>
        <w:ind w:firstLine="482"/>
        <w:rPr>
          <w:rFonts w:ascii="宋体" w:hAnsi="宋体" w:cs="宋体"/>
          <w:b/>
          <w:color w:val="auto"/>
          <w:highlight w:val="none"/>
        </w:rPr>
      </w:pPr>
      <w:r>
        <w:rPr>
          <w:rFonts w:hint="eastAsia" w:ascii="宋体" w:hAnsi="宋体" w:cs="宋体"/>
          <w:b/>
          <w:color w:val="auto"/>
          <w:highlight w:val="none"/>
        </w:rPr>
        <w:t>目录二、法定代表人授权书格式</w:t>
      </w:r>
    </w:p>
    <w:p w14:paraId="5CDF6DF4">
      <w:pPr>
        <w:pStyle w:val="263"/>
        <w:outlineLvl w:val="9"/>
        <w:rPr>
          <w:rFonts w:ascii="宋体" w:hAnsi="宋体" w:cs="宋体"/>
          <w:color w:val="auto"/>
          <w:highlight w:val="none"/>
        </w:rPr>
      </w:pPr>
      <w:r>
        <w:rPr>
          <w:rFonts w:hint="eastAsia" w:ascii="宋体" w:hAnsi="宋体" w:cs="宋体"/>
          <w:color w:val="auto"/>
          <w:highlight w:val="none"/>
        </w:rPr>
        <w:t>法定代表人授权委托书</w:t>
      </w:r>
    </w:p>
    <w:p w14:paraId="7A90C034">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75237FEE">
      <w:pPr>
        <w:pStyle w:val="18"/>
        <w:ind w:firstLine="480"/>
        <w:rPr>
          <w:rFonts w:ascii="宋体" w:hAnsi="宋体" w:cs="宋体"/>
          <w:color w:val="auto"/>
          <w:highlight w:val="none"/>
        </w:rPr>
      </w:pPr>
      <w:r>
        <w:rPr>
          <w:rFonts w:hint="eastAsia" w:ascii="宋体" w:hAnsi="宋体" w:cs="宋体"/>
          <w:color w:val="auto"/>
          <w:highlight w:val="none"/>
        </w:rPr>
        <w:t>本授权书声明：注册于（供应商住址）</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的（供应商名称）</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法定代表人（法定代表人姓名、职务）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代表本公司授权在下面签字的（供应商代表姓名、职务）</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 xml:space="preserve">为本公司的合法代理人，就贵方组织的  </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 </w:t>
      </w:r>
      <w:r>
        <w:rPr>
          <w:rFonts w:hint="eastAsia" w:ascii="宋体" w:hAnsi="宋体" w:cs="宋体"/>
          <w:color w:val="auto"/>
          <w:highlight w:val="none"/>
        </w:rPr>
        <w:t>（项目编号）进行响应，以本公司名义处理一切与之有关的事务。</w:t>
      </w:r>
    </w:p>
    <w:p w14:paraId="749FAB2E">
      <w:pPr>
        <w:pStyle w:val="18"/>
        <w:ind w:firstLine="480"/>
        <w:rPr>
          <w:rFonts w:ascii="宋体" w:hAnsi="宋体" w:cs="宋体"/>
          <w:color w:val="auto"/>
          <w:highlight w:val="none"/>
        </w:rPr>
      </w:pPr>
      <w:r>
        <w:rPr>
          <w:rFonts w:hint="eastAsia" w:ascii="宋体" w:hAnsi="宋体" w:cs="宋体"/>
          <w:color w:val="auto"/>
          <w:highlight w:val="none"/>
        </w:rPr>
        <w:t>本授权书于</w:t>
      </w:r>
      <w:r>
        <w:rPr>
          <w:rFonts w:hint="eastAsia" w:ascii="宋体" w:hAnsi="宋体" w:cs="宋体"/>
          <w:color w:val="auto"/>
          <w:highlight w:val="none"/>
          <w:u w:val="single"/>
        </w:rPr>
        <w:t xml:space="preserve">      年    月    日</w:t>
      </w:r>
      <w:r>
        <w:rPr>
          <w:rFonts w:hint="eastAsia" w:ascii="宋体" w:hAnsi="宋体" w:cs="宋体"/>
          <w:color w:val="auto"/>
          <w:highlight w:val="none"/>
        </w:rPr>
        <w:t>签字生效，特此声明。</w:t>
      </w:r>
    </w:p>
    <w:p w14:paraId="2954B7DC">
      <w:pPr>
        <w:adjustRightInd w:val="0"/>
        <w:spacing w:line="360" w:lineRule="auto"/>
        <w:ind w:firstLine="408"/>
        <w:jc w:val="left"/>
        <w:rPr>
          <w:rFonts w:ascii="宋体" w:hAnsi="宋体" w:cs="宋体"/>
          <w:color w:val="auto"/>
          <w:szCs w:val="21"/>
          <w:highlight w:val="none"/>
          <w:lang w:val="zh-CN"/>
        </w:rPr>
      </w:pPr>
    </w:p>
    <w:p w14:paraId="52C54BC6">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法定代表人（签字）：</w:t>
      </w:r>
    </w:p>
    <w:p w14:paraId="66043853">
      <w:pPr>
        <w:adjustRightInd w:val="0"/>
        <w:spacing w:line="360" w:lineRule="auto"/>
        <w:ind w:firstLine="480" w:firstLineChars="20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授权委托人（签字）：</w:t>
      </w:r>
    </w:p>
    <w:p w14:paraId="1B73EB87">
      <w:pPr>
        <w:tabs>
          <w:tab w:val="left" w:pos="1440"/>
        </w:tabs>
        <w:adjustRightInd w:val="0"/>
        <w:spacing w:line="360" w:lineRule="auto"/>
        <w:ind w:firstLine="420"/>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日期：年 月 日</w:t>
      </w:r>
    </w:p>
    <w:p w14:paraId="5E806ECF">
      <w:pPr>
        <w:tabs>
          <w:tab w:val="left" w:pos="1440"/>
        </w:tabs>
        <w:adjustRightInd w:val="0"/>
        <w:spacing w:line="360" w:lineRule="auto"/>
        <w:ind w:firstLine="420"/>
        <w:jc w:val="left"/>
        <w:rPr>
          <w:rFonts w:ascii="宋体" w:hAnsi="宋体" w:cs="宋体"/>
          <w:color w:val="auto"/>
          <w:szCs w:val="21"/>
          <w:highlight w:val="none"/>
          <w:lang w:val="zh-CN"/>
        </w:rPr>
      </w:pPr>
    </w:p>
    <w:p w14:paraId="317EE246">
      <w:pPr>
        <w:tabs>
          <w:tab w:val="left" w:pos="1440"/>
        </w:tabs>
        <w:adjustRightInd w:val="0"/>
        <w:spacing w:line="360" w:lineRule="auto"/>
        <w:ind w:firstLine="420"/>
        <w:jc w:val="left"/>
        <w:rPr>
          <w:rFonts w:ascii="宋体" w:hAnsi="宋体" w:cs="宋体"/>
          <w:color w:val="auto"/>
          <w:sz w:val="24"/>
          <w:szCs w:val="21"/>
          <w:highlight w:val="none"/>
        </w:rPr>
      </w:pPr>
      <w:r>
        <w:rPr>
          <w:rFonts w:hint="eastAsia" w:ascii="宋体" w:hAnsi="宋体" w:cs="宋体"/>
          <w:color w:val="auto"/>
          <w:sz w:val="24"/>
          <w:szCs w:val="21"/>
          <w:highlight w:val="none"/>
          <w:lang w:val="zh-CN"/>
        </w:rPr>
        <w:t>授权委托人</w:t>
      </w:r>
      <w:r>
        <w:rPr>
          <w:rFonts w:hint="eastAsia" w:ascii="宋体" w:hAnsi="宋体" w:cs="宋体"/>
          <w:color w:val="auto"/>
          <w:sz w:val="24"/>
          <w:szCs w:val="21"/>
          <w:highlight w:val="none"/>
        </w:rPr>
        <w:t>身份证复印件：</w:t>
      </w:r>
    </w:p>
    <w:p w14:paraId="75A456AD">
      <w:pPr>
        <w:tabs>
          <w:tab w:val="left" w:pos="1440"/>
        </w:tabs>
        <w:adjustRightInd w:val="0"/>
        <w:spacing w:line="360" w:lineRule="auto"/>
        <w:ind w:firstLine="420"/>
        <w:jc w:val="left"/>
        <w:rPr>
          <w:rFonts w:ascii="宋体" w:hAnsi="宋体" w:cs="宋体"/>
          <w:color w:val="auto"/>
          <w:szCs w:val="21"/>
          <w:highlight w:val="none"/>
          <w:lang w:val="zh-CN"/>
        </w:rPr>
      </w:pPr>
    </w:p>
    <w:p w14:paraId="62BAF145">
      <w:pPr>
        <w:tabs>
          <w:tab w:val="left" w:pos="1440"/>
        </w:tabs>
        <w:adjustRightInd w:val="0"/>
        <w:spacing w:line="360" w:lineRule="auto"/>
        <w:ind w:firstLine="420"/>
        <w:jc w:val="left"/>
        <w:rPr>
          <w:rFonts w:ascii="宋体" w:hAnsi="宋体" w:cs="宋体"/>
          <w:color w:val="auto"/>
          <w:szCs w:val="21"/>
          <w:highlight w:val="none"/>
          <w:lang w:val="zh-CN"/>
        </w:rPr>
      </w:pPr>
    </w:p>
    <w:p w14:paraId="2E7C5D57">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151BA86">
      <w:pPr>
        <w:pStyle w:val="261"/>
        <w:rPr>
          <w:rFonts w:ascii="宋体" w:hAnsi="宋体" w:eastAsia="宋体" w:cs="宋体"/>
          <w:color w:val="auto"/>
          <w:highlight w:val="none"/>
        </w:rPr>
      </w:pPr>
      <w:r>
        <w:rPr>
          <w:rFonts w:hint="eastAsia" w:ascii="宋体" w:hAnsi="宋体" w:eastAsia="宋体" w:cs="宋体"/>
          <w:color w:val="auto"/>
          <w:highlight w:val="none"/>
        </w:rPr>
        <w:t>目录三、响应一览表格式</w:t>
      </w:r>
    </w:p>
    <w:p w14:paraId="4A579495">
      <w:pPr>
        <w:pStyle w:val="263"/>
        <w:outlineLvl w:val="9"/>
        <w:rPr>
          <w:rFonts w:ascii="宋体" w:hAnsi="宋体" w:cs="宋体"/>
          <w:color w:val="auto"/>
          <w:highlight w:val="none"/>
        </w:rPr>
      </w:pPr>
      <w:r>
        <w:rPr>
          <w:rFonts w:hint="eastAsia" w:ascii="宋体" w:hAnsi="宋体" w:cs="宋体"/>
          <w:color w:val="auto"/>
          <w:highlight w:val="none"/>
        </w:rPr>
        <w:t>响应一览表</w:t>
      </w:r>
    </w:p>
    <w:p w14:paraId="2E0C5D6E">
      <w:pPr>
        <w:pStyle w:val="33"/>
        <w:rPr>
          <w:rFonts w:ascii="宋体" w:hAnsi="宋体" w:cs="宋体"/>
          <w:color w:val="auto"/>
          <w:highlight w:val="none"/>
        </w:rPr>
      </w:pPr>
      <w:r>
        <w:rPr>
          <w:rFonts w:hint="eastAsia" w:ascii="宋体" w:hAnsi="宋体" w:cs="宋体"/>
          <w:color w:val="auto"/>
          <w:highlight w:val="none"/>
        </w:rPr>
        <w:t>（请将响应一览表放置于响应文件首页）</w:t>
      </w:r>
    </w:p>
    <w:p w14:paraId="3ECF5E60">
      <w:pPr>
        <w:pStyle w:val="17"/>
        <w:rPr>
          <w:rFonts w:ascii="宋体" w:hAnsi="宋体" w:cs="宋体"/>
          <w:b/>
          <w:bCs/>
          <w:color w:val="auto"/>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3406"/>
        <w:gridCol w:w="1629"/>
        <w:gridCol w:w="3233"/>
      </w:tblGrid>
      <w:tr w14:paraId="5F5E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211" w:type="dxa"/>
            <w:vAlign w:val="center"/>
          </w:tcPr>
          <w:p w14:paraId="650A5E9E">
            <w:pPr>
              <w:pStyle w:val="17"/>
              <w:jc w:val="center"/>
              <w:rPr>
                <w:rFonts w:ascii="宋体" w:hAnsi="宋体" w:cs="宋体"/>
                <w:b/>
                <w:bCs/>
                <w:color w:val="auto"/>
                <w:highlight w:val="none"/>
              </w:rPr>
            </w:pPr>
            <w:r>
              <w:rPr>
                <w:rFonts w:hint="eastAsia" w:ascii="宋体" w:hAnsi="宋体" w:cs="宋体"/>
                <w:b/>
                <w:bCs/>
                <w:color w:val="auto"/>
                <w:highlight w:val="none"/>
              </w:rPr>
              <w:t>项目名称</w:t>
            </w:r>
          </w:p>
        </w:tc>
        <w:tc>
          <w:tcPr>
            <w:tcW w:w="3496" w:type="dxa"/>
            <w:vAlign w:val="center"/>
          </w:tcPr>
          <w:p w14:paraId="1905959E">
            <w:pPr>
              <w:pStyle w:val="17"/>
              <w:rPr>
                <w:rFonts w:ascii="宋体" w:hAnsi="宋体" w:cs="宋体"/>
                <w:b/>
                <w:bCs/>
                <w:color w:val="auto"/>
                <w:highlight w:val="none"/>
              </w:rPr>
            </w:pPr>
          </w:p>
        </w:tc>
        <w:tc>
          <w:tcPr>
            <w:tcW w:w="1663" w:type="dxa"/>
            <w:vAlign w:val="center"/>
          </w:tcPr>
          <w:p w14:paraId="3000053C">
            <w:pPr>
              <w:pStyle w:val="17"/>
              <w:jc w:val="center"/>
              <w:rPr>
                <w:rFonts w:ascii="宋体" w:hAnsi="宋体" w:cs="宋体"/>
                <w:b/>
                <w:bCs/>
                <w:color w:val="auto"/>
                <w:highlight w:val="none"/>
              </w:rPr>
            </w:pPr>
            <w:r>
              <w:rPr>
                <w:rFonts w:hint="eastAsia" w:ascii="宋体" w:hAnsi="宋体" w:cs="宋体"/>
                <w:b/>
                <w:bCs/>
                <w:color w:val="auto"/>
                <w:highlight w:val="none"/>
              </w:rPr>
              <w:t>项目编号</w:t>
            </w:r>
          </w:p>
        </w:tc>
        <w:tc>
          <w:tcPr>
            <w:tcW w:w="3312" w:type="dxa"/>
            <w:vAlign w:val="center"/>
          </w:tcPr>
          <w:p w14:paraId="3E166C00">
            <w:pPr>
              <w:pStyle w:val="17"/>
              <w:rPr>
                <w:rFonts w:hint="eastAsia" w:ascii="宋体" w:hAnsi="宋体" w:eastAsia="宋体" w:cs="宋体"/>
                <w:b/>
                <w:bCs/>
                <w:color w:val="auto"/>
                <w:highlight w:val="none"/>
                <w:lang w:eastAsia="zh-CN"/>
              </w:rPr>
            </w:pPr>
          </w:p>
        </w:tc>
      </w:tr>
      <w:tr w14:paraId="1592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211" w:type="dxa"/>
            <w:vAlign w:val="center"/>
          </w:tcPr>
          <w:p w14:paraId="5D7A7529">
            <w:pPr>
              <w:pStyle w:val="17"/>
              <w:jc w:val="center"/>
              <w:rPr>
                <w:rFonts w:ascii="宋体" w:hAnsi="宋体" w:cs="宋体"/>
                <w:b/>
                <w:bCs/>
                <w:color w:val="auto"/>
                <w:highlight w:val="none"/>
              </w:rPr>
            </w:pPr>
            <w:r>
              <w:rPr>
                <w:rFonts w:hint="eastAsia" w:ascii="宋体" w:hAnsi="宋体" w:cs="宋体"/>
                <w:b/>
                <w:bCs/>
                <w:color w:val="auto"/>
                <w:highlight w:val="none"/>
              </w:rPr>
              <w:t>响应总价</w:t>
            </w:r>
          </w:p>
        </w:tc>
        <w:tc>
          <w:tcPr>
            <w:tcW w:w="5159" w:type="dxa"/>
            <w:gridSpan w:val="2"/>
            <w:vAlign w:val="center"/>
          </w:tcPr>
          <w:p w14:paraId="1DC0A8D8">
            <w:pPr>
              <w:pStyle w:val="17"/>
              <w:rPr>
                <w:rFonts w:ascii="宋体" w:hAnsi="宋体" w:cs="宋体"/>
                <w:b/>
                <w:bCs/>
                <w:color w:val="auto"/>
                <w:highlight w:val="none"/>
              </w:rPr>
            </w:pPr>
            <w:r>
              <w:rPr>
                <w:rFonts w:hint="eastAsia" w:ascii="宋体" w:hAnsi="宋体" w:cs="宋体"/>
                <w:b/>
                <w:bCs/>
                <w:color w:val="auto"/>
                <w:highlight w:val="none"/>
              </w:rPr>
              <w:t xml:space="preserve">大写：人民币                          </w:t>
            </w:r>
          </w:p>
          <w:p w14:paraId="180ED132">
            <w:pPr>
              <w:pStyle w:val="17"/>
              <w:rPr>
                <w:rFonts w:ascii="宋体" w:hAnsi="宋体" w:cs="宋体"/>
                <w:b/>
                <w:bCs/>
                <w:color w:val="auto"/>
                <w:highlight w:val="none"/>
              </w:rPr>
            </w:pPr>
            <w:r>
              <w:rPr>
                <w:rFonts w:hint="eastAsia" w:ascii="宋体" w:hAnsi="宋体" w:cs="宋体"/>
                <w:b/>
                <w:bCs/>
                <w:color w:val="auto"/>
                <w:highlight w:val="none"/>
              </w:rPr>
              <w:t>小写：人民币                         元</w:t>
            </w:r>
          </w:p>
        </w:tc>
        <w:tc>
          <w:tcPr>
            <w:tcW w:w="3312" w:type="dxa"/>
            <w:vMerge w:val="restart"/>
            <w:vAlign w:val="center"/>
          </w:tcPr>
          <w:p w14:paraId="47EECBB5">
            <w:pPr>
              <w:pStyle w:val="17"/>
              <w:rPr>
                <w:rFonts w:hint="default" w:ascii="宋体" w:hAnsi="宋体" w:eastAsia="宋体" w:cs="宋体"/>
                <w:b/>
                <w:bCs/>
                <w:color w:val="auto"/>
                <w:highlight w:val="none"/>
                <w:lang w:val="en-US" w:eastAsia="zh-CN"/>
              </w:rPr>
            </w:pPr>
            <w:r>
              <w:rPr>
                <w:rFonts w:hint="eastAsia" w:ascii="宋体" w:hAnsi="宋体" w:cs="宋体"/>
                <w:b/>
                <w:bCs/>
                <w:color w:val="auto"/>
                <w:highlight w:val="none"/>
                <w:lang w:eastAsia="zh-CN"/>
              </w:rPr>
              <w:t>响应总价</w:t>
            </w:r>
            <w:r>
              <w:rPr>
                <w:rFonts w:hint="eastAsia" w:ascii="宋体" w:hAnsi="宋体" w:cs="宋体"/>
                <w:b/>
                <w:bCs/>
                <w:color w:val="auto"/>
                <w:highlight w:val="none"/>
                <w:lang w:val="en-US" w:eastAsia="zh-CN"/>
              </w:rPr>
              <w:t>=响应单价*3年</w:t>
            </w:r>
          </w:p>
        </w:tc>
      </w:tr>
      <w:tr w14:paraId="6CCF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211" w:type="dxa"/>
            <w:shd w:val="clear" w:color="auto" w:fill="auto"/>
            <w:vAlign w:val="center"/>
          </w:tcPr>
          <w:p w14:paraId="160A7DF4">
            <w:pPr>
              <w:pStyle w:val="17"/>
              <w:jc w:val="center"/>
              <w:rPr>
                <w:rFonts w:hint="eastAsia" w:ascii="宋体" w:hAnsi="宋体" w:eastAsia="宋体" w:cs="宋体"/>
                <w:b/>
                <w:bCs/>
                <w:color w:val="auto"/>
                <w:sz w:val="21"/>
                <w:szCs w:val="22"/>
                <w:highlight w:val="none"/>
                <w:lang w:val="en-US" w:eastAsia="zh-CN" w:bidi="ar-SA"/>
              </w:rPr>
            </w:pPr>
            <w:r>
              <w:rPr>
                <w:rFonts w:hint="eastAsia" w:ascii="宋体" w:hAnsi="宋体" w:cs="宋体"/>
                <w:b/>
                <w:bCs/>
                <w:color w:val="auto"/>
                <w:highlight w:val="none"/>
              </w:rPr>
              <w:t>响应</w:t>
            </w:r>
            <w:r>
              <w:rPr>
                <w:rFonts w:hint="eastAsia" w:ascii="宋体" w:hAnsi="宋体" w:cs="宋体"/>
                <w:b/>
                <w:bCs/>
                <w:color w:val="auto"/>
                <w:highlight w:val="none"/>
                <w:lang w:eastAsia="zh-CN"/>
              </w:rPr>
              <w:t>单</w:t>
            </w:r>
            <w:r>
              <w:rPr>
                <w:rFonts w:hint="eastAsia" w:ascii="宋体" w:hAnsi="宋体" w:cs="宋体"/>
                <w:b/>
                <w:bCs/>
                <w:color w:val="auto"/>
                <w:highlight w:val="none"/>
              </w:rPr>
              <w:t>价</w:t>
            </w:r>
          </w:p>
        </w:tc>
        <w:tc>
          <w:tcPr>
            <w:tcW w:w="5159" w:type="dxa"/>
            <w:gridSpan w:val="2"/>
            <w:shd w:val="clear" w:color="auto" w:fill="auto"/>
            <w:vAlign w:val="center"/>
          </w:tcPr>
          <w:p w14:paraId="2A9E9A5A">
            <w:pPr>
              <w:pStyle w:val="17"/>
              <w:rPr>
                <w:rFonts w:ascii="宋体" w:hAnsi="宋体" w:cs="宋体"/>
                <w:b/>
                <w:bCs/>
                <w:color w:val="auto"/>
                <w:highlight w:val="none"/>
              </w:rPr>
            </w:pPr>
            <w:r>
              <w:rPr>
                <w:rFonts w:hint="eastAsia" w:ascii="宋体" w:hAnsi="宋体" w:cs="宋体"/>
                <w:b/>
                <w:bCs/>
                <w:color w:val="auto"/>
                <w:highlight w:val="none"/>
              </w:rPr>
              <w:t xml:space="preserve">大写：人民币                          </w:t>
            </w:r>
          </w:p>
          <w:p w14:paraId="72EB011A">
            <w:pPr>
              <w:pStyle w:val="17"/>
              <w:rPr>
                <w:rFonts w:hint="eastAsia" w:ascii="宋体" w:hAnsi="宋体" w:eastAsia="宋体" w:cs="宋体"/>
                <w:b/>
                <w:bCs/>
                <w:color w:val="auto"/>
                <w:sz w:val="21"/>
                <w:szCs w:val="22"/>
                <w:highlight w:val="none"/>
                <w:lang w:val="en-US" w:eastAsia="zh-CN" w:bidi="ar-SA"/>
              </w:rPr>
            </w:pPr>
            <w:r>
              <w:rPr>
                <w:rFonts w:hint="eastAsia" w:ascii="宋体" w:hAnsi="宋体" w:cs="宋体"/>
                <w:b/>
                <w:bCs/>
                <w:color w:val="auto"/>
                <w:highlight w:val="none"/>
              </w:rPr>
              <w:t>小写：人民币                         元</w:t>
            </w:r>
            <w:r>
              <w:rPr>
                <w:rFonts w:hint="eastAsia" w:ascii="宋体" w:hAnsi="宋体" w:cs="宋体"/>
                <w:b/>
                <w:bCs/>
                <w:color w:val="auto"/>
                <w:highlight w:val="none"/>
                <w:lang w:val="en-US" w:eastAsia="zh-CN"/>
              </w:rPr>
              <w:t>/年</w:t>
            </w:r>
          </w:p>
        </w:tc>
        <w:tc>
          <w:tcPr>
            <w:tcW w:w="3312" w:type="dxa"/>
            <w:vMerge w:val="continue"/>
            <w:shd w:val="clear" w:color="auto" w:fill="auto"/>
            <w:vAlign w:val="center"/>
          </w:tcPr>
          <w:p w14:paraId="48D5DCDA">
            <w:pPr>
              <w:pStyle w:val="17"/>
              <w:rPr>
                <w:rFonts w:hint="eastAsia" w:ascii="宋体" w:hAnsi="宋体" w:cs="宋体"/>
                <w:b/>
                <w:bCs/>
                <w:color w:val="auto"/>
                <w:highlight w:val="none"/>
              </w:rPr>
            </w:pPr>
          </w:p>
        </w:tc>
      </w:tr>
    </w:tbl>
    <w:p w14:paraId="26A6F51D">
      <w:pPr>
        <w:pStyle w:val="17"/>
        <w:rPr>
          <w:rFonts w:ascii="宋体" w:hAnsi="宋体" w:cs="宋体"/>
          <w:b/>
          <w:bCs/>
          <w:color w:val="auto"/>
          <w:highlight w:val="none"/>
        </w:rPr>
      </w:pPr>
    </w:p>
    <w:p w14:paraId="317ED02B">
      <w:pPr>
        <w:pStyle w:val="17"/>
        <w:rPr>
          <w:rFonts w:ascii="宋体" w:hAnsi="宋体" w:cs="宋体"/>
          <w:b/>
          <w:bCs/>
          <w:color w:val="auto"/>
          <w:highlight w:val="none"/>
        </w:rPr>
      </w:pPr>
    </w:p>
    <w:p w14:paraId="6C9766F0">
      <w:pPr>
        <w:widowControl/>
        <w:spacing w:line="360" w:lineRule="auto"/>
        <w:jc w:val="left"/>
        <w:rPr>
          <w:rFonts w:ascii="宋体" w:hAnsi="宋体" w:cs="宋体"/>
          <w:color w:val="auto"/>
          <w:szCs w:val="21"/>
          <w:highlight w:val="none"/>
          <w:lang w:val="zh-CN"/>
        </w:rPr>
      </w:pPr>
    </w:p>
    <w:p w14:paraId="2120FB9E">
      <w:pPr>
        <w:widowControl/>
        <w:spacing w:line="360" w:lineRule="auto"/>
        <w:jc w:val="left"/>
        <w:rPr>
          <w:rFonts w:ascii="宋体" w:hAnsi="宋体" w:cs="宋体"/>
          <w:color w:val="auto"/>
          <w:sz w:val="24"/>
          <w:highlight w:val="none"/>
          <w:lang w:val="zh-CN"/>
        </w:rPr>
      </w:pPr>
      <w:r>
        <w:rPr>
          <w:rFonts w:hint="eastAsia" w:ascii="宋体" w:hAnsi="宋体" w:cs="宋体"/>
          <w:color w:val="auto"/>
          <w:sz w:val="24"/>
          <w:szCs w:val="21"/>
          <w:highlight w:val="none"/>
          <w:lang w:val="zh-CN"/>
        </w:rPr>
        <w:t>供应商名称：</w:t>
      </w:r>
      <w:r>
        <w:rPr>
          <w:rFonts w:hint="eastAsia" w:ascii="宋体" w:hAnsi="宋体" w:cs="宋体"/>
          <w:color w:val="auto"/>
          <w:sz w:val="24"/>
          <w:szCs w:val="21"/>
          <w:highlight w:val="none"/>
          <w:u w:val="single"/>
          <w:lang w:val="zh-CN"/>
        </w:rPr>
        <w:t xml:space="preserve">                                                  </w:t>
      </w:r>
      <w:r>
        <w:rPr>
          <w:rFonts w:hint="eastAsia" w:ascii="宋体" w:hAnsi="宋体" w:cs="宋体"/>
          <w:color w:val="auto"/>
          <w:sz w:val="24"/>
          <w:szCs w:val="21"/>
          <w:highlight w:val="none"/>
          <w:lang w:val="zh-CN"/>
        </w:rPr>
        <w:t>（盖章）</w:t>
      </w:r>
    </w:p>
    <w:p w14:paraId="3E9979B1">
      <w:pPr>
        <w:jc w:val="left"/>
        <w:rPr>
          <w:rFonts w:hint="eastAsia" w:ascii="宋体" w:hAnsi="宋体" w:cs="宋体"/>
          <w:b/>
          <w:color w:val="auto"/>
          <w:szCs w:val="21"/>
          <w:highlight w:val="none"/>
          <w:lang w:val="zh-CN"/>
        </w:rPr>
      </w:pPr>
    </w:p>
    <w:p w14:paraId="3E8AECD8">
      <w:pPr>
        <w:jc w:val="left"/>
        <w:rPr>
          <w:rFonts w:hint="eastAsia" w:ascii="宋体" w:hAnsi="宋体" w:cs="宋体"/>
          <w:b/>
          <w:color w:val="auto"/>
          <w:szCs w:val="21"/>
          <w:highlight w:val="none"/>
          <w:lang w:val="zh-CN"/>
        </w:rPr>
      </w:pPr>
    </w:p>
    <w:p w14:paraId="2D0A943C">
      <w:pPr>
        <w:jc w:val="left"/>
        <w:rPr>
          <w:rFonts w:hint="eastAsia" w:ascii="宋体" w:hAnsi="宋体" w:cs="宋体"/>
          <w:b/>
          <w:color w:val="auto"/>
          <w:szCs w:val="21"/>
          <w:highlight w:val="none"/>
          <w:lang w:val="zh-CN"/>
        </w:rPr>
      </w:pPr>
    </w:p>
    <w:p w14:paraId="002BBCD8">
      <w:pPr>
        <w:jc w:val="left"/>
        <w:rPr>
          <w:rFonts w:hint="eastAsia" w:ascii="宋体" w:hAnsi="宋体" w:cs="宋体"/>
          <w:b/>
          <w:color w:val="auto"/>
          <w:szCs w:val="21"/>
          <w:highlight w:val="none"/>
          <w:lang w:val="zh-CN"/>
        </w:rPr>
      </w:pPr>
    </w:p>
    <w:p w14:paraId="06572A2E">
      <w:pPr>
        <w:jc w:val="left"/>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60A29840">
      <w:pPr>
        <w:pStyle w:val="18"/>
        <w:ind w:firstLine="482"/>
        <w:rPr>
          <w:rFonts w:ascii="宋体" w:hAnsi="宋体" w:cs="宋体"/>
          <w:b/>
          <w:color w:val="auto"/>
          <w:highlight w:val="none"/>
        </w:rPr>
      </w:pPr>
      <w:r>
        <w:rPr>
          <w:rFonts w:hint="eastAsia" w:ascii="宋体" w:hAnsi="宋体" w:cs="宋体"/>
          <w:b/>
          <w:color w:val="auto"/>
          <w:highlight w:val="none"/>
        </w:rPr>
        <w:t>目录</w:t>
      </w:r>
      <w:r>
        <w:rPr>
          <w:rFonts w:hint="eastAsia" w:ascii="宋体" w:hAnsi="宋体" w:cs="宋体"/>
          <w:b/>
          <w:color w:val="auto"/>
          <w:highlight w:val="none"/>
          <w:lang w:eastAsia="zh-CN"/>
        </w:rPr>
        <w:t>四</w:t>
      </w:r>
      <w:r>
        <w:rPr>
          <w:rFonts w:hint="eastAsia" w:ascii="宋体" w:hAnsi="宋体" w:cs="宋体"/>
          <w:b/>
          <w:color w:val="auto"/>
          <w:highlight w:val="none"/>
        </w:rPr>
        <w:t>、分项报价表格式</w:t>
      </w:r>
    </w:p>
    <w:tbl>
      <w:tblPr>
        <w:tblStyle w:val="44"/>
        <w:tblW w:w="9351" w:type="dxa"/>
        <w:tblInd w:w="0" w:type="dxa"/>
        <w:tblLayout w:type="fixed"/>
        <w:tblCellMar>
          <w:top w:w="0" w:type="dxa"/>
          <w:left w:w="108" w:type="dxa"/>
          <w:bottom w:w="0" w:type="dxa"/>
          <w:right w:w="108" w:type="dxa"/>
        </w:tblCellMar>
      </w:tblPr>
      <w:tblGrid>
        <w:gridCol w:w="769"/>
        <w:gridCol w:w="1631"/>
        <w:gridCol w:w="2840"/>
        <w:gridCol w:w="567"/>
        <w:gridCol w:w="880"/>
        <w:gridCol w:w="1241"/>
        <w:gridCol w:w="1423"/>
      </w:tblGrid>
      <w:tr w14:paraId="2A56507F">
        <w:tblPrEx>
          <w:tblCellMar>
            <w:top w:w="0" w:type="dxa"/>
            <w:left w:w="108" w:type="dxa"/>
            <w:bottom w:w="0" w:type="dxa"/>
            <w:right w:w="108" w:type="dxa"/>
          </w:tblCellMar>
        </w:tblPrEx>
        <w:trPr>
          <w:trHeight w:val="54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3B16A5A6">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序号</w:t>
            </w:r>
          </w:p>
        </w:tc>
        <w:tc>
          <w:tcPr>
            <w:tcW w:w="1631" w:type="dxa"/>
            <w:tcBorders>
              <w:top w:val="single" w:color="000000" w:sz="4" w:space="0"/>
              <w:left w:val="single" w:color="000000" w:sz="4" w:space="0"/>
              <w:bottom w:val="single" w:color="000000" w:sz="4" w:space="0"/>
              <w:right w:val="single" w:color="000000" w:sz="4" w:space="0"/>
            </w:tcBorders>
            <w:noWrap/>
            <w:vAlign w:val="center"/>
          </w:tcPr>
          <w:p w14:paraId="6EDD9543">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项目名称</w:t>
            </w:r>
          </w:p>
        </w:tc>
        <w:tc>
          <w:tcPr>
            <w:tcW w:w="2840" w:type="dxa"/>
            <w:tcBorders>
              <w:top w:val="single" w:color="000000" w:sz="4" w:space="0"/>
              <w:left w:val="single" w:color="000000" w:sz="4" w:space="0"/>
              <w:bottom w:val="single" w:color="000000" w:sz="4" w:space="0"/>
              <w:right w:val="single" w:color="000000" w:sz="4" w:space="0"/>
            </w:tcBorders>
            <w:noWrap/>
            <w:vAlign w:val="center"/>
          </w:tcPr>
          <w:p w14:paraId="45B421E0">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项目特征描述</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2A847601">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单位</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6AFBFDB">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工程量</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0F6016F1">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单价（元</w:t>
            </w:r>
            <w:r>
              <w:rPr>
                <w:rFonts w:hint="eastAsia" w:ascii="宋体" w:hAnsi="宋体" w:eastAsia="宋体" w:cs="宋体"/>
                <w:b/>
                <w:bCs/>
                <w:color w:val="000000"/>
                <w:kern w:val="0"/>
                <w:sz w:val="22"/>
                <w:lang w:val="en-US" w:eastAsia="zh-CN" w:bidi="ar"/>
              </w:rPr>
              <w:t>/年</w:t>
            </w:r>
            <w:r>
              <w:rPr>
                <w:rFonts w:hint="eastAsia" w:ascii="宋体" w:hAnsi="宋体" w:eastAsia="宋体" w:cs="宋体"/>
                <w:b/>
                <w:bCs/>
                <w:color w:val="000000"/>
                <w:kern w:val="0"/>
                <w:sz w:val="22"/>
                <w:lang w:bidi="ar"/>
              </w:rPr>
              <w:t>）</w:t>
            </w: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745CE1FB">
            <w:pPr>
              <w:widowControl/>
              <w:jc w:val="center"/>
              <w:textAlignment w:val="center"/>
              <w:rPr>
                <w:rFonts w:hint="eastAsia" w:ascii="宋体" w:hAnsi="宋体" w:eastAsia="宋体" w:cs="宋体"/>
                <w:b/>
                <w:bCs/>
                <w:color w:val="000000"/>
                <w:sz w:val="22"/>
              </w:rPr>
            </w:pPr>
            <w:r>
              <w:rPr>
                <w:rFonts w:hint="eastAsia" w:ascii="宋体" w:hAnsi="宋体" w:eastAsia="宋体" w:cs="宋体"/>
                <w:b/>
                <w:bCs/>
                <w:color w:val="000000"/>
                <w:kern w:val="0"/>
                <w:sz w:val="22"/>
                <w:lang w:bidi="ar"/>
              </w:rPr>
              <w:t>合计（元</w:t>
            </w:r>
            <w:r>
              <w:rPr>
                <w:rFonts w:hint="eastAsia" w:ascii="宋体" w:hAnsi="宋体" w:eastAsia="宋体" w:cs="宋体"/>
                <w:b/>
                <w:bCs/>
                <w:color w:val="000000"/>
                <w:kern w:val="0"/>
                <w:sz w:val="22"/>
                <w:lang w:val="en-US" w:eastAsia="zh-CN" w:bidi="ar"/>
              </w:rPr>
              <w:t>/年</w:t>
            </w:r>
            <w:r>
              <w:rPr>
                <w:rFonts w:hint="eastAsia" w:ascii="宋体" w:hAnsi="宋体" w:eastAsia="宋体" w:cs="宋体"/>
                <w:b/>
                <w:bCs/>
                <w:color w:val="000000"/>
                <w:kern w:val="0"/>
                <w:sz w:val="22"/>
                <w:lang w:bidi="ar"/>
              </w:rPr>
              <w:t>）</w:t>
            </w:r>
          </w:p>
        </w:tc>
      </w:tr>
      <w:tr w14:paraId="0F31544D">
        <w:tblPrEx>
          <w:tblCellMar>
            <w:top w:w="0" w:type="dxa"/>
            <w:left w:w="108" w:type="dxa"/>
            <w:bottom w:w="0" w:type="dxa"/>
            <w:right w:w="108" w:type="dxa"/>
          </w:tblCellMar>
        </w:tblPrEx>
        <w:trPr>
          <w:trHeight w:val="156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4C5AEAC8">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w:t>
            </w:r>
          </w:p>
        </w:tc>
        <w:tc>
          <w:tcPr>
            <w:tcW w:w="1631" w:type="dxa"/>
            <w:tcBorders>
              <w:top w:val="single" w:color="000000" w:sz="4" w:space="0"/>
              <w:left w:val="single" w:color="000000" w:sz="4" w:space="0"/>
              <w:bottom w:val="single" w:color="000000" w:sz="4" w:space="0"/>
              <w:right w:val="single" w:color="000000" w:sz="4" w:space="0"/>
            </w:tcBorders>
            <w:vAlign w:val="center"/>
          </w:tcPr>
          <w:p w14:paraId="56EDE1E8">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地下停车场蓄</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水池水底清底</w:t>
            </w:r>
          </w:p>
        </w:tc>
        <w:tc>
          <w:tcPr>
            <w:tcW w:w="2840" w:type="dxa"/>
            <w:tcBorders>
              <w:top w:val="single" w:color="000000" w:sz="4" w:space="0"/>
              <w:left w:val="single" w:color="000000" w:sz="4" w:space="0"/>
              <w:bottom w:val="single" w:color="000000" w:sz="4" w:space="0"/>
              <w:right w:val="single" w:color="000000" w:sz="4" w:space="0"/>
            </w:tcBorders>
            <w:vAlign w:val="center"/>
          </w:tcPr>
          <w:p w14:paraId="7F0066A8">
            <w:pPr>
              <w:widowControl/>
              <w:textAlignment w:val="center"/>
              <w:rPr>
                <w:rFonts w:hint="eastAsia" w:ascii="宋体" w:hAnsi="宋体" w:eastAsia="宋体" w:cs="宋体"/>
                <w:color w:val="000000"/>
                <w:kern w:val="0"/>
                <w:sz w:val="22"/>
                <w:lang w:val="en-US" w:eastAsia="zh-CN" w:bidi="ar"/>
              </w:rPr>
            </w:pPr>
            <w:r>
              <w:rPr>
                <w:rFonts w:hint="eastAsia" w:ascii="宋体" w:hAnsi="宋体" w:eastAsia="宋体" w:cs="宋体"/>
                <w:color w:val="000000"/>
                <w:kern w:val="0"/>
                <w:sz w:val="22"/>
                <w:lang w:val="en-US" w:eastAsia="zh-CN" w:bidi="ar"/>
              </w:rPr>
              <w:t>地下车库进出口、桃苑、李苑等集水坑共37座，每季度集水坑清淤和清洗水泵，全年共4次。</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4D6F3204">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座次</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DDEAE60">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148</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22D47A6F">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4C69BAD5">
            <w:pPr>
              <w:jc w:val="center"/>
              <w:rPr>
                <w:rFonts w:hint="eastAsia" w:ascii="宋体" w:hAnsi="宋体" w:eastAsia="宋体" w:cs="宋体"/>
                <w:color w:val="000000"/>
                <w:sz w:val="22"/>
              </w:rPr>
            </w:pPr>
          </w:p>
        </w:tc>
      </w:tr>
      <w:tr w14:paraId="12C7626B">
        <w:tblPrEx>
          <w:tblCellMar>
            <w:top w:w="0" w:type="dxa"/>
            <w:left w:w="108" w:type="dxa"/>
            <w:bottom w:w="0" w:type="dxa"/>
            <w:right w:w="108" w:type="dxa"/>
          </w:tblCellMar>
        </w:tblPrEx>
        <w:trPr>
          <w:trHeight w:val="72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727BB60E">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2</w:t>
            </w:r>
          </w:p>
        </w:tc>
        <w:tc>
          <w:tcPr>
            <w:tcW w:w="1631" w:type="dxa"/>
            <w:tcBorders>
              <w:top w:val="single" w:color="000000" w:sz="4" w:space="0"/>
              <w:left w:val="single" w:color="000000" w:sz="4" w:space="0"/>
              <w:bottom w:val="single" w:color="000000" w:sz="4" w:space="0"/>
              <w:right w:val="single" w:color="000000" w:sz="4" w:space="0"/>
            </w:tcBorders>
            <w:vAlign w:val="center"/>
          </w:tcPr>
          <w:p w14:paraId="0F043E1C">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控制柜、水泵</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节流阀检查</w:t>
            </w:r>
          </w:p>
        </w:tc>
        <w:tc>
          <w:tcPr>
            <w:tcW w:w="2840" w:type="dxa"/>
            <w:tcBorders>
              <w:top w:val="single" w:color="000000" w:sz="4" w:space="0"/>
              <w:left w:val="single" w:color="000000" w:sz="4" w:space="0"/>
              <w:bottom w:val="single" w:color="000000" w:sz="4" w:space="0"/>
              <w:right w:val="single" w:color="000000" w:sz="4" w:space="0"/>
            </w:tcBorders>
            <w:vAlign w:val="center"/>
          </w:tcPr>
          <w:p w14:paraId="30CF77F0">
            <w:pPr>
              <w:widowControl/>
              <w:textAlignment w:val="center"/>
              <w:rPr>
                <w:rFonts w:hint="eastAsia" w:ascii="宋体" w:hAnsi="宋体" w:eastAsia="宋体" w:cs="宋体"/>
                <w:color w:val="000000"/>
                <w:kern w:val="0"/>
                <w:sz w:val="22"/>
                <w:lang w:val="en-US" w:eastAsia="zh-CN" w:bidi="ar"/>
              </w:rPr>
            </w:pPr>
            <w:r>
              <w:rPr>
                <w:rFonts w:hint="eastAsia" w:ascii="宋体" w:hAnsi="宋体" w:eastAsia="宋体" w:cs="宋体"/>
                <w:color w:val="000000"/>
                <w:kern w:val="0"/>
                <w:sz w:val="22"/>
                <w:lang w:val="en-US" w:eastAsia="zh-CN" w:bidi="ar"/>
              </w:rPr>
              <w:t>每季度全面检查调试一</w:t>
            </w:r>
            <w:r>
              <w:rPr>
                <w:rFonts w:hint="eastAsia" w:ascii="宋体" w:hAnsi="宋体" w:eastAsia="宋体" w:cs="宋体"/>
                <w:color w:val="000000"/>
                <w:kern w:val="0"/>
                <w:sz w:val="22"/>
                <w:lang w:val="en-US" w:eastAsia="zh-CN" w:bidi="ar"/>
              </w:rPr>
              <w:br w:type="textWrapping"/>
            </w:r>
            <w:r>
              <w:rPr>
                <w:rFonts w:hint="eastAsia" w:ascii="宋体" w:hAnsi="宋体" w:eastAsia="宋体" w:cs="宋体"/>
                <w:color w:val="000000"/>
                <w:kern w:val="0"/>
                <w:sz w:val="22"/>
                <w:lang w:val="en-US" w:eastAsia="zh-CN" w:bidi="ar"/>
              </w:rPr>
              <w:t>次，控制柜104个，水泵闸阀175个。</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2238FBC5">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次</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7F1F7646">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4</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5096718">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04C4F3BE">
            <w:pPr>
              <w:jc w:val="center"/>
              <w:rPr>
                <w:rFonts w:hint="eastAsia" w:ascii="宋体" w:hAnsi="宋体" w:eastAsia="宋体" w:cs="宋体"/>
                <w:color w:val="000000"/>
                <w:sz w:val="22"/>
              </w:rPr>
            </w:pPr>
          </w:p>
        </w:tc>
      </w:tr>
      <w:tr w14:paraId="583E91F3">
        <w:tblPrEx>
          <w:tblCellMar>
            <w:top w:w="0" w:type="dxa"/>
            <w:left w:w="108" w:type="dxa"/>
            <w:bottom w:w="0" w:type="dxa"/>
            <w:right w:w="108" w:type="dxa"/>
          </w:tblCellMar>
        </w:tblPrEx>
        <w:trPr>
          <w:trHeight w:val="72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061764A9">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3</w:t>
            </w:r>
          </w:p>
        </w:tc>
        <w:tc>
          <w:tcPr>
            <w:tcW w:w="1631" w:type="dxa"/>
            <w:tcBorders>
              <w:top w:val="single" w:color="000000" w:sz="4" w:space="0"/>
              <w:left w:val="single" w:color="000000" w:sz="4" w:space="0"/>
              <w:bottom w:val="single" w:color="000000" w:sz="4" w:space="0"/>
              <w:right w:val="single" w:color="000000" w:sz="4" w:space="0"/>
            </w:tcBorders>
            <w:vAlign w:val="center"/>
          </w:tcPr>
          <w:p w14:paraId="4A7D6D4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浮球更换</w:t>
            </w:r>
          </w:p>
        </w:tc>
        <w:tc>
          <w:tcPr>
            <w:tcW w:w="2840" w:type="dxa"/>
            <w:tcBorders>
              <w:top w:val="single" w:color="000000" w:sz="4" w:space="0"/>
              <w:left w:val="single" w:color="000000" w:sz="4" w:space="0"/>
              <w:bottom w:val="single" w:color="000000" w:sz="4" w:space="0"/>
              <w:right w:val="single" w:color="000000" w:sz="4" w:space="0"/>
            </w:tcBorders>
            <w:vAlign w:val="center"/>
          </w:tcPr>
          <w:p w14:paraId="48D70EDF">
            <w:pPr>
              <w:widowControl/>
              <w:textAlignment w:val="center"/>
              <w:rPr>
                <w:rFonts w:hint="eastAsia" w:ascii="宋体" w:hAnsi="宋体" w:eastAsia="宋体" w:cs="宋体"/>
                <w:color w:val="000000"/>
                <w:kern w:val="0"/>
                <w:sz w:val="22"/>
                <w:lang w:val="en-US" w:eastAsia="zh-CN" w:bidi="ar"/>
              </w:rPr>
            </w:pPr>
            <w:r>
              <w:rPr>
                <w:rFonts w:hint="eastAsia" w:ascii="宋体" w:hAnsi="宋体" w:eastAsia="宋体" w:cs="宋体"/>
                <w:color w:val="000000"/>
                <w:kern w:val="0"/>
                <w:sz w:val="22"/>
                <w:lang w:val="en-US" w:eastAsia="zh-CN" w:bidi="ar"/>
              </w:rPr>
              <w:t>含人工、辅材；浮球采用主流国标品牌。</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7D624A10">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个</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EC04BD6">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22A2CAD">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5700E42E">
            <w:pPr>
              <w:jc w:val="center"/>
              <w:rPr>
                <w:rFonts w:hint="eastAsia" w:ascii="宋体" w:hAnsi="宋体" w:eastAsia="宋体" w:cs="宋体"/>
                <w:color w:val="000000"/>
                <w:sz w:val="22"/>
              </w:rPr>
            </w:pPr>
          </w:p>
        </w:tc>
      </w:tr>
      <w:tr w14:paraId="4B30D2FE">
        <w:tblPrEx>
          <w:tblCellMar>
            <w:top w:w="0" w:type="dxa"/>
            <w:left w:w="108" w:type="dxa"/>
            <w:bottom w:w="0" w:type="dxa"/>
            <w:right w:w="108" w:type="dxa"/>
          </w:tblCellMar>
        </w:tblPrEx>
        <w:trPr>
          <w:trHeight w:val="841"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7371FDE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4</w:t>
            </w:r>
          </w:p>
        </w:tc>
        <w:tc>
          <w:tcPr>
            <w:tcW w:w="1631" w:type="dxa"/>
            <w:tcBorders>
              <w:top w:val="single" w:color="000000" w:sz="4" w:space="0"/>
              <w:left w:val="single" w:color="000000" w:sz="4" w:space="0"/>
              <w:bottom w:val="single" w:color="000000" w:sz="4" w:space="0"/>
              <w:right w:val="single" w:color="000000" w:sz="4" w:space="0"/>
            </w:tcBorders>
            <w:vAlign w:val="center"/>
          </w:tcPr>
          <w:p w14:paraId="77276774">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更换新水泵</w:t>
            </w:r>
          </w:p>
        </w:tc>
        <w:tc>
          <w:tcPr>
            <w:tcW w:w="2840" w:type="dxa"/>
            <w:tcBorders>
              <w:top w:val="single" w:color="000000" w:sz="4" w:space="0"/>
              <w:left w:val="single" w:color="000000" w:sz="4" w:space="0"/>
              <w:bottom w:val="single" w:color="000000" w:sz="4" w:space="0"/>
              <w:right w:val="single" w:color="000000" w:sz="4" w:space="0"/>
            </w:tcBorders>
            <w:vAlign w:val="center"/>
          </w:tcPr>
          <w:p w14:paraId="3DB8BECF">
            <w:pPr>
              <w:widowControl/>
              <w:textAlignment w:val="center"/>
              <w:rPr>
                <w:rFonts w:hint="eastAsia" w:ascii="宋体" w:hAnsi="宋体" w:eastAsia="宋体" w:cs="宋体"/>
                <w:color w:val="000000"/>
                <w:kern w:val="0"/>
                <w:sz w:val="22"/>
                <w:lang w:bidi="ar"/>
              </w:rPr>
            </w:pPr>
            <w:r>
              <w:rPr>
                <w:rFonts w:hint="eastAsia" w:ascii="宋体" w:hAnsi="宋体" w:eastAsia="宋体" w:cs="宋体"/>
                <w:color w:val="000000"/>
                <w:kern w:val="0"/>
                <w:sz w:val="22"/>
                <w:lang w:bidi="ar"/>
              </w:rPr>
              <w:t>1．含人工及主辅材；</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2．含拆除、安装及运费；</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3．污水潜水泵，3KW，扬程15；品牌：东方、利欧、上海人民</w:t>
            </w:r>
            <w:r>
              <w:rPr>
                <w:rFonts w:ascii="宋体" w:hAnsi="宋体" w:eastAsia="宋体" w:cs="宋体"/>
                <w:color w:val="000000"/>
                <w:kern w:val="0"/>
                <w:sz w:val="22"/>
                <w:lang w:bidi="ar"/>
              </w:rPr>
              <w:t>或同档次品牌</w:t>
            </w:r>
            <w:r>
              <w:rPr>
                <w:rFonts w:hint="eastAsia" w:ascii="宋体" w:hAnsi="宋体" w:eastAsia="宋体" w:cs="宋体"/>
                <w:color w:val="000000"/>
                <w:kern w:val="0"/>
                <w:sz w:val="22"/>
                <w:lang w:bidi="ar"/>
              </w:rPr>
              <w:t>。</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737CD3C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台</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16D6600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3</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392FA0E0">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733B7628">
            <w:pPr>
              <w:jc w:val="center"/>
              <w:rPr>
                <w:rFonts w:hint="eastAsia" w:ascii="宋体" w:hAnsi="宋体" w:eastAsia="宋体" w:cs="宋体"/>
                <w:color w:val="000000"/>
                <w:sz w:val="22"/>
              </w:rPr>
            </w:pPr>
          </w:p>
        </w:tc>
      </w:tr>
      <w:tr w14:paraId="65DBD258">
        <w:tblPrEx>
          <w:tblCellMar>
            <w:top w:w="0" w:type="dxa"/>
            <w:left w:w="108" w:type="dxa"/>
            <w:bottom w:w="0" w:type="dxa"/>
            <w:right w:w="108" w:type="dxa"/>
          </w:tblCellMar>
        </w:tblPrEx>
        <w:trPr>
          <w:trHeight w:val="72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2B1B3ADC">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5</w:t>
            </w:r>
          </w:p>
        </w:tc>
        <w:tc>
          <w:tcPr>
            <w:tcW w:w="1631" w:type="dxa"/>
            <w:tcBorders>
              <w:top w:val="single" w:color="000000" w:sz="4" w:space="0"/>
              <w:left w:val="single" w:color="000000" w:sz="4" w:space="0"/>
              <w:bottom w:val="single" w:color="000000" w:sz="4" w:space="0"/>
              <w:right w:val="single" w:color="000000" w:sz="4" w:space="0"/>
            </w:tcBorders>
            <w:vAlign w:val="center"/>
          </w:tcPr>
          <w:p w14:paraId="4EADC291">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维修水泵</w:t>
            </w:r>
          </w:p>
        </w:tc>
        <w:tc>
          <w:tcPr>
            <w:tcW w:w="2840" w:type="dxa"/>
            <w:tcBorders>
              <w:top w:val="single" w:color="000000" w:sz="4" w:space="0"/>
              <w:left w:val="single" w:color="000000" w:sz="4" w:space="0"/>
              <w:bottom w:val="single" w:color="000000" w:sz="4" w:space="0"/>
              <w:right w:val="single" w:color="000000" w:sz="4" w:space="0"/>
            </w:tcBorders>
            <w:vAlign w:val="center"/>
          </w:tcPr>
          <w:p w14:paraId="7B0E1ACD">
            <w:pPr>
              <w:widowControl/>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1．含人工及辅材；</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2．含拆除安装及运费。</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67271A6A">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台</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622D3CBB">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2</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7C7FC52C">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4CBC10C2">
            <w:pPr>
              <w:jc w:val="center"/>
              <w:rPr>
                <w:rFonts w:hint="eastAsia" w:ascii="宋体" w:hAnsi="宋体" w:eastAsia="宋体" w:cs="宋体"/>
                <w:color w:val="000000"/>
                <w:sz w:val="22"/>
              </w:rPr>
            </w:pPr>
          </w:p>
        </w:tc>
      </w:tr>
      <w:tr w14:paraId="25F973EE">
        <w:tblPrEx>
          <w:tblCellMar>
            <w:top w:w="0" w:type="dxa"/>
            <w:left w:w="108" w:type="dxa"/>
            <w:bottom w:w="0" w:type="dxa"/>
            <w:right w:w="108" w:type="dxa"/>
          </w:tblCellMar>
        </w:tblPrEx>
        <w:trPr>
          <w:trHeight w:val="72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3D215B14">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6</w:t>
            </w:r>
          </w:p>
        </w:tc>
        <w:tc>
          <w:tcPr>
            <w:tcW w:w="1631" w:type="dxa"/>
            <w:tcBorders>
              <w:top w:val="single" w:color="000000" w:sz="4" w:space="0"/>
              <w:left w:val="single" w:color="000000" w:sz="4" w:space="0"/>
              <w:bottom w:val="single" w:color="000000" w:sz="4" w:space="0"/>
              <w:right w:val="single" w:color="000000" w:sz="4" w:space="0"/>
            </w:tcBorders>
            <w:vAlign w:val="center"/>
          </w:tcPr>
          <w:p w14:paraId="43AFD154">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更换水泵电源线</w:t>
            </w:r>
          </w:p>
        </w:tc>
        <w:tc>
          <w:tcPr>
            <w:tcW w:w="2840" w:type="dxa"/>
            <w:tcBorders>
              <w:top w:val="single" w:color="000000" w:sz="4" w:space="0"/>
              <w:left w:val="single" w:color="000000" w:sz="4" w:space="0"/>
              <w:bottom w:val="single" w:color="000000" w:sz="4" w:space="0"/>
              <w:right w:val="single" w:color="000000" w:sz="4" w:space="0"/>
            </w:tcBorders>
            <w:vAlign w:val="center"/>
          </w:tcPr>
          <w:p w14:paraId="4AFE4CCC">
            <w:pPr>
              <w:widowControl/>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1．含人工及辅材；</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2．含拆除安装及运费。</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18D4FA50">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米</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3D939E7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50</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6333E990">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59943671">
            <w:pPr>
              <w:jc w:val="center"/>
              <w:rPr>
                <w:rFonts w:hint="eastAsia" w:ascii="宋体" w:hAnsi="宋体" w:eastAsia="宋体" w:cs="宋体"/>
                <w:color w:val="000000"/>
                <w:sz w:val="22"/>
              </w:rPr>
            </w:pPr>
          </w:p>
        </w:tc>
      </w:tr>
      <w:tr w14:paraId="7E2424E9">
        <w:tblPrEx>
          <w:tblCellMar>
            <w:top w:w="0" w:type="dxa"/>
            <w:left w:w="108" w:type="dxa"/>
            <w:bottom w:w="0" w:type="dxa"/>
            <w:right w:w="108" w:type="dxa"/>
          </w:tblCellMar>
        </w:tblPrEx>
        <w:trPr>
          <w:trHeight w:val="720" w:hRule="atLeast"/>
        </w:trPr>
        <w:tc>
          <w:tcPr>
            <w:tcW w:w="769" w:type="dxa"/>
            <w:tcBorders>
              <w:top w:val="single" w:color="000000" w:sz="4" w:space="0"/>
              <w:left w:val="single" w:color="000000" w:sz="4" w:space="0"/>
              <w:bottom w:val="single" w:color="000000" w:sz="4" w:space="0"/>
              <w:right w:val="single" w:color="000000" w:sz="4" w:space="0"/>
            </w:tcBorders>
            <w:noWrap/>
            <w:vAlign w:val="center"/>
          </w:tcPr>
          <w:p w14:paraId="6DE133FF">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7</w:t>
            </w:r>
          </w:p>
        </w:tc>
        <w:tc>
          <w:tcPr>
            <w:tcW w:w="1631" w:type="dxa"/>
            <w:tcBorders>
              <w:top w:val="single" w:color="000000" w:sz="4" w:space="0"/>
              <w:left w:val="single" w:color="000000" w:sz="4" w:space="0"/>
              <w:bottom w:val="single" w:color="000000" w:sz="4" w:space="0"/>
              <w:right w:val="single" w:color="000000" w:sz="4" w:space="0"/>
            </w:tcBorders>
            <w:vAlign w:val="center"/>
          </w:tcPr>
          <w:p w14:paraId="7394A2DD">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val="en-US" w:eastAsia="zh-CN" w:bidi="ar"/>
              </w:rPr>
              <w:t>闸</w:t>
            </w:r>
            <w:r>
              <w:rPr>
                <w:rFonts w:hint="eastAsia" w:ascii="宋体" w:hAnsi="宋体" w:eastAsia="宋体" w:cs="宋体"/>
                <w:color w:val="000000"/>
                <w:kern w:val="0"/>
                <w:sz w:val="22"/>
                <w:lang w:bidi="ar"/>
              </w:rPr>
              <w:t>阀更换</w:t>
            </w:r>
          </w:p>
        </w:tc>
        <w:tc>
          <w:tcPr>
            <w:tcW w:w="2840" w:type="dxa"/>
            <w:tcBorders>
              <w:top w:val="single" w:color="000000" w:sz="4" w:space="0"/>
              <w:left w:val="single" w:color="000000" w:sz="4" w:space="0"/>
              <w:bottom w:val="single" w:color="000000" w:sz="4" w:space="0"/>
              <w:right w:val="single" w:color="000000" w:sz="4" w:space="0"/>
            </w:tcBorders>
            <w:vAlign w:val="center"/>
          </w:tcPr>
          <w:p w14:paraId="2838E169">
            <w:pPr>
              <w:widowControl/>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1．含人工及辅材；</w:t>
            </w:r>
            <w:r>
              <w:rPr>
                <w:rFonts w:hint="eastAsia" w:ascii="宋体" w:hAnsi="宋体" w:eastAsia="宋体" w:cs="宋体"/>
                <w:color w:val="000000"/>
                <w:kern w:val="0"/>
                <w:sz w:val="22"/>
                <w:lang w:bidi="ar"/>
              </w:rPr>
              <w:br w:type="textWrapping"/>
            </w:r>
            <w:r>
              <w:rPr>
                <w:rFonts w:hint="eastAsia" w:ascii="宋体" w:hAnsi="宋体" w:eastAsia="宋体" w:cs="宋体"/>
                <w:color w:val="000000"/>
                <w:kern w:val="0"/>
                <w:sz w:val="22"/>
                <w:lang w:bidi="ar"/>
              </w:rPr>
              <w:t>2．含拆除安装及运费。</w:t>
            </w:r>
          </w:p>
        </w:tc>
        <w:tc>
          <w:tcPr>
            <w:tcW w:w="567" w:type="dxa"/>
            <w:tcBorders>
              <w:top w:val="single" w:color="000000" w:sz="4" w:space="0"/>
              <w:left w:val="single" w:color="000000" w:sz="4" w:space="0"/>
              <w:bottom w:val="single" w:color="000000" w:sz="4" w:space="0"/>
              <w:right w:val="single" w:color="000000" w:sz="4" w:space="0"/>
            </w:tcBorders>
            <w:noWrap/>
            <w:vAlign w:val="center"/>
          </w:tcPr>
          <w:p w14:paraId="292C4CFE">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个</w:t>
            </w:r>
          </w:p>
        </w:tc>
        <w:tc>
          <w:tcPr>
            <w:tcW w:w="880" w:type="dxa"/>
            <w:tcBorders>
              <w:top w:val="single" w:color="000000" w:sz="4" w:space="0"/>
              <w:left w:val="single" w:color="000000" w:sz="4" w:space="0"/>
              <w:bottom w:val="single" w:color="000000" w:sz="4" w:space="0"/>
              <w:right w:val="single" w:color="000000" w:sz="4" w:space="0"/>
            </w:tcBorders>
            <w:noWrap/>
            <w:vAlign w:val="center"/>
          </w:tcPr>
          <w:p w14:paraId="23926991">
            <w:pPr>
              <w:widowControl/>
              <w:jc w:val="center"/>
              <w:textAlignment w:val="center"/>
              <w:rPr>
                <w:rFonts w:hint="eastAsia" w:ascii="宋体" w:hAnsi="宋体" w:eastAsia="宋体" w:cs="宋体"/>
                <w:color w:val="000000"/>
                <w:sz w:val="22"/>
              </w:rPr>
            </w:pPr>
            <w:r>
              <w:rPr>
                <w:rFonts w:hint="eastAsia" w:ascii="宋体" w:hAnsi="宋体" w:eastAsia="宋体" w:cs="宋体"/>
                <w:color w:val="000000"/>
                <w:kern w:val="0"/>
                <w:sz w:val="22"/>
                <w:lang w:bidi="ar"/>
              </w:rPr>
              <w:t>2</w:t>
            </w:r>
          </w:p>
        </w:tc>
        <w:tc>
          <w:tcPr>
            <w:tcW w:w="1241" w:type="dxa"/>
            <w:tcBorders>
              <w:top w:val="single" w:color="000000" w:sz="4" w:space="0"/>
              <w:left w:val="single" w:color="000000" w:sz="4" w:space="0"/>
              <w:bottom w:val="single" w:color="000000" w:sz="4" w:space="0"/>
              <w:right w:val="single" w:color="000000" w:sz="4" w:space="0"/>
            </w:tcBorders>
            <w:noWrap/>
            <w:vAlign w:val="center"/>
          </w:tcPr>
          <w:p w14:paraId="42E8A97B">
            <w:pPr>
              <w:jc w:val="center"/>
              <w:rPr>
                <w:rFonts w:hint="eastAsia" w:ascii="宋体" w:hAnsi="宋体" w:eastAsia="宋体" w:cs="宋体"/>
                <w:color w:val="000000"/>
                <w:sz w:val="22"/>
              </w:rPr>
            </w:pP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72BAAA4C">
            <w:pPr>
              <w:jc w:val="center"/>
              <w:rPr>
                <w:rFonts w:hint="eastAsia" w:ascii="宋体" w:hAnsi="宋体" w:eastAsia="宋体" w:cs="宋体"/>
                <w:color w:val="000000"/>
                <w:sz w:val="22"/>
              </w:rPr>
            </w:pPr>
          </w:p>
        </w:tc>
      </w:tr>
      <w:tr w14:paraId="45BD00A0">
        <w:tblPrEx>
          <w:tblCellMar>
            <w:top w:w="0" w:type="dxa"/>
            <w:left w:w="108" w:type="dxa"/>
            <w:bottom w:w="0" w:type="dxa"/>
            <w:right w:w="108" w:type="dxa"/>
          </w:tblCellMar>
        </w:tblPrEx>
        <w:trPr>
          <w:trHeight w:val="720" w:hRule="atLeast"/>
        </w:trPr>
        <w:tc>
          <w:tcPr>
            <w:tcW w:w="7928" w:type="dxa"/>
            <w:gridSpan w:val="6"/>
            <w:tcBorders>
              <w:top w:val="single" w:color="000000" w:sz="4" w:space="0"/>
              <w:left w:val="single" w:color="000000" w:sz="4" w:space="0"/>
              <w:bottom w:val="single" w:color="000000" w:sz="4" w:space="0"/>
              <w:right w:val="single" w:color="000000" w:sz="4" w:space="0"/>
            </w:tcBorders>
            <w:noWrap/>
            <w:vAlign w:val="center"/>
          </w:tcPr>
          <w:p w14:paraId="33AC0621">
            <w:pPr>
              <w:jc w:val="center"/>
              <w:rPr>
                <w:rFonts w:hint="eastAsia" w:ascii="宋体" w:hAnsi="宋体" w:eastAsia="宋体" w:cs="宋体"/>
                <w:color w:val="000000"/>
                <w:sz w:val="22"/>
                <w:lang w:eastAsia="zh-CN"/>
              </w:rPr>
            </w:pPr>
            <w:r>
              <w:rPr>
                <w:rFonts w:hint="eastAsia" w:ascii="宋体" w:hAnsi="宋体" w:eastAsia="宋体" w:cs="宋体"/>
                <w:color w:val="000000"/>
                <w:sz w:val="22"/>
                <w:lang w:eastAsia="zh-CN"/>
              </w:rPr>
              <w:t>合计</w:t>
            </w:r>
          </w:p>
        </w:tc>
        <w:tc>
          <w:tcPr>
            <w:tcW w:w="1423" w:type="dxa"/>
            <w:tcBorders>
              <w:top w:val="single" w:color="000000" w:sz="4" w:space="0"/>
              <w:left w:val="single" w:color="000000" w:sz="4" w:space="0"/>
              <w:bottom w:val="single" w:color="000000" w:sz="4" w:space="0"/>
              <w:right w:val="single" w:color="000000" w:sz="4" w:space="0"/>
            </w:tcBorders>
            <w:noWrap/>
            <w:vAlign w:val="center"/>
          </w:tcPr>
          <w:p w14:paraId="49FA41A7">
            <w:pPr>
              <w:jc w:val="center"/>
              <w:rPr>
                <w:rFonts w:hint="eastAsia" w:ascii="宋体" w:hAnsi="宋体" w:eastAsia="宋体" w:cs="宋体"/>
                <w:color w:val="000000"/>
                <w:sz w:val="22"/>
              </w:rPr>
            </w:pPr>
          </w:p>
        </w:tc>
      </w:tr>
    </w:tbl>
    <w:p w14:paraId="155CB64E">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1A29C81B">
      <w:pPr>
        <w:pStyle w:val="18"/>
        <w:ind w:firstLine="482"/>
        <w:rPr>
          <w:rFonts w:ascii="宋体" w:hAnsi="宋体" w:cs="宋体"/>
          <w:b/>
          <w:color w:val="auto"/>
          <w:highlight w:val="none"/>
        </w:rPr>
      </w:pPr>
      <w:r>
        <w:rPr>
          <w:rFonts w:hint="eastAsia" w:ascii="宋体" w:hAnsi="宋体" w:cs="宋体"/>
          <w:b/>
          <w:color w:val="auto"/>
          <w:highlight w:val="none"/>
        </w:rPr>
        <w:t>目录</w:t>
      </w:r>
      <w:r>
        <w:rPr>
          <w:rFonts w:hint="eastAsia" w:ascii="宋体" w:hAnsi="宋体" w:cs="宋体"/>
          <w:b/>
          <w:color w:val="auto"/>
          <w:highlight w:val="none"/>
          <w:lang w:eastAsia="zh-CN"/>
        </w:rPr>
        <w:t>五</w:t>
      </w:r>
      <w:r>
        <w:rPr>
          <w:rFonts w:hint="eastAsia" w:ascii="宋体" w:hAnsi="宋体" w:cs="宋体"/>
          <w:b/>
          <w:color w:val="auto"/>
          <w:highlight w:val="none"/>
        </w:rPr>
        <w:t>、资格证明文件</w:t>
      </w:r>
    </w:p>
    <w:p w14:paraId="200636DE">
      <w:pPr>
        <w:pStyle w:val="265"/>
        <w:rPr>
          <w:color w:val="auto"/>
          <w:highlight w:val="none"/>
        </w:rPr>
      </w:pPr>
      <w:bookmarkStart w:id="12" w:name="_Toc489655335"/>
      <w:r>
        <w:rPr>
          <w:rFonts w:hint="eastAsia"/>
          <w:color w:val="auto"/>
          <w:highlight w:val="none"/>
        </w:rPr>
        <w:t>资格证明文件</w:t>
      </w:r>
      <w:bookmarkEnd w:id="12"/>
    </w:p>
    <w:p w14:paraId="1F2D6EC7">
      <w:pPr>
        <w:pStyle w:val="18"/>
        <w:ind w:left="482" w:firstLine="0" w:firstLineChars="0"/>
        <w:rPr>
          <w:rFonts w:ascii="宋体" w:hAnsi="宋体" w:cs="宋体"/>
          <w:bCs/>
          <w:color w:val="auto"/>
          <w:highlight w:val="none"/>
        </w:rPr>
      </w:pPr>
      <w:r>
        <w:rPr>
          <w:rFonts w:hint="eastAsia" w:ascii="宋体" w:hAnsi="宋体" w:cs="宋体"/>
          <w:bCs/>
          <w:color w:val="auto"/>
          <w:highlight w:val="none"/>
        </w:rPr>
        <w:t>1、满足《中华人民共和国政府采购法》第二十二条规定：</w:t>
      </w:r>
    </w:p>
    <w:p w14:paraId="0A98D80A">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具有独立承担民事责任的能力（提供法人或者其他组织的营业执照等证明材料复印件加盖公章，自然人的身份证复印件加盖公章）；</w:t>
      </w:r>
    </w:p>
    <w:p w14:paraId="3B1489A7">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具有良好的商业信誉和健全的财务会计制度（提供2024年度或2025年度的审计报告复印件加盖公章或响应截止时间前半年内（</w:t>
      </w:r>
      <w:r>
        <w:rPr>
          <w:rFonts w:hint="eastAsia" w:ascii="宋体" w:hAnsi="宋体" w:cs="宋体"/>
          <w:color w:val="auto"/>
          <w:highlight w:val="none"/>
          <w:lang w:eastAsia="zh-CN"/>
        </w:rPr>
        <w:t>2026年4月至2026年9月</w:t>
      </w:r>
      <w:r>
        <w:rPr>
          <w:rFonts w:hint="eastAsia" w:ascii="宋体" w:hAnsi="宋体" w:cs="宋体"/>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687B0220">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具有履行合同所必需的设备和专业技术能力（根据项目需求提供履行合同所必需的设备和专业技术能力的声明函或证明材料）（格式见后附件）；</w:t>
      </w:r>
    </w:p>
    <w:p w14:paraId="205C4731">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eastAsia="zh-CN"/>
        </w:rPr>
        <w:t>）</w:t>
      </w:r>
      <w:r>
        <w:rPr>
          <w:rFonts w:hint="eastAsia" w:ascii="宋体" w:hAnsi="宋体" w:cs="宋体"/>
          <w:color w:val="auto"/>
          <w:highlight w:val="none"/>
        </w:rPr>
        <w:t>有依法缴纳税收和社会保障资金的良好记录（提供响应截止时间前半年内（</w:t>
      </w:r>
      <w:r>
        <w:rPr>
          <w:rFonts w:hint="eastAsia" w:ascii="宋体" w:hAnsi="宋体" w:cs="宋体"/>
          <w:color w:val="auto"/>
          <w:highlight w:val="none"/>
          <w:lang w:eastAsia="zh-CN"/>
        </w:rPr>
        <w:t>2026年4月至2026年9月</w:t>
      </w:r>
      <w:r>
        <w:rPr>
          <w:rFonts w:hint="eastAsia" w:ascii="宋体" w:hAnsi="宋体" w:cs="宋体"/>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4FE4D92">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5</w:t>
      </w:r>
      <w:r>
        <w:rPr>
          <w:rFonts w:hint="eastAsia" w:ascii="宋体" w:hAnsi="宋体" w:cs="宋体"/>
          <w:color w:val="auto"/>
          <w:highlight w:val="none"/>
          <w:lang w:eastAsia="zh-CN"/>
        </w:rPr>
        <w:t>）</w:t>
      </w:r>
      <w:r>
        <w:rPr>
          <w:rFonts w:hint="eastAsia" w:ascii="宋体" w:hAnsi="宋体" w:cs="宋体"/>
          <w:color w:val="auto"/>
          <w:highlight w:val="none"/>
        </w:rPr>
        <w:t>参加采购活动前三年内，在经营活动中没有重大违法记录（提供参加本次采购活动前三年内在经营活动中没有重大违法记录的书面声明）（格式见后附件）；</w:t>
      </w:r>
    </w:p>
    <w:p w14:paraId="14083C07">
      <w:pPr>
        <w:pStyle w:val="18"/>
        <w:ind w:firstLine="480" w:firstLineChars="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6</w:t>
      </w:r>
      <w:r>
        <w:rPr>
          <w:rFonts w:hint="eastAsia" w:ascii="宋体" w:hAnsi="宋体" w:cs="宋体"/>
          <w:color w:val="auto"/>
          <w:highlight w:val="none"/>
          <w:lang w:eastAsia="zh-CN"/>
        </w:rPr>
        <w:t>）</w:t>
      </w:r>
      <w:r>
        <w:rPr>
          <w:rFonts w:hint="eastAsia" w:ascii="宋体" w:hAnsi="宋体" w:cs="宋体"/>
          <w:color w:val="auto"/>
          <w:highlight w:val="none"/>
        </w:rPr>
        <w:t>法律、行政法规规定的其他条件：无。</w:t>
      </w:r>
    </w:p>
    <w:p w14:paraId="282A40AB">
      <w:pPr>
        <w:pStyle w:val="18"/>
        <w:ind w:firstLine="480"/>
        <w:rPr>
          <w:rFonts w:ascii="宋体" w:hAnsi="宋体" w:cs="宋体"/>
          <w:color w:val="auto"/>
          <w:highlight w:val="none"/>
        </w:rPr>
      </w:pPr>
      <w:r>
        <w:rPr>
          <w:rFonts w:hint="eastAsia" w:ascii="宋体" w:hAnsi="宋体" w:cs="宋体"/>
          <w:color w:val="auto"/>
          <w:highlight w:val="none"/>
        </w:rPr>
        <w:t>2、本项目的特定资格要求：无。</w:t>
      </w:r>
    </w:p>
    <w:p w14:paraId="77564756">
      <w:pPr>
        <w:pStyle w:val="18"/>
        <w:ind w:left="482" w:firstLine="0" w:firstLineChars="0"/>
        <w:rPr>
          <w:rFonts w:ascii="宋体" w:hAnsi="宋体" w:cs="宋体"/>
          <w:color w:val="auto"/>
          <w:highlight w:val="none"/>
        </w:rPr>
      </w:pPr>
      <w:r>
        <w:rPr>
          <w:rFonts w:hint="eastAsia" w:ascii="宋体" w:hAnsi="宋体" w:cs="宋体"/>
          <w:color w:val="auto"/>
          <w:highlight w:val="none"/>
        </w:rPr>
        <w:t>3、拒绝下述供应商参加本次采购：</w:t>
      </w:r>
    </w:p>
    <w:p w14:paraId="5162E0A4">
      <w:pPr>
        <w:pStyle w:val="18"/>
        <w:ind w:firstLine="480" w:firstLineChars="0"/>
        <w:rPr>
          <w:rFonts w:ascii="宋体" w:hAnsi="宋体" w:cs="宋体"/>
          <w:color w:val="auto"/>
          <w:highlight w:val="none"/>
        </w:rPr>
      </w:pPr>
      <w:r>
        <w:rPr>
          <w:rFonts w:hint="eastAsia" w:ascii="宋体" w:hAnsi="宋体" w:cs="宋体"/>
          <w:color w:val="auto"/>
          <w:highlight w:val="none"/>
        </w:rPr>
        <w:t>①供应商单位负责人为同一人或者存在直接控股、管理关系的不同供应商，不得参加同一合同项下的采购或采购活动；</w:t>
      </w:r>
    </w:p>
    <w:p w14:paraId="4460E27C">
      <w:pPr>
        <w:pStyle w:val="18"/>
        <w:ind w:firstLine="480" w:firstLineChars="0"/>
        <w:rPr>
          <w:rFonts w:ascii="宋体" w:hAnsi="宋体" w:cs="宋体"/>
          <w:color w:val="auto"/>
          <w:highlight w:val="none"/>
        </w:rPr>
      </w:pPr>
      <w:r>
        <w:rPr>
          <w:rFonts w:hint="eastAsia" w:ascii="宋体" w:hAnsi="宋体" w:cs="宋体"/>
          <w:color w:val="auto"/>
          <w:highlight w:val="none"/>
        </w:rPr>
        <w:t>②凡为本项目提供整体设计、规范编制或者项目管理、检测等服务的供应商，不得再参加本项目的采购或采购活动；</w:t>
      </w:r>
    </w:p>
    <w:p w14:paraId="6BC64E39">
      <w:pPr>
        <w:pStyle w:val="18"/>
        <w:ind w:firstLine="480" w:firstLineChars="0"/>
        <w:rPr>
          <w:rFonts w:ascii="宋体" w:hAnsi="宋体" w:cs="宋体"/>
          <w:color w:val="auto"/>
          <w:highlight w:val="none"/>
        </w:rPr>
      </w:pPr>
      <w:r>
        <w:rPr>
          <w:rFonts w:hint="eastAsia" w:ascii="宋体" w:hAnsi="宋体" w:cs="宋体"/>
          <w:color w:val="auto"/>
          <w:highlight w:val="none"/>
        </w:rPr>
        <w:t>③供应商被“信用中国”网站（www.creditchina.gov.cn）列入失信被执行人、重大税收违法失信主体、严重违法失信行为记录名单。</w:t>
      </w:r>
    </w:p>
    <w:p w14:paraId="5B5F0992">
      <w:pPr>
        <w:pStyle w:val="18"/>
        <w:ind w:firstLine="0" w:firstLineChars="0"/>
        <w:rPr>
          <w:rFonts w:ascii="宋体" w:hAnsi="宋体" w:cs="宋体"/>
          <w:b/>
          <w:color w:val="auto"/>
          <w:highlight w:val="none"/>
        </w:rPr>
      </w:pPr>
    </w:p>
    <w:p w14:paraId="7C4E69B0">
      <w:pPr>
        <w:rPr>
          <w:rFonts w:hint="eastAsia" w:ascii="宋体" w:hAnsi="宋体" w:cs="宋体"/>
          <w:b/>
          <w:color w:val="auto"/>
          <w:szCs w:val="21"/>
          <w:highlight w:val="none"/>
          <w:lang w:val="zh-CN"/>
        </w:rPr>
      </w:pPr>
      <w:r>
        <w:rPr>
          <w:rFonts w:hint="eastAsia" w:ascii="宋体" w:hAnsi="宋体" w:cs="宋体"/>
          <w:b/>
          <w:color w:val="auto"/>
          <w:highlight w:val="none"/>
        </w:rPr>
        <w:br w:type="page"/>
      </w:r>
    </w:p>
    <w:p w14:paraId="492128A7">
      <w:pPr>
        <w:rPr>
          <w:rFonts w:ascii="宋体" w:hAnsi="宋体" w:cs="宋体"/>
          <w:b/>
          <w:color w:val="auto"/>
          <w:szCs w:val="21"/>
          <w:highlight w:val="none"/>
          <w:lang w:val="zh-CN"/>
        </w:rPr>
      </w:pPr>
    </w:p>
    <w:p w14:paraId="0F60C765">
      <w:pPr>
        <w:rPr>
          <w:rFonts w:ascii="宋体" w:hAnsi="宋体" w:cs="宋体"/>
          <w:b/>
          <w:color w:val="auto"/>
          <w:szCs w:val="21"/>
          <w:highlight w:val="none"/>
          <w:lang w:val="zh-CN"/>
        </w:rPr>
      </w:pPr>
    </w:p>
    <w:p w14:paraId="329B35CB">
      <w:pPr>
        <w:pStyle w:val="18"/>
        <w:ind w:firstLine="482"/>
        <w:rPr>
          <w:rFonts w:ascii="宋体" w:hAnsi="宋体" w:cs="宋体"/>
          <w:b/>
          <w:color w:val="auto"/>
          <w:highlight w:val="none"/>
        </w:rPr>
      </w:pPr>
      <w:r>
        <w:rPr>
          <w:rFonts w:hint="eastAsia" w:ascii="宋体" w:hAnsi="宋体" w:cs="宋体"/>
          <w:b/>
          <w:color w:val="auto"/>
          <w:highlight w:val="none"/>
        </w:rPr>
        <w:t>目录六、技术条款偏离表格式</w:t>
      </w:r>
    </w:p>
    <w:p w14:paraId="372AF427">
      <w:pPr>
        <w:pStyle w:val="263"/>
        <w:outlineLvl w:val="9"/>
        <w:rPr>
          <w:rFonts w:ascii="宋体" w:hAnsi="宋体" w:cs="宋体"/>
          <w:color w:val="auto"/>
          <w:highlight w:val="none"/>
        </w:rPr>
      </w:pPr>
      <w:r>
        <w:rPr>
          <w:rFonts w:hint="eastAsia" w:ascii="宋体" w:hAnsi="宋体" w:cs="宋体"/>
          <w:color w:val="auto"/>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E8951F7">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0F68401">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2F50BC84">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4FECBB6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E52CBB">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7475E9BE">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7EFCB75D">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35F968">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06FC69A0">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7579B9DF">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AD144A">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AB60FC0">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37F2480">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51AEB7">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F81DEC2">
            <w:pPr>
              <w:adjustRightInd w:val="0"/>
              <w:jc w:val="center"/>
              <w:rPr>
                <w:rFonts w:ascii="宋体" w:hAnsi="宋体" w:cs="宋体"/>
                <w:color w:val="auto"/>
                <w:szCs w:val="21"/>
                <w:highlight w:val="none"/>
                <w:lang w:val="zh-CN"/>
              </w:rPr>
            </w:pPr>
          </w:p>
        </w:tc>
      </w:tr>
      <w:tr w14:paraId="1399C4A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E2CE120">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94B7EE">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37DA803">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829E72C">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B1C816">
            <w:pPr>
              <w:adjustRightInd w:val="0"/>
              <w:jc w:val="center"/>
              <w:rPr>
                <w:rFonts w:ascii="宋体" w:hAnsi="宋体" w:cs="宋体"/>
                <w:color w:val="auto"/>
                <w:szCs w:val="21"/>
                <w:highlight w:val="none"/>
                <w:lang w:val="zh-CN"/>
              </w:rPr>
            </w:pPr>
          </w:p>
        </w:tc>
      </w:tr>
      <w:tr w14:paraId="242943B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FA214C0">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950FBC6">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E2306AA">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B65A155">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E1FBFDB">
            <w:pPr>
              <w:adjustRightInd w:val="0"/>
              <w:jc w:val="center"/>
              <w:rPr>
                <w:rFonts w:ascii="宋体" w:hAnsi="宋体" w:cs="宋体"/>
                <w:color w:val="auto"/>
                <w:szCs w:val="21"/>
                <w:highlight w:val="none"/>
                <w:lang w:val="zh-CN"/>
              </w:rPr>
            </w:pPr>
          </w:p>
        </w:tc>
      </w:tr>
      <w:tr w14:paraId="37054EB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C95FC4E">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00CA169C">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1973D71D">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5EAE3110">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60FA14E">
            <w:pPr>
              <w:adjustRightInd w:val="0"/>
              <w:jc w:val="center"/>
              <w:rPr>
                <w:rFonts w:ascii="宋体" w:hAnsi="宋体" w:cs="宋体"/>
                <w:color w:val="auto"/>
                <w:szCs w:val="21"/>
                <w:highlight w:val="none"/>
                <w:lang w:val="zh-CN"/>
              </w:rPr>
            </w:pPr>
          </w:p>
        </w:tc>
      </w:tr>
      <w:tr w14:paraId="071A382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38E464F">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28D363">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89C73E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D3D3E34">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7381048">
            <w:pPr>
              <w:adjustRightInd w:val="0"/>
              <w:jc w:val="center"/>
              <w:rPr>
                <w:rFonts w:ascii="宋体" w:hAnsi="宋体" w:cs="宋体"/>
                <w:color w:val="auto"/>
                <w:szCs w:val="21"/>
                <w:highlight w:val="none"/>
                <w:lang w:val="zh-CN"/>
              </w:rPr>
            </w:pPr>
          </w:p>
        </w:tc>
      </w:tr>
      <w:tr w14:paraId="4E5B3F6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AC380F2">
            <w:pPr>
              <w:adjustRightInd w:val="0"/>
              <w:jc w:val="center"/>
              <w:rPr>
                <w:rFonts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FDC086F">
            <w:pPr>
              <w:adjustRightInd w:val="0"/>
              <w:jc w:val="center"/>
              <w:rPr>
                <w:rFonts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F016FF">
            <w:pPr>
              <w:adjustRightInd w:val="0"/>
              <w:jc w:val="center"/>
              <w:rPr>
                <w:rFonts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ABCE9FC">
            <w:pPr>
              <w:adjustRightInd w:val="0"/>
              <w:jc w:val="center"/>
              <w:rPr>
                <w:rFonts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35AA2A0">
            <w:pPr>
              <w:adjustRightInd w:val="0"/>
              <w:jc w:val="center"/>
              <w:rPr>
                <w:rFonts w:ascii="宋体" w:hAnsi="宋体" w:cs="宋体"/>
                <w:color w:val="auto"/>
                <w:szCs w:val="21"/>
                <w:highlight w:val="none"/>
                <w:lang w:val="zh-CN"/>
              </w:rPr>
            </w:pPr>
          </w:p>
        </w:tc>
      </w:tr>
    </w:tbl>
    <w:p w14:paraId="133F0113">
      <w:pPr>
        <w:adjustRightInd w:val="0"/>
        <w:spacing w:line="360" w:lineRule="auto"/>
        <w:jc w:val="left"/>
        <w:rPr>
          <w:rFonts w:ascii="宋体" w:hAnsi="宋体" w:cs="宋体"/>
          <w:color w:val="auto"/>
          <w:szCs w:val="21"/>
          <w:highlight w:val="none"/>
          <w:lang w:val="zh-CN"/>
        </w:rPr>
      </w:pPr>
    </w:p>
    <w:p w14:paraId="211051A7">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61A6E16A">
      <w:pPr>
        <w:widowControl/>
        <w:spacing w:line="360" w:lineRule="auto"/>
        <w:jc w:val="left"/>
        <w:rPr>
          <w:rFonts w:ascii="宋体" w:hAnsi="宋体" w:cs="宋体"/>
          <w:color w:val="auto"/>
          <w:szCs w:val="21"/>
          <w:highlight w:val="none"/>
          <w:lang w:val="zh-CN"/>
        </w:rPr>
      </w:pPr>
    </w:p>
    <w:p w14:paraId="0ADDB768">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5A111C2F">
      <w:pPr>
        <w:pStyle w:val="18"/>
        <w:widowControl/>
        <w:numPr>
          <w:ilvl w:val="0"/>
          <w:numId w:val="65"/>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2F6373EC">
      <w:pPr>
        <w:pStyle w:val="18"/>
        <w:widowControl/>
        <w:numPr>
          <w:ilvl w:val="0"/>
          <w:numId w:val="65"/>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7AD08D55">
      <w:pPr>
        <w:pStyle w:val="18"/>
        <w:widowControl/>
        <w:numPr>
          <w:ilvl w:val="0"/>
          <w:numId w:val="65"/>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0B01DE56">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D88FFF4">
      <w:pPr>
        <w:pStyle w:val="18"/>
        <w:ind w:firstLine="482"/>
        <w:rPr>
          <w:rFonts w:ascii="宋体" w:hAnsi="宋体" w:cs="宋体"/>
          <w:b/>
          <w:color w:val="auto"/>
          <w:highlight w:val="none"/>
        </w:rPr>
      </w:pPr>
      <w:r>
        <w:rPr>
          <w:rFonts w:hint="eastAsia" w:ascii="宋体" w:hAnsi="宋体" w:cs="宋体"/>
          <w:b/>
          <w:color w:val="auto"/>
          <w:highlight w:val="none"/>
        </w:rPr>
        <w:t>目录七、商务条款偏离表格式</w:t>
      </w:r>
    </w:p>
    <w:p w14:paraId="27729CF7">
      <w:pPr>
        <w:pStyle w:val="263"/>
        <w:outlineLvl w:val="9"/>
        <w:rPr>
          <w:rFonts w:ascii="宋体" w:hAnsi="宋体" w:cs="宋体"/>
          <w:color w:val="auto"/>
          <w:highlight w:val="none"/>
        </w:rPr>
      </w:pPr>
      <w:r>
        <w:rPr>
          <w:rFonts w:hint="eastAsia" w:ascii="宋体" w:hAnsi="宋体" w:cs="宋体"/>
          <w:color w:val="auto"/>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1842"/>
        <w:gridCol w:w="2866"/>
        <w:gridCol w:w="1158"/>
        <w:gridCol w:w="1422"/>
        <w:gridCol w:w="1343"/>
      </w:tblGrid>
      <w:tr w14:paraId="43CE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4665AAD0">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17C6CD69">
            <w:pPr>
              <w:adjustRightInd w:val="0"/>
              <w:jc w:val="left"/>
              <w:rPr>
                <w:rFonts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33B6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DF273C4">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4C4C6AF0">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7CA453FC">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0BE584B7">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2271D02A">
            <w:pPr>
              <w:adjustRightInd w:val="0"/>
              <w:jc w:val="center"/>
              <w:rPr>
                <w:rFonts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3EF2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8250A2D">
            <w:pPr>
              <w:adjustRightInd w:val="0"/>
              <w:jc w:val="center"/>
              <w:rPr>
                <w:rFonts w:ascii="宋体" w:hAnsi="宋体" w:cs="宋体"/>
                <w:color w:val="auto"/>
                <w:szCs w:val="21"/>
                <w:highlight w:val="none"/>
                <w:lang w:val="zh-CN"/>
              </w:rPr>
            </w:pPr>
          </w:p>
        </w:tc>
        <w:tc>
          <w:tcPr>
            <w:tcW w:w="974" w:type="pct"/>
            <w:vAlign w:val="center"/>
          </w:tcPr>
          <w:p w14:paraId="70840AE6">
            <w:pPr>
              <w:adjustRightInd w:val="0"/>
              <w:jc w:val="center"/>
              <w:rPr>
                <w:rFonts w:ascii="宋体" w:hAnsi="宋体" w:cs="宋体"/>
                <w:color w:val="auto"/>
                <w:szCs w:val="21"/>
                <w:highlight w:val="none"/>
                <w:lang w:val="zh-CN"/>
              </w:rPr>
            </w:pPr>
          </w:p>
        </w:tc>
        <w:tc>
          <w:tcPr>
            <w:tcW w:w="1515" w:type="pct"/>
            <w:vAlign w:val="center"/>
          </w:tcPr>
          <w:p w14:paraId="10B918EA">
            <w:pPr>
              <w:adjustRightInd w:val="0"/>
              <w:jc w:val="center"/>
              <w:rPr>
                <w:rFonts w:ascii="宋体" w:hAnsi="宋体" w:cs="宋体"/>
                <w:color w:val="auto"/>
                <w:szCs w:val="21"/>
                <w:highlight w:val="none"/>
                <w:lang w:val="zh-CN"/>
              </w:rPr>
            </w:pPr>
          </w:p>
        </w:tc>
        <w:tc>
          <w:tcPr>
            <w:tcW w:w="1364" w:type="pct"/>
            <w:gridSpan w:val="2"/>
            <w:vAlign w:val="center"/>
          </w:tcPr>
          <w:p w14:paraId="06A6F2FD">
            <w:pPr>
              <w:adjustRightInd w:val="0"/>
              <w:jc w:val="center"/>
              <w:rPr>
                <w:rFonts w:ascii="宋体" w:hAnsi="宋体" w:cs="宋体"/>
                <w:color w:val="auto"/>
                <w:szCs w:val="21"/>
                <w:highlight w:val="none"/>
                <w:lang w:val="zh-CN"/>
              </w:rPr>
            </w:pPr>
          </w:p>
        </w:tc>
        <w:tc>
          <w:tcPr>
            <w:tcW w:w="709" w:type="pct"/>
            <w:vAlign w:val="center"/>
          </w:tcPr>
          <w:p w14:paraId="00AA73B4">
            <w:pPr>
              <w:adjustRightInd w:val="0"/>
              <w:jc w:val="center"/>
              <w:rPr>
                <w:rFonts w:ascii="宋体" w:hAnsi="宋体" w:cs="宋体"/>
                <w:color w:val="auto"/>
                <w:szCs w:val="21"/>
                <w:highlight w:val="none"/>
                <w:lang w:val="zh-CN"/>
              </w:rPr>
            </w:pPr>
          </w:p>
        </w:tc>
      </w:tr>
      <w:tr w14:paraId="378D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B6C65B1">
            <w:pPr>
              <w:adjustRightInd w:val="0"/>
              <w:jc w:val="center"/>
              <w:rPr>
                <w:rFonts w:ascii="宋体" w:hAnsi="宋体" w:cs="宋体"/>
                <w:color w:val="auto"/>
                <w:szCs w:val="21"/>
                <w:highlight w:val="none"/>
                <w:lang w:val="zh-CN"/>
              </w:rPr>
            </w:pPr>
          </w:p>
        </w:tc>
        <w:tc>
          <w:tcPr>
            <w:tcW w:w="974" w:type="pct"/>
            <w:vAlign w:val="center"/>
          </w:tcPr>
          <w:p w14:paraId="179139EC">
            <w:pPr>
              <w:adjustRightInd w:val="0"/>
              <w:jc w:val="center"/>
              <w:rPr>
                <w:rFonts w:ascii="宋体" w:hAnsi="宋体" w:cs="宋体"/>
                <w:color w:val="auto"/>
                <w:szCs w:val="21"/>
                <w:highlight w:val="none"/>
                <w:lang w:val="zh-CN"/>
              </w:rPr>
            </w:pPr>
          </w:p>
        </w:tc>
        <w:tc>
          <w:tcPr>
            <w:tcW w:w="1515" w:type="pct"/>
            <w:vAlign w:val="center"/>
          </w:tcPr>
          <w:p w14:paraId="74B4DD31">
            <w:pPr>
              <w:adjustRightInd w:val="0"/>
              <w:jc w:val="center"/>
              <w:rPr>
                <w:rFonts w:ascii="宋体" w:hAnsi="宋体" w:cs="宋体"/>
                <w:color w:val="auto"/>
                <w:szCs w:val="21"/>
                <w:highlight w:val="none"/>
                <w:lang w:val="zh-CN"/>
              </w:rPr>
            </w:pPr>
          </w:p>
        </w:tc>
        <w:tc>
          <w:tcPr>
            <w:tcW w:w="1364" w:type="pct"/>
            <w:gridSpan w:val="2"/>
            <w:vAlign w:val="center"/>
          </w:tcPr>
          <w:p w14:paraId="11682B98">
            <w:pPr>
              <w:adjustRightInd w:val="0"/>
              <w:jc w:val="center"/>
              <w:rPr>
                <w:rFonts w:ascii="宋体" w:hAnsi="宋体" w:cs="宋体"/>
                <w:color w:val="auto"/>
                <w:szCs w:val="21"/>
                <w:highlight w:val="none"/>
                <w:lang w:val="zh-CN"/>
              </w:rPr>
            </w:pPr>
          </w:p>
        </w:tc>
        <w:tc>
          <w:tcPr>
            <w:tcW w:w="709" w:type="pct"/>
            <w:vAlign w:val="center"/>
          </w:tcPr>
          <w:p w14:paraId="360D3BAD">
            <w:pPr>
              <w:adjustRightInd w:val="0"/>
              <w:jc w:val="center"/>
              <w:rPr>
                <w:rFonts w:ascii="宋体" w:hAnsi="宋体" w:cs="宋体"/>
                <w:color w:val="auto"/>
                <w:szCs w:val="21"/>
                <w:highlight w:val="none"/>
                <w:lang w:val="zh-CN"/>
              </w:rPr>
            </w:pPr>
          </w:p>
        </w:tc>
      </w:tr>
      <w:tr w14:paraId="010C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AA329A3">
            <w:pPr>
              <w:adjustRightInd w:val="0"/>
              <w:jc w:val="center"/>
              <w:rPr>
                <w:rFonts w:ascii="宋体" w:hAnsi="宋体" w:cs="宋体"/>
                <w:color w:val="auto"/>
                <w:szCs w:val="21"/>
                <w:highlight w:val="none"/>
                <w:lang w:val="zh-CN"/>
              </w:rPr>
            </w:pPr>
          </w:p>
        </w:tc>
        <w:tc>
          <w:tcPr>
            <w:tcW w:w="974" w:type="pct"/>
            <w:vAlign w:val="center"/>
          </w:tcPr>
          <w:p w14:paraId="00BDC10A">
            <w:pPr>
              <w:adjustRightInd w:val="0"/>
              <w:jc w:val="center"/>
              <w:rPr>
                <w:rFonts w:ascii="宋体" w:hAnsi="宋体" w:cs="宋体"/>
                <w:color w:val="auto"/>
                <w:szCs w:val="21"/>
                <w:highlight w:val="none"/>
                <w:lang w:val="zh-CN"/>
              </w:rPr>
            </w:pPr>
          </w:p>
        </w:tc>
        <w:tc>
          <w:tcPr>
            <w:tcW w:w="1515" w:type="pct"/>
            <w:vAlign w:val="center"/>
          </w:tcPr>
          <w:p w14:paraId="4A1C2BCD">
            <w:pPr>
              <w:adjustRightInd w:val="0"/>
              <w:jc w:val="center"/>
              <w:rPr>
                <w:rFonts w:ascii="宋体" w:hAnsi="宋体" w:cs="宋体"/>
                <w:color w:val="auto"/>
                <w:szCs w:val="21"/>
                <w:highlight w:val="none"/>
                <w:lang w:val="zh-CN"/>
              </w:rPr>
            </w:pPr>
          </w:p>
        </w:tc>
        <w:tc>
          <w:tcPr>
            <w:tcW w:w="1364" w:type="pct"/>
            <w:gridSpan w:val="2"/>
            <w:vAlign w:val="center"/>
          </w:tcPr>
          <w:p w14:paraId="4468EC01">
            <w:pPr>
              <w:adjustRightInd w:val="0"/>
              <w:jc w:val="center"/>
              <w:rPr>
                <w:rFonts w:ascii="宋体" w:hAnsi="宋体" w:cs="宋体"/>
                <w:color w:val="auto"/>
                <w:szCs w:val="21"/>
                <w:highlight w:val="none"/>
                <w:lang w:val="zh-CN"/>
              </w:rPr>
            </w:pPr>
          </w:p>
        </w:tc>
        <w:tc>
          <w:tcPr>
            <w:tcW w:w="709" w:type="pct"/>
            <w:vAlign w:val="center"/>
          </w:tcPr>
          <w:p w14:paraId="6837DC92">
            <w:pPr>
              <w:adjustRightInd w:val="0"/>
              <w:jc w:val="center"/>
              <w:rPr>
                <w:rFonts w:ascii="宋体" w:hAnsi="宋体" w:cs="宋体"/>
                <w:color w:val="auto"/>
                <w:szCs w:val="21"/>
                <w:highlight w:val="none"/>
                <w:lang w:val="zh-CN"/>
              </w:rPr>
            </w:pPr>
          </w:p>
        </w:tc>
      </w:tr>
      <w:tr w14:paraId="2AA4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0873BC7">
            <w:pPr>
              <w:adjustRightInd w:val="0"/>
              <w:jc w:val="center"/>
              <w:rPr>
                <w:rFonts w:ascii="宋体" w:hAnsi="宋体" w:cs="宋体"/>
                <w:color w:val="auto"/>
                <w:szCs w:val="21"/>
                <w:highlight w:val="none"/>
                <w:lang w:val="zh-CN"/>
              </w:rPr>
            </w:pPr>
          </w:p>
        </w:tc>
        <w:tc>
          <w:tcPr>
            <w:tcW w:w="974" w:type="pct"/>
            <w:vAlign w:val="center"/>
          </w:tcPr>
          <w:p w14:paraId="3B54BAED">
            <w:pPr>
              <w:adjustRightInd w:val="0"/>
              <w:jc w:val="center"/>
              <w:rPr>
                <w:rFonts w:ascii="宋体" w:hAnsi="宋体" w:cs="宋体"/>
                <w:color w:val="auto"/>
                <w:szCs w:val="21"/>
                <w:highlight w:val="none"/>
                <w:lang w:val="zh-CN"/>
              </w:rPr>
            </w:pPr>
          </w:p>
        </w:tc>
        <w:tc>
          <w:tcPr>
            <w:tcW w:w="1515" w:type="pct"/>
            <w:vAlign w:val="center"/>
          </w:tcPr>
          <w:p w14:paraId="6B9177BC">
            <w:pPr>
              <w:adjustRightInd w:val="0"/>
              <w:jc w:val="center"/>
              <w:rPr>
                <w:rFonts w:ascii="宋体" w:hAnsi="宋体" w:cs="宋体"/>
                <w:color w:val="auto"/>
                <w:szCs w:val="21"/>
                <w:highlight w:val="none"/>
                <w:lang w:val="zh-CN"/>
              </w:rPr>
            </w:pPr>
          </w:p>
        </w:tc>
        <w:tc>
          <w:tcPr>
            <w:tcW w:w="1364" w:type="pct"/>
            <w:gridSpan w:val="2"/>
            <w:vAlign w:val="center"/>
          </w:tcPr>
          <w:p w14:paraId="4D61EF16">
            <w:pPr>
              <w:adjustRightInd w:val="0"/>
              <w:jc w:val="center"/>
              <w:rPr>
                <w:rFonts w:ascii="宋体" w:hAnsi="宋体" w:cs="宋体"/>
                <w:color w:val="auto"/>
                <w:szCs w:val="21"/>
                <w:highlight w:val="none"/>
                <w:lang w:val="zh-CN"/>
              </w:rPr>
            </w:pPr>
          </w:p>
        </w:tc>
        <w:tc>
          <w:tcPr>
            <w:tcW w:w="709" w:type="pct"/>
            <w:vAlign w:val="center"/>
          </w:tcPr>
          <w:p w14:paraId="24BF7CF9">
            <w:pPr>
              <w:adjustRightInd w:val="0"/>
              <w:jc w:val="center"/>
              <w:rPr>
                <w:rFonts w:ascii="宋体" w:hAnsi="宋体" w:cs="宋体"/>
                <w:color w:val="auto"/>
                <w:szCs w:val="21"/>
                <w:highlight w:val="none"/>
                <w:lang w:val="zh-CN"/>
              </w:rPr>
            </w:pPr>
          </w:p>
        </w:tc>
      </w:tr>
      <w:tr w14:paraId="6EBC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720F8B">
            <w:pPr>
              <w:adjustRightInd w:val="0"/>
              <w:jc w:val="center"/>
              <w:rPr>
                <w:rFonts w:ascii="宋体" w:hAnsi="宋体" w:cs="宋体"/>
                <w:color w:val="auto"/>
                <w:szCs w:val="21"/>
                <w:highlight w:val="none"/>
                <w:lang w:val="zh-CN"/>
              </w:rPr>
            </w:pPr>
          </w:p>
        </w:tc>
        <w:tc>
          <w:tcPr>
            <w:tcW w:w="974" w:type="pct"/>
            <w:vAlign w:val="center"/>
          </w:tcPr>
          <w:p w14:paraId="797998CA">
            <w:pPr>
              <w:adjustRightInd w:val="0"/>
              <w:jc w:val="center"/>
              <w:rPr>
                <w:rFonts w:ascii="宋体" w:hAnsi="宋体" w:cs="宋体"/>
                <w:color w:val="auto"/>
                <w:szCs w:val="21"/>
                <w:highlight w:val="none"/>
                <w:lang w:val="zh-CN"/>
              </w:rPr>
            </w:pPr>
          </w:p>
        </w:tc>
        <w:tc>
          <w:tcPr>
            <w:tcW w:w="1515" w:type="pct"/>
            <w:vAlign w:val="center"/>
          </w:tcPr>
          <w:p w14:paraId="5B3A409E">
            <w:pPr>
              <w:adjustRightInd w:val="0"/>
              <w:jc w:val="center"/>
              <w:rPr>
                <w:rFonts w:ascii="宋体" w:hAnsi="宋体" w:cs="宋体"/>
                <w:color w:val="auto"/>
                <w:szCs w:val="21"/>
                <w:highlight w:val="none"/>
                <w:lang w:val="zh-CN"/>
              </w:rPr>
            </w:pPr>
          </w:p>
        </w:tc>
        <w:tc>
          <w:tcPr>
            <w:tcW w:w="1364" w:type="pct"/>
            <w:gridSpan w:val="2"/>
            <w:vAlign w:val="center"/>
          </w:tcPr>
          <w:p w14:paraId="71E4054F">
            <w:pPr>
              <w:adjustRightInd w:val="0"/>
              <w:jc w:val="center"/>
              <w:rPr>
                <w:rFonts w:ascii="宋体" w:hAnsi="宋体" w:cs="宋体"/>
                <w:color w:val="auto"/>
                <w:szCs w:val="21"/>
                <w:highlight w:val="none"/>
                <w:lang w:val="zh-CN"/>
              </w:rPr>
            </w:pPr>
          </w:p>
        </w:tc>
        <w:tc>
          <w:tcPr>
            <w:tcW w:w="709" w:type="pct"/>
            <w:vAlign w:val="center"/>
          </w:tcPr>
          <w:p w14:paraId="35FDA1D9">
            <w:pPr>
              <w:adjustRightInd w:val="0"/>
              <w:jc w:val="center"/>
              <w:rPr>
                <w:rFonts w:ascii="宋体" w:hAnsi="宋体" w:cs="宋体"/>
                <w:color w:val="auto"/>
                <w:szCs w:val="21"/>
                <w:highlight w:val="none"/>
                <w:lang w:val="zh-CN"/>
              </w:rPr>
            </w:pPr>
          </w:p>
        </w:tc>
      </w:tr>
      <w:tr w14:paraId="387C6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30A1D80">
            <w:pPr>
              <w:adjustRightInd w:val="0"/>
              <w:jc w:val="center"/>
              <w:rPr>
                <w:rFonts w:ascii="宋体" w:hAnsi="宋体" w:cs="宋体"/>
                <w:color w:val="auto"/>
                <w:szCs w:val="21"/>
                <w:highlight w:val="none"/>
                <w:lang w:val="zh-CN"/>
              </w:rPr>
            </w:pPr>
          </w:p>
        </w:tc>
        <w:tc>
          <w:tcPr>
            <w:tcW w:w="974" w:type="pct"/>
            <w:vAlign w:val="center"/>
          </w:tcPr>
          <w:p w14:paraId="5FC51284">
            <w:pPr>
              <w:adjustRightInd w:val="0"/>
              <w:jc w:val="center"/>
              <w:rPr>
                <w:rFonts w:ascii="宋体" w:hAnsi="宋体" w:cs="宋体"/>
                <w:color w:val="auto"/>
                <w:szCs w:val="21"/>
                <w:highlight w:val="none"/>
                <w:lang w:val="zh-CN"/>
              </w:rPr>
            </w:pPr>
          </w:p>
        </w:tc>
        <w:tc>
          <w:tcPr>
            <w:tcW w:w="1515" w:type="pct"/>
            <w:vAlign w:val="center"/>
          </w:tcPr>
          <w:p w14:paraId="6D0E775E">
            <w:pPr>
              <w:adjustRightInd w:val="0"/>
              <w:jc w:val="center"/>
              <w:rPr>
                <w:rFonts w:ascii="宋体" w:hAnsi="宋体" w:cs="宋体"/>
                <w:color w:val="auto"/>
                <w:szCs w:val="21"/>
                <w:highlight w:val="none"/>
                <w:lang w:val="zh-CN"/>
              </w:rPr>
            </w:pPr>
          </w:p>
        </w:tc>
        <w:tc>
          <w:tcPr>
            <w:tcW w:w="1364" w:type="pct"/>
            <w:gridSpan w:val="2"/>
            <w:vAlign w:val="center"/>
          </w:tcPr>
          <w:p w14:paraId="13834F13">
            <w:pPr>
              <w:adjustRightInd w:val="0"/>
              <w:jc w:val="center"/>
              <w:rPr>
                <w:rFonts w:ascii="宋体" w:hAnsi="宋体" w:cs="宋体"/>
                <w:color w:val="auto"/>
                <w:szCs w:val="21"/>
                <w:highlight w:val="none"/>
                <w:lang w:val="zh-CN"/>
              </w:rPr>
            </w:pPr>
          </w:p>
        </w:tc>
        <w:tc>
          <w:tcPr>
            <w:tcW w:w="709" w:type="pct"/>
            <w:vAlign w:val="center"/>
          </w:tcPr>
          <w:p w14:paraId="5169C0F7">
            <w:pPr>
              <w:adjustRightInd w:val="0"/>
              <w:jc w:val="center"/>
              <w:rPr>
                <w:rFonts w:ascii="宋体" w:hAnsi="宋体" w:cs="宋体"/>
                <w:color w:val="auto"/>
                <w:szCs w:val="21"/>
                <w:highlight w:val="none"/>
                <w:lang w:val="zh-CN"/>
              </w:rPr>
            </w:pPr>
          </w:p>
        </w:tc>
      </w:tr>
      <w:tr w14:paraId="3A70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4A1949">
            <w:pPr>
              <w:jc w:val="center"/>
              <w:rPr>
                <w:rFonts w:ascii="宋体" w:hAnsi="宋体" w:cs="宋体"/>
                <w:color w:val="auto"/>
                <w:szCs w:val="21"/>
                <w:highlight w:val="none"/>
              </w:rPr>
            </w:pPr>
          </w:p>
        </w:tc>
        <w:tc>
          <w:tcPr>
            <w:tcW w:w="974" w:type="pct"/>
            <w:vAlign w:val="center"/>
          </w:tcPr>
          <w:p w14:paraId="04BA0602">
            <w:pPr>
              <w:jc w:val="center"/>
              <w:rPr>
                <w:rFonts w:ascii="宋体" w:hAnsi="宋体" w:cs="宋体"/>
                <w:color w:val="auto"/>
                <w:szCs w:val="21"/>
                <w:highlight w:val="none"/>
              </w:rPr>
            </w:pPr>
          </w:p>
        </w:tc>
        <w:tc>
          <w:tcPr>
            <w:tcW w:w="1515" w:type="pct"/>
            <w:vAlign w:val="center"/>
          </w:tcPr>
          <w:p w14:paraId="1811902B">
            <w:pPr>
              <w:jc w:val="center"/>
              <w:rPr>
                <w:rFonts w:ascii="宋体" w:hAnsi="宋体" w:cs="宋体"/>
                <w:color w:val="auto"/>
                <w:szCs w:val="21"/>
                <w:highlight w:val="none"/>
              </w:rPr>
            </w:pPr>
          </w:p>
        </w:tc>
        <w:tc>
          <w:tcPr>
            <w:tcW w:w="1364" w:type="pct"/>
            <w:gridSpan w:val="2"/>
            <w:vAlign w:val="center"/>
          </w:tcPr>
          <w:p w14:paraId="555B1BC3">
            <w:pPr>
              <w:jc w:val="center"/>
              <w:rPr>
                <w:rFonts w:ascii="宋体" w:hAnsi="宋体" w:cs="宋体"/>
                <w:color w:val="auto"/>
                <w:szCs w:val="21"/>
                <w:highlight w:val="none"/>
              </w:rPr>
            </w:pPr>
          </w:p>
        </w:tc>
        <w:tc>
          <w:tcPr>
            <w:tcW w:w="709" w:type="pct"/>
            <w:vAlign w:val="center"/>
          </w:tcPr>
          <w:p w14:paraId="20522A1F">
            <w:pPr>
              <w:jc w:val="center"/>
              <w:rPr>
                <w:rFonts w:ascii="宋体" w:hAnsi="宋体" w:cs="宋体"/>
                <w:color w:val="auto"/>
                <w:szCs w:val="21"/>
                <w:highlight w:val="none"/>
              </w:rPr>
            </w:pPr>
          </w:p>
        </w:tc>
      </w:tr>
    </w:tbl>
    <w:p w14:paraId="2F7230CB">
      <w:pPr>
        <w:adjustRightInd w:val="0"/>
        <w:spacing w:line="360" w:lineRule="auto"/>
        <w:jc w:val="left"/>
        <w:rPr>
          <w:rFonts w:ascii="宋体" w:hAnsi="宋体" w:cs="宋体"/>
          <w:color w:val="auto"/>
          <w:szCs w:val="21"/>
          <w:highlight w:val="none"/>
          <w:lang w:val="zh-CN"/>
        </w:rPr>
      </w:pPr>
    </w:p>
    <w:p w14:paraId="546AF7B2">
      <w:pPr>
        <w:adjustRightInd w:val="0"/>
        <w:spacing w:line="360" w:lineRule="auto"/>
        <w:jc w:val="left"/>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供应商名称：（盖章）</w:t>
      </w:r>
    </w:p>
    <w:p w14:paraId="52BE304D">
      <w:pPr>
        <w:widowControl/>
        <w:spacing w:line="360" w:lineRule="auto"/>
        <w:jc w:val="left"/>
        <w:rPr>
          <w:rFonts w:ascii="宋体" w:hAnsi="宋体" w:cs="宋体"/>
          <w:color w:val="auto"/>
          <w:szCs w:val="21"/>
          <w:highlight w:val="none"/>
          <w:lang w:val="zh-CN"/>
        </w:rPr>
      </w:pPr>
    </w:p>
    <w:p w14:paraId="1863738C">
      <w:pPr>
        <w:pStyle w:val="18"/>
        <w:widowControl/>
        <w:ind w:firstLine="480"/>
        <w:rPr>
          <w:rFonts w:ascii="宋体" w:hAnsi="宋体" w:cs="宋体"/>
          <w:color w:val="auto"/>
          <w:highlight w:val="none"/>
        </w:rPr>
      </w:pPr>
      <w:r>
        <w:rPr>
          <w:rFonts w:hint="eastAsia" w:ascii="宋体" w:hAnsi="宋体" w:cs="宋体"/>
          <w:color w:val="auto"/>
          <w:highlight w:val="none"/>
        </w:rPr>
        <w:t>说明：</w:t>
      </w:r>
    </w:p>
    <w:p w14:paraId="52026BFF">
      <w:pPr>
        <w:pStyle w:val="18"/>
        <w:widowControl/>
        <w:numPr>
          <w:ilvl w:val="0"/>
          <w:numId w:val="66"/>
        </w:numPr>
        <w:ind w:firstLineChars="0"/>
        <w:rPr>
          <w:rFonts w:ascii="宋体" w:hAnsi="宋体" w:cs="宋体"/>
          <w:color w:val="auto"/>
          <w:highlight w:val="none"/>
        </w:rPr>
      </w:pPr>
      <w:r>
        <w:rPr>
          <w:rFonts w:hint="eastAsia" w:ascii="宋体" w:hAnsi="宋体" w:cs="宋体"/>
          <w:color w:val="auto"/>
          <w:highlight w:val="none"/>
        </w:rPr>
        <w:t>如果行数不够，请自行增加；</w:t>
      </w:r>
    </w:p>
    <w:p w14:paraId="509BCE7F">
      <w:pPr>
        <w:pStyle w:val="18"/>
        <w:widowControl/>
        <w:numPr>
          <w:ilvl w:val="0"/>
          <w:numId w:val="66"/>
        </w:numPr>
        <w:ind w:firstLineChars="0"/>
        <w:rPr>
          <w:rFonts w:ascii="宋体" w:hAnsi="宋体" w:cs="宋体"/>
          <w:color w:val="auto"/>
          <w:highlight w:val="none"/>
        </w:rPr>
      </w:pPr>
      <w:r>
        <w:rPr>
          <w:rFonts w:hint="eastAsia" w:ascii="宋体" w:hAnsi="宋体" w:cs="宋体"/>
          <w:color w:val="auto"/>
          <w:highlight w:val="none"/>
        </w:rPr>
        <w:t>无偏离指供应商的响应等于采购文件要求，正偏离指供应商的响应高于采购文件要求，负偏离指供应商的响应低于采购文件要求。</w:t>
      </w:r>
    </w:p>
    <w:p w14:paraId="41E24D7B">
      <w:pPr>
        <w:pStyle w:val="18"/>
        <w:widowControl/>
        <w:numPr>
          <w:ilvl w:val="0"/>
          <w:numId w:val="66"/>
        </w:numPr>
        <w:ind w:firstLineChars="0"/>
        <w:rPr>
          <w:rFonts w:ascii="宋体" w:hAnsi="宋体" w:cs="宋体"/>
          <w:color w:val="auto"/>
          <w:highlight w:val="none"/>
        </w:rPr>
      </w:pPr>
      <w:r>
        <w:rPr>
          <w:rFonts w:hint="eastAsia" w:ascii="宋体" w:hAnsi="宋体" w:cs="宋体"/>
          <w:color w:val="auto"/>
          <w:highlight w:val="none"/>
        </w:rPr>
        <w:t>响应响应作为响应文件重要的组成部分，不应通过简单拷贝或简单标注“符合”“满足”。</w:t>
      </w:r>
    </w:p>
    <w:p w14:paraId="0AF17559">
      <w:pPr>
        <w:rPr>
          <w:rFonts w:ascii="宋体" w:hAnsi="宋体" w:cs="宋体"/>
          <w:b/>
          <w:color w:val="auto"/>
          <w:highlight w:val="none"/>
        </w:rPr>
      </w:pPr>
      <w:r>
        <w:rPr>
          <w:rFonts w:hint="eastAsia" w:ascii="宋体" w:hAnsi="宋体" w:cs="宋体"/>
          <w:b/>
          <w:color w:val="auto"/>
          <w:highlight w:val="none"/>
        </w:rPr>
        <w:br w:type="page"/>
      </w:r>
    </w:p>
    <w:p w14:paraId="6D75FC77">
      <w:pPr>
        <w:pStyle w:val="18"/>
        <w:ind w:firstLine="482"/>
        <w:rPr>
          <w:rFonts w:ascii="宋体" w:hAnsi="宋体" w:cs="宋体"/>
          <w:b/>
          <w:color w:val="auto"/>
          <w:highlight w:val="none"/>
        </w:rPr>
      </w:pPr>
      <w:r>
        <w:rPr>
          <w:rFonts w:hint="eastAsia" w:ascii="宋体" w:hAnsi="宋体" w:cs="宋体"/>
          <w:b/>
          <w:color w:val="auto"/>
          <w:highlight w:val="none"/>
        </w:rPr>
        <w:t>目录八、服务方案或承诺</w:t>
      </w:r>
    </w:p>
    <w:p w14:paraId="2EF29FB9">
      <w:pPr>
        <w:spacing w:line="240" w:lineRule="atLeast"/>
        <w:rPr>
          <w:rFonts w:ascii="宋体" w:hAnsi="宋体" w:cs="宋体"/>
          <w:b/>
          <w:color w:val="auto"/>
          <w:highlight w:val="none"/>
        </w:rPr>
      </w:pPr>
    </w:p>
    <w:p w14:paraId="2E121405">
      <w:pPr>
        <w:pStyle w:val="41"/>
        <w:rPr>
          <w:rFonts w:ascii="宋体" w:hAnsi="宋体" w:eastAsia="宋体" w:cs="宋体"/>
          <w:color w:val="auto"/>
          <w:highlight w:val="none"/>
        </w:rPr>
      </w:pPr>
      <w:r>
        <w:rPr>
          <w:rFonts w:hint="eastAsia" w:ascii="宋体" w:hAnsi="宋体" w:eastAsia="宋体" w:cs="宋体"/>
          <w:color w:val="auto"/>
          <w:highlight w:val="none"/>
        </w:rPr>
        <w:t>服务方案或承诺</w:t>
      </w:r>
    </w:p>
    <w:p w14:paraId="26448432">
      <w:pPr>
        <w:spacing w:line="240" w:lineRule="atLeast"/>
        <w:rPr>
          <w:rFonts w:ascii="宋体" w:hAnsi="宋体" w:cs="宋体"/>
          <w:color w:val="auto"/>
          <w:sz w:val="36"/>
          <w:szCs w:val="36"/>
          <w:highlight w:val="none"/>
          <w:lang w:val="zh-CN"/>
        </w:rPr>
      </w:pPr>
    </w:p>
    <w:p w14:paraId="3D386598">
      <w:pPr>
        <w:spacing w:line="240" w:lineRule="atLeast"/>
        <w:rPr>
          <w:rFonts w:ascii="宋体" w:hAnsi="宋体" w:cs="宋体"/>
          <w:color w:val="auto"/>
          <w:sz w:val="36"/>
          <w:szCs w:val="36"/>
          <w:highlight w:val="none"/>
        </w:rPr>
      </w:pPr>
    </w:p>
    <w:p w14:paraId="2B59BC42">
      <w:pPr>
        <w:spacing w:line="240" w:lineRule="atLeast"/>
        <w:rPr>
          <w:rFonts w:ascii="宋体" w:hAnsi="宋体" w:cs="宋体"/>
          <w:color w:val="auto"/>
          <w:sz w:val="36"/>
          <w:szCs w:val="36"/>
          <w:highlight w:val="none"/>
        </w:rPr>
      </w:pPr>
    </w:p>
    <w:p w14:paraId="2248ABEE">
      <w:pPr>
        <w:pStyle w:val="43"/>
        <w:ind w:firstLine="720"/>
        <w:rPr>
          <w:rFonts w:cs="宋体"/>
          <w:color w:val="auto"/>
          <w:sz w:val="36"/>
          <w:szCs w:val="36"/>
          <w:highlight w:val="none"/>
        </w:rPr>
      </w:pPr>
    </w:p>
    <w:p w14:paraId="3E3425C1">
      <w:pPr>
        <w:rPr>
          <w:rFonts w:ascii="宋体" w:hAnsi="宋体" w:cs="宋体"/>
          <w:color w:val="auto"/>
          <w:highlight w:val="none"/>
        </w:rPr>
      </w:pPr>
    </w:p>
    <w:p w14:paraId="1070387D">
      <w:pPr>
        <w:spacing w:line="240" w:lineRule="atLeast"/>
        <w:rPr>
          <w:rFonts w:ascii="宋体" w:hAnsi="宋体" w:cs="宋体"/>
          <w:color w:val="auto"/>
          <w:sz w:val="36"/>
          <w:szCs w:val="36"/>
          <w:highlight w:val="none"/>
        </w:rPr>
      </w:pPr>
    </w:p>
    <w:p w14:paraId="2445D352">
      <w:pPr>
        <w:pStyle w:val="18"/>
        <w:widowControl/>
        <w:ind w:firstLine="482"/>
        <w:rPr>
          <w:rFonts w:ascii="宋体" w:hAnsi="宋体" w:cs="宋体"/>
          <w:b/>
          <w:color w:val="auto"/>
          <w:highlight w:val="none"/>
        </w:rPr>
      </w:pPr>
      <w:r>
        <w:rPr>
          <w:rFonts w:hint="eastAsia" w:ascii="宋体" w:hAnsi="宋体" w:cs="宋体"/>
          <w:b/>
          <w:color w:val="auto"/>
          <w:highlight w:val="none"/>
        </w:rPr>
        <w:t>目录九、拟投入本项目人员一览表</w:t>
      </w:r>
    </w:p>
    <w:p w14:paraId="10B67FA9">
      <w:pPr>
        <w:widowControl/>
        <w:adjustRightInd w:val="0"/>
        <w:spacing w:line="440" w:lineRule="exact"/>
        <w:rPr>
          <w:rFonts w:ascii="宋体" w:hAnsi="宋体" w:cs="宋体"/>
          <w:b/>
          <w:bCs/>
          <w:color w:val="auto"/>
          <w:sz w:val="24"/>
          <w:highlight w:val="none"/>
        </w:rPr>
      </w:pPr>
    </w:p>
    <w:p w14:paraId="00EE52D5">
      <w:pPr>
        <w:pStyle w:val="263"/>
        <w:widowControl/>
        <w:outlineLvl w:val="9"/>
        <w:rPr>
          <w:rFonts w:ascii="宋体" w:hAnsi="宋体" w:cs="宋体"/>
          <w:color w:val="auto"/>
          <w:highlight w:val="none"/>
        </w:rPr>
      </w:pPr>
      <w:bookmarkStart w:id="13" w:name="_Toc32681"/>
      <w:bookmarkStart w:id="14" w:name="_Toc14092"/>
      <w:r>
        <w:rPr>
          <w:rFonts w:hint="eastAsia" w:ascii="宋体" w:hAnsi="宋体" w:cs="宋体"/>
          <w:color w:val="auto"/>
          <w:highlight w:val="none"/>
        </w:rPr>
        <w:t>拟投入本项目人员一览表</w:t>
      </w:r>
      <w:bookmarkEnd w:id="13"/>
      <w:bookmarkEnd w:id="14"/>
    </w:p>
    <w:p w14:paraId="3E481D40">
      <w:pPr>
        <w:widowControl/>
        <w:adjustRightInd w:val="0"/>
        <w:spacing w:line="440" w:lineRule="exact"/>
        <w:jc w:val="center"/>
        <w:rPr>
          <w:rFonts w:ascii="宋体" w:hAnsi="宋体" w:cs="宋体"/>
          <w:b/>
          <w:bCs/>
          <w:color w:val="auto"/>
          <w:szCs w:val="21"/>
          <w:highlight w:val="none"/>
        </w:rPr>
      </w:pPr>
    </w:p>
    <w:p w14:paraId="0A79AF36">
      <w:pPr>
        <w:widowControl/>
        <w:adjustRightInd w:val="0"/>
        <w:spacing w:line="440" w:lineRule="exact"/>
        <w:rPr>
          <w:rFonts w:ascii="宋体" w:hAnsi="宋体" w:cs="宋体"/>
          <w:color w:val="auto"/>
          <w:szCs w:val="21"/>
          <w:highlight w:val="none"/>
        </w:rPr>
      </w:pPr>
      <w:r>
        <w:rPr>
          <w:rFonts w:hint="eastAsia" w:ascii="宋体" w:hAnsi="宋体" w:cs="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593"/>
        <w:gridCol w:w="1003"/>
        <w:gridCol w:w="738"/>
        <w:gridCol w:w="791"/>
        <w:gridCol w:w="1270"/>
        <w:gridCol w:w="1039"/>
        <w:gridCol w:w="1142"/>
        <w:gridCol w:w="984"/>
        <w:gridCol w:w="949"/>
        <w:gridCol w:w="951"/>
      </w:tblGrid>
      <w:tr w14:paraId="76A5FD6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C8EACC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6F406448">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5A568DA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B59DCF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0ED3B0B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11DE3223">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4147E3E">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0841238B">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002F91A9">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8521237">
            <w:pPr>
              <w:widowControl/>
              <w:adjustRightInd w:val="0"/>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5BB925C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AB8CF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72E2886">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0698ED9">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FBB1C90">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DC19D6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E7E88FA">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AA18C0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A379A5">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15A1923">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6BE8B36">
            <w:pPr>
              <w:widowControl/>
              <w:adjustRightInd w:val="0"/>
              <w:rPr>
                <w:rFonts w:ascii="宋体" w:hAnsi="宋体" w:cs="宋体"/>
                <w:color w:val="auto"/>
                <w:szCs w:val="21"/>
                <w:highlight w:val="none"/>
              </w:rPr>
            </w:pPr>
          </w:p>
        </w:tc>
      </w:tr>
      <w:tr w14:paraId="2A4D1FB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FF4DB6">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6E2B2B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37D2156">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5D2BFF8">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F3FA5E">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2DAE5A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D1E8C5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16F436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8C5782C">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E28C28A">
            <w:pPr>
              <w:widowControl/>
              <w:adjustRightInd w:val="0"/>
              <w:rPr>
                <w:rFonts w:ascii="宋体" w:hAnsi="宋体" w:cs="宋体"/>
                <w:color w:val="auto"/>
                <w:szCs w:val="21"/>
                <w:highlight w:val="none"/>
              </w:rPr>
            </w:pPr>
          </w:p>
        </w:tc>
      </w:tr>
      <w:tr w14:paraId="321B4D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D668DB">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A6EBBF7">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C0CC50B">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2704FD">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6F05DC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2B95D48">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C6D994D">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C154E2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B7D5A88">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9BC8266">
            <w:pPr>
              <w:widowControl/>
              <w:adjustRightInd w:val="0"/>
              <w:rPr>
                <w:rFonts w:ascii="宋体" w:hAnsi="宋体" w:cs="宋体"/>
                <w:color w:val="auto"/>
                <w:szCs w:val="21"/>
                <w:highlight w:val="none"/>
              </w:rPr>
            </w:pPr>
          </w:p>
        </w:tc>
      </w:tr>
      <w:tr w14:paraId="24CBD90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DED3C6">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78A7B79">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01D3450">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2E96603">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C893332">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37D7254">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5F600E">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51DD2F8">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8E2A49E">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674BE4B">
            <w:pPr>
              <w:widowControl/>
              <w:adjustRightInd w:val="0"/>
              <w:rPr>
                <w:rFonts w:ascii="宋体" w:hAnsi="宋体" w:cs="宋体"/>
                <w:color w:val="auto"/>
                <w:szCs w:val="21"/>
                <w:highlight w:val="none"/>
              </w:rPr>
            </w:pPr>
          </w:p>
        </w:tc>
      </w:tr>
      <w:tr w14:paraId="52A75B4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6081D8E">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7998721">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B34503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A4B8C4F">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0A9DD5">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F5941F5">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568E9D3">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4A2192B">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8BB08A7">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6209B72">
            <w:pPr>
              <w:widowControl/>
              <w:adjustRightInd w:val="0"/>
              <w:rPr>
                <w:rFonts w:ascii="宋体" w:hAnsi="宋体" w:cs="宋体"/>
                <w:color w:val="auto"/>
                <w:szCs w:val="21"/>
                <w:highlight w:val="none"/>
              </w:rPr>
            </w:pPr>
          </w:p>
        </w:tc>
      </w:tr>
      <w:tr w14:paraId="0539F24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3A1B6B5">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65B5F94">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21EB66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74BCDC2">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D649E37">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C330479">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9951FAB">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7B1083D">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B7EE52">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702E74">
            <w:pPr>
              <w:widowControl/>
              <w:adjustRightInd w:val="0"/>
              <w:rPr>
                <w:rFonts w:ascii="宋体" w:hAnsi="宋体" w:cs="宋体"/>
                <w:color w:val="auto"/>
                <w:szCs w:val="21"/>
                <w:highlight w:val="none"/>
              </w:rPr>
            </w:pPr>
          </w:p>
        </w:tc>
      </w:tr>
      <w:tr w14:paraId="5C92717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E05EDA">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1EBBE8D">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81ABD84">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5ADFBA5">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86E90E1">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1D0E16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59F9C11">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8A922DF">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FD63A4">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3C340B6">
            <w:pPr>
              <w:widowControl/>
              <w:adjustRightInd w:val="0"/>
              <w:rPr>
                <w:rFonts w:ascii="宋体" w:hAnsi="宋体" w:cs="宋体"/>
                <w:color w:val="auto"/>
                <w:szCs w:val="21"/>
                <w:highlight w:val="none"/>
              </w:rPr>
            </w:pPr>
          </w:p>
        </w:tc>
      </w:tr>
      <w:tr w14:paraId="6669C2F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C4B43D8">
            <w:pPr>
              <w:widowControl/>
              <w:adjustRightInd w:val="0"/>
              <w:rPr>
                <w:rFonts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2B617B2">
            <w:pPr>
              <w:widowControl/>
              <w:adjustRightInd w:val="0"/>
              <w:rPr>
                <w:rFonts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BBB8FBE">
            <w:pPr>
              <w:widowControl/>
              <w:adjustRightInd w:val="0"/>
              <w:rPr>
                <w:rFonts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A8E9A08">
            <w:pPr>
              <w:widowControl/>
              <w:adjustRightInd w:val="0"/>
              <w:rPr>
                <w:rFonts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DCC04D">
            <w:pPr>
              <w:widowControl/>
              <w:adjustRightInd w:val="0"/>
              <w:rPr>
                <w:rFonts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5E4D12E">
            <w:pPr>
              <w:widowControl/>
              <w:adjustRightInd w:val="0"/>
              <w:rPr>
                <w:rFonts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7FB796F">
            <w:pPr>
              <w:widowControl/>
              <w:adjustRightInd w:val="0"/>
              <w:rPr>
                <w:rFonts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64DD540">
            <w:pPr>
              <w:widowControl/>
              <w:adjustRightInd w:val="0"/>
              <w:rPr>
                <w:rFonts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D2F5DEA">
            <w:pPr>
              <w:widowControl/>
              <w:adjustRightInd w:val="0"/>
              <w:rPr>
                <w:rFonts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66AB105">
            <w:pPr>
              <w:widowControl/>
              <w:adjustRightInd w:val="0"/>
              <w:rPr>
                <w:rFonts w:ascii="宋体" w:hAnsi="宋体" w:cs="宋体"/>
                <w:color w:val="auto"/>
                <w:szCs w:val="21"/>
                <w:highlight w:val="none"/>
              </w:rPr>
            </w:pPr>
          </w:p>
        </w:tc>
      </w:tr>
    </w:tbl>
    <w:p w14:paraId="1F27B9B0">
      <w:pPr>
        <w:widowControl/>
        <w:adjustRightInd w:val="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供应商名称：</w:t>
      </w:r>
      <w:r>
        <w:rPr>
          <w:rFonts w:hint="eastAsia" w:ascii="宋体" w:hAnsi="宋体" w:cs="宋体"/>
          <w:color w:val="auto"/>
          <w:sz w:val="24"/>
          <w:szCs w:val="21"/>
          <w:highlight w:val="none"/>
          <w:u w:val="single"/>
        </w:rPr>
        <w:t>                  </w:t>
      </w:r>
      <w:r>
        <w:rPr>
          <w:rFonts w:hint="eastAsia" w:ascii="宋体" w:hAnsi="宋体" w:cs="宋体"/>
          <w:color w:val="auto"/>
          <w:sz w:val="24"/>
          <w:szCs w:val="21"/>
          <w:highlight w:val="none"/>
        </w:rPr>
        <w:t>（公章）</w:t>
      </w:r>
    </w:p>
    <w:p w14:paraId="22DD3BCA">
      <w:pPr>
        <w:pStyle w:val="22"/>
        <w:rPr>
          <w:rFonts w:hAnsi="宋体" w:cs="宋体"/>
          <w:color w:val="auto"/>
          <w:szCs w:val="21"/>
          <w:highlight w:val="none"/>
        </w:rPr>
      </w:pPr>
    </w:p>
    <w:p w14:paraId="01ADBC03">
      <w:pPr>
        <w:pStyle w:val="18"/>
        <w:widowControl/>
        <w:ind w:firstLine="482"/>
        <w:rPr>
          <w:rFonts w:ascii="宋体" w:hAnsi="宋体" w:cs="宋体"/>
          <w:b/>
          <w:color w:val="auto"/>
          <w:highlight w:val="none"/>
        </w:rPr>
      </w:pPr>
      <w:r>
        <w:rPr>
          <w:rFonts w:hint="eastAsia" w:ascii="宋体" w:hAnsi="宋体" w:cs="宋体"/>
          <w:b/>
          <w:color w:val="auto"/>
          <w:highlight w:val="none"/>
        </w:rPr>
        <w:t>说明：如果行数不够，请自行增加。</w:t>
      </w:r>
    </w:p>
    <w:p w14:paraId="43FFDD94">
      <w:pPr>
        <w:spacing w:line="240" w:lineRule="atLeast"/>
        <w:rPr>
          <w:rFonts w:ascii="宋体" w:hAnsi="宋体" w:cs="宋体"/>
          <w:b/>
          <w:color w:val="auto"/>
          <w:highlight w:val="none"/>
        </w:rPr>
      </w:pPr>
    </w:p>
    <w:p w14:paraId="2FB915F6">
      <w:pPr>
        <w:rPr>
          <w:rFonts w:ascii="宋体" w:hAnsi="宋体" w:cs="宋体"/>
          <w:b/>
          <w:color w:val="auto"/>
          <w:highlight w:val="none"/>
        </w:rPr>
      </w:pPr>
      <w:r>
        <w:rPr>
          <w:rFonts w:hint="eastAsia" w:ascii="宋体" w:hAnsi="宋体" w:cs="宋体"/>
          <w:b/>
          <w:color w:val="auto"/>
          <w:highlight w:val="none"/>
        </w:rPr>
        <w:br w:type="page"/>
      </w:r>
    </w:p>
    <w:p w14:paraId="27DC2A49">
      <w:pPr>
        <w:pStyle w:val="261"/>
        <w:rPr>
          <w:rFonts w:ascii="宋体" w:hAnsi="宋体" w:eastAsia="宋体" w:cs="宋体"/>
          <w:color w:val="auto"/>
          <w:highlight w:val="none"/>
        </w:rPr>
      </w:pPr>
      <w:r>
        <w:rPr>
          <w:rFonts w:hint="eastAsia" w:ascii="宋体" w:hAnsi="宋体" w:eastAsia="宋体" w:cs="宋体"/>
          <w:color w:val="auto"/>
          <w:highlight w:val="none"/>
        </w:rPr>
        <w:t>目录十、响应需要的其他证明文件及材料</w:t>
      </w:r>
    </w:p>
    <w:p w14:paraId="3EA120B9">
      <w:pPr>
        <w:spacing w:line="240" w:lineRule="atLeast"/>
        <w:rPr>
          <w:rFonts w:ascii="宋体" w:hAnsi="宋体" w:cs="宋体"/>
          <w:b/>
          <w:color w:val="auto"/>
          <w:highlight w:val="none"/>
        </w:rPr>
      </w:pPr>
    </w:p>
    <w:p w14:paraId="5E1FAA4D">
      <w:pPr>
        <w:spacing w:line="240" w:lineRule="atLeast"/>
        <w:rPr>
          <w:rFonts w:ascii="宋体" w:hAnsi="宋体" w:cs="宋体"/>
          <w:b/>
          <w:color w:val="auto"/>
          <w:highlight w:val="none"/>
        </w:rPr>
      </w:pPr>
    </w:p>
    <w:p w14:paraId="1124B37A">
      <w:pPr>
        <w:pStyle w:val="265"/>
        <w:rPr>
          <w:color w:val="auto"/>
          <w:highlight w:val="none"/>
        </w:rPr>
      </w:pPr>
      <w:r>
        <w:rPr>
          <w:rFonts w:hint="eastAsia"/>
          <w:color w:val="auto"/>
          <w:highlight w:val="none"/>
        </w:rPr>
        <w:t>响应需要的其他证明文件及材料（若有）</w:t>
      </w:r>
    </w:p>
    <w:p w14:paraId="6EB182D0">
      <w:pPr>
        <w:rPr>
          <w:rFonts w:ascii="宋体" w:hAnsi="宋体" w:cs="宋体"/>
          <w:b/>
          <w:color w:val="auto"/>
          <w:highlight w:val="none"/>
        </w:rPr>
      </w:pPr>
      <w:r>
        <w:rPr>
          <w:rFonts w:hint="eastAsia" w:ascii="宋体" w:hAnsi="宋体" w:cs="宋体"/>
          <w:b/>
          <w:color w:val="auto"/>
          <w:highlight w:val="none"/>
        </w:rPr>
        <w:br w:type="page"/>
      </w:r>
    </w:p>
    <w:p w14:paraId="466F27E3">
      <w:pPr>
        <w:pStyle w:val="260"/>
        <w:rPr>
          <w:rFonts w:ascii="宋体" w:hAnsi="宋体" w:cs="宋体"/>
          <w:color w:val="auto"/>
          <w:highlight w:val="none"/>
        </w:rPr>
      </w:pPr>
      <w:r>
        <w:rPr>
          <w:rFonts w:hint="eastAsia" w:ascii="宋体" w:hAnsi="宋体" w:cs="宋体"/>
          <w:color w:val="auto"/>
          <w:highlight w:val="none"/>
        </w:rPr>
        <w:t>附件一、无重大违法记录声明格式</w:t>
      </w:r>
    </w:p>
    <w:p w14:paraId="660A1155">
      <w:pPr>
        <w:adjustRightInd w:val="0"/>
        <w:spacing w:line="240" w:lineRule="atLeast"/>
        <w:rPr>
          <w:rFonts w:ascii="宋体" w:hAnsi="宋体" w:cs="宋体"/>
          <w:b/>
          <w:color w:val="auto"/>
          <w:highlight w:val="none"/>
        </w:rPr>
      </w:pPr>
    </w:p>
    <w:p w14:paraId="183BA9DB">
      <w:pPr>
        <w:pStyle w:val="265"/>
        <w:rPr>
          <w:color w:val="auto"/>
          <w:highlight w:val="none"/>
        </w:rPr>
      </w:pPr>
      <w:r>
        <w:rPr>
          <w:rFonts w:hint="eastAsia"/>
          <w:color w:val="auto"/>
          <w:highlight w:val="none"/>
        </w:rPr>
        <w:t>无重大违法记录声明</w:t>
      </w:r>
    </w:p>
    <w:p w14:paraId="3990076B">
      <w:pPr>
        <w:spacing w:line="360" w:lineRule="auto"/>
        <w:rPr>
          <w:rFonts w:ascii="宋体" w:hAnsi="宋体" w:cs="宋体"/>
          <w:color w:val="auto"/>
          <w:highlight w:val="none"/>
        </w:rPr>
      </w:pPr>
    </w:p>
    <w:p w14:paraId="5510D10D">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6D3996F4">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w:t>
      </w:r>
    </w:p>
    <w:p w14:paraId="4B004B4F">
      <w:pPr>
        <w:pStyle w:val="18"/>
        <w:ind w:firstLine="480"/>
        <w:rPr>
          <w:rFonts w:ascii="宋体" w:hAnsi="宋体" w:cs="宋体"/>
          <w:color w:val="auto"/>
          <w:highlight w:val="none"/>
        </w:rPr>
      </w:pPr>
      <w:r>
        <w:rPr>
          <w:rFonts w:hint="eastAsia" w:ascii="宋体" w:hAnsi="宋体" w:cs="宋体"/>
          <w:color w:val="auto"/>
          <w:highlight w:val="none"/>
        </w:rPr>
        <w:t>参加采购活动前3年内在经营活动中</w:t>
      </w:r>
      <w:r>
        <w:rPr>
          <w:rFonts w:hint="eastAsia" w:ascii="宋体" w:hAnsi="宋体" w:cs="宋体"/>
          <w:color w:val="auto"/>
          <w:highlight w:val="none"/>
          <w:u w:val="single"/>
        </w:rPr>
        <w:t xml:space="preserve">     没有     </w:t>
      </w:r>
      <w:r>
        <w:rPr>
          <w:rFonts w:hint="eastAsia" w:ascii="宋体" w:hAnsi="宋体" w:cs="宋体"/>
          <w:color w:val="auto"/>
          <w:highlight w:val="none"/>
        </w:rPr>
        <w:t>（在下划线上如实填写：有或没有）重大违法记录。</w:t>
      </w:r>
    </w:p>
    <w:p w14:paraId="1CAF8CCB">
      <w:pPr>
        <w:pStyle w:val="18"/>
        <w:ind w:firstLine="480"/>
        <w:rPr>
          <w:rFonts w:ascii="宋体" w:hAnsi="宋体" w:cs="宋体"/>
          <w:color w:val="auto"/>
          <w:highlight w:val="none"/>
        </w:rPr>
      </w:pPr>
      <w:r>
        <w:rPr>
          <w:rFonts w:hint="eastAsia" w:ascii="宋体" w:hAnsi="宋体" w:cs="宋体"/>
          <w:color w:val="auto"/>
          <w:highlight w:val="none"/>
        </w:rPr>
        <w:t>（说明：所称重大违法记录，是指供应商因违法经营受到刑事处罚或者责令停产停业、吊销许可证或者执照、较大数额罚款等行政处罚。）</w:t>
      </w:r>
    </w:p>
    <w:p w14:paraId="6C1D7551">
      <w:pPr>
        <w:spacing w:line="360" w:lineRule="auto"/>
        <w:rPr>
          <w:rFonts w:ascii="宋体" w:hAnsi="宋体" w:cs="宋体"/>
          <w:color w:val="auto"/>
          <w:sz w:val="24"/>
          <w:szCs w:val="24"/>
          <w:highlight w:val="none"/>
        </w:rPr>
      </w:pPr>
    </w:p>
    <w:p w14:paraId="1617ACF1">
      <w:pPr>
        <w:spacing w:line="360" w:lineRule="auto"/>
        <w:rPr>
          <w:rFonts w:ascii="宋体" w:hAnsi="宋体" w:cs="宋体"/>
          <w:color w:val="auto"/>
          <w:sz w:val="24"/>
          <w:szCs w:val="24"/>
          <w:highlight w:val="none"/>
        </w:rPr>
      </w:pPr>
    </w:p>
    <w:p w14:paraId="5717210D">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声明人（公章）：</w:t>
      </w:r>
    </w:p>
    <w:p w14:paraId="2B1AFDCA">
      <w:pPr>
        <w:spacing w:line="360" w:lineRule="auto"/>
        <w:ind w:firstLine="6000" w:firstLineChars="25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3AA1A01F">
      <w:pPr>
        <w:pStyle w:val="43"/>
        <w:ind w:left="0" w:leftChars="0" w:firstLine="0" w:firstLineChars="0"/>
        <w:rPr>
          <w:rFonts w:cs="宋体"/>
          <w:color w:val="auto"/>
          <w:highlight w:val="none"/>
        </w:rPr>
      </w:pPr>
    </w:p>
    <w:p w14:paraId="04BD2F1F">
      <w:pPr>
        <w:rPr>
          <w:rFonts w:ascii="宋体" w:hAnsi="宋体" w:cs="宋体"/>
          <w:color w:val="auto"/>
          <w:highlight w:val="none"/>
        </w:rPr>
      </w:pPr>
    </w:p>
    <w:p w14:paraId="1AC0678C">
      <w:pPr>
        <w:spacing w:line="360" w:lineRule="auto"/>
        <w:rPr>
          <w:rFonts w:ascii="宋体" w:hAnsi="宋体" w:cs="宋体"/>
          <w:b/>
          <w:color w:val="auto"/>
          <w:highlight w:val="none"/>
        </w:rPr>
      </w:pPr>
    </w:p>
    <w:p w14:paraId="01DB3E8F">
      <w:pPr>
        <w:pStyle w:val="260"/>
        <w:rPr>
          <w:rFonts w:ascii="宋体" w:hAnsi="宋体" w:cs="宋体"/>
          <w:color w:val="auto"/>
          <w:highlight w:val="none"/>
        </w:rPr>
      </w:pPr>
      <w:r>
        <w:rPr>
          <w:rFonts w:hint="eastAsia" w:ascii="宋体" w:hAnsi="宋体" w:cs="宋体"/>
          <w:color w:val="auto"/>
          <w:highlight w:val="none"/>
        </w:rPr>
        <w:t>附件二、具备履行合同所必需的设备和专业技术能力的声明格式或证明材料</w:t>
      </w:r>
    </w:p>
    <w:p w14:paraId="2DDF1F2A">
      <w:pPr>
        <w:pStyle w:val="265"/>
        <w:rPr>
          <w:color w:val="auto"/>
          <w:highlight w:val="none"/>
        </w:rPr>
      </w:pPr>
      <w:r>
        <w:rPr>
          <w:rFonts w:hint="eastAsia"/>
          <w:color w:val="auto"/>
          <w:highlight w:val="none"/>
        </w:rPr>
        <w:t>具备履行合同所必需的设备和专业技术能力的声明</w:t>
      </w:r>
    </w:p>
    <w:p w14:paraId="1C561276">
      <w:pPr>
        <w:pStyle w:val="18"/>
        <w:ind w:firstLine="0" w:firstLineChars="0"/>
        <w:rPr>
          <w:rFonts w:ascii="宋体" w:hAnsi="宋体" w:cs="宋体"/>
          <w:color w:val="auto"/>
          <w:highlight w:val="none"/>
        </w:rPr>
      </w:pPr>
      <w:r>
        <w:rPr>
          <w:rFonts w:hint="eastAsia" w:ascii="宋体" w:hAnsi="宋体" w:cs="宋体"/>
          <w:color w:val="auto"/>
          <w:highlight w:val="none"/>
        </w:rPr>
        <w:t>致：（采购人）</w:t>
      </w:r>
    </w:p>
    <w:p w14:paraId="45E2299E">
      <w:pPr>
        <w:pStyle w:val="18"/>
        <w:ind w:firstLine="480"/>
        <w:rPr>
          <w:rFonts w:ascii="宋体" w:hAnsi="宋体" w:cs="宋体"/>
          <w:color w:val="auto"/>
          <w:highlight w:val="none"/>
        </w:rPr>
      </w:pPr>
      <w:r>
        <w:rPr>
          <w:rFonts w:hint="eastAsia" w:ascii="宋体" w:hAnsi="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7457EB24">
      <w:pPr>
        <w:pStyle w:val="18"/>
        <w:ind w:firstLine="480"/>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18BBC731">
      <w:pPr>
        <w:pStyle w:val="18"/>
        <w:ind w:firstLine="480"/>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。（若有）</w:t>
      </w:r>
    </w:p>
    <w:p w14:paraId="35D87E63">
      <w:pPr>
        <w:spacing w:line="360" w:lineRule="auto"/>
        <w:rPr>
          <w:rFonts w:ascii="宋体" w:hAnsi="宋体" w:cs="宋体"/>
          <w:color w:val="auto"/>
          <w:sz w:val="24"/>
          <w:highlight w:val="none"/>
        </w:rPr>
      </w:pPr>
    </w:p>
    <w:p w14:paraId="1A8C99A9">
      <w:pPr>
        <w:spacing w:line="360" w:lineRule="auto"/>
        <w:rPr>
          <w:rFonts w:ascii="宋体" w:hAnsi="宋体" w:cs="宋体"/>
          <w:color w:val="auto"/>
          <w:sz w:val="24"/>
          <w:highlight w:val="none"/>
        </w:rPr>
      </w:pPr>
    </w:p>
    <w:p w14:paraId="3F99F65B">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声明人（公章）：</w:t>
      </w:r>
    </w:p>
    <w:p w14:paraId="25B9279E">
      <w:pPr>
        <w:spacing w:line="360" w:lineRule="auto"/>
        <w:ind w:firstLine="6000" w:firstLineChars="2500"/>
        <w:rPr>
          <w:rFonts w:ascii="宋体" w:hAnsi="宋体" w:cs="宋体"/>
          <w:color w:val="auto"/>
          <w:sz w:val="24"/>
          <w:highlight w:val="none"/>
        </w:rPr>
      </w:pPr>
      <w:r>
        <w:rPr>
          <w:rFonts w:hint="eastAsia" w:ascii="宋体" w:hAnsi="宋体" w:cs="宋体"/>
          <w:color w:val="auto"/>
          <w:sz w:val="24"/>
          <w:highlight w:val="none"/>
        </w:rPr>
        <w:t>日期：     年    月    日</w:t>
      </w:r>
    </w:p>
    <w:p w14:paraId="2A382BA4">
      <w:pPr>
        <w:rPr>
          <w:rFonts w:ascii="宋体" w:hAnsi="宋体" w:cs="宋体"/>
          <w:color w:val="auto"/>
          <w:sz w:val="24"/>
          <w:highlight w:val="none"/>
        </w:rPr>
      </w:pPr>
      <w:r>
        <w:rPr>
          <w:rFonts w:hint="eastAsia" w:ascii="宋体" w:hAnsi="宋体" w:cs="宋体"/>
          <w:color w:val="auto"/>
          <w:sz w:val="24"/>
          <w:highlight w:val="none"/>
        </w:rPr>
        <w:br w:type="page"/>
      </w:r>
    </w:p>
    <w:p w14:paraId="6112CE77">
      <w:pPr>
        <w:spacing w:line="360" w:lineRule="auto"/>
        <w:ind w:firstLine="6000" w:firstLineChars="2500"/>
        <w:rPr>
          <w:rFonts w:ascii="宋体" w:hAnsi="宋体" w:cs="宋体"/>
          <w:color w:val="auto"/>
          <w:sz w:val="24"/>
          <w:highlight w:val="none"/>
        </w:rPr>
      </w:pPr>
    </w:p>
    <w:p w14:paraId="24810252">
      <w:pPr>
        <w:pStyle w:val="260"/>
        <w:rPr>
          <w:rFonts w:ascii="宋体" w:hAnsi="宋体" w:cs="宋体"/>
          <w:color w:val="auto"/>
          <w:highlight w:val="none"/>
        </w:rPr>
      </w:pPr>
      <w:r>
        <w:rPr>
          <w:rFonts w:hint="eastAsia" w:ascii="宋体" w:hAnsi="宋体" w:cs="宋体"/>
          <w:color w:val="auto"/>
          <w:highlight w:val="none"/>
        </w:rPr>
        <w:t>附件三、承诺书</w:t>
      </w:r>
    </w:p>
    <w:p w14:paraId="4A5709C9">
      <w:pPr>
        <w:spacing w:line="360" w:lineRule="auto"/>
        <w:rPr>
          <w:rFonts w:ascii="宋体" w:hAnsi="宋体" w:cs="宋体"/>
          <w:color w:val="auto"/>
          <w:sz w:val="24"/>
          <w:highlight w:val="none"/>
        </w:rPr>
      </w:pPr>
      <w:r>
        <w:rPr>
          <w:rFonts w:hint="eastAsia" w:ascii="宋体" w:hAnsi="宋体" w:cs="宋体"/>
          <w:color w:val="auto"/>
          <w:sz w:val="24"/>
          <w:highlight w:val="none"/>
        </w:rPr>
        <w:t>致：（采购人）</w:t>
      </w:r>
    </w:p>
    <w:p w14:paraId="18FBFD32">
      <w:pPr>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我单位（供应商名称）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承诺：</w:t>
      </w:r>
    </w:p>
    <w:p w14:paraId="3E6AD4CB">
      <w:pPr>
        <w:adjustRightInd w:val="0"/>
        <w:spacing w:line="360" w:lineRule="auto"/>
        <w:ind w:firstLine="480" w:firstLineChars="200"/>
        <w:rPr>
          <w:rFonts w:ascii="宋体" w:hAnsi="宋体" w:cs="宋体"/>
          <w:color w:val="auto"/>
          <w:sz w:val="24"/>
          <w:highlight w:val="none"/>
        </w:rPr>
      </w:pPr>
    </w:p>
    <w:p w14:paraId="52E466F5">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承诺人（公章）：</w:t>
      </w:r>
    </w:p>
    <w:p w14:paraId="45D47C89">
      <w:pPr>
        <w:adjustRightInd w:val="0"/>
        <w:spacing w:line="360" w:lineRule="auto"/>
        <w:ind w:firstLine="6480" w:firstLineChars="2700"/>
        <w:rPr>
          <w:rFonts w:ascii="宋体" w:hAnsi="宋体" w:cs="宋体"/>
          <w:color w:val="auto"/>
          <w:sz w:val="24"/>
          <w:highlight w:val="none"/>
        </w:rPr>
      </w:pPr>
      <w:r>
        <w:rPr>
          <w:rFonts w:hint="eastAsia" w:ascii="宋体" w:hAnsi="宋体" w:cs="宋体"/>
          <w:color w:val="auto"/>
          <w:sz w:val="24"/>
          <w:highlight w:val="none"/>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 w:name="楷体_GB2312">
    <w:altName w:val="楷体"/>
    <w:panose1 w:val="02010609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99B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78D4153">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78D4153">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6CF36">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2">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3">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4">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5">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6">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9">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0">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00000003"/>
    <w:multiLevelType w:val="multilevel"/>
    <w:tmpl w:val="00000003"/>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00000004"/>
    <w:multiLevelType w:val="multilevel"/>
    <w:tmpl w:val="0000000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08"/>
    <w:multiLevelType w:val="singleLevel"/>
    <w:tmpl w:val="00000008"/>
    <w:lvl w:ilvl="0" w:tentative="0">
      <w:start w:val="1"/>
      <w:numFmt w:val="decimal"/>
      <w:suff w:val="nothing"/>
      <w:lvlText w:val="（%1）"/>
      <w:lvlJc w:val="left"/>
    </w:lvl>
  </w:abstractNum>
  <w:abstractNum w:abstractNumId="34">
    <w:nsid w:val="0000000E"/>
    <w:multiLevelType w:val="multilevel"/>
    <w:tmpl w:val="0000000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0000000F"/>
    <w:multiLevelType w:val="multilevel"/>
    <w:tmpl w:val="0000000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00000010"/>
    <w:multiLevelType w:val="multilevel"/>
    <w:tmpl w:val="0000001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00000011"/>
    <w:multiLevelType w:val="multilevel"/>
    <w:tmpl w:val="00000011"/>
    <w:lvl w:ilvl="0" w:tentative="0">
      <w:start w:val="1"/>
      <w:numFmt w:val="decimal"/>
      <w:lvlText w:val="%1、"/>
      <w:lvlJc w:val="left"/>
      <w:pPr>
        <w:ind w:left="360" w:hanging="360"/>
      </w:pPr>
      <w:rPr>
        <w:rFonts w:hint="default" w:ascii="Calibri" w:hAnsi="Calibr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00000012"/>
    <w:multiLevelType w:val="multilevel"/>
    <w:tmpl w:val="00000012"/>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0000015"/>
    <w:multiLevelType w:val="multilevel"/>
    <w:tmpl w:val="0000001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1">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2">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3">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4">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5">
    <w:nsid w:val="1E71821B"/>
    <w:multiLevelType w:val="singleLevel"/>
    <w:tmpl w:val="1E71821B"/>
    <w:lvl w:ilvl="0" w:tentative="0">
      <w:start w:val="1"/>
      <w:numFmt w:val="decimal"/>
      <w:suff w:val="nothing"/>
      <w:lvlText w:val="%1、"/>
      <w:lvlJc w:val="left"/>
      <w:pPr>
        <w:ind w:left="-56" w:firstLine="480"/>
      </w:pPr>
      <w:rPr>
        <w:rFonts w:hint="default"/>
        <w:color w:val="auto"/>
      </w:rPr>
    </w:lvl>
  </w:abstractNum>
  <w:abstractNum w:abstractNumId="46">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7">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8">
    <w:nsid w:val="318533B0"/>
    <w:multiLevelType w:val="singleLevel"/>
    <w:tmpl w:val="318533B0"/>
    <w:lvl w:ilvl="0" w:tentative="0">
      <w:start w:val="4"/>
      <w:numFmt w:val="chineseCounting"/>
      <w:suff w:val="space"/>
      <w:lvlText w:val="第%1章"/>
      <w:lvlJc w:val="left"/>
      <w:rPr>
        <w:rFonts w:hint="eastAsia"/>
      </w:rPr>
    </w:lvl>
  </w:abstractNum>
  <w:abstractNum w:abstractNumId="49">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0">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1">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2">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3">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4">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5">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2"/>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7">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8">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9">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0">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1">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62">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3">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4">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5">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5"/>
  </w:num>
  <w:num w:numId="2">
    <w:abstractNumId w:val="12"/>
  </w:num>
  <w:num w:numId="3">
    <w:abstractNumId w:val="45"/>
  </w:num>
  <w:num w:numId="4">
    <w:abstractNumId w:val="64"/>
  </w:num>
  <w:num w:numId="5">
    <w:abstractNumId w:val="61"/>
  </w:num>
  <w:num w:numId="6">
    <w:abstractNumId w:val="41"/>
  </w:num>
  <w:num w:numId="7">
    <w:abstractNumId w:val="19"/>
  </w:num>
  <w:num w:numId="8">
    <w:abstractNumId w:val="51"/>
  </w:num>
  <w:num w:numId="9">
    <w:abstractNumId w:val="47"/>
  </w:num>
  <w:num w:numId="10">
    <w:abstractNumId w:val="8"/>
  </w:num>
  <w:num w:numId="11">
    <w:abstractNumId w:val="15"/>
  </w:num>
  <w:num w:numId="12">
    <w:abstractNumId w:val="54"/>
  </w:num>
  <w:num w:numId="13">
    <w:abstractNumId w:val="65"/>
  </w:num>
  <w:num w:numId="14">
    <w:abstractNumId w:val="11"/>
  </w:num>
  <w:num w:numId="15">
    <w:abstractNumId w:val="62"/>
  </w:num>
  <w:num w:numId="16">
    <w:abstractNumId w:val="46"/>
  </w:num>
  <w:num w:numId="17">
    <w:abstractNumId w:val="60"/>
  </w:num>
  <w:num w:numId="18">
    <w:abstractNumId w:val="49"/>
  </w:num>
  <w:num w:numId="19">
    <w:abstractNumId w:val="40"/>
  </w:num>
  <w:num w:numId="20">
    <w:abstractNumId w:val="44"/>
  </w:num>
  <w:num w:numId="21">
    <w:abstractNumId w:val="13"/>
  </w:num>
  <w:num w:numId="22">
    <w:abstractNumId w:val="23"/>
  </w:num>
  <w:num w:numId="23">
    <w:abstractNumId w:val="29"/>
  </w:num>
  <w:num w:numId="24">
    <w:abstractNumId w:val="52"/>
  </w:num>
  <w:num w:numId="25">
    <w:abstractNumId w:val="25"/>
  </w:num>
  <w:num w:numId="26">
    <w:abstractNumId w:val="6"/>
  </w:num>
  <w:num w:numId="27">
    <w:abstractNumId w:val="53"/>
  </w:num>
  <w:num w:numId="28">
    <w:abstractNumId w:val="14"/>
  </w:num>
  <w:num w:numId="29">
    <w:abstractNumId w:val="2"/>
  </w:num>
  <w:num w:numId="30">
    <w:abstractNumId w:val="56"/>
  </w:num>
  <w:num w:numId="31">
    <w:abstractNumId w:val="50"/>
  </w:num>
  <w:num w:numId="32">
    <w:abstractNumId w:val="42"/>
  </w:num>
  <w:num w:numId="33">
    <w:abstractNumId w:val="7"/>
  </w:num>
  <w:num w:numId="34">
    <w:abstractNumId w:val="43"/>
  </w:num>
  <w:num w:numId="35">
    <w:abstractNumId w:val="58"/>
  </w:num>
  <w:num w:numId="36">
    <w:abstractNumId w:val="57"/>
  </w:num>
  <w:num w:numId="37">
    <w:abstractNumId w:val="3"/>
  </w:num>
  <w:num w:numId="38">
    <w:abstractNumId w:val="26"/>
  </w:num>
  <w:num w:numId="39">
    <w:abstractNumId w:val="59"/>
  </w:num>
  <w:num w:numId="40">
    <w:abstractNumId w:val="22"/>
  </w:num>
  <w:num w:numId="41">
    <w:abstractNumId w:val="9"/>
  </w:num>
  <w:num w:numId="42">
    <w:abstractNumId w:val="4"/>
  </w:num>
  <w:num w:numId="43">
    <w:abstractNumId w:val="10"/>
  </w:num>
  <w:num w:numId="44">
    <w:abstractNumId w:val="27"/>
  </w:num>
  <w:num w:numId="45">
    <w:abstractNumId w:val="16"/>
  </w:num>
  <w:num w:numId="46">
    <w:abstractNumId w:val="24"/>
  </w:num>
  <w:num w:numId="47">
    <w:abstractNumId w:val="17"/>
  </w:num>
  <w:num w:numId="48">
    <w:abstractNumId w:val="63"/>
  </w:num>
  <w:num w:numId="49">
    <w:abstractNumId w:val="18"/>
  </w:num>
  <w:num w:numId="50">
    <w:abstractNumId w:val="21"/>
  </w:num>
  <w:num w:numId="51">
    <w:abstractNumId w:val="1"/>
  </w:num>
  <w:num w:numId="52">
    <w:abstractNumId w:val="5"/>
  </w:num>
  <w:num w:numId="53">
    <w:abstractNumId w:val="48"/>
  </w:num>
  <w:num w:numId="54">
    <w:abstractNumId w:val="38"/>
  </w:num>
  <w:num w:numId="55">
    <w:abstractNumId w:val="35"/>
  </w:num>
  <w:num w:numId="56">
    <w:abstractNumId w:val="36"/>
  </w:num>
  <w:num w:numId="57">
    <w:abstractNumId w:val="39"/>
  </w:num>
  <w:num w:numId="58">
    <w:abstractNumId w:val="32"/>
  </w:num>
  <w:num w:numId="59">
    <w:abstractNumId w:val="37"/>
  </w:num>
  <w:num w:numId="60">
    <w:abstractNumId w:val="30"/>
  </w:num>
  <w:num w:numId="61">
    <w:abstractNumId w:val="31"/>
  </w:num>
  <w:num w:numId="62">
    <w:abstractNumId w:val="34"/>
  </w:num>
  <w:num w:numId="63">
    <w:abstractNumId w:val="33"/>
  </w:num>
  <w:num w:numId="64">
    <w:abstractNumId w:val="0"/>
  </w:num>
  <w:num w:numId="65">
    <w:abstractNumId w:val="28"/>
  </w:num>
  <w:num w:numId="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44FEB"/>
    <w:rsid w:val="000467CD"/>
    <w:rsid w:val="000603A8"/>
    <w:rsid w:val="00072371"/>
    <w:rsid w:val="00077B10"/>
    <w:rsid w:val="0008213F"/>
    <w:rsid w:val="00086AA1"/>
    <w:rsid w:val="000A3089"/>
    <w:rsid w:val="000A342B"/>
    <w:rsid w:val="000A61ED"/>
    <w:rsid w:val="000A6973"/>
    <w:rsid w:val="000C4F86"/>
    <w:rsid w:val="000E0C2D"/>
    <w:rsid w:val="000F5611"/>
    <w:rsid w:val="00120A4B"/>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614C4"/>
    <w:rsid w:val="00270DD7"/>
    <w:rsid w:val="00271038"/>
    <w:rsid w:val="002A2707"/>
    <w:rsid w:val="002A3A54"/>
    <w:rsid w:val="002D20E2"/>
    <w:rsid w:val="002D223F"/>
    <w:rsid w:val="002D7D8E"/>
    <w:rsid w:val="002E05B3"/>
    <w:rsid w:val="002F2FEE"/>
    <w:rsid w:val="00300310"/>
    <w:rsid w:val="00301983"/>
    <w:rsid w:val="003033FC"/>
    <w:rsid w:val="0030478B"/>
    <w:rsid w:val="00307A95"/>
    <w:rsid w:val="00313589"/>
    <w:rsid w:val="003269B7"/>
    <w:rsid w:val="003345C0"/>
    <w:rsid w:val="00337CC0"/>
    <w:rsid w:val="00341E4E"/>
    <w:rsid w:val="00346C93"/>
    <w:rsid w:val="00354CDF"/>
    <w:rsid w:val="003567D1"/>
    <w:rsid w:val="00361D2E"/>
    <w:rsid w:val="00387F05"/>
    <w:rsid w:val="0039013E"/>
    <w:rsid w:val="003A766D"/>
    <w:rsid w:val="003B7A90"/>
    <w:rsid w:val="003C6156"/>
    <w:rsid w:val="003D0883"/>
    <w:rsid w:val="003D2072"/>
    <w:rsid w:val="003D59C2"/>
    <w:rsid w:val="0040250A"/>
    <w:rsid w:val="00411A2A"/>
    <w:rsid w:val="00421CCE"/>
    <w:rsid w:val="00423B77"/>
    <w:rsid w:val="004242F5"/>
    <w:rsid w:val="004526E8"/>
    <w:rsid w:val="00464986"/>
    <w:rsid w:val="00465C30"/>
    <w:rsid w:val="00484E24"/>
    <w:rsid w:val="004A5AF1"/>
    <w:rsid w:val="004A68BE"/>
    <w:rsid w:val="004B035C"/>
    <w:rsid w:val="004B4FB8"/>
    <w:rsid w:val="004B6B53"/>
    <w:rsid w:val="004D36B6"/>
    <w:rsid w:val="004E4EF1"/>
    <w:rsid w:val="004E7292"/>
    <w:rsid w:val="004F11AB"/>
    <w:rsid w:val="004F692A"/>
    <w:rsid w:val="005114F3"/>
    <w:rsid w:val="00520001"/>
    <w:rsid w:val="00522102"/>
    <w:rsid w:val="005277EE"/>
    <w:rsid w:val="00553C9B"/>
    <w:rsid w:val="00555045"/>
    <w:rsid w:val="00581E47"/>
    <w:rsid w:val="00585734"/>
    <w:rsid w:val="00597415"/>
    <w:rsid w:val="005A7CDA"/>
    <w:rsid w:val="005A7EF9"/>
    <w:rsid w:val="005B5295"/>
    <w:rsid w:val="005C5753"/>
    <w:rsid w:val="005D3AD4"/>
    <w:rsid w:val="005D6EF2"/>
    <w:rsid w:val="00607EC9"/>
    <w:rsid w:val="00636A37"/>
    <w:rsid w:val="0064295D"/>
    <w:rsid w:val="00662F68"/>
    <w:rsid w:val="0066551B"/>
    <w:rsid w:val="00667126"/>
    <w:rsid w:val="00674359"/>
    <w:rsid w:val="00680EDD"/>
    <w:rsid w:val="006A3027"/>
    <w:rsid w:val="006A66A9"/>
    <w:rsid w:val="006C4F85"/>
    <w:rsid w:val="006D41A7"/>
    <w:rsid w:val="006D79F2"/>
    <w:rsid w:val="006D7E45"/>
    <w:rsid w:val="006E0DF4"/>
    <w:rsid w:val="006E4E08"/>
    <w:rsid w:val="006F395E"/>
    <w:rsid w:val="00710EF7"/>
    <w:rsid w:val="0073289E"/>
    <w:rsid w:val="00733E26"/>
    <w:rsid w:val="00736626"/>
    <w:rsid w:val="007457F1"/>
    <w:rsid w:val="00745D46"/>
    <w:rsid w:val="00750D17"/>
    <w:rsid w:val="00751351"/>
    <w:rsid w:val="007530ED"/>
    <w:rsid w:val="00764880"/>
    <w:rsid w:val="0076676B"/>
    <w:rsid w:val="00785936"/>
    <w:rsid w:val="007862B4"/>
    <w:rsid w:val="00793D4A"/>
    <w:rsid w:val="00794A1C"/>
    <w:rsid w:val="00794F67"/>
    <w:rsid w:val="007A1BC7"/>
    <w:rsid w:val="007A3470"/>
    <w:rsid w:val="007A76D2"/>
    <w:rsid w:val="007B3277"/>
    <w:rsid w:val="007B7E2B"/>
    <w:rsid w:val="007C104D"/>
    <w:rsid w:val="007C7C89"/>
    <w:rsid w:val="007C7E0C"/>
    <w:rsid w:val="007E0FFC"/>
    <w:rsid w:val="008075B0"/>
    <w:rsid w:val="00813CC4"/>
    <w:rsid w:val="00815199"/>
    <w:rsid w:val="00817241"/>
    <w:rsid w:val="00830D14"/>
    <w:rsid w:val="00831BEC"/>
    <w:rsid w:val="0084180E"/>
    <w:rsid w:val="00842C4C"/>
    <w:rsid w:val="008537FF"/>
    <w:rsid w:val="00856E09"/>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50B15"/>
    <w:rsid w:val="00952900"/>
    <w:rsid w:val="00973A28"/>
    <w:rsid w:val="009879AD"/>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6842"/>
    <w:rsid w:val="00A9334D"/>
    <w:rsid w:val="00AA3CA0"/>
    <w:rsid w:val="00AB19D2"/>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454EB"/>
    <w:rsid w:val="00C674FF"/>
    <w:rsid w:val="00C71F96"/>
    <w:rsid w:val="00C752D4"/>
    <w:rsid w:val="00C9393E"/>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472D7"/>
    <w:rsid w:val="00F6031B"/>
    <w:rsid w:val="00F675BD"/>
    <w:rsid w:val="00F711DB"/>
    <w:rsid w:val="00FA066C"/>
    <w:rsid w:val="00FA08FD"/>
    <w:rsid w:val="00FA3C9F"/>
    <w:rsid w:val="00FD12B6"/>
    <w:rsid w:val="00FD3539"/>
    <w:rsid w:val="00FE24B2"/>
    <w:rsid w:val="00FF3C15"/>
    <w:rsid w:val="00FF4851"/>
    <w:rsid w:val="00FF70FB"/>
    <w:rsid w:val="00FF7ADF"/>
    <w:rsid w:val="012B64AF"/>
    <w:rsid w:val="01933E55"/>
    <w:rsid w:val="019C7059"/>
    <w:rsid w:val="01BF6469"/>
    <w:rsid w:val="01F114A6"/>
    <w:rsid w:val="027C6AB9"/>
    <w:rsid w:val="02DF21EF"/>
    <w:rsid w:val="0397607D"/>
    <w:rsid w:val="03C344A8"/>
    <w:rsid w:val="042C2C6A"/>
    <w:rsid w:val="045046FF"/>
    <w:rsid w:val="045773D4"/>
    <w:rsid w:val="047F24B6"/>
    <w:rsid w:val="04883FC9"/>
    <w:rsid w:val="052A4B26"/>
    <w:rsid w:val="054670C7"/>
    <w:rsid w:val="057069E3"/>
    <w:rsid w:val="05B80C59"/>
    <w:rsid w:val="05CB3586"/>
    <w:rsid w:val="060D10D2"/>
    <w:rsid w:val="063B3638"/>
    <w:rsid w:val="064063A0"/>
    <w:rsid w:val="064C395E"/>
    <w:rsid w:val="066C72D7"/>
    <w:rsid w:val="06BF706E"/>
    <w:rsid w:val="07612C2A"/>
    <w:rsid w:val="07B23486"/>
    <w:rsid w:val="07BA233A"/>
    <w:rsid w:val="07EF7321"/>
    <w:rsid w:val="08070A00"/>
    <w:rsid w:val="080C65F7"/>
    <w:rsid w:val="081335B8"/>
    <w:rsid w:val="088017D6"/>
    <w:rsid w:val="08823813"/>
    <w:rsid w:val="08A40BE4"/>
    <w:rsid w:val="08B07D72"/>
    <w:rsid w:val="091D123B"/>
    <w:rsid w:val="094A0A67"/>
    <w:rsid w:val="095D341A"/>
    <w:rsid w:val="096B4234"/>
    <w:rsid w:val="098053F7"/>
    <w:rsid w:val="09865C52"/>
    <w:rsid w:val="0A1318AA"/>
    <w:rsid w:val="0A1554BB"/>
    <w:rsid w:val="0A170B9C"/>
    <w:rsid w:val="0A1D4625"/>
    <w:rsid w:val="0AFB3396"/>
    <w:rsid w:val="0B0D419A"/>
    <w:rsid w:val="0B275F39"/>
    <w:rsid w:val="0B907BAC"/>
    <w:rsid w:val="0BAA1044"/>
    <w:rsid w:val="0BCE1418"/>
    <w:rsid w:val="0BF57DE5"/>
    <w:rsid w:val="0C06116B"/>
    <w:rsid w:val="0C281F69"/>
    <w:rsid w:val="0C9534E4"/>
    <w:rsid w:val="0CB832EC"/>
    <w:rsid w:val="0CF06F2A"/>
    <w:rsid w:val="0CFC52EE"/>
    <w:rsid w:val="0D352B8F"/>
    <w:rsid w:val="0D4B59D5"/>
    <w:rsid w:val="0D705975"/>
    <w:rsid w:val="0DC64FDA"/>
    <w:rsid w:val="0DEB14A0"/>
    <w:rsid w:val="0E5626EA"/>
    <w:rsid w:val="0EA24254"/>
    <w:rsid w:val="0EFA6269"/>
    <w:rsid w:val="0F7E2681"/>
    <w:rsid w:val="0FE50224"/>
    <w:rsid w:val="0FFA1E6E"/>
    <w:rsid w:val="10264A11"/>
    <w:rsid w:val="10637A13"/>
    <w:rsid w:val="10AF4A06"/>
    <w:rsid w:val="10C443E8"/>
    <w:rsid w:val="10E87F18"/>
    <w:rsid w:val="1101240C"/>
    <w:rsid w:val="1115264F"/>
    <w:rsid w:val="111A124B"/>
    <w:rsid w:val="112143B5"/>
    <w:rsid w:val="112937FD"/>
    <w:rsid w:val="119D6FA6"/>
    <w:rsid w:val="11A007F3"/>
    <w:rsid w:val="11EB5F12"/>
    <w:rsid w:val="11ED31A7"/>
    <w:rsid w:val="11F748B7"/>
    <w:rsid w:val="124A36D5"/>
    <w:rsid w:val="12721277"/>
    <w:rsid w:val="127A7296"/>
    <w:rsid w:val="12A83E03"/>
    <w:rsid w:val="12B979DD"/>
    <w:rsid w:val="12DE15D3"/>
    <w:rsid w:val="13070B2A"/>
    <w:rsid w:val="130726B9"/>
    <w:rsid w:val="134358DA"/>
    <w:rsid w:val="1345230E"/>
    <w:rsid w:val="13B3480E"/>
    <w:rsid w:val="13B8520A"/>
    <w:rsid w:val="14891A12"/>
    <w:rsid w:val="149A3C1F"/>
    <w:rsid w:val="15B33C35"/>
    <w:rsid w:val="160A26DF"/>
    <w:rsid w:val="168340B4"/>
    <w:rsid w:val="17163A31"/>
    <w:rsid w:val="1720639D"/>
    <w:rsid w:val="177B5642"/>
    <w:rsid w:val="178A1D29"/>
    <w:rsid w:val="17B46DA6"/>
    <w:rsid w:val="17D01704"/>
    <w:rsid w:val="18056F1E"/>
    <w:rsid w:val="185540E5"/>
    <w:rsid w:val="18824714"/>
    <w:rsid w:val="18AE6841"/>
    <w:rsid w:val="18E611E1"/>
    <w:rsid w:val="19063631"/>
    <w:rsid w:val="1951749F"/>
    <w:rsid w:val="1959610D"/>
    <w:rsid w:val="195C5947"/>
    <w:rsid w:val="19933EEE"/>
    <w:rsid w:val="19CB13F6"/>
    <w:rsid w:val="19E55985"/>
    <w:rsid w:val="19F85670"/>
    <w:rsid w:val="19F8846D"/>
    <w:rsid w:val="1A0836F9"/>
    <w:rsid w:val="1A206975"/>
    <w:rsid w:val="1A4426FE"/>
    <w:rsid w:val="1A4563DB"/>
    <w:rsid w:val="1A5852A5"/>
    <w:rsid w:val="1A6C60CD"/>
    <w:rsid w:val="1B1875CE"/>
    <w:rsid w:val="1B391A9C"/>
    <w:rsid w:val="1B835B95"/>
    <w:rsid w:val="1B9238A2"/>
    <w:rsid w:val="1BA842D2"/>
    <w:rsid w:val="1BAA299A"/>
    <w:rsid w:val="1BCD48DA"/>
    <w:rsid w:val="1BF43C15"/>
    <w:rsid w:val="1C8E057A"/>
    <w:rsid w:val="1CA11867"/>
    <w:rsid w:val="1CBA19FF"/>
    <w:rsid w:val="1CFA1018"/>
    <w:rsid w:val="1D2422D8"/>
    <w:rsid w:val="1D3C0ECB"/>
    <w:rsid w:val="1D7F5DED"/>
    <w:rsid w:val="1D88230D"/>
    <w:rsid w:val="1DAC1F34"/>
    <w:rsid w:val="1E026ABD"/>
    <w:rsid w:val="1E036392"/>
    <w:rsid w:val="1E7F6240"/>
    <w:rsid w:val="1EF108E0"/>
    <w:rsid w:val="1EF63F47"/>
    <w:rsid w:val="1EFE06D6"/>
    <w:rsid w:val="1F325180"/>
    <w:rsid w:val="1F62533A"/>
    <w:rsid w:val="1F951903"/>
    <w:rsid w:val="200636BC"/>
    <w:rsid w:val="203B42C4"/>
    <w:rsid w:val="20672B60"/>
    <w:rsid w:val="207E43F5"/>
    <w:rsid w:val="209D7852"/>
    <w:rsid w:val="20C067BC"/>
    <w:rsid w:val="20DA5ACF"/>
    <w:rsid w:val="20E97AC1"/>
    <w:rsid w:val="21020B82"/>
    <w:rsid w:val="21AF7EF2"/>
    <w:rsid w:val="21C30CB0"/>
    <w:rsid w:val="21D104C4"/>
    <w:rsid w:val="21E6112F"/>
    <w:rsid w:val="22017635"/>
    <w:rsid w:val="220D3C83"/>
    <w:rsid w:val="222334A6"/>
    <w:rsid w:val="22462CF1"/>
    <w:rsid w:val="225E628C"/>
    <w:rsid w:val="229D231D"/>
    <w:rsid w:val="23325476"/>
    <w:rsid w:val="23564468"/>
    <w:rsid w:val="235E3DED"/>
    <w:rsid w:val="23BF2D5B"/>
    <w:rsid w:val="241E2177"/>
    <w:rsid w:val="2445396E"/>
    <w:rsid w:val="244F2331"/>
    <w:rsid w:val="24613E12"/>
    <w:rsid w:val="247D6DFF"/>
    <w:rsid w:val="24DB1E16"/>
    <w:rsid w:val="2557368E"/>
    <w:rsid w:val="25643BBA"/>
    <w:rsid w:val="25AB3B32"/>
    <w:rsid w:val="25CE54D7"/>
    <w:rsid w:val="25F06DC4"/>
    <w:rsid w:val="25F75F3E"/>
    <w:rsid w:val="25FE6C33"/>
    <w:rsid w:val="260359ED"/>
    <w:rsid w:val="26203303"/>
    <w:rsid w:val="2629095F"/>
    <w:rsid w:val="26485289"/>
    <w:rsid w:val="26B03760"/>
    <w:rsid w:val="26B165C1"/>
    <w:rsid w:val="26CD578F"/>
    <w:rsid w:val="2702368A"/>
    <w:rsid w:val="272F01F7"/>
    <w:rsid w:val="27DE4458"/>
    <w:rsid w:val="27E9484A"/>
    <w:rsid w:val="283006CB"/>
    <w:rsid w:val="283F5126"/>
    <w:rsid w:val="28920A3E"/>
    <w:rsid w:val="291B6C85"/>
    <w:rsid w:val="293B10D5"/>
    <w:rsid w:val="29945580"/>
    <w:rsid w:val="29F3375E"/>
    <w:rsid w:val="29FD7462"/>
    <w:rsid w:val="2A337FFE"/>
    <w:rsid w:val="2A9860B3"/>
    <w:rsid w:val="2AB32EED"/>
    <w:rsid w:val="2B1C0A93"/>
    <w:rsid w:val="2B1E2A5D"/>
    <w:rsid w:val="2B2140BD"/>
    <w:rsid w:val="2B807FB3"/>
    <w:rsid w:val="2B867186"/>
    <w:rsid w:val="2B9C1C62"/>
    <w:rsid w:val="2BB65425"/>
    <w:rsid w:val="2BDB3C20"/>
    <w:rsid w:val="2BFF27DA"/>
    <w:rsid w:val="2C4C35F9"/>
    <w:rsid w:val="2C8132A3"/>
    <w:rsid w:val="2CBC252D"/>
    <w:rsid w:val="2D346567"/>
    <w:rsid w:val="2D83129D"/>
    <w:rsid w:val="2D900EBE"/>
    <w:rsid w:val="2DB27BB8"/>
    <w:rsid w:val="2DBB6582"/>
    <w:rsid w:val="2DE31D62"/>
    <w:rsid w:val="2E165C6D"/>
    <w:rsid w:val="2E3D769E"/>
    <w:rsid w:val="2EAE40F8"/>
    <w:rsid w:val="2EDD678B"/>
    <w:rsid w:val="2EEC39D8"/>
    <w:rsid w:val="2EED10C4"/>
    <w:rsid w:val="2F057E2F"/>
    <w:rsid w:val="2F3321FA"/>
    <w:rsid w:val="2F544C9F"/>
    <w:rsid w:val="2F751905"/>
    <w:rsid w:val="2FB60501"/>
    <w:rsid w:val="2FFB046F"/>
    <w:rsid w:val="304B06CD"/>
    <w:rsid w:val="305A25CD"/>
    <w:rsid w:val="308B2942"/>
    <w:rsid w:val="30AD0B0B"/>
    <w:rsid w:val="30B8216E"/>
    <w:rsid w:val="30D56E57"/>
    <w:rsid w:val="30E16A06"/>
    <w:rsid w:val="31833619"/>
    <w:rsid w:val="31B00187"/>
    <w:rsid w:val="31BB7257"/>
    <w:rsid w:val="31BC4D7D"/>
    <w:rsid w:val="31CE0D6E"/>
    <w:rsid w:val="31DB5204"/>
    <w:rsid w:val="31F01307"/>
    <w:rsid w:val="31FC517A"/>
    <w:rsid w:val="3243100D"/>
    <w:rsid w:val="32676A97"/>
    <w:rsid w:val="32D36F23"/>
    <w:rsid w:val="33637328"/>
    <w:rsid w:val="33694A91"/>
    <w:rsid w:val="338F44F8"/>
    <w:rsid w:val="33945FB2"/>
    <w:rsid w:val="339C4E66"/>
    <w:rsid w:val="33B201E6"/>
    <w:rsid w:val="33B43DDA"/>
    <w:rsid w:val="33F436E5"/>
    <w:rsid w:val="3400559E"/>
    <w:rsid w:val="34017A8A"/>
    <w:rsid w:val="34746262"/>
    <w:rsid w:val="347A51A8"/>
    <w:rsid w:val="350B7DFE"/>
    <w:rsid w:val="351C000D"/>
    <w:rsid w:val="358931C8"/>
    <w:rsid w:val="35CD57AB"/>
    <w:rsid w:val="35ED3757"/>
    <w:rsid w:val="36070CBD"/>
    <w:rsid w:val="361E6007"/>
    <w:rsid w:val="367A15B2"/>
    <w:rsid w:val="368E63BA"/>
    <w:rsid w:val="36B24E78"/>
    <w:rsid w:val="36F01751"/>
    <w:rsid w:val="36FB00F6"/>
    <w:rsid w:val="37315AF4"/>
    <w:rsid w:val="373A0C1E"/>
    <w:rsid w:val="37B24C58"/>
    <w:rsid w:val="37B26A07"/>
    <w:rsid w:val="37C64260"/>
    <w:rsid w:val="37F7266B"/>
    <w:rsid w:val="37FA7A6D"/>
    <w:rsid w:val="38496D6C"/>
    <w:rsid w:val="386C3059"/>
    <w:rsid w:val="388D1222"/>
    <w:rsid w:val="3892621E"/>
    <w:rsid w:val="38B663C8"/>
    <w:rsid w:val="38C904AC"/>
    <w:rsid w:val="38CA2129"/>
    <w:rsid w:val="38E05B90"/>
    <w:rsid w:val="39241B86"/>
    <w:rsid w:val="395C1320"/>
    <w:rsid w:val="39715022"/>
    <w:rsid w:val="39E400CE"/>
    <w:rsid w:val="3A137505"/>
    <w:rsid w:val="3A744447"/>
    <w:rsid w:val="3AA30888"/>
    <w:rsid w:val="3ADD5E57"/>
    <w:rsid w:val="3AFB3576"/>
    <w:rsid w:val="3B677B08"/>
    <w:rsid w:val="3BC44F5A"/>
    <w:rsid w:val="3BD74CEB"/>
    <w:rsid w:val="3BED091B"/>
    <w:rsid w:val="3C301AFA"/>
    <w:rsid w:val="3C60699C"/>
    <w:rsid w:val="3C667DC0"/>
    <w:rsid w:val="3CF60458"/>
    <w:rsid w:val="3D042809"/>
    <w:rsid w:val="3D1C3E56"/>
    <w:rsid w:val="3D1D2B74"/>
    <w:rsid w:val="3D714C6E"/>
    <w:rsid w:val="3DC94AAA"/>
    <w:rsid w:val="3E813ED2"/>
    <w:rsid w:val="3E854E75"/>
    <w:rsid w:val="3E8743FE"/>
    <w:rsid w:val="3ECB7D32"/>
    <w:rsid w:val="3F087854"/>
    <w:rsid w:val="3F4E53C5"/>
    <w:rsid w:val="3F5A478B"/>
    <w:rsid w:val="3F620D12"/>
    <w:rsid w:val="3F992808"/>
    <w:rsid w:val="3FA72BC9"/>
    <w:rsid w:val="3FB57FB8"/>
    <w:rsid w:val="3FB83028"/>
    <w:rsid w:val="3FBE048B"/>
    <w:rsid w:val="3FEB6F5A"/>
    <w:rsid w:val="40291830"/>
    <w:rsid w:val="40367C42"/>
    <w:rsid w:val="4067627C"/>
    <w:rsid w:val="4070745F"/>
    <w:rsid w:val="409265EE"/>
    <w:rsid w:val="411E6EBB"/>
    <w:rsid w:val="415218E2"/>
    <w:rsid w:val="41596145"/>
    <w:rsid w:val="415E375B"/>
    <w:rsid w:val="41C059B7"/>
    <w:rsid w:val="41C9151C"/>
    <w:rsid w:val="41F221ED"/>
    <w:rsid w:val="42132798"/>
    <w:rsid w:val="423B69F0"/>
    <w:rsid w:val="424B2DC1"/>
    <w:rsid w:val="431C742A"/>
    <w:rsid w:val="437E1E93"/>
    <w:rsid w:val="43853221"/>
    <w:rsid w:val="444255B6"/>
    <w:rsid w:val="444F53BD"/>
    <w:rsid w:val="44737C99"/>
    <w:rsid w:val="44983FC9"/>
    <w:rsid w:val="44ED5664"/>
    <w:rsid w:val="44F00B6E"/>
    <w:rsid w:val="44F364BA"/>
    <w:rsid w:val="45022BB5"/>
    <w:rsid w:val="456A6701"/>
    <w:rsid w:val="45A1630C"/>
    <w:rsid w:val="45D264C6"/>
    <w:rsid w:val="45D756FD"/>
    <w:rsid w:val="45F24ED8"/>
    <w:rsid w:val="46592743"/>
    <w:rsid w:val="46AA2657"/>
    <w:rsid w:val="47086643"/>
    <w:rsid w:val="473A796F"/>
    <w:rsid w:val="47726C6E"/>
    <w:rsid w:val="477F157F"/>
    <w:rsid w:val="47C87B80"/>
    <w:rsid w:val="480706A9"/>
    <w:rsid w:val="485338EE"/>
    <w:rsid w:val="48616533"/>
    <w:rsid w:val="486C49B0"/>
    <w:rsid w:val="489610DE"/>
    <w:rsid w:val="48D26651"/>
    <w:rsid w:val="48E73DE4"/>
    <w:rsid w:val="490F6AC5"/>
    <w:rsid w:val="494476DB"/>
    <w:rsid w:val="495518E8"/>
    <w:rsid w:val="496F29A9"/>
    <w:rsid w:val="498521CD"/>
    <w:rsid w:val="498B355B"/>
    <w:rsid w:val="49A454A8"/>
    <w:rsid w:val="49B22A94"/>
    <w:rsid w:val="49BC0661"/>
    <w:rsid w:val="49BF63F4"/>
    <w:rsid w:val="49C66341"/>
    <w:rsid w:val="49E21C32"/>
    <w:rsid w:val="49E862B8"/>
    <w:rsid w:val="4A54394D"/>
    <w:rsid w:val="4A8E3303"/>
    <w:rsid w:val="4A946440"/>
    <w:rsid w:val="4AA743C5"/>
    <w:rsid w:val="4B1E03E7"/>
    <w:rsid w:val="4B30329B"/>
    <w:rsid w:val="4B5F107B"/>
    <w:rsid w:val="4BA95F1B"/>
    <w:rsid w:val="4BD9754E"/>
    <w:rsid w:val="4BE920DE"/>
    <w:rsid w:val="4C054A64"/>
    <w:rsid w:val="4C4C4730"/>
    <w:rsid w:val="4C6D6F48"/>
    <w:rsid w:val="4D371A30"/>
    <w:rsid w:val="4D8602C2"/>
    <w:rsid w:val="4DA30E74"/>
    <w:rsid w:val="4DF47921"/>
    <w:rsid w:val="4E0336C0"/>
    <w:rsid w:val="4E0C23A2"/>
    <w:rsid w:val="4E922C96"/>
    <w:rsid w:val="4E934692"/>
    <w:rsid w:val="4EA053B3"/>
    <w:rsid w:val="4EB175C0"/>
    <w:rsid w:val="4EC77780"/>
    <w:rsid w:val="4EEF00E8"/>
    <w:rsid w:val="4EF3271A"/>
    <w:rsid w:val="4F8A257E"/>
    <w:rsid w:val="4FA94B75"/>
    <w:rsid w:val="4FD55530"/>
    <w:rsid w:val="4FD95020"/>
    <w:rsid w:val="4FE15C83"/>
    <w:rsid w:val="5006632F"/>
    <w:rsid w:val="50212524"/>
    <w:rsid w:val="504656BE"/>
    <w:rsid w:val="50AF3052"/>
    <w:rsid w:val="50B667D3"/>
    <w:rsid w:val="50E023DF"/>
    <w:rsid w:val="512E27E4"/>
    <w:rsid w:val="51AE7DE7"/>
    <w:rsid w:val="521E54EC"/>
    <w:rsid w:val="523F3135"/>
    <w:rsid w:val="525210BA"/>
    <w:rsid w:val="529F262B"/>
    <w:rsid w:val="52C84ED8"/>
    <w:rsid w:val="5314255F"/>
    <w:rsid w:val="531C721E"/>
    <w:rsid w:val="53402E60"/>
    <w:rsid w:val="535029F5"/>
    <w:rsid w:val="535675C7"/>
    <w:rsid w:val="536F0303"/>
    <w:rsid w:val="537312E8"/>
    <w:rsid w:val="53C15FC4"/>
    <w:rsid w:val="53F71F19"/>
    <w:rsid w:val="5402266C"/>
    <w:rsid w:val="54181E8F"/>
    <w:rsid w:val="543842E0"/>
    <w:rsid w:val="54803E83"/>
    <w:rsid w:val="54832840"/>
    <w:rsid w:val="548D63DA"/>
    <w:rsid w:val="54A67309"/>
    <w:rsid w:val="54B971CF"/>
    <w:rsid w:val="54C65448"/>
    <w:rsid w:val="55230AEC"/>
    <w:rsid w:val="553B5E36"/>
    <w:rsid w:val="553D1BAE"/>
    <w:rsid w:val="560624D5"/>
    <w:rsid w:val="563228AA"/>
    <w:rsid w:val="563A1A2F"/>
    <w:rsid w:val="563B3C13"/>
    <w:rsid w:val="56411071"/>
    <w:rsid w:val="56C43C09"/>
    <w:rsid w:val="56EA18C1"/>
    <w:rsid w:val="57106FCA"/>
    <w:rsid w:val="57A23F4A"/>
    <w:rsid w:val="57A46D66"/>
    <w:rsid w:val="57B42F13"/>
    <w:rsid w:val="58070251"/>
    <w:rsid w:val="582C5F09"/>
    <w:rsid w:val="584C2108"/>
    <w:rsid w:val="585B1BA9"/>
    <w:rsid w:val="5875340D"/>
    <w:rsid w:val="588013BA"/>
    <w:rsid w:val="58827087"/>
    <w:rsid w:val="58D520FD"/>
    <w:rsid w:val="58F5454D"/>
    <w:rsid w:val="592D018B"/>
    <w:rsid w:val="592F3F03"/>
    <w:rsid w:val="593B28A8"/>
    <w:rsid w:val="59BE7035"/>
    <w:rsid w:val="59D6612D"/>
    <w:rsid w:val="59DD570D"/>
    <w:rsid w:val="5A144EA7"/>
    <w:rsid w:val="5A253D2B"/>
    <w:rsid w:val="5A655703"/>
    <w:rsid w:val="5A7B154E"/>
    <w:rsid w:val="5ABF258C"/>
    <w:rsid w:val="5AD3266C"/>
    <w:rsid w:val="5B3E564A"/>
    <w:rsid w:val="5B4E6197"/>
    <w:rsid w:val="5B7F1DF1"/>
    <w:rsid w:val="5BCC3C8B"/>
    <w:rsid w:val="5BCF7320"/>
    <w:rsid w:val="5BDE1EE0"/>
    <w:rsid w:val="5C171804"/>
    <w:rsid w:val="5C292E8C"/>
    <w:rsid w:val="5C6F779B"/>
    <w:rsid w:val="5CA761D1"/>
    <w:rsid w:val="5CD2438D"/>
    <w:rsid w:val="5CFF31EA"/>
    <w:rsid w:val="5CFF599B"/>
    <w:rsid w:val="5D24191A"/>
    <w:rsid w:val="5D70759E"/>
    <w:rsid w:val="5DB91881"/>
    <w:rsid w:val="5DBF512A"/>
    <w:rsid w:val="5DC559D7"/>
    <w:rsid w:val="5DCB6F9D"/>
    <w:rsid w:val="5DF63EFF"/>
    <w:rsid w:val="5E007347"/>
    <w:rsid w:val="5E394EDC"/>
    <w:rsid w:val="5E4F64AE"/>
    <w:rsid w:val="5E6466ED"/>
    <w:rsid w:val="5E8D14E1"/>
    <w:rsid w:val="5E954808"/>
    <w:rsid w:val="5E9640DD"/>
    <w:rsid w:val="5EB84053"/>
    <w:rsid w:val="5EC92704"/>
    <w:rsid w:val="5EDB41E5"/>
    <w:rsid w:val="5F4C0C3F"/>
    <w:rsid w:val="5F4C3A48"/>
    <w:rsid w:val="5FB77779"/>
    <w:rsid w:val="605303A5"/>
    <w:rsid w:val="60687CFB"/>
    <w:rsid w:val="60695F4D"/>
    <w:rsid w:val="608C5797"/>
    <w:rsid w:val="613227E3"/>
    <w:rsid w:val="614E0C9F"/>
    <w:rsid w:val="61614E76"/>
    <w:rsid w:val="61EE1413"/>
    <w:rsid w:val="61FA79E5"/>
    <w:rsid w:val="62375BD7"/>
    <w:rsid w:val="62451DF4"/>
    <w:rsid w:val="62A019CE"/>
    <w:rsid w:val="62CA07F9"/>
    <w:rsid w:val="630C2BBF"/>
    <w:rsid w:val="633C633C"/>
    <w:rsid w:val="63BA086D"/>
    <w:rsid w:val="63F024E1"/>
    <w:rsid w:val="64276A3B"/>
    <w:rsid w:val="643C74D4"/>
    <w:rsid w:val="6497136C"/>
    <w:rsid w:val="64BB664B"/>
    <w:rsid w:val="64C45DE1"/>
    <w:rsid w:val="64D03589"/>
    <w:rsid w:val="652977A7"/>
    <w:rsid w:val="65420B1A"/>
    <w:rsid w:val="65817895"/>
    <w:rsid w:val="65F91C13"/>
    <w:rsid w:val="66613222"/>
    <w:rsid w:val="66BD22A3"/>
    <w:rsid w:val="66FD73EF"/>
    <w:rsid w:val="670818F0"/>
    <w:rsid w:val="671F556E"/>
    <w:rsid w:val="679715F1"/>
    <w:rsid w:val="67B56BC3"/>
    <w:rsid w:val="67E27EFB"/>
    <w:rsid w:val="67E934CF"/>
    <w:rsid w:val="680B1697"/>
    <w:rsid w:val="68295FC1"/>
    <w:rsid w:val="686F7E78"/>
    <w:rsid w:val="6888718C"/>
    <w:rsid w:val="689A76EB"/>
    <w:rsid w:val="68C77CB4"/>
    <w:rsid w:val="68CC0163"/>
    <w:rsid w:val="69054339"/>
    <w:rsid w:val="69154ABB"/>
    <w:rsid w:val="69653029"/>
    <w:rsid w:val="697119CE"/>
    <w:rsid w:val="69A1255C"/>
    <w:rsid w:val="69C2047C"/>
    <w:rsid w:val="6A040A94"/>
    <w:rsid w:val="6A31115D"/>
    <w:rsid w:val="6A786D8C"/>
    <w:rsid w:val="6A927A03"/>
    <w:rsid w:val="6AF503DD"/>
    <w:rsid w:val="6B603B25"/>
    <w:rsid w:val="6B7457A6"/>
    <w:rsid w:val="6B855C05"/>
    <w:rsid w:val="6BE50451"/>
    <w:rsid w:val="6C863145"/>
    <w:rsid w:val="6D0244F4"/>
    <w:rsid w:val="6D5E4661"/>
    <w:rsid w:val="6DBF11F8"/>
    <w:rsid w:val="6DFB0400"/>
    <w:rsid w:val="6DFF1C9E"/>
    <w:rsid w:val="6E1219CA"/>
    <w:rsid w:val="6E2D0DB9"/>
    <w:rsid w:val="6E474839"/>
    <w:rsid w:val="6E8F1C75"/>
    <w:rsid w:val="6EA83AB1"/>
    <w:rsid w:val="6ED42002"/>
    <w:rsid w:val="6F0A08FB"/>
    <w:rsid w:val="6F7A7103"/>
    <w:rsid w:val="6FB70357"/>
    <w:rsid w:val="6FDC61FC"/>
    <w:rsid w:val="7009478C"/>
    <w:rsid w:val="705018D5"/>
    <w:rsid w:val="70813A4D"/>
    <w:rsid w:val="7082071E"/>
    <w:rsid w:val="70853FB1"/>
    <w:rsid w:val="70A029A4"/>
    <w:rsid w:val="70A703CB"/>
    <w:rsid w:val="70DD6A60"/>
    <w:rsid w:val="70E33C39"/>
    <w:rsid w:val="70EE5FFA"/>
    <w:rsid w:val="712E4649"/>
    <w:rsid w:val="7169742F"/>
    <w:rsid w:val="717F0164"/>
    <w:rsid w:val="71A16BC9"/>
    <w:rsid w:val="72624905"/>
    <w:rsid w:val="728C28C5"/>
    <w:rsid w:val="728C7879"/>
    <w:rsid w:val="72DD1E82"/>
    <w:rsid w:val="7371347D"/>
    <w:rsid w:val="744C5512"/>
    <w:rsid w:val="74547A54"/>
    <w:rsid w:val="74591FEB"/>
    <w:rsid w:val="748B4BCA"/>
    <w:rsid w:val="74CF1C9F"/>
    <w:rsid w:val="74E00EDF"/>
    <w:rsid w:val="757C1E26"/>
    <w:rsid w:val="75CF430F"/>
    <w:rsid w:val="75EF25F8"/>
    <w:rsid w:val="75F2239C"/>
    <w:rsid w:val="76373B19"/>
    <w:rsid w:val="765D5772"/>
    <w:rsid w:val="768076F4"/>
    <w:rsid w:val="76BD44A5"/>
    <w:rsid w:val="76CC0B8C"/>
    <w:rsid w:val="77456248"/>
    <w:rsid w:val="774E334F"/>
    <w:rsid w:val="77C05029"/>
    <w:rsid w:val="77FA652A"/>
    <w:rsid w:val="78283BA0"/>
    <w:rsid w:val="783603CC"/>
    <w:rsid w:val="787E7C64"/>
    <w:rsid w:val="78866B18"/>
    <w:rsid w:val="788E6CCB"/>
    <w:rsid w:val="78B64C80"/>
    <w:rsid w:val="79312F28"/>
    <w:rsid w:val="79921C19"/>
    <w:rsid w:val="79BC6C95"/>
    <w:rsid w:val="79BF22E2"/>
    <w:rsid w:val="79DF2984"/>
    <w:rsid w:val="7A094544"/>
    <w:rsid w:val="7A320D06"/>
    <w:rsid w:val="7A6D61E2"/>
    <w:rsid w:val="7AF81F4F"/>
    <w:rsid w:val="7B0004F2"/>
    <w:rsid w:val="7B1C3E77"/>
    <w:rsid w:val="7B3665D4"/>
    <w:rsid w:val="7B3960C4"/>
    <w:rsid w:val="7B8C08E9"/>
    <w:rsid w:val="7CA62856"/>
    <w:rsid w:val="7CCD4D16"/>
    <w:rsid w:val="7CEA3B1A"/>
    <w:rsid w:val="7D1961AD"/>
    <w:rsid w:val="7D3812BF"/>
    <w:rsid w:val="7D3927A9"/>
    <w:rsid w:val="7D553A71"/>
    <w:rsid w:val="7D7603A0"/>
    <w:rsid w:val="7DA67B57"/>
    <w:rsid w:val="7DC7562D"/>
    <w:rsid w:val="7E0D1B42"/>
    <w:rsid w:val="7E633B84"/>
    <w:rsid w:val="7E696CC0"/>
    <w:rsid w:val="7E7A711F"/>
    <w:rsid w:val="7EB51837"/>
    <w:rsid w:val="7ECF2FC7"/>
    <w:rsid w:val="7EDE320A"/>
    <w:rsid w:val="7F13473F"/>
    <w:rsid w:val="7F264BB1"/>
    <w:rsid w:val="7F71407E"/>
    <w:rsid w:val="7F9F628A"/>
    <w:rsid w:val="7FA507A0"/>
    <w:rsid w:val="7FCE7723"/>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5"/>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6"/>
    <w:qFormat/>
    <w:uiPriority w:val="0"/>
    <w:pPr>
      <w:spacing w:before="120" w:after="120" w:line="360" w:lineRule="auto"/>
      <w:outlineLvl w:val="1"/>
    </w:pPr>
    <w:rPr>
      <w:rFonts w:ascii="Times New Roman" w:hAnsi="Times New Roman"/>
      <w:b/>
      <w:sz w:val="24"/>
    </w:rPr>
  </w:style>
  <w:style w:type="paragraph" w:styleId="5">
    <w:name w:val="heading 3"/>
    <w:basedOn w:val="6"/>
    <w:next w:val="1"/>
    <w:link w:val="67"/>
    <w:qFormat/>
    <w:uiPriority w:val="0"/>
    <w:pPr>
      <w:spacing w:before="120" w:after="120" w:line="360" w:lineRule="auto"/>
      <w:outlineLvl w:val="2"/>
    </w:pPr>
    <w:rPr>
      <w:rFonts w:ascii="Times New Roman" w:hAnsi="Times New Roman"/>
      <w:b/>
    </w:rPr>
  </w:style>
  <w:style w:type="paragraph" w:styleId="7">
    <w:name w:val="heading 4"/>
    <w:next w:val="1"/>
    <w:link w:val="68"/>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69"/>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70"/>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71"/>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72"/>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73"/>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6">
    <w:name w:val="Body Text Indent"/>
    <w:basedOn w:val="1"/>
    <w:qFormat/>
    <w:uiPriority w:val="0"/>
    <w:pPr>
      <w:spacing w:line="480" w:lineRule="exact"/>
      <w:ind w:firstLine="480" w:firstLineChars="200"/>
    </w:pPr>
    <w:rPr>
      <w:rFonts w:ascii="宋体" w:hAnsi="宋体"/>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4"/>
    <w:unhideWhenUsed/>
    <w:qFormat/>
    <w:uiPriority w:val="0"/>
    <w:pPr>
      <w:jc w:val="left"/>
    </w:pPr>
  </w:style>
  <w:style w:type="paragraph" w:styleId="18">
    <w:name w:val="Body Text"/>
    <w:basedOn w:val="1"/>
    <w:link w:val="75"/>
    <w:qFormat/>
    <w:uiPriority w:val="99"/>
    <w:pPr>
      <w:spacing w:after="120" w:line="300" w:lineRule="auto"/>
      <w:ind w:firstLine="420" w:firstLineChars="200"/>
    </w:pPr>
    <w:rPr>
      <w:rFonts w:ascii="Times New Roman" w:hAnsi="Times New Roman"/>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6"/>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7"/>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8"/>
    <w:unhideWhenUsed/>
    <w:qFormat/>
    <w:uiPriority w:val="99"/>
    <w:rPr>
      <w:sz w:val="20"/>
    </w:rPr>
  </w:style>
  <w:style w:type="paragraph" w:styleId="27">
    <w:name w:val="Balloon Text"/>
    <w:basedOn w:val="1"/>
    <w:link w:val="79"/>
    <w:unhideWhenUsed/>
    <w:qFormat/>
    <w:uiPriority w:val="99"/>
    <w:rPr>
      <w:sz w:val="18"/>
      <w:szCs w:val="18"/>
    </w:rPr>
  </w:style>
  <w:style w:type="paragraph" w:styleId="28">
    <w:name w:val="footer"/>
    <w:basedOn w:val="1"/>
    <w:link w:val="80"/>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1"/>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2"/>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3"/>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5"/>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6"/>
    <w:unhideWhenUsed/>
    <w:qFormat/>
    <w:uiPriority w:val="99"/>
    <w:rPr>
      <w:b/>
      <w:bCs/>
    </w:rPr>
  </w:style>
  <w:style w:type="paragraph" w:styleId="43">
    <w:name w:val="Body Text First Indent 2"/>
    <w:basedOn w:val="6"/>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6"/>
    <w:semiHidden/>
    <w:unhideWhenUsed/>
    <w:qFormat/>
    <w:uiPriority w:val="99"/>
    <w:rPr>
      <w:rFonts w:hint="default" w:ascii="monospace" w:hAnsi="monospace" w:eastAsia="monospace" w:cs="monospace"/>
      <w:sz w:val="20"/>
    </w:rPr>
  </w:style>
  <w:style w:type="character" w:styleId="53">
    <w:name w:val="HTML Acronym"/>
    <w:basedOn w:val="46"/>
    <w:semiHidden/>
    <w:unhideWhenUsed/>
    <w:qFormat/>
    <w:uiPriority w:val="99"/>
  </w:style>
  <w:style w:type="character" w:styleId="54">
    <w:name w:val="Hyperlink"/>
    <w:unhideWhenUsed/>
    <w:qFormat/>
    <w:uiPriority w:val="99"/>
    <w:rPr>
      <w:color w:val="0563C1"/>
      <w:u w:val="single"/>
    </w:rPr>
  </w:style>
  <w:style w:type="character" w:styleId="55">
    <w:name w:val="HTML Code"/>
    <w:basedOn w:val="46"/>
    <w:semiHidden/>
    <w:unhideWhenUsed/>
    <w:qFormat/>
    <w:uiPriority w:val="99"/>
    <w:rPr>
      <w:rFonts w:hint="default" w:ascii="monospace" w:hAnsi="monospace" w:eastAsia="monospace" w:cs="monospace"/>
      <w:sz w:val="20"/>
    </w:rPr>
  </w:style>
  <w:style w:type="character" w:styleId="56">
    <w:name w:val="annotation reference"/>
    <w:basedOn w:val="46"/>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6"/>
    <w:semiHidden/>
    <w:unhideWhenUsed/>
    <w:qFormat/>
    <w:uiPriority w:val="99"/>
    <w:rPr>
      <w:rFonts w:hint="default" w:ascii="monospace" w:hAnsi="monospace" w:eastAsia="monospace" w:cs="monospace"/>
      <w:sz w:val="20"/>
    </w:rPr>
  </w:style>
  <w:style w:type="character" w:styleId="59">
    <w:name w:val="HTML Sample"/>
    <w:basedOn w:val="46"/>
    <w:semiHidden/>
    <w:unhideWhenUsed/>
    <w:qFormat/>
    <w:uiPriority w:val="99"/>
    <w:rPr>
      <w:rFonts w:ascii="monospace" w:hAnsi="monospace" w:eastAsia="monospace" w:cs="monospace"/>
    </w:rPr>
  </w:style>
  <w:style w:type="paragraph" w:customStyle="1" w:styleId="60">
    <w:name w:val="首行缩进"/>
    <w:basedOn w:val="1"/>
    <w:qFormat/>
    <w:uiPriority w:val="0"/>
    <w:pPr>
      <w:ind w:firstLine="480"/>
    </w:pPr>
    <w:rPr>
      <w:rFonts w:eastAsia="楷体_GB2312"/>
      <w:sz w:val="26"/>
      <w:lang w:val="zh-CN"/>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4">
    <w:name w:val="段"/>
    <w:basedOn w:val="1"/>
    <w:next w:val="1"/>
    <w:qFormat/>
    <w:uiPriority w:val="0"/>
    <w:pPr>
      <w:widowControl/>
      <w:ind w:firstLine="200"/>
    </w:pPr>
    <w:rPr>
      <w:rFonts w:hint="eastAsia" w:ascii="宋体"/>
      <w:szCs w:val="20"/>
    </w:rPr>
  </w:style>
  <w:style w:type="character" w:customStyle="1" w:styleId="65">
    <w:name w:val="标题 1 Char"/>
    <w:link w:val="2"/>
    <w:qFormat/>
    <w:uiPriority w:val="99"/>
    <w:rPr>
      <w:rFonts w:ascii="宋体" w:hAnsi="宋体" w:eastAsia="宋体" w:cs="Times New Roman"/>
      <w:b/>
      <w:bCs/>
      <w:sz w:val="14"/>
      <w:szCs w:val="14"/>
    </w:rPr>
  </w:style>
  <w:style w:type="character" w:customStyle="1" w:styleId="66">
    <w:name w:val="标题 2 Char"/>
    <w:link w:val="4"/>
    <w:qFormat/>
    <w:uiPriority w:val="0"/>
    <w:rPr>
      <w:rFonts w:ascii="Arial" w:hAnsi="Arial" w:eastAsia="黑体" w:cs="Arial"/>
      <w:b/>
      <w:bCs/>
      <w:sz w:val="32"/>
      <w:szCs w:val="32"/>
    </w:rPr>
  </w:style>
  <w:style w:type="character" w:customStyle="1" w:styleId="67">
    <w:name w:val="标题 3 Char"/>
    <w:link w:val="5"/>
    <w:qFormat/>
    <w:uiPriority w:val="0"/>
    <w:rPr>
      <w:rFonts w:ascii="Times New Roman" w:hAnsi="Times New Roman" w:eastAsia="宋体" w:cs="Times New Roman"/>
      <w:b/>
      <w:bCs/>
      <w:sz w:val="32"/>
      <w:szCs w:val="32"/>
    </w:rPr>
  </w:style>
  <w:style w:type="character" w:customStyle="1" w:styleId="68">
    <w:name w:val="标题 4 Char"/>
    <w:link w:val="7"/>
    <w:qFormat/>
    <w:uiPriority w:val="9"/>
    <w:rPr>
      <w:rFonts w:ascii="Calibri Light" w:hAnsi="Calibri Light" w:eastAsia="黑体" w:cs="Times New Roman"/>
      <w:b/>
      <w:bCs/>
      <w:sz w:val="28"/>
      <w:szCs w:val="28"/>
    </w:rPr>
  </w:style>
  <w:style w:type="character" w:customStyle="1" w:styleId="69">
    <w:name w:val="标题 5 Char"/>
    <w:link w:val="8"/>
    <w:qFormat/>
    <w:uiPriority w:val="9"/>
    <w:rPr>
      <w:rFonts w:ascii="Arial" w:hAnsi="Arial" w:eastAsia="Arial" w:cs="Arial"/>
      <w:b/>
      <w:bCs/>
      <w:sz w:val="24"/>
      <w:szCs w:val="24"/>
    </w:rPr>
  </w:style>
  <w:style w:type="character" w:customStyle="1" w:styleId="70">
    <w:name w:val="标题 6 Char"/>
    <w:link w:val="9"/>
    <w:qFormat/>
    <w:uiPriority w:val="9"/>
    <w:rPr>
      <w:rFonts w:ascii="Arial" w:hAnsi="Arial" w:eastAsia="Arial" w:cs="Arial"/>
      <w:b/>
      <w:bCs/>
      <w:sz w:val="22"/>
      <w:szCs w:val="22"/>
    </w:rPr>
  </w:style>
  <w:style w:type="character" w:customStyle="1" w:styleId="71">
    <w:name w:val="标题 7 Char"/>
    <w:link w:val="10"/>
    <w:qFormat/>
    <w:uiPriority w:val="9"/>
    <w:rPr>
      <w:rFonts w:ascii="Arial" w:hAnsi="Arial" w:eastAsia="Arial" w:cs="Arial"/>
      <w:b/>
      <w:bCs/>
      <w:i/>
      <w:iCs/>
      <w:sz w:val="22"/>
      <w:szCs w:val="22"/>
    </w:rPr>
  </w:style>
  <w:style w:type="character" w:customStyle="1" w:styleId="72">
    <w:name w:val="标题 8 Char"/>
    <w:link w:val="11"/>
    <w:qFormat/>
    <w:uiPriority w:val="9"/>
    <w:rPr>
      <w:rFonts w:ascii="Arial" w:hAnsi="Arial" w:eastAsia="Arial" w:cs="Arial"/>
      <w:i/>
      <w:iCs/>
      <w:sz w:val="22"/>
      <w:szCs w:val="22"/>
    </w:rPr>
  </w:style>
  <w:style w:type="character" w:customStyle="1" w:styleId="73">
    <w:name w:val="标题 9 Char"/>
    <w:link w:val="12"/>
    <w:qFormat/>
    <w:uiPriority w:val="9"/>
    <w:rPr>
      <w:rFonts w:ascii="Arial" w:hAnsi="Arial" w:eastAsia="Arial" w:cs="Arial"/>
      <w:i/>
      <w:iCs/>
      <w:sz w:val="21"/>
      <w:szCs w:val="21"/>
    </w:rPr>
  </w:style>
  <w:style w:type="character" w:customStyle="1" w:styleId="74">
    <w:name w:val="批注文字 Char"/>
    <w:link w:val="17"/>
    <w:qFormat/>
    <w:uiPriority w:val="0"/>
    <w:rPr>
      <w:rFonts w:ascii="Calibri" w:hAnsi="Calibri" w:eastAsia="宋体" w:cs="Times New Roman"/>
      <w:sz w:val="21"/>
      <w:szCs w:val="22"/>
    </w:rPr>
  </w:style>
  <w:style w:type="character" w:customStyle="1" w:styleId="75">
    <w:name w:val="正文文本 Char"/>
    <w:link w:val="18"/>
    <w:qFormat/>
    <w:uiPriority w:val="99"/>
    <w:rPr>
      <w:rFonts w:ascii="Times New Roman" w:hAnsi="Times New Roman" w:eastAsia="宋体" w:cs="Times New Roman"/>
      <w:sz w:val="24"/>
      <w:szCs w:val="24"/>
    </w:rPr>
  </w:style>
  <w:style w:type="character" w:customStyle="1" w:styleId="76">
    <w:name w:val="纯文本 Char"/>
    <w:link w:val="22"/>
    <w:qFormat/>
    <w:uiPriority w:val="0"/>
    <w:rPr>
      <w:rFonts w:ascii="宋体" w:hAnsi="Courier New"/>
      <w:sz w:val="21"/>
      <w:szCs w:val="22"/>
    </w:rPr>
  </w:style>
  <w:style w:type="character" w:customStyle="1" w:styleId="77">
    <w:name w:val="日期 Char"/>
    <w:link w:val="24"/>
    <w:qFormat/>
    <w:uiPriority w:val="0"/>
    <w:rPr>
      <w:rFonts w:ascii="Times New Roman" w:hAnsi="Times New Roman" w:eastAsia="宋体" w:cs="Times New Roman"/>
      <w:sz w:val="21"/>
      <w:szCs w:val="24"/>
    </w:rPr>
  </w:style>
  <w:style w:type="character" w:customStyle="1" w:styleId="78">
    <w:name w:val="尾注文本 Char"/>
    <w:link w:val="26"/>
    <w:qFormat/>
    <w:uiPriority w:val="99"/>
    <w:rPr>
      <w:sz w:val="20"/>
    </w:rPr>
  </w:style>
  <w:style w:type="character" w:customStyle="1" w:styleId="79">
    <w:name w:val="批注框文本 Char"/>
    <w:link w:val="27"/>
    <w:semiHidden/>
    <w:qFormat/>
    <w:uiPriority w:val="99"/>
    <w:rPr>
      <w:sz w:val="18"/>
      <w:szCs w:val="18"/>
    </w:rPr>
  </w:style>
  <w:style w:type="character" w:customStyle="1" w:styleId="80">
    <w:name w:val="页脚 Char"/>
    <w:link w:val="28"/>
    <w:qFormat/>
    <w:uiPriority w:val="99"/>
    <w:rPr>
      <w:sz w:val="18"/>
      <w:szCs w:val="18"/>
    </w:rPr>
  </w:style>
  <w:style w:type="character" w:customStyle="1" w:styleId="81">
    <w:name w:val="页眉 Char"/>
    <w:link w:val="30"/>
    <w:qFormat/>
    <w:uiPriority w:val="99"/>
    <w:rPr>
      <w:sz w:val="18"/>
      <w:szCs w:val="18"/>
    </w:rPr>
  </w:style>
  <w:style w:type="character" w:customStyle="1" w:styleId="82">
    <w:name w:val="副标题 Char"/>
    <w:link w:val="33"/>
    <w:qFormat/>
    <w:uiPriority w:val="11"/>
    <w:rPr>
      <w:sz w:val="24"/>
      <w:szCs w:val="24"/>
    </w:rPr>
  </w:style>
  <w:style w:type="character" w:customStyle="1" w:styleId="83">
    <w:name w:val="脚注文本 Char"/>
    <w:link w:val="34"/>
    <w:qFormat/>
    <w:uiPriority w:val="99"/>
    <w:rPr>
      <w:sz w:val="18"/>
    </w:rPr>
  </w:style>
  <w:style w:type="character" w:customStyle="1" w:styleId="84">
    <w:name w:val="HTML 预设格式 Char"/>
    <w:link w:val="39"/>
    <w:qFormat/>
    <w:uiPriority w:val="99"/>
    <w:rPr>
      <w:rFonts w:ascii="Arial" w:hAnsi="Arial" w:eastAsia="宋体" w:cs="Times New Roman"/>
      <w:sz w:val="11"/>
      <w:szCs w:val="11"/>
    </w:rPr>
  </w:style>
  <w:style w:type="character" w:customStyle="1" w:styleId="85">
    <w:name w:val="标题 Char"/>
    <w:link w:val="41"/>
    <w:qFormat/>
    <w:uiPriority w:val="0"/>
    <w:rPr>
      <w:rFonts w:ascii="Cambria" w:hAnsi="Cambria" w:eastAsia="黑体" w:cs="Times New Roman"/>
      <w:b/>
      <w:bCs/>
      <w:sz w:val="52"/>
      <w:szCs w:val="32"/>
    </w:rPr>
  </w:style>
  <w:style w:type="character" w:customStyle="1" w:styleId="86">
    <w:name w:val="批注主题 Char"/>
    <w:link w:val="42"/>
    <w:semiHidden/>
    <w:qFormat/>
    <w:uiPriority w:val="99"/>
    <w:rPr>
      <w:rFonts w:ascii="Calibri" w:hAnsi="Calibri" w:eastAsia="宋体" w:cs="Times New Roman"/>
      <w:b/>
      <w:bCs/>
      <w:sz w:val="21"/>
      <w:szCs w:val="22"/>
    </w:rPr>
  </w:style>
  <w:style w:type="paragraph" w:customStyle="1" w:styleId="87">
    <w:name w:val="正文（缩进）"/>
    <w:basedOn w:val="1"/>
    <w:next w:val="88"/>
    <w:qFormat/>
    <w:uiPriority w:val="0"/>
    <w:pPr>
      <w:spacing w:beforeLines="50" w:afterLines="50" w:line="360" w:lineRule="auto"/>
      <w:ind w:firstLine="480" w:firstLineChars="200"/>
    </w:pPr>
    <w:rPr>
      <w:sz w:val="24"/>
      <w:szCs w:val="24"/>
    </w:rPr>
  </w:style>
  <w:style w:type="paragraph" w:customStyle="1" w:styleId="88">
    <w:name w:val="Char Char Char Char Char Char Char Char Char"/>
    <w:basedOn w:val="1"/>
    <w:next w:val="89"/>
    <w:qFormat/>
    <w:uiPriority w:val="99"/>
    <w:pPr>
      <w:ind w:left="360" w:firstLine="5784"/>
    </w:pPr>
  </w:style>
  <w:style w:type="paragraph" w:customStyle="1" w:styleId="89">
    <w:name w:val="正文文本 21"/>
    <w:basedOn w:val="1"/>
    <w:next w:val="90"/>
    <w:qFormat/>
    <w:uiPriority w:val="99"/>
    <w:pPr>
      <w:widowControl/>
      <w:ind w:left="720" w:firstLine="5680"/>
    </w:pPr>
  </w:style>
  <w:style w:type="paragraph" w:customStyle="1" w:styleId="90">
    <w:name w:val="默认段落字体 Para Char Char Char Char Char Char Char"/>
    <w:basedOn w:val="1"/>
    <w:next w:val="91"/>
    <w:qFormat/>
    <w:uiPriority w:val="99"/>
    <w:pPr>
      <w:ind w:firstLine="200" w:firstLineChars="200"/>
    </w:pPr>
    <w:rPr>
      <w:rFonts w:cs="Arial"/>
    </w:rPr>
  </w:style>
  <w:style w:type="paragraph" w:customStyle="1" w:styleId="91">
    <w:name w:val="样式 首行缩进:  2 字符"/>
    <w:basedOn w:val="1"/>
    <w:next w:val="92"/>
    <w:qFormat/>
    <w:uiPriority w:val="99"/>
    <w:pPr>
      <w:spacing w:line="360" w:lineRule="auto"/>
      <w:ind w:left="480" w:firstLine="5856"/>
    </w:pPr>
  </w:style>
  <w:style w:type="paragraph" w:customStyle="1" w:styleId="92">
    <w:name w:val="样式 段后: 0.25 行"/>
    <w:basedOn w:val="1"/>
    <w:next w:val="93"/>
    <w:qFormat/>
    <w:uiPriority w:val="99"/>
    <w:pPr>
      <w:widowControl/>
      <w:spacing w:line="300" w:lineRule="auto"/>
      <w:ind w:left="420" w:firstLine="5796"/>
    </w:pPr>
  </w:style>
  <w:style w:type="paragraph" w:customStyle="1" w:styleId="93">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4">
    <w:name w:val="Heading 1 Char"/>
    <w:qFormat/>
    <w:uiPriority w:val="9"/>
    <w:rPr>
      <w:rFonts w:ascii="Arial" w:hAnsi="Arial" w:eastAsia="Arial" w:cs="Arial"/>
      <w:sz w:val="40"/>
      <w:szCs w:val="40"/>
    </w:rPr>
  </w:style>
  <w:style w:type="character" w:customStyle="1" w:styleId="95">
    <w:name w:val="Heading 2 Char"/>
    <w:qFormat/>
    <w:uiPriority w:val="9"/>
    <w:rPr>
      <w:rFonts w:ascii="Arial" w:hAnsi="Arial" w:eastAsia="Arial" w:cs="Arial"/>
      <w:sz w:val="34"/>
    </w:rPr>
  </w:style>
  <w:style w:type="character" w:customStyle="1" w:styleId="96">
    <w:name w:val="Heading 3 Char"/>
    <w:qFormat/>
    <w:uiPriority w:val="9"/>
    <w:rPr>
      <w:rFonts w:ascii="Arial" w:hAnsi="Arial" w:eastAsia="Arial" w:cs="Arial"/>
      <w:sz w:val="30"/>
      <w:szCs w:val="30"/>
    </w:rPr>
  </w:style>
  <w:style w:type="character" w:customStyle="1" w:styleId="97">
    <w:name w:val="Heading 4 Char"/>
    <w:qFormat/>
    <w:uiPriority w:val="9"/>
    <w:rPr>
      <w:rFonts w:ascii="Arial" w:hAnsi="Arial" w:eastAsia="Arial" w:cs="Arial"/>
      <w:b/>
      <w:bCs/>
      <w:sz w:val="26"/>
      <w:szCs w:val="26"/>
    </w:rPr>
  </w:style>
  <w:style w:type="character" w:customStyle="1" w:styleId="98">
    <w:name w:val="Title Char"/>
    <w:qFormat/>
    <w:uiPriority w:val="10"/>
    <w:rPr>
      <w:sz w:val="48"/>
      <w:szCs w:val="48"/>
    </w:rPr>
  </w:style>
  <w:style w:type="paragraph" w:customStyle="1" w:styleId="99">
    <w:name w:val="引用1"/>
    <w:basedOn w:val="1"/>
    <w:next w:val="1"/>
    <w:link w:val="100"/>
    <w:qFormat/>
    <w:uiPriority w:val="29"/>
    <w:pPr>
      <w:ind w:left="720" w:right="720"/>
    </w:pPr>
    <w:rPr>
      <w:i/>
    </w:rPr>
  </w:style>
  <w:style w:type="character" w:customStyle="1" w:styleId="100">
    <w:name w:val="引用 Char"/>
    <w:link w:val="99"/>
    <w:qFormat/>
    <w:uiPriority w:val="29"/>
    <w:rPr>
      <w:i/>
    </w:rPr>
  </w:style>
  <w:style w:type="paragraph" w:customStyle="1" w:styleId="101">
    <w:name w:val="明显引用1"/>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Header Char"/>
    <w:qFormat/>
    <w:uiPriority w:val="99"/>
  </w:style>
  <w:style w:type="character" w:customStyle="1" w:styleId="104">
    <w:name w:val="Footer Char"/>
    <w:qFormat/>
    <w:uiPriority w:val="99"/>
  </w:style>
  <w:style w:type="character" w:customStyle="1" w:styleId="105">
    <w:name w:val="Caption Char"/>
    <w:qFormat/>
    <w:uiPriority w:val="99"/>
  </w:style>
  <w:style w:type="table" w:customStyle="1" w:styleId="106">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7">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9">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3">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4">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5">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6">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7">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8">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9">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0">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1">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2">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3">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4">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5">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6">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7">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8">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9">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0">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1">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2">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3">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4">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5">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6">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7">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8">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9">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0">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2">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3">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4">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5">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6">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7">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8">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9">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0">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1">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2">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3">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4">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5">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6">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7">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8">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9">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0">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1">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3">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4">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5">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6">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7">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8">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9">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0">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1">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2">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3">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4">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5">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6">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7">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8">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9">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0">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1">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2">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3">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4">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5">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6">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7">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8">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9">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0">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1">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2">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3">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4">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5">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6">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7">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9">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0">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1">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2">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3">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4">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5">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6">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7">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8">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9">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0">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1">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2">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3">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4">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5">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6">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7">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8">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9">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0">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1">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2">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3">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4">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5">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6">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7">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8">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9">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0">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1">
    <w:name w:val="TOC 标题1"/>
    <w:unhideWhenUsed/>
    <w:qFormat/>
    <w:uiPriority w:val="39"/>
    <w:rPr>
      <w:rFonts w:ascii="Times New Roman" w:hAnsi="Times New Roman" w:eastAsia="宋体" w:cs="Times New Roman"/>
      <w:lang w:val="en-US" w:eastAsia="zh-CN" w:bidi="ar-SA"/>
    </w:rPr>
  </w:style>
  <w:style w:type="paragraph" w:customStyle="1" w:styleId="232">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3">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4">
    <w:name w:val="正文2"/>
    <w:basedOn w:val="1"/>
    <w:link w:val="235"/>
    <w:qFormat/>
    <w:uiPriority w:val="99"/>
    <w:pPr>
      <w:spacing w:line="360" w:lineRule="auto"/>
      <w:ind w:firstLine="420"/>
    </w:pPr>
    <w:rPr>
      <w:rFonts w:ascii="宋体" w:hAnsi="宋体" w:cs="宋体"/>
      <w:color w:val="000000"/>
      <w:szCs w:val="21"/>
    </w:rPr>
  </w:style>
  <w:style w:type="character" w:customStyle="1" w:styleId="235">
    <w:name w:val="正文2 Char Char"/>
    <w:link w:val="234"/>
    <w:qFormat/>
    <w:uiPriority w:val="99"/>
    <w:rPr>
      <w:rFonts w:ascii="宋体" w:hAnsi="宋体" w:eastAsia="宋体" w:cs="宋体"/>
      <w:color w:val="000000"/>
      <w:sz w:val="21"/>
      <w:szCs w:val="21"/>
    </w:rPr>
  </w:style>
  <w:style w:type="paragraph" w:customStyle="1" w:styleId="236">
    <w:name w:val="Table Paragraph"/>
    <w:basedOn w:val="1"/>
    <w:qFormat/>
    <w:uiPriority w:val="1"/>
    <w:pPr>
      <w:jc w:val="left"/>
    </w:pPr>
    <w:rPr>
      <w:rFonts w:ascii="宋体" w:hAnsi="宋体" w:cs="宋体"/>
      <w:sz w:val="22"/>
      <w:lang w:val="zh-CN" w:bidi="zh-CN"/>
    </w:rPr>
  </w:style>
  <w:style w:type="paragraph" w:customStyle="1" w:styleId="237">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8">
    <w:name w:val="p21"/>
    <w:qFormat/>
    <w:uiPriority w:val="0"/>
    <w:rPr>
      <w:sz w:val="9"/>
      <w:szCs w:val="9"/>
    </w:rPr>
  </w:style>
  <w:style w:type="paragraph" w:customStyle="1" w:styleId="239">
    <w:name w:val="t_black_12_b"/>
    <w:basedOn w:val="1"/>
    <w:qFormat/>
    <w:uiPriority w:val="0"/>
    <w:pPr>
      <w:widowControl/>
      <w:jc w:val="left"/>
    </w:pPr>
    <w:rPr>
      <w:rFonts w:ascii="宋体" w:hAnsi="宋体" w:cs="宋体"/>
      <w:b/>
      <w:bCs/>
      <w:color w:val="212121"/>
      <w:sz w:val="9"/>
      <w:szCs w:val="9"/>
    </w:rPr>
  </w:style>
  <w:style w:type="paragraph" w:customStyle="1" w:styleId="240">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1">
    <w:name w:val="标题3"/>
    <w:basedOn w:val="1"/>
    <w:link w:val="242"/>
    <w:qFormat/>
    <w:uiPriority w:val="0"/>
    <w:pPr>
      <w:pageBreakBefore/>
      <w:jc w:val="center"/>
      <w:outlineLvl w:val="2"/>
    </w:pPr>
    <w:rPr>
      <w:rFonts w:ascii="黑体" w:hAnsi="黑体" w:eastAsia="黑体"/>
      <w:b/>
      <w:sz w:val="32"/>
      <w:szCs w:val="32"/>
    </w:rPr>
  </w:style>
  <w:style w:type="character" w:customStyle="1" w:styleId="242">
    <w:name w:val="标题3 Char"/>
    <w:link w:val="241"/>
    <w:qFormat/>
    <w:uiPriority w:val="0"/>
    <w:rPr>
      <w:rFonts w:ascii="黑体" w:hAnsi="黑体" w:eastAsia="黑体" w:cs="Times New Roman"/>
      <w:b/>
      <w:sz w:val="32"/>
      <w:szCs w:val="32"/>
    </w:rPr>
  </w:style>
  <w:style w:type="paragraph" w:customStyle="1" w:styleId="243">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4">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5">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8">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修订1"/>
    <w:unhideWhenUsed/>
    <w:qFormat/>
    <w:uiPriority w:val="99"/>
    <w:rPr>
      <w:rFonts w:ascii="Calibri" w:hAnsi="Calibri" w:eastAsia="宋体" w:cs="Times New Roman"/>
      <w:sz w:val="21"/>
      <w:szCs w:val="22"/>
      <w:lang w:val="en-US" w:eastAsia="zh-CN" w:bidi="ar-SA"/>
    </w:rPr>
  </w:style>
  <w:style w:type="paragraph" w:customStyle="1" w:styleId="250">
    <w:name w:val="BodyText"/>
    <w:basedOn w:val="1"/>
    <w:qFormat/>
    <w:uiPriority w:val="0"/>
    <w:pPr>
      <w:spacing w:after="120"/>
    </w:pPr>
    <w:rPr>
      <w:rFonts w:hAnsi="Times New Roman"/>
      <w:sz w:val="20"/>
      <w:szCs w:val="20"/>
    </w:rPr>
  </w:style>
  <w:style w:type="table" w:customStyle="1" w:styleId="251">
    <w:name w:val="Table Normal"/>
    <w:basedOn w:val="44"/>
    <w:semiHidden/>
    <w:qFormat/>
    <w:uiPriority w:val="2"/>
    <w:tblPr>
      <w:tblCellMar>
        <w:left w:w="0" w:type="dxa"/>
        <w:right w:w="0" w:type="dxa"/>
      </w:tblCellMar>
    </w:tblPr>
  </w:style>
  <w:style w:type="paragraph" w:customStyle="1" w:styleId="252">
    <w:name w:val="列出段落11"/>
    <w:basedOn w:val="1"/>
    <w:qFormat/>
    <w:uiPriority w:val="99"/>
    <w:pPr>
      <w:ind w:firstLine="420"/>
    </w:pPr>
    <w:rPr>
      <w:rFonts w:ascii="Times New Roman" w:hAnsi="Times New Roman"/>
      <w:szCs w:val="24"/>
    </w:rPr>
  </w:style>
  <w:style w:type="paragraph" w:customStyle="1" w:styleId="253">
    <w:name w:val="hk正文"/>
    <w:basedOn w:val="1"/>
    <w:qFormat/>
    <w:uiPriority w:val="0"/>
    <w:pPr>
      <w:spacing w:line="440" w:lineRule="exact"/>
      <w:ind w:firstLine="560"/>
    </w:pPr>
    <w:rPr>
      <w:rFonts w:ascii="Arial" w:hAnsi="Arial" w:cs="宋体"/>
      <w:szCs w:val="28"/>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paragraph" w:customStyle="1" w:styleId="270">
    <w:name w:val="正文文本首行缩进1"/>
    <w:basedOn w:val="271"/>
    <w:qFormat/>
    <w:uiPriority w:val="99"/>
    <w:pPr>
      <w:ind w:firstLine="360"/>
    </w:pPr>
  </w:style>
  <w:style w:type="paragraph" w:customStyle="1" w:styleId="271">
    <w:name w:val="正文文本1"/>
    <w:basedOn w:val="1"/>
    <w:next w:val="1"/>
    <w:qFormat/>
    <w:uiPriority w:val="0"/>
    <w:pPr>
      <w:jc w:val="center"/>
    </w:pPr>
    <w:rPr>
      <w:rFonts w:eastAsia="幼圆"/>
      <w:b/>
      <w:bCs/>
      <w:sz w:val="44"/>
      <w:lang w:eastAsia="en-US"/>
    </w:rPr>
  </w:style>
  <w:style w:type="table" w:customStyle="1" w:styleId="272">
    <w:name w:val="网格型1"/>
    <w:basedOn w:val="273"/>
    <w:qFormat/>
    <w:uiPriority w:val="0"/>
    <w:pPr>
      <w:widowControl w:val="0"/>
      <w:jc w:val="both"/>
    </w:pPr>
  </w:style>
  <w:style w:type="table" w:customStyle="1" w:styleId="273">
    <w:name w:val="普通表格1"/>
    <w:unhideWhenUsed/>
    <w:qFormat/>
    <w:uiPriority w:val="99"/>
    <w:tblPr>
      <w:tblCellMar>
        <w:top w:w="0" w:type="dxa"/>
        <w:left w:w="0" w:type="dxa"/>
        <w:bottom w:w="0" w:type="dxa"/>
        <w:right w:w="0" w:type="dxa"/>
      </w:tblCellMar>
    </w:tblPr>
  </w:style>
  <w:style w:type="table" w:customStyle="1" w:styleId="274">
    <w:name w:val="网格型6"/>
    <w:basedOn w:val="44"/>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37</Pages>
  <Words>10770</Words>
  <Characters>11250</Characters>
  <Lines>160</Lines>
  <Paragraphs>45</Paragraphs>
  <TotalTime>37</TotalTime>
  <ScaleCrop>false</ScaleCrop>
  <LinksUpToDate>false</LinksUpToDate>
  <CharactersWithSpaces>11270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2025-09-19T16:04:00Z</dcterms:created>
  <dc:creator>Administrator</dc:creator>
  <cp:lastModifiedBy>楚楚</cp:lastModifiedBy>
  <dcterms:modified xsi:type="dcterms:W3CDTF">2026-10-16T09:18:47Z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EEDD39E86E1A4D55BBC7911ABB6C6E0F_13</vt:lpwstr>
  </property>
  <property fmtid="{D5CDD505-2E9C-101B-9397-08002B2CF9AE}" pid="4" name="KSOTemplateDocerSaveRecord">
    <vt:lpwstr>eyJoZGlkIjoiMTEyZGI1OGUyOTZjNjcwYzVhNjY4OWJiMDQwNzJhYmYiLCJ1c2VySWQiOiI0NjcwNzgxMjMifQ==</vt:lpwstr>
  </property>
</Properties>
</file>