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AF25E">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进口设备供货及技术服务协议 （进口设备）</w:t>
      </w:r>
    </w:p>
    <w:p w14:paraId="6A20E10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tbl>
      <w:tblPr>
        <w:tblStyle w:val="5"/>
        <w:tblW w:w="0" w:type="auto"/>
        <w:jc w:val="center"/>
        <w:tblLayout w:type="autofit"/>
        <w:tblCellMar>
          <w:top w:w="0" w:type="dxa"/>
          <w:left w:w="108" w:type="dxa"/>
          <w:bottom w:w="0" w:type="dxa"/>
          <w:right w:w="108" w:type="dxa"/>
        </w:tblCellMar>
      </w:tblPr>
      <w:tblGrid>
        <w:gridCol w:w="3809"/>
        <w:gridCol w:w="4713"/>
      </w:tblGrid>
      <w:tr w14:paraId="50AB989A">
        <w:tblPrEx>
          <w:tblCellMar>
            <w:top w:w="0" w:type="dxa"/>
            <w:left w:w="108" w:type="dxa"/>
            <w:bottom w:w="0" w:type="dxa"/>
            <w:right w:w="108" w:type="dxa"/>
          </w:tblCellMar>
        </w:tblPrEx>
        <w:trPr>
          <w:jc w:val="center"/>
        </w:trPr>
        <w:tc>
          <w:tcPr>
            <w:tcW w:w="3809" w:type="dxa"/>
          </w:tcPr>
          <w:p w14:paraId="0A65C46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w:t>
            </w:r>
            <w:r>
              <w:rPr>
                <w:rFonts w:hint="eastAsia" w:ascii="宋体" w:hAnsi="宋体" w:cs="宋体"/>
                <w:b/>
                <w:color w:val="000000" w:themeColor="text1"/>
                <w:szCs w:val="21"/>
                <w:highlight w:val="none"/>
                <w14:textFill>
                  <w14:solidFill>
                    <w14:schemeClr w14:val="tx1"/>
                  </w14:solidFill>
                </w14:textFill>
              </w:rPr>
              <w:t>南京邮电大学</w:t>
            </w:r>
          </w:p>
        </w:tc>
        <w:tc>
          <w:tcPr>
            <w:tcW w:w="4713" w:type="dxa"/>
          </w:tcPr>
          <w:p w14:paraId="7D2D5F3D">
            <w:pPr>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招标编号：</w:t>
            </w:r>
            <w:r>
              <w:rPr>
                <w:rFonts w:hint="eastAsia" w:ascii="宋体" w:hAnsi="宋体" w:cs="宋体"/>
                <w:color w:val="000000" w:themeColor="text1"/>
                <w:szCs w:val="21"/>
                <w:highlight w:val="none"/>
                <w:u w:val="single"/>
                <w14:textFill>
                  <w14:solidFill>
                    <w14:schemeClr w14:val="tx1"/>
                  </w14:solidFill>
                </w14:textFill>
              </w:rPr>
              <w:t>JSZC-320000-HWZX-G2025-0959（NYCG2025-H088）（0675-256JOC004740）</w:t>
            </w:r>
          </w:p>
        </w:tc>
      </w:tr>
      <w:tr w14:paraId="24C24441">
        <w:tblPrEx>
          <w:tblCellMar>
            <w:top w:w="0" w:type="dxa"/>
            <w:left w:w="108" w:type="dxa"/>
            <w:bottom w:w="0" w:type="dxa"/>
            <w:right w:w="108" w:type="dxa"/>
          </w:tblCellMar>
        </w:tblPrEx>
        <w:trPr>
          <w:jc w:val="center"/>
        </w:trPr>
        <w:tc>
          <w:tcPr>
            <w:tcW w:w="3809" w:type="dxa"/>
            <w:vAlign w:val="center"/>
          </w:tcPr>
          <w:p w14:paraId="620A2615">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w:t>
            </w:r>
            <w:r>
              <w:rPr>
                <w:rFonts w:hint="eastAsia" w:ascii="宋体" w:hAnsi="宋体" w:cs="宋体"/>
                <w:b/>
                <w:bCs/>
                <w:color w:val="000000" w:themeColor="text1"/>
                <w:kern w:val="0"/>
                <w:szCs w:val="21"/>
                <w:highlight w:val="none"/>
                <w:lang w:bidi="ar"/>
                <w14:textFill>
                  <w14:solidFill>
                    <w14:schemeClr w14:val="tx1"/>
                  </w14:solidFill>
                </w14:textFill>
              </w:rPr>
              <w:t>江苏酷拓科学仪器有限公司</w:t>
            </w:r>
          </w:p>
        </w:tc>
        <w:tc>
          <w:tcPr>
            <w:tcW w:w="4713" w:type="dxa"/>
          </w:tcPr>
          <w:p w14:paraId="3A63E12D">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协议编号：</w:t>
            </w:r>
            <w:bookmarkStart w:id="0" w:name="xy"/>
            <w:r>
              <w:rPr>
                <w:rFonts w:hint="eastAsia" w:ascii="宋体" w:hAnsi="宋体" w:cs="宋体"/>
                <w:color w:val="000000" w:themeColor="text1"/>
                <w:szCs w:val="21"/>
                <w:highlight w:val="none"/>
                <w:u w:val="single"/>
                <w14:textFill>
                  <w14:solidFill>
                    <w14:schemeClr w14:val="tx1"/>
                  </w14:solidFill>
                </w14:textFill>
              </w:rPr>
              <w:t xml:space="preserve">        </w:t>
            </w:r>
            <w:bookmarkEnd w:id="0"/>
            <w:r>
              <w:rPr>
                <w:rFonts w:hint="eastAsia" w:ascii="宋体" w:hAnsi="宋体" w:cs="宋体"/>
                <w:color w:val="000000" w:themeColor="text1"/>
                <w:szCs w:val="21"/>
                <w:highlight w:val="none"/>
                <w:u w:val="single"/>
                <w14:textFill>
                  <w14:solidFill>
                    <w14:schemeClr w14:val="tx1"/>
                  </w14:solidFill>
                </w14:textFill>
              </w:rPr>
              <w:t xml:space="preserve">        </w:t>
            </w:r>
          </w:p>
        </w:tc>
      </w:tr>
    </w:tbl>
    <w:p w14:paraId="4BC1415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p>
    <w:p w14:paraId="4FF46445">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经甲乙双方友好协商，就甲方向乙方购买进口</w:t>
      </w:r>
      <w:r>
        <w:rPr>
          <w:rFonts w:hint="eastAsia" w:ascii="宋体" w:hAnsi="宋体" w:cs="宋体"/>
          <w:color w:val="000000" w:themeColor="text1"/>
          <w:szCs w:val="21"/>
          <w:highlight w:val="none"/>
          <w:u w:val="single"/>
          <w14:textFill>
            <w14:solidFill>
              <w14:schemeClr w14:val="tx1"/>
            </w14:solidFill>
          </w14:textFill>
        </w:rPr>
        <w:t>光谱分析仪</w:t>
      </w:r>
      <w:r>
        <w:rPr>
          <w:rFonts w:hint="eastAsia" w:ascii="宋体" w:hAnsi="宋体" w:cs="宋体"/>
          <w:color w:val="000000" w:themeColor="text1"/>
          <w:szCs w:val="21"/>
          <w:highlight w:val="none"/>
          <w14:textFill>
            <w14:solidFill>
              <w14:schemeClr w14:val="tx1"/>
            </w14:solidFill>
          </w14:textFill>
        </w:rPr>
        <w:t>及售后服务等事宜达成以下协议：</w:t>
      </w:r>
    </w:p>
    <w:p w14:paraId="6DB797B6">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第一条：</w:t>
      </w:r>
      <w:r>
        <w:rPr>
          <w:rFonts w:hint="eastAsia" w:ascii="宋体" w:hAnsi="宋体" w:cs="宋体"/>
          <w:color w:val="000000" w:themeColor="text1"/>
          <w:szCs w:val="21"/>
          <w:highlight w:val="none"/>
          <w14:textFill>
            <w14:solidFill>
              <w14:schemeClr w14:val="tx1"/>
            </w14:solidFill>
          </w14:textFill>
        </w:rPr>
        <w:t>设备名称、型号规格、配置及技术指标要求、数量及成交价格</w:t>
      </w:r>
    </w:p>
    <w:tbl>
      <w:tblPr>
        <w:tblStyle w:val="5"/>
        <w:tblpPr w:leftFromText="180" w:rightFromText="180" w:vertAnchor="text" w:horzAnchor="page" w:tblpXSpec="center" w:tblpY="153"/>
        <w:tblOverlap w:val="never"/>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884"/>
        <w:gridCol w:w="1112"/>
        <w:gridCol w:w="1775"/>
        <w:gridCol w:w="2310"/>
        <w:gridCol w:w="1235"/>
      </w:tblGrid>
      <w:tr w14:paraId="5986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641" w:type="dxa"/>
            <w:vAlign w:val="center"/>
          </w:tcPr>
          <w:p w14:paraId="3744097E">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884" w:type="dxa"/>
            <w:vAlign w:val="center"/>
          </w:tcPr>
          <w:p w14:paraId="482D01A9">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 备 名 称 \ 型 号</w:t>
            </w:r>
          </w:p>
        </w:tc>
        <w:tc>
          <w:tcPr>
            <w:tcW w:w="1112" w:type="dxa"/>
            <w:vAlign w:val="center"/>
          </w:tcPr>
          <w:p w14:paraId="01A596E7">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1775" w:type="dxa"/>
            <w:vAlign w:val="center"/>
          </w:tcPr>
          <w:p w14:paraId="7BDC7F5D">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合同总价</w:t>
            </w:r>
          </w:p>
          <w:p w14:paraId="731C4981">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w:t>
            </w:r>
          </w:p>
        </w:tc>
        <w:tc>
          <w:tcPr>
            <w:tcW w:w="2310" w:type="dxa"/>
            <w:vAlign w:val="center"/>
          </w:tcPr>
          <w:p w14:paraId="1F3CCC82">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生产厂家</w:t>
            </w:r>
          </w:p>
        </w:tc>
        <w:tc>
          <w:tcPr>
            <w:tcW w:w="1235" w:type="dxa"/>
            <w:vAlign w:val="center"/>
          </w:tcPr>
          <w:p w14:paraId="7A7E4767">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生产地</w:t>
            </w:r>
          </w:p>
        </w:tc>
      </w:tr>
      <w:tr w14:paraId="1145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41" w:type="dxa"/>
            <w:vAlign w:val="center"/>
          </w:tcPr>
          <w:p w14:paraId="0C55E52B">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884" w:type="dxa"/>
            <w:vAlign w:val="center"/>
          </w:tcPr>
          <w:p w14:paraId="564547EF">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光谱分析仪</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 xml:space="preserve"> Andor Shamrock500i</w:t>
            </w:r>
          </w:p>
        </w:tc>
        <w:tc>
          <w:tcPr>
            <w:tcW w:w="1112" w:type="dxa"/>
            <w:vAlign w:val="center"/>
          </w:tcPr>
          <w:p w14:paraId="3AE58732">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套</w:t>
            </w:r>
          </w:p>
        </w:tc>
        <w:tc>
          <w:tcPr>
            <w:tcW w:w="1775" w:type="dxa"/>
            <w:vAlign w:val="center"/>
          </w:tcPr>
          <w:p w14:paraId="12806E2C">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600</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000</w:t>
            </w:r>
            <w:r>
              <w:rPr>
                <w:rFonts w:hint="eastAsia" w:ascii="宋体" w:hAnsi="宋体" w:cs="宋体"/>
                <w:color w:val="000000" w:themeColor="text1"/>
                <w:szCs w:val="21"/>
                <w:highlight w:val="none"/>
                <w:lang w:val="en-US" w:eastAsia="zh-CN"/>
                <w14:textFill>
                  <w14:solidFill>
                    <w14:schemeClr w14:val="tx1"/>
                  </w14:solidFill>
                </w14:textFill>
              </w:rPr>
              <w:t>.00</w:t>
            </w:r>
          </w:p>
        </w:tc>
        <w:tc>
          <w:tcPr>
            <w:tcW w:w="2310" w:type="dxa"/>
            <w:vAlign w:val="center"/>
          </w:tcPr>
          <w:p w14:paraId="640F3BC4">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Andor Technology LTD</w:t>
            </w:r>
          </w:p>
        </w:tc>
        <w:tc>
          <w:tcPr>
            <w:tcW w:w="1235" w:type="dxa"/>
            <w:vAlign w:val="center"/>
          </w:tcPr>
          <w:p w14:paraId="3774A75E">
            <w:pPr>
              <w:tabs>
                <w:tab w:val="left" w:pos="792"/>
              </w:tabs>
              <w:spacing w:line="360" w:lineRule="auto"/>
              <w:ind w:right="-52"/>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英国</w:t>
            </w:r>
          </w:p>
        </w:tc>
      </w:tr>
    </w:tbl>
    <w:p w14:paraId="3737E37F">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第二条：</w:t>
      </w:r>
      <w:r>
        <w:rPr>
          <w:rFonts w:hint="eastAsia" w:ascii="宋体" w:hAnsi="宋体" w:cs="宋体"/>
          <w:color w:val="000000" w:themeColor="text1"/>
          <w:szCs w:val="21"/>
          <w:highlight w:val="none"/>
          <w14:textFill>
            <w14:solidFill>
              <w14:schemeClr w14:val="tx1"/>
            </w14:solidFill>
          </w14:textFill>
        </w:rPr>
        <w:t>交货期</w:t>
      </w:r>
    </w:p>
    <w:p w14:paraId="243E9302">
      <w:pPr>
        <w:spacing w:line="360" w:lineRule="auto"/>
        <w:ind w:firstLine="420" w:firstLineChars="200"/>
        <w:rPr>
          <w:rFonts w:hint="eastAsia" w:ascii="ˎ̥" w:hAnsi="ˎ̥" w:eastAsia="宋体" w:cs="Times New Roman"/>
          <w:color w:val="000000" w:themeColor="text1"/>
          <w:szCs w:val="21"/>
          <w:highlight w:val="none"/>
          <w14:textFill>
            <w14:solidFill>
              <w14:schemeClr w14:val="tx1"/>
            </w14:solidFill>
          </w14:textFill>
        </w:rPr>
      </w:pPr>
      <w:r>
        <w:rPr>
          <w:rFonts w:hint="eastAsia" w:ascii="ˎ̥" w:hAnsi="ˎ̥"/>
          <w:color w:val="000000" w:themeColor="text1"/>
          <w:szCs w:val="21"/>
          <w:highlight w:val="none"/>
          <w14:textFill>
            <w14:solidFill>
              <w14:schemeClr w14:val="tx1"/>
            </w14:solidFill>
          </w14:textFill>
        </w:rPr>
        <w:t>签订外贸合同之日起</w:t>
      </w:r>
      <w:r>
        <w:rPr>
          <w:rFonts w:hint="eastAsia" w:ascii="ˎ̥" w:hAnsi="ˎ̥"/>
          <w:color w:val="000000" w:themeColor="text1"/>
          <w:szCs w:val="21"/>
          <w:highlight w:val="none"/>
          <w:u w:val="single"/>
          <w:lang w:val="en-US" w:eastAsia="zh-CN"/>
          <w14:textFill>
            <w14:solidFill>
              <w14:schemeClr w14:val="tx1"/>
            </w14:solidFill>
          </w14:textFill>
        </w:rPr>
        <w:t>3个月</w:t>
      </w:r>
      <w:r>
        <w:rPr>
          <w:rFonts w:hint="eastAsia" w:ascii="ˎ̥" w:hAnsi="ˎ̥"/>
          <w:color w:val="000000" w:themeColor="text1"/>
          <w:szCs w:val="21"/>
          <w:highlight w:val="none"/>
          <w14:textFill>
            <w14:solidFill>
              <w14:schemeClr w14:val="tx1"/>
            </w14:solidFill>
          </w14:textFill>
        </w:rPr>
        <w:t>内设备到达南京邮电大学项目</w:t>
      </w:r>
      <w:r>
        <w:rPr>
          <w:rFonts w:hint="eastAsia" w:ascii="ˎ̥" w:hAnsi="ˎ̥" w:eastAsia="宋体" w:cs="Times New Roman"/>
          <w:color w:val="000000" w:themeColor="text1"/>
          <w:szCs w:val="21"/>
          <w:highlight w:val="none"/>
          <w14:textFill>
            <w14:solidFill>
              <w14:schemeClr w14:val="tx1"/>
            </w14:solidFill>
          </w14:textFill>
        </w:rPr>
        <w:t>现场</w:t>
      </w:r>
      <w:r>
        <w:rPr>
          <w:rFonts w:hint="eastAsia" w:ascii="ˎ̥" w:hAnsi="ˎ̥" w:cs="Times New Roman"/>
          <w:color w:val="000000" w:themeColor="text1"/>
          <w:szCs w:val="21"/>
          <w:highlight w:val="none"/>
          <w:lang w:eastAsia="zh-CN"/>
          <w14:textFill>
            <w14:solidFill>
              <w14:schemeClr w14:val="tx1"/>
            </w14:solidFill>
          </w14:textFill>
        </w:rPr>
        <w:t>，</w:t>
      </w:r>
      <w:r>
        <w:rPr>
          <w:rFonts w:hint="eastAsia" w:ascii="ˎ̥" w:hAnsi="ˎ̥" w:eastAsia="宋体" w:cs="Times New Roman"/>
          <w:color w:val="000000" w:themeColor="text1"/>
          <w:szCs w:val="21"/>
          <w:highlight w:val="none"/>
          <w14:textFill>
            <w14:solidFill>
              <w14:schemeClr w14:val="tx1"/>
            </w14:solidFill>
          </w14:textFill>
        </w:rPr>
        <w:t>并完成安装、调试结束，验收合格，交付</w:t>
      </w:r>
      <w:r>
        <w:rPr>
          <w:rFonts w:hint="eastAsia" w:ascii="ˎ̥" w:hAnsi="ˎ̥"/>
          <w:color w:val="000000" w:themeColor="text1"/>
          <w:szCs w:val="21"/>
          <w:highlight w:val="none"/>
          <w14:textFill>
            <w14:solidFill>
              <w14:schemeClr w14:val="tx1"/>
            </w14:solidFill>
          </w14:textFill>
        </w:rPr>
        <w:t>南京邮电大学</w:t>
      </w:r>
      <w:r>
        <w:rPr>
          <w:rFonts w:hint="eastAsia" w:ascii="ˎ̥" w:hAnsi="ˎ̥" w:eastAsia="宋体" w:cs="Times New Roman"/>
          <w:color w:val="000000" w:themeColor="text1"/>
          <w:szCs w:val="21"/>
          <w:highlight w:val="none"/>
          <w14:textFill>
            <w14:solidFill>
              <w14:schemeClr w14:val="tx1"/>
            </w14:solidFill>
          </w14:textFill>
        </w:rPr>
        <w:t>使用。</w:t>
      </w:r>
    </w:p>
    <w:p w14:paraId="29665A5C">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第三条：</w:t>
      </w:r>
      <w:r>
        <w:rPr>
          <w:rFonts w:hint="eastAsia" w:ascii="宋体" w:hAnsi="宋体" w:cs="宋体"/>
          <w:color w:val="000000" w:themeColor="text1"/>
          <w:szCs w:val="21"/>
          <w:highlight w:val="none"/>
          <w14:textFill>
            <w14:solidFill>
              <w14:schemeClr w14:val="tx1"/>
            </w14:solidFill>
          </w14:textFill>
        </w:rPr>
        <w:t xml:space="preserve">付款方式及条件 </w:t>
      </w:r>
    </w:p>
    <w:p w14:paraId="60EB0B5C">
      <w:pPr>
        <w:numPr>
          <w:ilvl w:val="0"/>
          <w:numId w:val="0"/>
        </w:num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甲方委托的外贸代理公司</w:t>
      </w:r>
      <w:r>
        <w:rPr>
          <w:rFonts w:hint="eastAsia" w:ascii="宋体" w:hAnsi="宋体" w:cs="宋体"/>
          <w:color w:val="000000" w:themeColor="text1"/>
          <w:szCs w:val="21"/>
          <w:highlight w:val="none"/>
          <w:u w:val="single"/>
          <w14:textFill>
            <w14:solidFill>
              <w14:schemeClr w14:val="tx1"/>
            </w14:solidFill>
          </w14:textFill>
        </w:rPr>
        <w:t>建发（上海）有限公司</w:t>
      </w:r>
      <w:r>
        <w:rPr>
          <w:rFonts w:hint="eastAsia" w:ascii="宋体" w:hAnsi="宋体" w:cs="宋体"/>
          <w:color w:val="000000" w:themeColor="text1"/>
          <w:szCs w:val="21"/>
          <w:highlight w:val="none"/>
          <w14:textFill>
            <w14:solidFill>
              <w14:schemeClr w14:val="tx1"/>
            </w14:solidFill>
          </w14:textFill>
        </w:rPr>
        <w:t>向乙方委托的公司/制造商</w:t>
      </w:r>
      <w:r>
        <w:rPr>
          <w:rFonts w:hint="eastAsia" w:ascii="宋体" w:hAnsi="宋体" w:cs="宋体"/>
          <w:color w:val="000000" w:themeColor="text1"/>
          <w:szCs w:val="21"/>
          <w:highlight w:val="none"/>
          <w:u w:val="single"/>
          <w14:textFill>
            <w14:solidFill>
              <w14:schemeClr w14:val="tx1"/>
            </w14:solidFill>
          </w14:textFill>
        </w:rPr>
        <w:t>香港乘雲科技有限公司</w:t>
      </w:r>
      <w:r>
        <w:rPr>
          <w:rFonts w:hint="eastAsia" w:ascii="宋体" w:hAnsi="宋体" w:cs="宋体"/>
          <w:color w:val="000000" w:themeColor="text1"/>
          <w:szCs w:val="21"/>
          <w:highlight w:val="none"/>
          <w:u w:val="single"/>
          <w:lang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HONGKONG CHERRY TECHNOLOGY CO., LIMITED </w:t>
      </w:r>
      <w:r>
        <w:rPr>
          <w:rFonts w:hint="eastAsia" w:ascii="宋体" w:hAnsi="宋体" w:cs="宋体"/>
          <w:color w:val="000000" w:themeColor="text1"/>
          <w:szCs w:val="21"/>
          <w:highlight w:val="none"/>
          <w:u w:val="singl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直接支付款项，受甲方委托的外贸代理公司按以下方式支付货款：</w:t>
      </w:r>
      <w:r>
        <w:rPr>
          <w:rFonts w:hint="default" w:ascii="宋体" w:hAnsi="宋体" w:cs="宋体"/>
          <w:color w:val="000000" w:themeColor="text1"/>
          <w:szCs w:val="21"/>
          <w:highlight w:val="none"/>
          <w:lang w:val="en-US" w:eastAsia="zh-CN"/>
          <w14:textFill>
            <w14:solidFill>
              <w14:schemeClr w14:val="tx1"/>
            </w14:solidFill>
          </w14:textFill>
        </w:rPr>
        <w:t>100%</w:t>
      </w:r>
      <w:r>
        <w:rPr>
          <w:rFonts w:hint="eastAsia" w:ascii="宋体" w:hAnsi="宋体" w:cs="宋体"/>
          <w:color w:val="000000" w:themeColor="text1"/>
          <w:szCs w:val="21"/>
          <w:highlight w:val="none"/>
          <w:lang w:val="en-US" w:eastAsia="zh-CN"/>
          <w14:textFill>
            <w14:solidFill>
              <w14:schemeClr w14:val="tx1"/>
            </w14:solidFill>
          </w14:textFill>
        </w:rPr>
        <w:t>即期L/C,90%见货运单据即付，余10%见甲方签字盖章的验收合格报告。</w:t>
      </w:r>
    </w:p>
    <w:p w14:paraId="1CC25FAC">
      <w:pPr>
        <w:pStyle w:val="3"/>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第四条：</w:t>
      </w:r>
      <w:r>
        <w:rPr>
          <w:rFonts w:hint="eastAsia" w:ascii="宋体" w:hAnsi="宋体" w:cs="宋体"/>
          <w:color w:val="000000" w:themeColor="text1"/>
          <w:szCs w:val="21"/>
          <w:highlight w:val="none"/>
          <w14:textFill>
            <w14:solidFill>
              <w14:schemeClr w14:val="tx1"/>
            </w14:solidFill>
          </w14:textFill>
        </w:rPr>
        <w:t>原产地、生产商与运输方式及包装。</w:t>
      </w:r>
    </w:p>
    <w:p w14:paraId="67DD1AC8">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原产地：英国</w:t>
      </w:r>
    </w:p>
    <w:p w14:paraId="2859479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生产商：</w:t>
      </w:r>
      <w:r>
        <w:rPr>
          <w:rFonts w:ascii="宋体" w:hAnsi="宋体" w:cs="宋体"/>
          <w:color w:val="000000" w:themeColor="text1"/>
          <w:sz w:val="24"/>
          <w:highlight w:val="none"/>
          <w14:textFill>
            <w14:solidFill>
              <w14:schemeClr w14:val="tx1"/>
            </w14:solidFill>
          </w14:textFill>
        </w:rPr>
        <w:t>Andor</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Technology</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LTD</w:t>
      </w:r>
    </w:p>
    <w:p w14:paraId="041B6883">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发货港：</w:t>
      </w:r>
      <w:r>
        <w:rPr>
          <w:rFonts w:hint="eastAsia" w:ascii="ˎ̥" w:hAnsi="ˎ̥"/>
          <w:color w:val="000000" w:themeColor="text1"/>
          <w:szCs w:val="21"/>
          <w:highlight w:val="none"/>
          <w:lang w:val="en-US" w:eastAsia="zh-CN"/>
          <w14:textFill>
            <w14:solidFill>
              <w14:schemeClr w14:val="tx1"/>
            </w14:solidFill>
          </w14:textFill>
        </w:rPr>
        <w:t>爱尔兰主要机场</w:t>
      </w:r>
    </w:p>
    <w:p w14:paraId="4291DFEA">
      <w:pPr>
        <w:spacing w:line="360" w:lineRule="auto"/>
        <w:ind w:firstLine="420" w:firstLineChars="200"/>
        <w:rPr>
          <w:rFonts w:hint="eastAsia"/>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运输方式：</w:t>
      </w:r>
      <w:r>
        <w:rPr>
          <w:rFonts w:hint="eastAsia" w:ascii="宋体" w:hAnsi="宋体" w:cs="宋体"/>
          <w:color w:val="000000" w:themeColor="text1"/>
          <w:szCs w:val="21"/>
          <w:highlight w:val="none"/>
          <w:u w:val="single"/>
          <w14:textFill>
            <w14:solidFill>
              <w14:schemeClr w14:val="tx1"/>
            </w14:solidFill>
          </w14:textFill>
        </w:rPr>
        <w:t>空运</w:t>
      </w:r>
      <w:r>
        <w:rPr>
          <w:rFonts w:hint="eastAsia" w:ascii="宋体" w:hAnsi="宋体" w:cs="宋体"/>
          <w:color w:val="000000" w:themeColor="text1"/>
          <w:szCs w:val="21"/>
          <w:highlight w:val="none"/>
          <w14:textFill>
            <w14:solidFill>
              <w14:schemeClr w14:val="tx1"/>
            </w14:solidFill>
          </w14:textFill>
        </w:rPr>
        <w:t>。</w:t>
      </w:r>
      <w:r>
        <w:rPr>
          <w:rFonts w:hint="eastAsia" w:ascii="ˎ̥" w:hAnsi="ˎ̥"/>
          <w:color w:val="000000" w:themeColor="text1"/>
          <w:szCs w:val="21"/>
          <w:highlight w:val="none"/>
          <w14:textFill>
            <w14:solidFill>
              <w14:schemeClr w14:val="tx1"/>
            </w14:solidFill>
          </w14:textFill>
        </w:rPr>
        <w:t>乙方负责为交运设备投保合同总价110%的</w:t>
      </w:r>
      <w:r>
        <w:rPr>
          <w:rFonts w:hint="eastAsia" w:ascii="ˎ̥" w:hAnsi="ˎ̥" w:cs="Times New Roman"/>
          <w:color w:val="000000" w:themeColor="text1"/>
          <w:szCs w:val="21"/>
          <w:highlight w:val="none"/>
          <w:lang w:val="en-US" w:eastAsia="zh-CN"/>
          <w14:textFill>
            <w14:solidFill>
              <w14:schemeClr w14:val="tx1"/>
            </w14:solidFill>
          </w14:textFill>
        </w:rPr>
        <w:t>空</w:t>
      </w:r>
      <w:r>
        <w:rPr>
          <w:rFonts w:hint="eastAsia" w:ascii="ˎ̥" w:hAnsi="ˎ̥" w:eastAsia="宋体" w:cs="Times New Roman"/>
          <w:color w:val="000000" w:themeColor="text1"/>
          <w:szCs w:val="21"/>
          <w:highlight w:val="none"/>
          <w14:textFill>
            <w14:solidFill>
              <w14:schemeClr w14:val="tx1"/>
            </w14:solidFill>
          </w14:textFill>
        </w:rPr>
        <w:t>运保险。上海</w:t>
      </w:r>
      <w:r>
        <w:rPr>
          <w:rFonts w:hint="eastAsia" w:ascii="ˎ̥" w:hAnsi="ˎ̥" w:cs="Times New Roman"/>
          <w:color w:val="000000" w:themeColor="text1"/>
          <w:szCs w:val="21"/>
          <w:highlight w:val="none"/>
          <w:lang w:val="en-US" w:eastAsia="zh-CN"/>
          <w14:textFill>
            <w14:solidFill>
              <w14:schemeClr w14:val="tx1"/>
            </w14:solidFill>
          </w14:textFill>
        </w:rPr>
        <w:t>机场</w:t>
      </w:r>
      <w:r>
        <w:rPr>
          <w:rFonts w:hint="eastAsia" w:ascii="ˎ̥" w:hAnsi="ˎ̥" w:eastAsia="宋体" w:cs="Times New Roman"/>
          <w:color w:val="000000" w:themeColor="text1"/>
          <w:szCs w:val="21"/>
          <w:highlight w:val="none"/>
          <w14:textFill>
            <w14:solidFill>
              <w14:schemeClr w14:val="tx1"/>
            </w14:solidFill>
          </w14:textFill>
        </w:rPr>
        <w:t>至南京邮电大学项目现场的运输、保险、卸货和搬运由乙方负责。</w:t>
      </w:r>
    </w:p>
    <w:p w14:paraId="4D54A265">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到货港：</w:t>
      </w:r>
      <w:r>
        <w:rPr>
          <w:rFonts w:hint="eastAsia" w:ascii="ˎ̥" w:hAnsi="ˎ̥"/>
          <w:color w:val="000000" w:themeColor="text1"/>
          <w:szCs w:val="21"/>
          <w:highlight w:val="none"/>
          <w:lang w:val="en-US" w:eastAsia="zh-CN"/>
          <w14:textFill>
            <w14:solidFill>
              <w14:schemeClr w14:val="tx1"/>
            </w14:solidFill>
          </w14:textFill>
        </w:rPr>
        <w:t>上海机场，中国</w:t>
      </w:r>
      <w:r>
        <w:rPr>
          <w:rFonts w:hint="eastAsia" w:ascii="宋体" w:hAnsi="宋体" w:cs="宋体"/>
          <w:color w:val="000000" w:themeColor="text1"/>
          <w:szCs w:val="21"/>
          <w:highlight w:val="none"/>
          <w14:textFill>
            <w14:solidFill>
              <w14:schemeClr w14:val="tx1"/>
            </w14:solidFill>
          </w14:textFill>
        </w:rPr>
        <w:t>。</w:t>
      </w:r>
    </w:p>
    <w:p w14:paraId="42E6D183">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包装：提供货物的包装需适合远距离的海运/包裹邮递/空运和气候的变化，能防护野蛮装卸、潮湿、雨淋、腐蚀、震动和冷冻。</w:t>
      </w:r>
    </w:p>
    <w:p w14:paraId="0695FACC">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第五条：</w:t>
      </w:r>
      <w:r>
        <w:rPr>
          <w:rFonts w:hint="eastAsia" w:ascii="宋体" w:hAnsi="宋体" w:cs="宋体"/>
          <w:bCs/>
          <w:color w:val="000000" w:themeColor="text1"/>
          <w:szCs w:val="21"/>
          <w:highlight w:val="none"/>
          <w14:textFill>
            <w14:solidFill>
              <w14:schemeClr w14:val="tx1"/>
            </w14:solidFill>
          </w14:textFill>
        </w:rPr>
        <w:t>外贸合同签订方：</w:t>
      </w:r>
      <w:r>
        <w:rPr>
          <w:rFonts w:hint="eastAsia" w:ascii="宋体" w:hAnsi="宋体" w:cs="宋体"/>
          <w:color w:val="000000" w:themeColor="text1"/>
          <w:szCs w:val="21"/>
          <w:highlight w:val="none"/>
          <w14:textFill>
            <w14:solidFill>
              <w14:schemeClr w14:val="tx1"/>
            </w14:solidFill>
          </w14:textFill>
        </w:rPr>
        <w:t xml:space="preserve"> </w:t>
      </w:r>
    </w:p>
    <w:p w14:paraId="3ED64DDB">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甲</w:t>
      </w:r>
      <w:r>
        <w:rPr>
          <w:rFonts w:hint="eastAsia" w:ascii="宋体" w:hAnsi="宋体" w:cs="宋体"/>
          <w:color w:val="000000" w:themeColor="text1"/>
          <w:szCs w:val="21"/>
          <w:highlight w:val="none"/>
          <w14:textFill>
            <w14:solidFill>
              <w14:schemeClr w14:val="tx1"/>
            </w14:solidFill>
          </w14:textFill>
        </w:rPr>
        <w:t>方的代理（中英文名）、地址</w:t>
      </w:r>
      <w:r>
        <w:rPr>
          <w:rFonts w:hint="eastAsia" w:ascii="宋体" w:hAnsi="宋体" w:cs="宋体"/>
          <w:color w:val="000000" w:themeColor="text1"/>
          <w:szCs w:val="21"/>
          <w:highlight w:val="none"/>
          <w:lang w:val="en-US" w:eastAsia="zh-CN"/>
          <w14:textFill>
            <w14:solidFill>
              <w14:schemeClr w14:val="tx1"/>
            </w14:solidFill>
          </w14:textFill>
        </w:rPr>
        <w:t>:</w:t>
      </w:r>
    </w:p>
    <w:p w14:paraId="6994760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建发（上海）有限公司</w:t>
      </w:r>
    </w:p>
    <w:p w14:paraId="57DCAC39">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C&amp;D (Shanghai) Co., Ltd.</w:t>
      </w:r>
    </w:p>
    <w:p w14:paraId="13BFF0A3">
      <w:pPr>
        <w:spacing w:line="360" w:lineRule="auto"/>
        <w:ind w:firstLine="420" w:firstLineChars="200"/>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上海杨浦区杨树浦路288号建发国际大厦12楼</w:t>
      </w:r>
    </w:p>
    <w:p w14:paraId="3909B42C">
      <w:pPr>
        <w:spacing w:line="360" w:lineRule="auto"/>
        <w:ind w:left="420" w:leftChars="200" w:firstLine="0" w:firstLineChars="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Address: 12/F. Jian Fa Internal Plaza,No.288 Yang Shu Pu Rd, Yang Pu District Shanghai, China</w:t>
      </w:r>
      <w:r>
        <w:rPr>
          <w:rFonts w:hint="eastAsia" w:ascii="宋体" w:hAnsi="宋体" w:cs="宋体"/>
          <w:color w:val="000000" w:themeColor="text1"/>
          <w:szCs w:val="21"/>
          <w:highlight w:val="none"/>
          <w:lang w:val="en-US" w:eastAsia="zh-CN"/>
          <w14:textFill>
            <w14:solidFill>
              <w14:schemeClr w14:val="tx1"/>
            </w14:solidFill>
          </w14:textFill>
        </w:rPr>
        <w:t>.</w:t>
      </w:r>
    </w:p>
    <w:p w14:paraId="247FAEFC">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乙方的代理（中英文名）、地址</w:t>
      </w:r>
      <w:r>
        <w:rPr>
          <w:rFonts w:hint="eastAsia" w:ascii="宋体" w:hAnsi="宋体" w:cs="宋体"/>
          <w:color w:val="000000" w:themeColor="text1"/>
          <w:szCs w:val="21"/>
          <w:highlight w:val="none"/>
          <w:lang w:val="en-US" w:eastAsia="zh-CN"/>
          <w14:textFill>
            <w14:solidFill>
              <w14:schemeClr w14:val="tx1"/>
            </w14:solidFill>
          </w14:textFill>
        </w:rPr>
        <w:t>:</w:t>
      </w:r>
    </w:p>
    <w:p w14:paraId="3FAEA03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香港乘雲科技有限公司</w:t>
      </w:r>
    </w:p>
    <w:p w14:paraId="10BA1CB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HONGKONG CHERRY TECHNOLOGY CO., LIMITED</w:t>
      </w:r>
    </w:p>
    <w:p w14:paraId="70C2355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地址：香港新界沙田火炭坳背灣街 33-35號世紀工業中心4樓H2室</w:t>
      </w:r>
    </w:p>
    <w:p w14:paraId="3C53E893">
      <w:pPr>
        <w:spacing w:line="360" w:lineRule="auto"/>
        <w:ind w:left="420" w:leftChars="200" w:firstLine="0" w:firstLineChars="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Address: RM H2 4/F CENTURY IND CTR 33-35 AU PUI WAN ST FOTAN SHA TIN HONG KONG</w:t>
      </w:r>
    </w:p>
    <w:p w14:paraId="5168AEAC">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第六条：</w:t>
      </w:r>
      <w:r>
        <w:rPr>
          <w:rFonts w:hint="eastAsia" w:ascii="宋体" w:hAnsi="宋体" w:cs="宋体"/>
          <w:color w:val="000000" w:themeColor="text1"/>
          <w:szCs w:val="21"/>
          <w:highlight w:val="none"/>
          <w14:textFill>
            <w14:solidFill>
              <w14:schemeClr w14:val="tx1"/>
            </w14:solidFill>
          </w14:textFill>
        </w:rPr>
        <w:t>乙方应在交货时同时向甲方提供与本合同项下货物相符且完整的技术资料。</w:t>
      </w:r>
    </w:p>
    <w:p w14:paraId="3801CE02">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第七条：</w:t>
      </w:r>
      <w:r>
        <w:rPr>
          <w:rFonts w:hint="eastAsia" w:ascii="宋体" w:hAnsi="宋体" w:cs="宋体"/>
          <w:color w:val="000000" w:themeColor="text1"/>
          <w:szCs w:val="21"/>
          <w:highlight w:val="none"/>
          <w14:textFill>
            <w14:solidFill>
              <w14:schemeClr w14:val="tx1"/>
            </w14:solidFill>
          </w14:textFill>
        </w:rPr>
        <w:t>质量保证与售后服务</w:t>
      </w:r>
    </w:p>
    <w:p w14:paraId="3848EE2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1、乙方保证供应的设备完全符合本协议所规定的原生产厂商所规定的质量、规格、性能和技术指标，确保该产品为全新未使用过的仪器，否则允许甲方退货或应保证更换并向甲方支付相关损失。</w:t>
      </w:r>
    </w:p>
    <w:p w14:paraId="60E6312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2、设备的免费质保期为交货经验收合格后</w:t>
      </w:r>
      <w:r>
        <w:rPr>
          <w:rFonts w:hint="eastAsia" w:ascii="宋体" w:hAnsi="宋体" w:cs="宋体"/>
          <w:color w:val="000000" w:themeColor="text1"/>
          <w:szCs w:val="21"/>
          <w:highlight w:val="none"/>
          <w:u w:val="single"/>
          <w:lang w:val="en-US" w:eastAsia="zh-CN"/>
          <w14:textFill>
            <w14:solidFill>
              <w14:schemeClr w14:val="tx1"/>
            </w14:solidFill>
          </w14:textFill>
        </w:rPr>
        <w:t>1年</w:t>
      </w:r>
      <w:r>
        <w:rPr>
          <w:rFonts w:hint="eastAsia" w:ascii="宋体" w:hAnsi="宋体" w:cs="宋体"/>
          <w:color w:val="000000" w:themeColor="text1"/>
          <w:szCs w:val="21"/>
          <w:highlight w:val="none"/>
          <w14:textFill>
            <w14:solidFill>
              <w14:schemeClr w14:val="tx1"/>
            </w14:solidFill>
          </w14:textFill>
        </w:rPr>
        <w:t>。</w:t>
      </w:r>
    </w:p>
    <w:p w14:paraId="79F97CB6">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3、乙方在接到甲方用户故障通知后</w:t>
      </w:r>
      <w:r>
        <w:rPr>
          <w:rFonts w:hint="eastAsia" w:ascii="宋体" w:hAnsi="宋体" w:cs="宋体"/>
          <w:color w:val="000000" w:themeColor="text1"/>
          <w:szCs w:val="21"/>
          <w:highlight w:val="none"/>
          <w:u w:val="singl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小时内作出响应</w:t>
      </w:r>
      <w:r>
        <w:rPr>
          <w:rFonts w:hint="eastAsia" w:ascii="宋体" w:hAnsi="宋体" w:cs="宋体"/>
          <w:bCs/>
          <w:color w:val="000000" w:themeColor="text1"/>
          <w:szCs w:val="21"/>
          <w:highlight w:val="none"/>
          <w14:textFill>
            <w14:solidFill>
              <w14:schemeClr w14:val="tx1"/>
            </w14:solidFill>
          </w14:textFill>
        </w:rPr>
        <w:t xml:space="preserve">。 </w:t>
      </w:r>
    </w:p>
    <w:p w14:paraId="73324B80">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4、乙方违反质量保证和售后服务条款，甲方可要求合同金额5%的违约金。</w:t>
      </w:r>
    </w:p>
    <w:p w14:paraId="6B87513A">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第八条：</w:t>
      </w:r>
      <w:r>
        <w:rPr>
          <w:rFonts w:hint="eastAsia" w:ascii="宋体" w:hAnsi="宋体" w:cs="宋体"/>
          <w:color w:val="000000" w:themeColor="text1"/>
          <w:szCs w:val="21"/>
          <w:highlight w:val="none"/>
          <w14:textFill>
            <w14:solidFill>
              <w14:schemeClr w14:val="tx1"/>
            </w14:solidFill>
          </w14:textFill>
        </w:rPr>
        <w:t>安装调试及验收</w:t>
      </w:r>
    </w:p>
    <w:p w14:paraId="41441548">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1、乙方在仪器设备抵达甲方</w:t>
      </w:r>
      <w:r>
        <w:rPr>
          <w:rFonts w:hint="eastAsia" w:ascii="宋体" w:hAnsi="宋体" w:cs="宋体"/>
          <w:color w:val="000000" w:themeColor="text1"/>
          <w:szCs w:val="21"/>
          <w:highlight w:val="none"/>
          <w:u w:val="single"/>
          <w14:textFill>
            <w14:solidFill>
              <w14:schemeClr w14:val="tx1"/>
            </w14:solidFill>
          </w14:textFill>
        </w:rPr>
        <w:t>20</w:t>
      </w:r>
      <w:r>
        <w:rPr>
          <w:rFonts w:hint="eastAsia" w:ascii="宋体" w:hAnsi="宋体" w:cs="宋体"/>
          <w:color w:val="000000" w:themeColor="text1"/>
          <w:szCs w:val="21"/>
          <w:highlight w:val="none"/>
          <w14:textFill>
            <w14:solidFill>
              <w14:schemeClr w14:val="tx1"/>
            </w14:solidFill>
          </w14:textFill>
        </w:rPr>
        <w:t>个工作日前书面通知甲方设备安装所需条件，以利设备的正常安装调试。</w:t>
      </w:r>
    </w:p>
    <w:p w14:paraId="6BF144B1">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21E53CD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25B54AC">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第九条：</w:t>
      </w:r>
      <w:r>
        <w:rPr>
          <w:rFonts w:hint="eastAsia" w:ascii="宋体" w:hAnsi="宋体" w:cs="宋体"/>
          <w:color w:val="000000" w:themeColor="text1"/>
          <w:szCs w:val="21"/>
          <w:highlight w:val="none"/>
          <w14:textFill>
            <w14:solidFill>
              <w14:schemeClr w14:val="tx1"/>
            </w14:solidFill>
          </w14:textFill>
        </w:rPr>
        <w:t>不可抗力：由于生产或运输期间遇到的地震、台风、洪水等自然灾害及战争、政变等不可抗力引起的延期发货，乙方不需支付延误交货罚金。乙方应在上述不可抗力发生后14日以内书面通知甲方。</w:t>
      </w:r>
    </w:p>
    <w:p w14:paraId="34CC4B83">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第十条：</w:t>
      </w:r>
      <w:r>
        <w:rPr>
          <w:rFonts w:hint="eastAsia" w:ascii="宋体" w:hAnsi="宋体" w:cs="宋体"/>
          <w:color w:val="000000" w:themeColor="text1"/>
          <w:szCs w:val="21"/>
          <w:highlight w:val="none"/>
          <w14:textFill>
            <w14:solidFill>
              <w14:schemeClr w14:val="tx1"/>
            </w14:solidFill>
          </w14:textFill>
        </w:rPr>
        <w:t>违约责任</w:t>
      </w:r>
    </w:p>
    <w:p w14:paraId="1C79B25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1、乙方未能交付物品，则向甲方支付合同总额</w:t>
      </w:r>
      <w:r>
        <w:rPr>
          <w:rFonts w:hint="eastAsia" w:ascii="宋体" w:hAnsi="宋体" w:cs="宋体"/>
          <w:b/>
          <w:color w:val="000000" w:themeColor="text1"/>
          <w:szCs w:val="21"/>
          <w:highlight w:val="none"/>
          <w:u w:val="words"/>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的违约金。</w:t>
      </w:r>
    </w:p>
    <w:p w14:paraId="03BB6D9B">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2、乙方交付的物品不符合合同规定的，甲方有权拒收，乙方向甲方支付合同总额</w:t>
      </w:r>
      <w:r>
        <w:rPr>
          <w:rFonts w:hint="eastAsia" w:ascii="宋体" w:hAnsi="宋体" w:cs="宋体"/>
          <w:b/>
          <w:color w:val="000000" w:themeColor="text1"/>
          <w:szCs w:val="21"/>
          <w:highlight w:val="none"/>
          <w:u w:val="words"/>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的违约金。</w:t>
      </w:r>
    </w:p>
    <w:p w14:paraId="4868770D">
      <w:pPr>
        <w:spacing w:line="360" w:lineRule="auto"/>
        <w:ind w:firstLine="420" w:firstLineChars="20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3、乙方逾期交付物品，则每日按合同总额</w:t>
      </w:r>
      <w:r>
        <w:rPr>
          <w:rFonts w:hint="eastAsia" w:ascii="宋体" w:hAnsi="宋体" w:cs="宋体"/>
          <w:b/>
          <w:color w:val="000000" w:themeColor="text1"/>
          <w:szCs w:val="21"/>
          <w:highlight w:val="none"/>
          <w:u w:val="words"/>
          <w14:textFill>
            <w14:solidFill>
              <w14:schemeClr w14:val="tx1"/>
            </w14:solidFill>
          </w14:textFill>
        </w:rPr>
        <w:t>0.5%</w:t>
      </w:r>
      <w:r>
        <w:rPr>
          <w:rFonts w:hint="eastAsia" w:ascii="宋体" w:hAnsi="宋体" w:cs="宋体"/>
          <w:color w:val="000000" w:themeColor="text1"/>
          <w:szCs w:val="21"/>
          <w:highlight w:val="none"/>
          <w14:textFill>
            <w14:solidFill>
              <w14:schemeClr w14:val="tx1"/>
            </w14:solidFill>
          </w14:textFill>
        </w:rPr>
        <w:t>向甲方偿付违约金。逾期交付超过</w:t>
      </w:r>
      <w:r>
        <w:rPr>
          <w:rFonts w:hint="eastAsia" w:ascii="宋体" w:hAnsi="宋体" w:cs="宋体"/>
          <w:b/>
          <w:color w:val="000000" w:themeColor="text1"/>
          <w:szCs w:val="21"/>
          <w:highlight w:val="none"/>
          <w:u w:val="words"/>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天，甲方有权终止合同。</w:t>
      </w:r>
    </w:p>
    <w:p w14:paraId="6AABF9D9">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第十一条：</w:t>
      </w:r>
      <w:r>
        <w:rPr>
          <w:rFonts w:hint="eastAsia" w:ascii="宋体" w:hAnsi="宋体" w:cs="宋体"/>
          <w:color w:val="000000" w:themeColor="text1"/>
          <w:szCs w:val="21"/>
          <w:highlight w:val="none"/>
          <w14:textFill>
            <w14:solidFill>
              <w14:schemeClr w14:val="tx1"/>
            </w14:solidFill>
          </w14:textFill>
        </w:rPr>
        <w:t>争端解决：</w:t>
      </w:r>
    </w:p>
    <w:p w14:paraId="629CE8A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38961AF2">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第十二条：</w:t>
      </w:r>
      <w:r>
        <w:rPr>
          <w:rFonts w:hint="eastAsia" w:ascii="宋体" w:hAnsi="宋体" w:cs="宋体"/>
          <w:color w:val="000000" w:themeColor="text1"/>
          <w:szCs w:val="21"/>
          <w:highlight w:val="none"/>
          <w14:textFill>
            <w14:solidFill>
              <w14:schemeClr w14:val="tx1"/>
            </w14:solidFill>
          </w14:textFill>
        </w:rPr>
        <w:t>本协议甲乙双方签字盖章后生效，并作为签订进口合同的有效依据。</w:t>
      </w:r>
    </w:p>
    <w:p w14:paraId="66F2E170">
      <w:pPr>
        <w:spacing w:line="360" w:lineRule="auto"/>
        <w:ind w:firstLine="422"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第十三条：</w:t>
      </w:r>
      <w:r>
        <w:rPr>
          <w:rFonts w:hint="eastAsia" w:ascii="宋体" w:hAnsi="宋体" w:cs="宋体"/>
          <w:color w:val="000000" w:themeColor="text1"/>
          <w:szCs w:val="21"/>
          <w:highlight w:val="none"/>
          <w14:textFill>
            <w14:solidFill>
              <w14:schemeClr w14:val="tx1"/>
            </w14:solidFill>
          </w14:textFill>
        </w:rPr>
        <w:t>本协议一式陆份，甲方伍份、乙方壹份。自双方签字、盖章之日起生效，具有同等的法律效力。</w:t>
      </w:r>
    </w:p>
    <w:tbl>
      <w:tblPr>
        <w:tblStyle w:val="5"/>
        <w:tblW w:w="5435" w:type="pct"/>
        <w:tblInd w:w="-108" w:type="dxa"/>
        <w:tblLayout w:type="autofit"/>
        <w:tblCellMar>
          <w:top w:w="0" w:type="dxa"/>
          <w:left w:w="108" w:type="dxa"/>
          <w:bottom w:w="0" w:type="dxa"/>
          <w:right w:w="108" w:type="dxa"/>
        </w:tblCellMar>
      </w:tblPr>
      <w:tblGrid>
        <w:gridCol w:w="4264"/>
        <w:gridCol w:w="4999"/>
      </w:tblGrid>
      <w:tr w14:paraId="3F8B2AE0">
        <w:tblPrEx>
          <w:tblCellMar>
            <w:top w:w="0" w:type="dxa"/>
            <w:left w:w="108" w:type="dxa"/>
            <w:bottom w:w="0" w:type="dxa"/>
            <w:right w:w="108" w:type="dxa"/>
          </w:tblCellMar>
        </w:tblPrEx>
        <w:trPr>
          <w:trHeight w:val="680" w:hRule="atLeast"/>
        </w:trPr>
        <w:tc>
          <w:tcPr>
            <w:tcW w:w="2301" w:type="pct"/>
          </w:tcPr>
          <w:p w14:paraId="0EBF691F">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甲方（公章）：</w:t>
            </w:r>
            <w:r>
              <w:rPr>
                <w:rFonts w:hint="eastAsia" w:ascii="宋体" w:hAnsi="宋体" w:cs="宋体"/>
                <w:b/>
                <w:color w:val="000000" w:themeColor="text1"/>
                <w:szCs w:val="21"/>
                <w:highlight w:val="none"/>
                <w14:textFill>
                  <w14:solidFill>
                    <w14:schemeClr w14:val="tx1"/>
                  </w14:solidFill>
                </w14:textFill>
              </w:rPr>
              <w:t>南京邮电大学</w:t>
            </w:r>
          </w:p>
        </w:tc>
        <w:tc>
          <w:tcPr>
            <w:tcW w:w="2698" w:type="pct"/>
          </w:tcPr>
          <w:p w14:paraId="60307F29">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乙方（公章）：</w:t>
            </w:r>
            <w:r>
              <w:rPr>
                <w:rFonts w:hint="eastAsia" w:ascii="宋体" w:hAnsi="宋体" w:cs="宋体"/>
                <w:b/>
                <w:bCs/>
                <w:color w:val="000000" w:themeColor="text1"/>
                <w:kern w:val="0"/>
                <w:szCs w:val="21"/>
                <w:highlight w:val="none"/>
                <w:lang w:bidi="ar"/>
                <w14:textFill>
                  <w14:solidFill>
                    <w14:schemeClr w14:val="tx1"/>
                  </w14:solidFill>
                </w14:textFill>
              </w:rPr>
              <w:t>江苏酷拓科学仪器有限公司</w:t>
            </w:r>
          </w:p>
        </w:tc>
      </w:tr>
      <w:tr w14:paraId="7691FD02">
        <w:tblPrEx>
          <w:tblCellMar>
            <w:top w:w="0" w:type="dxa"/>
            <w:left w:w="108" w:type="dxa"/>
            <w:bottom w:w="0" w:type="dxa"/>
            <w:right w:w="108" w:type="dxa"/>
          </w:tblCellMar>
        </w:tblPrEx>
        <w:trPr>
          <w:trHeight w:val="680" w:hRule="atLeast"/>
        </w:trPr>
        <w:tc>
          <w:tcPr>
            <w:tcW w:w="2301" w:type="pct"/>
          </w:tcPr>
          <w:p w14:paraId="58F8AB31">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w:t>
            </w:r>
          </w:p>
        </w:tc>
        <w:tc>
          <w:tcPr>
            <w:tcW w:w="2698" w:type="pct"/>
          </w:tcPr>
          <w:p w14:paraId="56CC4C25">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法人代表（委托代理人）： </w:t>
            </w:r>
          </w:p>
        </w:tc>
      </w:tr>
      <w:tr w14:paraId="6A648651">
        <w:tblPrEx>
          <w:tblCellMar>
            <w:top w:w="0" w:type="dxa"/>
            <w:left w:w="108" w:type="dxa"/>
            <w:bottom w:w="0" w:type="dxa"/>
            <w:right w:w="108" w:type="dxa"/>
          </w:tblCellMar>
        </w:tblPrEx>
        <w:trPr>
          <w:trHeight w:val="680" w:hRule="atLeast"/>
        </w:trPr>
        <w:tc>
          <w:tcPr>
            <w:tcW w:w="2301" w:type="pct"/>
          </w:tcPr>
          <w:p w14:paraId="59A4203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用户代表：</w:t>
            </w:r>
          </w:p>
        </w:tc>
        <w:tc>
          <w:tcPr>
            <w:tcW w:w="2698" w:type="pct"/>
          </w:tcPr>
          <w:p w14:paraId="087422B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经办人： </w:t>
            </w:r>
          </w:p>
        </w:tc>
      </w:tr>
      <w:tr w14:paraId="0A89B6D8">
        <w:tblPrEx>
          <w:tblCellMar>
            <w:top w:w="0" w:type="dxa"/>
            <w:left w:w="108" w:type="dxa"/>
            <w:bottom w:w="0" w:type="dxa"/>
            <w:right w:w="108" w:type="dxa"/>
          </w:tblCellMar>
        </w:tblPrEx>
        <w:trPr>
          <w:trHeight w:val="680" w:hRule="atLeast"/>
        </w:trPr>
        <w:tc>
          <w:tcPr>
            <w:tcW w:w="2301" w:type="pct"/>
          </w:tcPr>
          <w:p w14:paraId="2D81C85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w:t>
            </w:r>
          </w:p>
        </w:tc>
        <w:tc>
          <w:tcPr>
            <w:tcW w:w="2698" w:type="pct"/>
          </w:tcPr>
          <w:p w14:paraId="66EF6F32">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 南京市秦淮区洪武路267号洪武大厦2404室</w:t>
            </w:r>
          </w:p>
        </w:tc>
      </w:tr>
      <w:tr w14:paraId="1F62DAA9">
        <w:tblPrEx>
          <w:tblCellMar>
            <w:top w:w="0" w:type="dxa"/>
            <w:left w:w="108" w:type="dxa"/>
            <w:bottom w:w="0" w:type="dxa"/>
            <w:right w:w="108" w:type="dxa"/>
          </w:tblCellMar>
        </w:tblPrEx>
        <w:trPr>
          <w:trHeight w:val="680" w:hRule="atLeast"/>
        </w:trPr>
        <w:tc>
          <w:tcPr>
            <w:tcW w:w="2301" w:type="pct"/>
          </w:tcPr>
          <w:p w14:paraId="6038429A">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p>
        </w:tc>
        <w:tc>
          <w:tcPr>
            <w:tcW w:w="2698" w:type="pct"/>
          </w:tcPr>
          <w:p w14:paraId="695FE862">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联系电话：025-51806128</w:t>
            </w:r>
          </w:p>
        </w:tc>
      </w:tr>
      <w:tr w14:paraId="288923C0">
        <w:tblPrEx>
          <w:tblCellMar>
            <w:top w:w="0" w:type="dxa"/>
            <w:left w:w="108" w:type="dxa"/>
            <w:bottom w:w="0" w:type="dxa"/>
            <w:right w:w="108" w:type="dxa"/>
          </w:tblCellMar>
        </w:tblPrEx>
        <w:trPr>
          <w:trHeight w:val="680" w:hRule="atLeast"/>
        </w:trPr>
        <w:tc>
          <w:tcPr>
            <w:tcW w:w="2301" w:type="pct"/>
          </w:tcPr>
          <w:p w14:paraId="2E6B3DD1">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    年  月  日</w:t>
            </w:r>
          </w:p>
        </w:tc>
        <w:tc>
          <w:tcPr>
            <w:tcW w:w="2698" w:type="pct"/>
          </w:tcPr>
          <w:p w14:paraId="632F4C25">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    年  月  日</w:t>
            </w:r>
          </w:p>
        </w:tc>
      </w:tr>
    </w:tbl>
    <w:p w14:paraId="302D3D57">
      <w:pPr>
        <w:rPr>
          <w:color w:val="000000" w:themeColor="text1"/>
          <w:highlight w:val="none"/>
          <w14:textFill>
            <w14:solidFill>
              <w14:schemeClr w14:val="tx1"/>
            </w14:solidFill>
          </w14:textFill>
        </w:rPr>
      </w:pPr>
    </w:p>
    <w:p w14:paraId="54A9C56A">
      <w:pPr>
        <w:rPr>
          <w:color w:val="000000" w:themeColor="text1"/>
          <w:highlight w:val="none"/>
          <w14:textFill>
            <w14:solidFill>
              <w14:schemeClr w14:val="tx1"/>
            </w14:solidFill>
          </w14:textFill>
        </w:rPr>
      </w:pPr>
    </w:p>
    <w:p w14:paraId="3F2327A0">
      <w:pPr>
        <w:rPr>
          <w:color w:val="000000" w:themeColor="text1"/>
          <w:highlight w:val="none"/>
          <w14:textFill>
            <w14:solidFill>
              <w14:schemeClr w14:val="tx1"/>
            </w14:solidFill>
          </w14:textFill>
        </w:rPr>
      </w:pPr>
    </w:p>
    <w:p w14:paraId="2F385BD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r>
    </w:p>
    <w:p w14:paraId="7B76CAB8">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附件：</w:t>
      </w:r>
    </w:p>
    <w:p w14:paraId="00C4789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一：技术参数</w:t>
      </w:r>
    </w:p>
    <w:p w14:paraId="329B8182">
      <w:pPr>
        <w:spacing w:line="360" w:lineRule="auto"/>
        <w:ind w:firstLine="420" w:firstLineChars="200"/>
        <w:rPr>
          <w:bCs/>
          <w:szCs w:val="21"/>
          <w:highlight w:val="none"/>
        </w:rPr>
      </w:pPr>
      <w:r>
        <w:rPr>
          <w:bCs/>
          <w:szCs w:val="21"/>
          <w:highlight w:val="none"/>
        </w:rPr>
        <w:t>1、主体：</w:t>
      </w:r>
    </w:p>
    <w:p w14:paraId="3A457987">
      <w:pPr>
        <w:spacing w:line="360" w:lineRule="auto"/>
        <w:ind w:firstLine="420" w:firstLineChars="200"/>
        <w:rPr>
          <w:bCs/>
          <w:szCs w:val="21"/>
          <w:highlight w:val="none"/>
        </w:rPr>
      </w:pPr>
      <w:r>
        <w:rPr>
          <w:rFonts w:hint="eastAsia"/>
          <w:bCs/>
          <w:szCs w:val="21"/>
          <w:highlight w:val="none"/>
        </w:rPr>
        <w:t>1.1、</w:t>
      </w:r>
      <w:r>
        <w:rPr>
          <w:bCs/>
          <w:szCs w:val="21"/>
          <w:highlight w:val="none"/>
        </w:rPr>
        <w:t>Czerny-Turner 结构（焦距500 mm，F/6.5），</w:t>
      </w:r>
    </w:p>
    <w:p w14:paraId="5CE9CF3B">
      <w:pPr>
        <w:spacing w:line="360" w:lineRule="auto"/>
        <w:ind w:firstLine="420" w:firstLineChars="200"/>
        <w:rPr>
          <w:bCs/>
          <w:szCs w:val="21"/>
          <w:highlight w:val="none"/>
        </w:rPr>
      </w:pPr>
      <w:r>
        <w:rPr>
          <w:rFonts w:hint="eastAsia"/>
          <w:bCs/>
          <w:szCs w:val="21"/>
          <w:highlight w:val="none"/>
        </w:rPr>
        <w:t>1.2、</w:t>
      </w:r>
      <w:r>
        <w:rPr>
          <w:bCs/>
          <w:szCs w:val="21"/>
          <w:highlight w:val="none"/>
        </w:rPr>
        <w:t>波长200-</w:t>
      </w:r>
      <w:r>
        <w:rPr>
          <w:rFonts w:hint="eastAsia"/>
          <w:bCs/>
          <w:szCs w:val="21"/>
          <w:highlight w:val="none"/>
          <w:lang w:val="en-US" w:eastAsia="zh-CN"/>
        </w:rPr>
        <w:t>22</w:t>
      </w:r>
      <w:r>
        <w:rPr>
          <w:bCs/>
          <w:szCs w:val="21"/>
          <w:highlight w:val="none"/>
        </w:rPr>
        <w:t>00 nm，</w:t>
      </w:r>
    </w:p>
    <w:p w14:paraId="67C41B1B">
      <w:pPr>
        <w:spacing w:line="360" w:lineRule="auto"/>
        <w:ind w:firstLine="420" w:firstLineChars="200"/>
        <w:rPr>
          <w:bCs/>
          <w:szCs w:val="21"/>
          <w:highlight w:val="none"/>
        </w:rPr>
      </w:pPr>
      <w:r>
        <w:rPr>
          <w:rFonts w:hint="eastAsia"/>
          <w:bCs/>
          <w:szCs w:val="21"/>
          <w:highlight w:val="none"/>
        </w:rPr>
        <w:t>1.3、</w:t>
      </w:r>
      <w:r>
        <w:rPr>
          <w:bCs/>
          <w:szCs w:val="21"/>
          <w:highlight w:val="none"/>
        </w:rPr>
        <w:t>精度</w:t>
      </w:r>
      <w:r>
        <w:rPr>
          <w:rFonts w:hint="eastAsia"/>
          <w:bCs/>
          <w:szCs w:val="21"/>
          <w:highlight w:val="none"/>
          <w:lang w:val="en-US" w:eastAsia="zh-CN"/>
        </w:rPr>
        <w:t>0.03</w:t>
      </w:r>
      <w:r>
        <w:rPr>
          <w:bCs/>
          <w:szCs w:val="21"/>
          <w:highlight w:val="none"/>
        </w:rPr>
        <w:t>nm，</w:t>
      </w:r>
    </w:p>
    <w:p w14:paraId="04FBF961">
      <w:pPr>
        <w:spacing w:line="360" w:lineRule="auto"/>
        <w:ind w:firstLine="420" w:firstLineChars="200"/>
        <w:rPr>
          <w:bCs/>
          <w:szCs w:val="21"/>
          <w:highlight w:val="none"/>
        </w:rPr>
      </w:pPr>
      <w:r>
        <w:rPr>
          <w:rFonts w:hint="eastAsia"/>
          <w:bCs/>
          <w:szCs w:val="21"/>
          <w:highlight w:val="none"/>
        </w:rPr>
        <w:t>1.4、</w:t>
      </w:r>
      <w:r>
        <w:rPr>
          <w:bCs/>
          <w:szCs w:val="21"/>
          <w:highlight w:val="none"/>
        </w:rPr>
        <w:t>重复性</w:t>
      </w:r>
      <w:r>
        <w:rPr>
          <w:rFonts w:hint="eastAsia"/>
          <w:bCs/>
          <w:szCs w:val="21"/>
          <w:highlight w:val="none"/>
          <w:lang w:val="en-US" w:eastAsia="zh-CN"/>
        </w:rPr>
        <w:t>9</w:t>
      </w:r>
      <w:r>
        <w:rPr>
          <w:bCs/>
          <w:szCs w:val="21"/>
          <w:highlight w:val="none"/>
        </w:rPr>
        <w:t>pm；</w:t>
      </w:r>
    </w:p>
    <w:p w14:paraId="2DB17BEA">
      <w:pPr>
        <w:numPr>
          <w:ilvl w:val="0"/>
          <w:numId w:val="1"/>
        </w:numPr>
        <w:spacing w:line="360" w:lineRule="auto"/>
        <w:ind w:firstLine="420" w:firstLineChars="200"/>
        <w:rPr>
          <w:bCs/>
          <w:szCs w:val="21"/>
          <w:highlight w:val="none"/>
        </w:rPr>
      </w:pPr>
      <w:bookmarkStart w:id="1" w:name="OLE_LINK3"/>
      <w:r>
        <w:rPr>
          <w:bCs/>
          <w:szCs w:val="21"/>
          <w:highlight w:val="none"/>
        </w:rPr>
        <w:t>光栅：</w:t>
      </w:r>
    </w:p>
    <w:p w14:paraId="745926BA">
      <w:pPr>
        <w:spacing w:line="360" w:lineRule="auto"/>
        <w:ind w:firstLine="420" w:firstLineChars="200"/>
        <w:rPr>
          <w:bCs/>
          <w:szCs w:val="21"/>
          <w:highlight w:val="none"/>
        </w:rPr>
      </w:pPr>
      <w:r>
        <w:rPr>
          <w:rFonts w:hint="eastAsia"/>
          <w:bCs/>
          <w:szCs w:val="21"/>
          <w:highlight w:val="none"/>
        </w:rPr>
        <w:t>2.1、</w:t>
      </w:r>
      <w:r>
        <w:rPr>
          <w:bCs/>
          <w:szCs w:val="21"/>
          <w:highlight w:val="none"/>
        </w:rPr>
        <w:t>三光栅转台（可现场升级）；</w:t>
      </w:r>
    </w:p>
    <w:p w14:paraId="7141BC05">
      <w:pPr>
        <w:spacing w:line="360" w:lineRule="auto"/>
        <w:ind w:firstLine="420" w:firstLineChars="200"/>
        <w:rPr>
          <w:bCs/>
          <w:szCs w:val="21"/>
          <w:highlight w:val="none"/>
        </w:rPr>
      </w:pPr>
      <w:r>
        <w:rPr>
          <w:rFonts w:hint="eastAsia"/>
          <w:bCs/>
          <w:szCs w:val="21"/>
          <w:highlight w:val="none"/>
        </w:rPr>
        <w:t>2.2</w:t>
      </w:r>
      <w:r>
        <w:rPr>
          <w:bCs/>
          <w:szCs w:val="21"/>
          <w:highlight w:val="none"/>
        </w:rPr>
        <w:t xml:space="preserve">、600 l/mm全息光栅（blaze </w:t>
      </w:r>
      <w:r>
        <w:rPr>
          <w:rFonts w:hint="eastAsia"/>
          <w:bCs/>
          <w:szCs w:val="21"/>
          <w:highlight w:val="none"/>
        </w:rPr>
        <w:t>40</w:t>
      </w:r>
      <w:r>
        <w:rPr>
          <w:bCs/>
          <w:szCs w:val="21"/>
          <w:highlight w:val="none"/>
        </w:rPr>
        <w:t>0</w:t>
      </w:r>
      <w:r>
        <w:rPr>
          <w:rFonts w:hint="eastAsia"/>
          <w:bCs/>
          <w:szCs w:val="21"/>
          <w:highlight w:val="none"/>
        </w:rPr>
        <w:t>-600</w:t>
      </w:r>
      <w:r>
        <w:rPr>
          <w:bCs/>
          <w:szCs w:val="21"/>
          <w:highlight w:val="none"/>
        </w:rPr>
        <w:t xml:space="preserve"> nm，带宽</w:t>
      </w:r>
      <w:r>
        <w:rPr>
          <w:rFonts w:hint="eastAsia"/>
          <w:bCs/>
          <w:szCs w:val="21"/>
          <w:highlight w:val="none"/>
          <w:lang w:val="en-US" w:eastAsia="zh-CN"/>
        </w:rPr>
        <w:t>86</w:t>
      </w:r>
      <w:r>
        <w:rPr>
          <w:bCs/>
          <w:szCs w:val="21"/>
          <w:highlight w:val="none"/>
        </w:rPr>
        <w:t xml:space="preserve"> nm，分辨率</w:t>
      </w:r>
      <w:r>
        <w:rPr>
          <w:rFonts w:hint="eastAsia"/>
          <w:bCs/>
          <w:szCs w:val="21"/>
          <w:highlight w:val="none"/>
          <w:lang w:val="en-US" w:eastAsia="zh-CN"/>
        </w:rPr>
        <w:t>0.13</w:t>
      </w:r>
      <w:r>
        <w:rPr>
          <w:bCs/>
          <w:szCs w:val="21"/>
          <w:highlight w:val="none"/>
        </w:rPr>
        <w:t>nm@10 μm 狭缝，效率</w:t>
      </w:r>
      <w:r>
        <w:rPr>
          <w:rFonts w:hint="eastAsia"/>
          <w:bCs/>
          <w:szCs w:val="21"/>
          <w:highlight w:val="none"/>
          <w:lang w:val="en-US" w:eastAsia="zh-CN"/>
        </w:rPr>
        <w:t>72</w:t>
      </w:r>
      <w:r>
        <w:rPr>
          <w:bCs/>
          <w:szCs w:val="21"/>
          <w:highlight w:val="none"/>
        </w:rPr>
        <w:t>%）；</w:t>
      </w:r>
    </w:p>
    <w:p w14:paraId="7BECD717">
      <w:pPr>
        <w:spacing w:line="360" w:lineRule="auto"/>
        <w:ind w:firstLine="420" w:firstLineChars="200"/>
        <w:rPr>
          <w:bCs/>
          <w:szCs w:val="21"/>
          <w:highlight w:val="none"/>
        </w:rPr>
      </w:pPr>
      <w:r>
        <w:rPr>
          <w:bCs/>
          <w:szCs w:val="21"/>
          <w:highlight w:val="none"/>
        </w:rPr>
        <w:t xml:space="preserve">2.3、1200 l/mm全息光栅（blaze </w:t>
      </w:r>
      <w:r>
        <w:rPr>
          <w:rFonts w:hint="eastAsia"/>
          <w:bCs/>
          <w:szCs w:val="21"/>
          <w:highlight w:val="none"/>
        </w:rPr>
        <w:t>40</w:t>
      </w:r>
      <w:r>
        <w:rPr>
          <w:bCs/>
          <w:szCs w:val="21"/>
          <w:highlight w:val="none"/>
        </w:rPr>
        <w:t>0</w:t>
      </w:r>
      <w:r>
        <w:rPr>
          <w:rFonts w:hint="eastAsia"/>
          <w:bCs/>
          <w:szCs w:val="21"/>
          <w:highlight w:val="none"/>
        </w:rPr>
        <w:t>-600</w:t>
      </w:r>
      <w:r>
        <w:rPr>
          <w:bCs/>
          <w:szCs w:val="21"/>
          <w:highlight w:val="none"/>
        </w:rPr>
        <w:t>nm，带宽</w:t>
      </w:r>
      <w:r>
        <w:rPr>
          <w:rFonts w:hint="eastAsia"/>
          <w:bCs/>
          <w:szCs w:val="21"/>
          <w:highlight w:val="none"/>
          <w:lang w:val="en-US" w:eastAsia="zh-CN"/>
        </w:rPr>
        <w:t>40</w:t>
      </w:r>
      <w:r>
        <w:rPr>
          <w:rFonts w:hint="eastAsia"/>
          <w:bCs/>
          <w:szCs w:val="21"/>
          <w:highlight w:val="none"/>
        </w:rPr>
        <w:t xml:space="preserve"> </w:t>
      </w:r>
      <w:r>
        <w:rPr>
          <w:bCs/>
          <w:szCs w:val="21"/>
          <w:highlight w:val="none"/>
        </w:rPr>
        <w:t>nm，分辨率</w:t>
      </w:r>
      <w:r>
        <w:rPr>
          <w:rFonts w:hint="eastAsia"/>
          <w:bCs/>
          <w:szCs w:val="21"/>
          <w:highlight w:val="none"/>
          <w:lang w:val="en-US" w:eastAsia="zh-CN"/>
        </w:rPr>
        <w:t>0.06</w:t>
      </w:r>
      <w:r>
        <w:rPr>
          <w:bCs/>
          <w:szCs w:val="21"/>
          <w:highlight w:val="none"/>
        </w:rPr>
        <w:t xml:space="preserve"> nm @10 μm 狭缝，效率</w:t>
      </w:r>
      <w:r>
        <w:rPr>
          <w:rFonts w:hint="eastAsia"/>
          <w:bCs/>
          <w:szCs w:val="21"/>
          <w:highlight w:val="none"/>
          <w:lang w:val="en-US" w:eastAsia="zh-CN"/>
        </w:rPr>
        <w:t>81</w:t>
      </w:r>
      <w:r>
        <w:rPr>
          <w:bCs/>
          <w:szCs w:val="21"/>
          <w:highlight w:val="none"/>
        </w:rPr>
        <w:t xml:space="preserve">%）；2400 l/mm全息光栅（blaze </w:t>
      </w:r>
      <w:r>
        <w:rPr>
          <w:rFonts w:hint="eastAsia"/>
          <w:bCs/>
          <w:szCs w:val="21"/>
          <w:highlight w:val="none"/>
        </w:rPr>
        <w:t>40</w:t>
      </w:r>
      <w:r>
        <w:rPr>
          <w:bCs/>
          <w:szCs w:val="21"/>
          <w:highlight w:val="none"/>
        </w:rPr>
        <w:t>0</w:t>
      </w:r>
      <w:r>
        <w:rPr>
          <w:rFonts w:hint="eastAsia"/>
          <w:bCs/>
          <w:szCs w:val="21"/>
          <w:highlight w:val="none"/>
        </w:rPr>
        <w:t>-600</w:t>
      </w:r>
      <w:r>
        <w:rPr>
          <w:bCs/>
          <w:szCs w:val="21"/>
          <w:highlight w:val="none"/>
        </w:rPr>
        <w:t xml:space="preserve"> nm，带宽</w:t>
      </w:r>
      <w:r>
        <w:rPr>
          <w:rFonts w:hint="eastAsia"/>
          <w:bCs/>
          <w:szCs w:val="21"/>
          <w:highlight w:val="none"/>
          <w:lang w:val="en-US" w:eastAsia="zh-CN"/>
        </w:rPr>
        <w:t>17</w:t>
      </w:r>
      <w:r>
        <w:rPr>
          <w:bCs/>
          <w:szCs w:val="21"/>
          <w:highlight w:val="none"/>
        </w:rPr>
        <w:t>nm，分辨</w:t>
      </w:r>
      <w:r>
        <w:rPr>
          <w:rFonts w:hint="eastAsia"/>
          <w:bCs/>
          <w:szCs w:val="21"/>
          <w:highlight w:val="none"/>
          <w:lang w:val="en-US" w:eastAsia="zh-CN"/>
        </w:rPr>
        <w:t>率</w:t>
      </w:r>
      <w:r>
        <w:rPr>
          <w:bCs/>
          <w:szCs w:val="21"/>
          <w:highlight w:val="none"/>
        </w:rPr>
        <w:t>0.03 nm @10 μm 狭缝，效率</w:t>
      </w:r>
      <w:r>
        <w:rPr>
          <w:rFonts w:hint="eastAsia"/>
          <w:bCs/>
          <w:szCs w:val="21"/>
          <w:highlight w:val="none"/>
          <w:lang w:val="en-US" w:eastAsia="zh-CN"/>
        </w:rPr>
        <w:t>73</w:t>
      </w:r>
      <w:r>
        <w:rPr>
          <w:bCs/>
          <w:szCs w:val="21"/>
          <w:highlight w:val="none"/>
        </w:rPr>
        <w:t>%）；</w:t>
      </w:r>
    </w:p>
    <w:bookmarkEnd w:id="1"/>
    <w:p w14:paraId="48E9059D">
      <w:pPr>
        <w:numPr>
          <w:ilvl w:val="0"/>
          <w:numId w:val="1"/>
        </w:numPr>
        <w:spacing w:line="360" w:lineRule="auto"/>
        <w:ind w:firstLine="420" w:firstLineChars="200"/>
        <w:rPr>
          <w:bCs/>
          <w:szCs w:val="21"/>
          <w:highlight w:val="none"/>
        </w:rPr>
      </w:pPr>
      <w:r>
        <w:rPr>
          <w:bCs/>
          <w:szCs w:val="21"/>
          <w:highlight w:val="none"/>
        </w:rPr>
        <w:t>狭缝：10 μm-3 mm可调，带10 μm刃口保护，兼容紫外</w:t>
      </w:r>
      <w:r>
        <w:rPr>
          <w:rFonts w:hint="eastAsia"/>
          <w:bCs/>
          <w:szCs w:val="21"/>
          <w:highlight w:val="none"/>
        </w:rPr>
        <w:t>光学探测</w:t>
      </w:r>
      <w:r>
        <w:rPr>
          <w:bCs/>
          <w:szCs w:val="21"/>
          <w:highlight w:val="none"/>
        </w:rPr>
        <w:t>；</w:t>
      </w:r>
    </w:p>
    <w:p w14:paraId="550B1015">
      <w:pPr>
        <w:spacing w:line="360" w:lineRule="auto"/>
        <w:ind w:left="420"/>
        <w:rPr>
          <w:bCs/>
          <w:szCs w:val="21"/>
          <w:highlight w:val="none"/>
        </w:rPr>
      </w:pPr>
      <w:r>
        <w:rPr>
          <w:rFonts w:hint="eastAsia"/>
          <w:bCs/>
          <w:szCs w:val="21"/>
          <w:highlight w:val="none"/>
        </w:rPr>
        <w:t>4、</w:t>
      </w:r>
      <w:r>
        <w:rPr>
          <w:bCs/>
          <w:szCs w:val="21"/>
          <w:highlight w:val="none"/>
        </w:rPr>
        <w:t>CCD探测器：</w:t>
      </w:r>
    </w:p>
    <w:p w14:paraId="034CD35A">
      <w:pPr>
        <w:spacing w:line="360" w:lineRule="auto"/>
        <w:ind w:firstLine="420" w:firstLineChars="200"/>
        <w:rPr>
          <w:bCs/>
          <w:szCs w:val="21"/>
          <w:highlight w:val="none"/>
        </w:rPr>
      </w:pPr>
      <w:r>
        <w:rPr>
          <w:rFonts w:hint="eastAsia"/>
          <w:bCs/>
          <w:szCs w:val="21"/>
          <w:highlight w:val="none"/>
        </w:rPr>
        <w:t>4.1、</w:t>
      </w:r>
      <w:r>
        <w:rPr>
          <w:bCs/>
          <w:szCs w:val="21"/>
          <w:highlight w:val="none"/>
        </w:rPr>
        <w:t>背照式深度耗尽型</w:t>
      </w:r>
      <w:r>
        <w:rPr>
          <w:rFonts w:hint="eastAsia"/>
          <w:bCs/>
          <w:szCs w:val="21"/>
          <w:highlight w:val="none"/>
        </w:rPr>
        <w:t>，</w:t>
      </w:r>
      <w:r>
        <w:rPr>
          <w:bCs/>
          <w:szCs w:val="21"/>
          <w:highlight w:val="none"/>
        </w:rPr>
        <w:t>像素1024×</w:t>
      </w:r>
      <w:r>
        <w:rPr>
          <w:rFonts w:hint="eastAsia"/>
          <w:bCs/>
          <w:szCs w:val="21"/>
          <w:highlight w:val="none"/>
          <w:lang w:val="en-US" w:eastAsia="zh-CN"/>
        </w:rPr>
        <w:t>512</w:t>
      </w:r>
      <w:r>
        <w:rPr>
          <w:bCs/>
          <w:szCs w:val="21"/>
          <w:highlight w:val="none"/>
        </w:rPr>
        <w:t>，配UV级</w:t>
      </w:r>
      <w:r>
        <w:rPr>
          <w:rFonts w:hint="eastAsia"/>
          <w:bCs/>
          <w:szCs w:val="21"/>
          <w:highlight w:val="none"/>
        </w:rPr>
        <w:t>光学</w:t>
      </w:r>
      <w:r>
        <w:rPr>
          <w:bCs/>
          <w:szCs w:val="21"/>
          <w:highlight w:val="none"/>
        </w:rPr>
        <w:t>窗口；</w:t>
      </w:r>
    </w:p>
    <w:p w14:paraId="45F22959">
      <w:pPr>
        <w:spacing w:line="360" w:lineRule="auto"/>
        <w:ind w:firstLine="420" w:firstLineChars="200"/>
        <w:rPr>
          <w:bCs/>
          <w:szCs w:val="21"/>
          <w:highlight w:val="none"/>
        </w:rPr>
      </w:pPr>
      <w:r>
        <w:rPr>
          <w:rFonts w:hint="eastAsia"/>
          <w:bCs/>
          <w:szCs w:val="21"/>
          <w:highlight w:val="none"/>
        </w:rPr>
        <w:t>4.2、</w:t>
      </w:r>
      <w:r>
        <w:rPr>
          <w:bCs/>
          <w:szCs w:val="21"/>
          <w:highlight w:val="none"/>
        </w:rPr>
        <w:t>电动快门（2 Hz重复率，15 ms开关时间，寿命≥ 10万次），支持BNC外触发；</w:t>
      </w:r>
    </w:p>
    <w:p w14:paraId="22962402">
      <w:pPr>
        <w:pStyle w:val="2"/>
      </w:pPr>
      <w:bookmarkStart w:id="2" w:name="_GoBack"/>
      <w:bookmarkEnd w:id="2"/>
    </w:p>
    <w:p w14:paraId="1335255A">
      <w:pPr>
        <w:rPr>
          <w:rFonts w:hint="eastAsia"/>
          <w:color w:val="000000" w:themeColor="text1"/>
          <w:highlight w:val="none"/>
          <w14:textFill>
            <w14:solidFill>
              <w14:schemeClr w14:val="tx1"/>
            </w14:solidFill>
          </w14:textFill>
        </w:rPr>
      </w:pPr>
    </w:p>
    <w:p w14:paraId="391C6B8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二：配置清单</w:t>
      </w:r>
    </w:p>
    <w:p w14:paraId="5943F16A">
      <w:pPr>
        <w:pStyle w:val="4"/>
        <w:ind w:left="0" w:leftChars="0" w:right="1470"/>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国</w:t>
      </w:r>
      <w:r>
        <w:rPr>
          <w:rFonts w:hint="eastAsia"/>
          <w:b/>
          <w:bCs/>
          <w:color w:val="000000" w:themeColor="text1"/>
          <w:highlight w:val="none"/>
          <w:lang w:val="en-US" w:eastAsia="zh-CN"/>
          <w14:textFill>
            <w14:solidFill>
              <w14:schemeClr w14:val="tx1"/>
            </w14:solidFill>
          </w14:textFill>
        </w:rPr>
        <w:t>外</w:t>
      </w:r>
      <w:r>
        <w:rPr>
          <w:rFonts w:hint="eastAsia"/>
          <w:b/>
          <w:bCs/>
          <w:color w:val="000000" w:themeColor="text1"/>
          <w:highlight w:val="none"/>
          <w14:textFill>
            <w14:solidFill>
              <w14:schemeClr w14:val="tx1"/>
            </w14:solidFill>
          </w14:textFill>
        </w:rPr>
        <w:t>供货部分：</w:t>
      </w:r>
    </w:p>
    <w:p w14:paraId="5935AA86">
      <w:pPr>
        <w:keepNext w:val="0"/>
        <w:keepLines w:val="0"/>
        <w:pageBreakBefore w:val="0"/>
        <w:widowControl w:val="0"/>
        <w:kinsoku/>
        <w:wordWrap/>
        <w:overflowPunct/>
        <w:topLinePunct w:val="0"/>
        <w:autoSpaceDE/>
        <w:autoSpaceDN/>
        <w:bidi w:val="0"/>
        <w:adjustRightInd w:val="0"/>
        <w:snapToGrid w:val="0"/>
        <w:jc w:val="center"/>
        <w:textAlignment w:val="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配置清单</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033"/>
        <w:gridCol w:w="2400"/>
        <w:gridCol w:w="2205"/>
        <w:gridCol w:w="935"/>
      </w:tblGrid>
      <w:tr w14:paraId="1937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noWrap w:val="0"/>
            <w:vAlign w:val="center"/>
          </w:tcPr>
          <w:p w14:paraId="1A56B21B">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序号</w:t>
            </w:r>
          </w:p>
        </w:tc>
        <w:tc>
          <w:tcPr>
            <w:tcW w:w="1193" w:type="pct"/>
            <w:noWrap w:val="0"/>
            <w:vAlign w:val="center"/>
          </w:tcPr>
          <w:p w14:paraId="3811F14D">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货物名称</w:t>
            </w:r>
          </w:p>
        </w:tc>
        <w:tc>
          <w:tcPr>
            <w:tcW w:w="1408" w:type="pct"/>
            <w:noWrap w:val="0"/>
            <w:vAlign w:val="center"/>
          </w:tcPr>
          <w:p w14:paraId="24448279">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产地及生产厂名</w:t>
            </w:r>
          </w:p>
        </w:tc>
        <w:tc>
          <w:tcPr>
            <w:tcW w:w="1294" w:type="pct"/>
            <w:noWrap w:val="0"/>
            <w:vAlign w:val="center"/>
          </w:tcPr>
          <w:p w14:paraId="51E37B98">
            <w:pPr>
              <w:widowControl/>
              <w:adjustRightInd w:val="0"/>
              <w:snapToGrid w:val="0"/>
              <w:jc w:val="center"/>
              <w:rPr>
                <w:snapToGrid w:val="0"/>
                <w:kern w:val="0"/>
                <w:szCs w:val="21"/>
                <w:lang w:val="zh-CN"/>
              </w:rPr>
            </w:pPr>
            <w:r>
              <w:rPr>
                <w:rFonts w:hint="eastAsia"/>
                <w:snapToGrid w:val="0"/>
                <w:kern w:val="0"/>
                <w:szCs w:val="21"/>
                <w:lang w:val="zh-CN"/>
              </w:rPr>
              <w:t>规格型号</w:t>
            </w:r>
          </w:p>
        </w:tc>
        <w:tc>
          <w:tcPr>
            <w:tcW w:w="548" w:type="pct"/>
            <w:noWrap w:val="0"/>
            <w:vAlign w:val="center"/>
          </w:tcPr>
          <w:p w14:paraId="0D2B2406">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数量</w:t>
            </w:r>
          </w:p>
        </w:tc>
      </w:tr>
      <w:tr w14:paraId="55FA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4DE7B866">
            <w:pPr>
              <w:tabs>
                <w:tab w:val="left" w:pos="1280"/>
              </w:tabs>
              <w:autoSpaceDE w:val="0"/>
              <w:autoSpaceDN w:val="0"/>
              <w:adjustRightInd w:val="0"/>
              <w:snapToGrid w:val="0"/>
              <w:jc w:val="center"/>
              <w:rPr>
                <w:snapToGrid w:val="0"/>
                <w:kern w:val="0"/>
                <w:szCs w:val="21"/>
              </w:rPr>
            </w:pPr>
            <w:r>
              <w:rPr>
                <w:rFonts w:hint="eastAsia"/>
                <w:snapToGrid w:val="0"/>
                <w:kern w:val="0"/>
                <w:szCs w:val="21"/>
              </w:rPr>
              <w:t>1</w:t>
            </w:r>
          </w:p>
        </w:tc>
        <w:tc>
          <w:tcPr>
            <w:tcW w:w="1193" w:type="pct"/>
            <w:noWrap w:val="0"/>
            <w:vAlign w:val="center"/>
          </w:tcPr>
          <w:p w14:paraId="375898E5">
            <w:pPr>
              <w:tabs>
                <w:tab w:val="left" w:pos="1280"/>
              </w:tabs>
              <w:autoSpaceDE w:val="0"/>
              <w:autoSpaceDN w:val="0"/>
              <w:adjustRightInd w:val="0"/>
              <w:snapToGrid w:val="0"/>
              <w:jc w:val="center"/>
              <w:rPr>
                <w:snapToGrid w:val="0"/>
                <w:kern w:val="0"/>
                <w:szCs w:val="21"/>
              </w:rPr>
            </w:pPr>
            <w:r>
              <w:rPr>
                <w:rFonts w:hint="eastAsia"/>
                <w:snapToGrid w:val="0"/>
                <w:kern w:val="0"/>
                <w:szCs w:val="21"/>
                <w:lang w:val="en-US" w:eastAsia="zh-CN"/>
              </w:rPr>
              <w:t>光谱分析仪</w:t>
            </w:r>
          </w:p>
        </w:tc>
        <w:tc>
          <w:tcPr>
            <w:tcW w:w="1408" w:type="pct"/>
            <w:noWrap w:val="0"/>
            <w:vAlign w:val="center"/>
          </w:tcPr>
          <w:p w14:paraId="0C9C8C7A">
            <w:pPr>
              <w:tabs>
                <w:tab w:val="left" w:pos="1280"/>
              </w:tabs>
              <w:autoSpaceDE w:val="0"/>
              <w:autoSpaceDN w:val="0"/>
              <w:adjustRightInd w:val="0"/>
              <w:snapToGrid w:val="0"/>
              <w:jc w:val="center"/>
              <w:rPr>
                <w:rFonts w:hint="default" w:eastAsia="宋体"/>
                <w:snapToGrid w:val="0"/>
                <w:kern w:val="0"/>
                <w:szCs w:val="21"/>
                <w:lang w:val="en-US" w:eastAsia="zh-CN"/>
              </w:rPr>
            </w:pPr>
            <w:r>
              <w:rPr>
                <w:rFonts w:hint="eastAsia"/>
                <w:snapToGrid w:val="0"/>
                <w:kern w:val="0"/>
                <w:szCs w:val="21"/>
                <w:lang w:val="en-US" w:eastAsia="zh-CN"/>
              </w:rPr>
              <w:t>英国/Andor</w:t>
            </w:r>
          </w:p>
        </w:tc>
        <w:tc>
          <w:tcPr>
            <w:tcW w:w="1294" w:type="pct"/>
            <w:noWrap w:val="0"/>
            <w:vAlign w:val="center"/>
          </w:tcPr>
          <w:p w14:paraId="27899AE2">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Andor Shamrock500i</w:t>
            </w:r>
          </w:p>
        </w:tc>
        <w:tc>
          <w:tcPr>
            <w:tcW w:w="548" w:type="pct"/>
            <w:noWrap w:val="0"/>
            <w:vAlign w:val="center"/>
          </w:tcPr>
          <w:p w14:paraId="16C0F431">
            <w:pPr>
              <w:tabs>
                <w:tab w:val="left" w:pos="1280"/>
              </w:tabs>
              <w:autoSpaceDE w:val="0"/>
              <w:autoSpaceDN w:val="0"/>
              <w:adjustRightInd w:val="0"/>
              <w:snapToGrid w:val="0"/>
              <w:jc w:val="center"/>
              <w:rPr>
                <w:rFonts w:hint="default" w:eastAsia="宋体"/>
                <w:snapToGrid w:val="0"/>
                <w:kern w:val="0"/>
                <w:szCs w:val="21"/>
                <w:lang w:val="en-US" w:eastAsia="zh-CN"/>
              </w:rPr>
            </w:pPr>
            <w:r>
              <w:rPr>
                <w:rFonts w:hint="eastAsia"/>
                <w:snapToGrid w:val="0"/>
                <w:kern w:val="0"/>
                <w:szCs w:val="21"/>
                <w:lang w:val="en-US" w:eastAsia="zh-CN"/>
              </w:rPr>
              <w:t>1台</w:t>
            </w:r>
          </w:p>
        </w:tc>
      </w:tr>
      <w:tr w14:paraId="011C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5E95E613">
            <w:pPr>
              <w:tabs>
                <w:tab w:val="left" w:pos="1280"/>
              </w:tabs>
              <w:autoSpaceDE w:val="0"/>
              <w:autoSpaceDN w:val="0"/>
              <w:adjustRightInd w:val="0"/>
              <w:snapToGrid w:val="0"/>
              <w:jc w:val="center"/>
              <w:rPr>
                <w:snapToGrid w:val="0"/>
                <w:kern w:val="0"/>
                <w:szCs w:val="21"/>
              </w:rPr>
            </w:pPr>
            <w:r>
              <w:rPr>
                <w:rFonts w:hint="eastAsia"/>
                <w:snapToGrid w:val="0"/>
                <w:kern w:val="0"/>
                <w:szCs w:val="21"/>
              </w:rPr>
              <w:t>2</w:t>
            </w:r>
          </w:p>
        </w:tc>
        <w:tc>
          <w:tcPr>
            <w:tcW w:w="1193" w:type="pct"/>
            <w:noWrap w:val="0"/>
            <w:vAlign w:val="center"/>
          </w:tcPr>
          <w:p w14:paraId="53B405B2">
            <w:pPr>
              <w:tabs>
                <w:tab w:val="left" w:pos="1280"/>
              </w:tabs>
              <w:autoSpaceDE w:val="0"/>
              <w:autoSpaceDN w:val="0"/>
              <w:adjustRightInd w:val="0"/>
              <w:snapToGrid w:val="0"/>
              <w:jc w:val="center"/>
              <w:rPr>
                <w:snapToGrid w:val="0"/>
                <w:kern w:val="0"/>
                <w:szCs w:val="21"/>
              </w:rPr>
            </w:pPr>
            <w:r>
              <w:rPr>
                <w:rFonts w:hint="eastAsia"/>
                <w:snapToGrid w:val="0"/>
                <w:kern w:val="0"/>
                <w:szCs w:val="21"/>
                <w:lang w:val="en-US" w:eastAsia="zh-CN"/>
              </w:rPr>
              <w:t>光栅</w:t>
            </w:r>
          </w:p>
        </w:tc>
        <w:tc>
          <w:tcPr>
            <w:tcW w:w="1408" w:type="pct"/>
            <w:noWrap w:val="0"/>
            <w:vAlign w:val="center"/>
          </w:tcPr>
          <w:p w14:paraId="2764377E">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en-US" w:eastAsia="zh-CN"/>
              </w:rPr>
              <w:t>英国/Andor</w:t>
            </w:r>
          </w:p>
        </w:tc>
        <w:tc>
          <w:tcPr>
            <w:tcW w:w="1294" w:type="pct"/>
            <w:noWrap w:val="0"/>
            <w:vAlign w:val="center"/>
          </w:tcPr>
          <w:p w14:paraId="6E3CD897">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SR5-GRT-0600-0500</w:t>
            </w:r>
          </w:p>
        </w:tc>
        <w:tc>
          <w:tcPr>
            <w:tcW w:w="548" w:type="pct"/>
            <w:noWrap w:val="0"/>
            <w:vAlign w:val="center"/>
          </w:tcPr>
          <w:p w14:paraId="6A8F7ADC">
            <w:pPr>
              <w:tabs>
                <w:tab w:val="left" w:pos="1280"/>
              </w:tabs>
              <w:autoSpaceDE w:val="0"/>
              <w:autoSpaceDN w:val="0"/>
              <w:adjustRightInd w:val="0"/>
              <w:snapToGrid w:val="0"/>
              <w:jc w:val="center"/>
              <w:rPr>
                <w:rFonts w:hint="eastAsia" w:eastAsia="宋体"/>
                <w:snapToGrid w:val="0"/>
                <w:kern w:val="0"/>
                <w:szCs w:val="21"/>
                <w:lang w:val="en-US" w:eastAsia="zh-CN"/>
              </w:rPr>
            </w:pPr>
            <w:r>
              <w:rPr>
                <w:rFonts w:hint="eastAsia"/>
                <w:snapToGrid w:val="0"/>
                <w:kern w:val="0"/>
                <w:szCs w:val="21"/>
                <w:lang w:val="en-US" w:eastAsia="zh-CN"/>
              </w:rPr>
              <w:t>1台</w:t>
            </w:r>
          </w:p>
        </w:tc>
      </w:tr>
      <w:tr w14:paraId="116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2B34BCF9">
            <w:pPr>
              <w:tabs>
                <w:tab w:val="left" w:pos="1280"/>
              </w:tabs>
              <w:autoSpaceDE w:val="0"/>
              <w:autoSpaceDN w:val="0"/>
              <w:adjustRightInd w:val="0"/>
              <w:snapToGrid w:val="0"/>
              <w:jc w:val="center"/>
              <w:rPr>
                <w:snapToGrid w:val="0"/>
                <w:kern w:val="0"/>
                <w:szCs w:val="21"/>
              </w:rPr>
            </w:pPr>
            <w:r>
              <w:rPr>
                <w:rFonts w:hint="eastAsia"/>
                <w:snapToGrid w:val="0"/>
                <w:kern w:val="0"/>
                <w:szCs w:val="21"/>
              </w:rPr>
              <w:t>3</w:t>
            </w:r>
          </w:p>
        </w:tc>
        <w:tc>
          <w:tcPr>
            <w:tcW w:w="1193" w:type="pct"/>
            <w:noWrap w:val="0"/>
            <w:vAlign w:val="center"/>
          </w:tcPr>
          <w:p w14:paraId="6B303AF3">
            <w:pPr>
              <w:tabs>
                <w:tab w:val="left" w:pos="1280"/>
              </w:tabs>
              <w:autoSpaceDE w:val="0"/>
              <w:autoSpaceDN w:val="0"/>
              <w:adjustRightInd w:val="0"/>
              <w:snapToGrid w:val="0"/>
              <w:jc w:val="center"/>
              <w:rPr>
                <w:snapToGrid w:val="0"/>
                <w:kern w:val="0"/>
                <w:szCs w:val="21"/>
              </w:rPr>
            </w:pPr>
            <w:r>
              <w:rPr>
                <w:rFonts w:hint="eastAsia"/>
                <w:snapToGrid w:val="0"/>
                <w:kern w:val="0"/>
                <w:szCs w:val="21"/>
                <w:lang w:val="en-US" w:eastAsia="zh-CN"/>
              </w:rPr>
              <w:t>光栅</w:t>
            </w:r>
          </w:p>
        </w:tc>
        <w:tc>
          <w:tcPr>
            <w:tcW w:w="1408" w:type="pct"/>
            <w:noWrap w:val="0"/>
            <w:vAlign w:val="center"/>
          </w:tcPr>
          <w:p w14:paraId="0BC9DEC0">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en-US" w:eastAsia="zh-CN"/>
              </w:rPr>
              <w:t>英国/Andor</w:t>
            </w:r>
          </w:p>
        </w:tc>
        <w:tc>
          <w:tcPr>
            <w:tcW w:w="1294" w:type="pct"/>
            <w:noWrap w:val="0"/>
            <w:vAlign w:val="center"/>
          </w:tcPr>
          <w:p w14:paraId="7A17E3F0">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SR5-GRT-1200-0500</w:t>
            </w:r>
          </w:p>
        </w:tc>
        <w:tc>
          <w:tcPr>
            <w:tcW w:w="548" w:type="pct"/>
            <w:noWrap w:val="0"/>
            <w:vAlign w:val="center"/>
          </w:tcPr>
          <w:p w14:paraId="640E618B">
            <w:pPr>
              <w:tabs>
                <w:tab w:val="left" w:pos="1280"/>
              </w:tabs>
              <w:autoSpaceDE w:val="0"/>
              <w:autoSpaceDN w:val="0"/>
              <w:adjustRightInd w:val="0"/>
              <w:snapToGrid w:val="0"/>
              <w:jc w:val="center"/>
              <w:rPr>
                <w:rFonts w:hint="eastAsia" w:eastAsia="宋体"/>
                <w:snapToGrid w:val="0"/>
                <w:kern w:val="0"/>
                <w:szCs w:val="21"/>
                <w:lang w:val="en-US" w:eastAsia="zh-CN"/>
              </w:rPr>
            </w:pPr>
            <w:r>
              <w:rPr>
                <w:rFonts w:hint="eastAsia"/>
                <w:snapToGrid w:val="0"/>
                <w:kern w:val="0"/>
                <w:szCs w:val="21"/>
                <w:lang w:val="en-US" w:eastAsia="zh-CN"/>
              </w:rPr>
              <w:t>1台</w:t>
            </w:r>
          </w:p>
        </w:tc>
      </w:tr>
      <w:tr w14:paraId="1F53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2824673D">
            <w:pPr>
              <w:tabs>
                <w:tab w:val="left" w:pos="1280"/>
              </w:tabs>
              <w:autoSpaceDE w:val="0"/>
              <w:autoSpaceDN w:val="0"/>
              <w:adjustRightInd w:val="0"/>
              <w:snapToGrid w:val="0"/>
              <w:jc w:val="center"/>
              <w:rPr>
                <w:snapToGrid w:val="0"/>
                <w:kern w:val="0"/>
                <w:szCs w:val="21"/>
              </w:rPr>
            </w:pPr>
            <w:r>
              <w:rPr>
                <w:rFonts w:hint="eastAsia"/>
                <w:snapToGrid w:val="0"/>
                <w:kern w:val="0"/>
                <w:szCs w:val="21"/>
              </w:rPr>
              <w:t>4</w:t>
            </w:r>
          </w:p>
        </w:tc>
        <w:tc>
          <w:tcPr>
            <w:tcW w:w="1193" w:type="pct"/>
            <w:noWrap w:val="0"/>
            <w:vAlign w:val="center"/>
          </w:tcPr>
          <w:p w14:paraId="4CE63C1A">
            <w:pPr>
              <w:tabs>
                <w:tab w:val="left" w:pos="1280"/>
              </w:tabs>
              <w:autoSpaceDE w:val="0"/>
              <w:autoSpaceDN w:val="0"/>
              <w:adjustRightInd w:val="0"/>
              <w:snapToGrid w:val="0"/>
              <w:jc w:val="center"/>
              <w:rPr>
                <w:rFonts w:cs="宋体"/>
                <w:color w:val="000000"/>
                <w:kern w:val="0"/>
                <w:szCs w:val="21"/>
              </w:rPr>
            </w:pPr>
            <w:r>
              <w:rPr>
                <w:rFonts w:hint="eastAsia"/>
                <w:snapToGrid w:val="0"/>
                <w:kern w:val="0"/>
                <w:szCs w:val="21"/>
                <w:lang w:val="en-US" w:eastAsia="zh-CN"/>
              </w:rPr>
              <w:t>光栅</w:t>
            </w:r>
          </w:p>
        </w:tc>
        <w:tc>
          <w:tcPr>
            <w:tcW w:w="1408" w:type="pct"/>
            <w:noWrap w:val="0"/>
            <w:vAlign w:val="center"/>
          </w:tcPr>
          <w:p w14:paraId="430FD595">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en-US" w:eastAsia="zh-CN"/>
              </w:rPr>
              <w:t>英国/Andor</w:t>
            </w:r>
          </w:p>
        </w:tc>
        <w:tc>
          <w:tcPr>
            <w:tcW w:w="1294" w:type="pct"/>
            <w:noWrap w:val="0"/>
            <w:vAlign w:val="center"/>
          </w:tcPr>
          <w:p w14:paraId="49F67E02">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SR5-GRT-2400-GH</w:t>
            </w:r>
          </w:p>
        </w:tc>
        <w:tc>
          <w:tcPr>
            <w:tcW w:w="548" w:type="pct"/>
            <w:noWrap w:val="0"/>
            <w:vAlign w:val="center"/>
          </w:tcPr>
          <w:p w14:paraId="2C6A3857">
            <w:pPr>
              <w:tabs>
                <w:tab w:val="left" w:pos="1280"/>
              </w:tabs>
              <w:autoSpaceDE w:val="0"/>
              <w:autoSpaceDN w:val="0"/>
              <w:adjustRightInd w:val="0"/>
              <w:snapToGrid w:val="0"/>
              <w:jc w:val="center"/>
              <w:rPr>
                <w:rFonts w:hint="eastAsia" w:eastAsia="宋体"/>
                <w:snapToGrid w:val="0"/>
                <w:kern w:val="0"/>
                <w:szCs w:val="21"/>
                <w:lang w:val="en-US" w:eastAsia="zh-CN"/>
              </w:rPr>
            </w:pPr>
            <w:r>
              <w:rPr>
                <w:rFonts w:hint="eastAsia"/>
                <w:snapToGrid w:val="0"/>
                <w:kern w:val="0"/>
                <w:szCs w:val="21"/>
                <w:lang w:val="en-US" w:eastAsia="zh-CN"/>
              </w:rPr>
              <w:t>1台</w:t>
            </w:r>
          </w:p>
        </w:tc>
      </w:tr>
      <w:tr w14:paraId="2BF8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1A6900D5">
            <w:pPr>
              <w:tabs>
                <w:tab w:val="left" w:pos="1280"/>
              </w:tabs>
              <w:autoSpaceDE w:val="0"/>
              <w:autoSpaceDN w:val="0"/>
              <w:adjustRightInd w:val="0"/>
              <w:snapToGrid w:val="0"/>
              <w:jc w:val="center"/>
              <w:rPr>
                <w:snapToGrid w:val="0"/>
                <w:kern w:val="0"/>
                <w:szCs w:val="21"/>
              </w:rPr>
            </w:pPr>
            <w:r>
              <w:rPr>
                <w:rFonts w:hint="eastAsia"/>
                <w:snapToGrid w:val="0"/>
                <w:kern w:val="0"/>
                <w:szCs w:val="21"/>
              </w:rPr>
              <w:t>5</w:t>
            </w:r>
          </w:p>
        </w:tc>
        <w:tc>
          <w:tcPr>
            <w:tcW w:w="1193" w:type="pct"/>
            <w:noWrap w:val="0"/>
            <w:vAlign w:val="center"/>
          </w:tcPr>
          <w:p w14:paraId="0B1FC639">
            <w:pPr>
              <w:tabs>
                <w:tab w:val="left" w:pos="1280"/>
              </w:tabs>
              <w:autoSpaceDE w:val="0"/>
              <w:autoSpaceDN w:val="0"/>
              <w:adjustRightInd w:val="0"/>
              <w:snapToGrid w:val="0"/>
              <w:jc w:val="center"/>
              <w:rPr>
                <w:rFonts w:cs="宋体"/>
                <w:color w:val="000000"/>
                <w:kern w:val="0"/>
                <w:szCs w:val="21"/>
              </w:rPr>
            </w:pPr>
            <w:r>
              <w:rPr>
                <w:rFonts w:hint="eastAsia" w:cs="宋体"/>
                <w:color w:val="000000"/>
                <w:kern w:val="0"/>
                <w:szCs w:val="21"/>
                <w:lang w:val="en-US" w:eastAsia="zh-CN"/>
              </w:rPr>
              <w:t>法兰</w:t>
            </w:r>
          </w:p>
        </w:tc>
        <w:tc>
          <w:tcPr>
            <w:tcW w:w="1408" w:type="pct"/>
            <w:noWrap w:val="0"/>
            <w:vAlign w:val="center"/>
          </w:tcPr>
          <w:p w14:paraId="356C833B">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en-US" w:eastAsia="zh-CN"/>
              </w:rPr>
              <w:t>英国/Andor</w:t>
            </w:r>
          </w:p>
        </w:tc>
        <w:tc>
          <w:tcPr>
            <w:tcW w:w="1294" w:type="pct"/>
            <w:noWrap w:val="0"/>
            <w:vAlign w:val="center"/>
          </w:tcPr>
          <w:p w14:paraId="5444B779">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MFL-SR500</w:t>
            </w:r>
          </w:p>
        </w:tc>
        <w:tc>
          <w:tcPr>
            <w:tcW w:w="548" w:type="pct"/>
            <w:noWrap w:val="0"/>
            <w:vAlign w:val="center"/>
          </w:tcPr>
          <w:p w14:paraId="273BDE2F">
            <w:pPr>
              <w:tabs>
                <w:tab w:val="left" w:pos="1280"/>
              </w:tabs>
              <w:autoSpaceDE w:val="0"/>
              <w:autoSpaceDN w:val="0"/>
              <w:adjustRightInd w:val="0"/>
              <w:snapToGrid w:val="0"/>
              <w:jc w:val="center"/>
              <w:rPr>
                <w:rFonts w:hint="default" w:eastAsia="宋体"/>
                <w:snapToGrid w:val="0"/>
                <w:kern w:val="0"/>
                <w:szCs w:val="21"/>
                <w:lang w:val="en-US" w:eastAsia="zh-CN"/>
              </w:rPr>
            </w:pPr>
            <w:r>
              <w:rPr>
                <w:rFonts w:hint="eastAsia"/>
                <w:snapToGrid w:val="0"/>
                <w:kern w:val="0"/>
                <w:szCs w:val="21"/>
                <w:lang w:val="en-US" w:eastAsia="zh-CN"/>
              </w:rPr>
              <w:t>1台</w:t>
            </w:r>
          </w:p>
        </w:tc>
      </w:tr>
      <w:tr w14:paraId="0F7F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5" w:type="pct"/>
            <w:noWrap w:val="0"/>
            <w:vAlign w:val="center"/>
          </w:tcPr>
          <w:p w14:paraId="313B7D8F">
            <w:pPr>
              <w:tabs>
                <w:tab w:val="left" w:pos="1280"/>
              </w:tabs>
              <w:autoSpaceDE w:val="0"/>
              <w:autoSpaceDN w:val="0"/>
              <w:adjustRightInd w:val="0"/>
              <w:snapToGrid w:val="0"/>
              <w:jc w:val="center"/>
              <w:rPr>
                <w:snapToGrid w:val="0"/>
                <w:kern w:val="0"/>
                <w:szCs w:val="21"/>
              </w:rPr>
            </w:pPr>
            <w:r>
              <w:rPr>
                <w:rFonts w:hint="eastAsia"/>
                <w:snapToGrid w:val="0"/>
                <w:kern w:val="0"/>
                <w:szCs w:val="21"/>
              </w:rPr>
              <w:t>6</w:t>
            </w:r>
          </w:p>
        </w:tc>
        <w:tc>
          <w:tcPr>
            <w:tcW w:w="1193" w:type="pct"/>
            <w:noWrap w:val="0"/>
            <w:vAlign w:val="center"/>
          </w:tcPr>
          <w:p w14:paraId="74506183">
            <w:pPr>
              <w:tabs>
                <w:tab w:val="left" w:pos="1280"/>
              </w:tabs>
              <w:autoSpaceDE w:val="0"/>
              <w:autoSpaceDN w:val="0"/>
              <w:adjustRightInd w:val="0"/>
              <w:snapToGrid w:val="0"/>
              <w:jc w:val="center"/>
              <w:rPr>
                <w:rFonts w:cs="宋体"/>
                <w:color w:val="000000"/>
                <w:kern w:val="0"/>
                <w:szCs w:val="21"/>
              </w:rPr>
            </w:pPr>
            <w:r>
              <w:rPr>
                <w:rFonts w:hint="eastAsia" w:cs="宋体"/>
                <w:color w:val="000000"/>
                <w:kern w:val="0"/>
                <w:szCs w:val="21"/>
                <w:lang w:val="en-US" w:eastAsia="zh-CN"/>
              </w:rPr>
              <w:t>相机</w:t>
            </w:r>
          </w:p>
        </w:tc>
        <w:tc>
          <w:tcPr>
            <w:tcW w:w="1408" w:type="pct"/>
            <w:noWrap w:val="0"/>
            <w:vAlign w:val="center"/>
          </w:tcPr>
          <w:p w14:paraId="0281FE36">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en-US" w:eastAsia="zh-CN"/>
              </w:rPr>
              <w:t>英国/Andor</w:t>
            </w:r>
          </w:p>
        </w:tc>
        <w:tc>
          <w:tcPr>
            <w:tcW w:w="1294" w:type="pct"/>
            <w:noWrap w:val="0"/>
            <w:vAlign w:val="center"/>
          </w:tcPr>
          <w:p w14:paraId="31BE542F">
            <w:pPr>
              <w:tabs>
                <w:tab w:val="left" w:pos="1280"/>
              </w:tabs>
              <w:autoSpaceDE w:val="0"/>
              <w:autoSpaceDN w:val="0"/>
              <w:adjustRightInd w:val="0"/>
              <w:snapToGrid w:val="0"/>
              <w:jc w:val="center"/>
              <w:rPr>
                <w:snapToGrid w:val="0"/>
                <w:kern w:val="0"/>
                <w:szCs w:val="21"/>
                <w:lang w:val="zh-CN"/>
              </w:rPr>
            </w:pPr>
            <w:r>
              <w:rPr>
                <w:rFonts w:hint="eastAsia"/>
                <w:snapToGrid w:val="0"/>
                <w:kern w:val="0"/>
                <w:szCs w:val="21"/>
                <w:lang w:val="zh-CN"/>
              </w:rPr>
              <w:t>DU920P-BVF</w:t>
            </w:r>
          </w:p>
        </w:tc>
        <w:tc>
          <w:tcPr>
            <w:tcW w:w="548" w:type="pct"/>
            <w:noWrap w:val="0"/>
            <w:vAlign w:val="center"/>
          </w:tcPr>
          <w:p w14:paraId="0930C2A3">
            <w:pPr>
              <w:tabs>
                <w:tab w:val="left" w:pos="1280"/>
              </w:tabs>
              <w:autoSpaceDE w:val="0"/>
              <w:autoSpaceDN w:val="0"/>
              <w:adjustRightInd w:val="0"/>
              <w:snapToGrid w:val="0"/>
              <w:jc w:val="center"/>
              <w:rPr>
                <w:rFonts w:hint="eastAsia" w:eastAsia="宋体"/>
                <w:snapToGrid w:val="0"/>
                <w:kern w:val="0"/>
                <w:szCs w:val="21"/>
                <w:lang w:val="en-US" w:eastAsia="zh-CN"/>
              </w:rPr>
            </w:pPr>
            <w:r>
              <w:rPr>
                <w:rFonts w:hint="eastAsia"/>
                <w:snapToGrid w:val="0"/>
                <w:kern w:val="0"/>
                <w:szCs w:val="21"/>
                <w:lang w:val="en-US" w:eastAsia="zh-CN"/>
              </w:rPr>
              <w:t>1台</w:t>
            </w:r>
          </w:p>
        </w:tc>
      </w:tr>
    </w:tbl>
    <w:p w14:paraId="53F228FB">
      <w:pPr>
        <w:ind w:firstLine="1687" w:firstLineChars="700"/>
        <w:rPr>
          <w:rFonts w:hint="eastAsia"/>
          <w:b/>
          <w:color w:val="000000" w:themeColor="text1"/>
          <w:sz w:val="24"/>
          <w:highlight w:val="none"/>
          <w14:textFill>
            <w14:solidFill>
              <w14:schemeClr w14:val="tx1"/>
            </w14:solidFill>
          </w14:textFill>
        </w:rPr>
      </w:pPr>
    </w:p>
    <w:p w14:paraId="241188B6">
      <w:pPr>
        <w:ind w:firstLine="1687" w:firstLineChars="700"/>
        <w:rPr>
          <w:rFonts w:hint="eastAsia"/>
          <w:b/>
          <w:color w:val="000000" w:themeColor="text1"/>
          <w:sz w:val="24"/>
          <w:highlight w:val="none"/>
          <w14:textFill>
            <w14:solidFill>
              <w14:schemeClr w14:val="tx1"/>
            </w14:solidFill>
          </w14:textFill>
        </w:rPr>
      </w:pPr>
    </w:p>
    <w:p w14:paraId="7D79C596">
      <w:pPr>
        <w:rPr>
          <w:color w:val="000000" w:themeColor="text1"/>
          <w:highlight w:val="none"/>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1"/>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FE8AC3"/>
    <w:multiLevelType w:val="singleLevel"/>
    <w:tmpl w:val="67FE8AC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07D86"/>
    <w:rsid w:val="04CC27C1"/>
    <w:rsid w:val="057448C8"/>
    <w:rsid w:val="05D46291"/>
    <w:rsid w:val="08843074"/>
    <w:rsid w:val="088A61B1"/>
    <w:rsid w:val="09640F2C"/>
    <w:rsid w:val="0ABF0394"/>
    <w:rsid w:val="0B243A05"/>
    <w:rsid w:val="0B406308"/>
    <w:rsid w:val="0CB101B0"/>
    <w:rsid w:val="0DF30354"/>
    <w:rsid w:val="119C49FD"/>
    <w:rsid w:val="164E4CC1"/>
    <w:rsid w:val="176F4EEF"/>
    <w:rsid w:val="1ADB566F"/>
    <w:rsid w:val="1B28707F"/>
    <w:rsid w:val="1E795C71"/>
    <w:rsid w:val="1F2E3B1A"/>
    <w:rsid w:val="274742E6"/>
    <w:rsid w:val="286D547B"/>
    <w:rsid w:val="2A5C7555"/>
    <w:rsid w:val="2A6F31A8"/>
    <w:rsid w:val="2AEA3308"/>
    <w:rsid w:val="2D990AC0"/>
    <w:rsid w:val="2F650C5A"/>
    <w:rsid w:val="33F71FE3"/>
    <w:rsid w:val="345179FF"/>
    <w:rsid w:val="38C764E2"/>
    <w:rsid w:val="395D0BF4"/>
    <w:rsid w:val="3DEE1668"/>
    <w:rsid w:val="3E8F7AA2"/>
    <w:rsid w:val="41A2388C"/>
    <w:rsid w:val="41EC3DB8"/>
    <w:rsid w:val="476E0C93"/>
    <w:rsid w:val="47F170D7"/>
    <w:rsid w:val="4A2512BA"/>
    <w:rsid w:val="4B775CC3"/>
    <w:rsid w:val="4BF91035"/>
    <w:rsid w:val="4D094EC3"/>
    <w:rsid w:val="4ED27537"/>
    <w:rsid w:val="506348EA"/>
    <w:rsid w:val="56ED7603"/>
    <w:rsid w:val="5B863B83"/>
    <w:rsid w:val="5BB66216"/>
    <w:rsid w:val="5C641313"/>
    <w:rsid w:val="5E771202"/>
    <w:rsid w:val="617637B4"/>
    <w:rsid w:val="62173786"/>
    <w:rsid w:val="62360C05"/>
    <w:rsid w:val="65554CF2"/>
    <w:rsid w:val="65B221E6"/>
    <w:rsid w:val="666D7E19"/>
    <w:rsid w:val="6B6F1F3D"/>
    <w:rsid w:val="6CC91B21"/>
    <w:rsid w:val="700C2451"/>
    <w:rsid w:val="73F501A1"/>
    <w:rsid w:val="752823AF"/>
    <w:rsid w:val="79F04B91"/>
    <w:rsid w:val="7B7745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outlineLvl w:val="1"/>
    </w:pPr>
    <w:rPr>
      <w:b/>
      <w:bCs/>
      <w:sz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99"/>
    <w:pPr>
      <w:jc w:val="left"/>
    </w:pPr>
  </w:style>
  <w:style w:type="paragraph" w:styleId="4">
    <w:name w:val="Block Text"/>
    <w:basedOn w:val="1"/>
    <w:qFormat/>
    <w:uiPriority w:val="0"/>
    <w:pPr>
      <w:spacing w:after="120"/>
      <w:ind w:left="1440" w:leftChars="700" w:right="1440" w:rightChars="700"/>
    </w:pPr>
  </w:style>
  <w:style w:type="paragraph" w:customStyle="1" w:styleId="7">
    <w:name w:val="索引 41"/>
    <w:basedOn w:val="1"/>
    <w:next w:val="1"/>
    <w:unhideWhenUsed/>
    <w:qFormat/>
    <w:uiPriority w:val="99"/>
    <w:pPr>
      <w:ind w:left="600"/>
    </w:pPr>
    <w:rPr>
      <w:rFonts w:ascii="Verdana" w:hAnsi="Verdana"/>
      <w:szCs w:val="20"/>
    </w:rPr>
  </w:style>
  <w:style w:type="paragraph" w:customStyle="1" w:styleId="8">
    <w:name w:val="正文首行缩进 21"/>
    <w:basedOn w:val="9"/>
    <w:next w:val="1"/>
    <w:qFormat/>
    <w:uiPriority w:val="0"/>
    <w:pPr>
      <w:spacing w:line="360" w:lineRule="auto"/>
      <w:ind w:firstLine="420"/>
    </w:pPr>
    <w:rPr>
      <w:szCs w:val="20"/>
    </w:rPr>
  </w:style>
  <w:style w:type="paragraph" w:customStyle="1" w:styleId="9">
    <w:name w:val="正文文本缩进1"/>
    <w:basedOn w:val="1"/>
    <w:next w:val="10"/>
    <w:qFormat/>
    <w:uiPriority w:val="0"/>
    <w:pPr>
      <w:spacing w:line="440" w:lineRule="exact"/>
      <w:ind w:firstLine="403"/>
    </w:pPr>
    <w:rPr>
      <w:rFonts w:ascii="宋体" w:hAnsi="宋体"/>
      <w:sz w:val="20"/>
      <w:szCs w:val="21"/>
    </w:rPr>
  </w:style>
  <w:style w:type="paragraph" w:customStyle="1" w:styleId="10">
    <w:name w:val="寄信人地址1"/>
    <w:basedOn w:val="1"/>
    <w:qFormat/>
    <w:uiPriority w:val="0"/>
  </w:style>
  <w:style w:type="paragraph" w:customStyle="1" w:styleId="11">
    <w:name w:val="纯文本1"/>
    <w:basedOn w:val="1"/>
    <w:qFormat/>
    <w:uiPriority w:val="0"/>
    <w:pPr>
      <w:adjustRightInd w:val="0"/>
      <w:textAlignment w:val="baseline"/>
    </w:pPr>
    <w:rPr>
      <w:rFonts w:ascii="宋体" w:hAnsi="Courier New" w:eastAsia="楷体_GB2312"/>
      <w:sz w:val="26"/>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2143</Words>
  <Characters>2748</Characters>
  <Lines>0</Lines>
  <Paragraphs>0</Paragraphs>
  <TotalTime>0</TotalTime>
  <ScaleCrop>false</ScaleCrop>
  <LinksUpToDate>false</LinksUpToDate>
  <CharactersWithSpaces>2890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2026-01-13T10:11:00Z</dcterms:created>
  <dc:creator>邵邵</dc:creator>
  <cp:lastModifiedBy>叶佳俊</cp:lastModifiedBy>
  <dcterms:modified xsi:type="dcterms:W3CDTF">2026-01-16T06:03:28Z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eyJoZGlkIjoiYTljYWZiMTcwMWMzNmZlMmYxNDdiMjI3M2M2MDk1MTUiLCJ1c2VySWQiOiIxNjg3ODg4NzU1In0=</vt:lpwstr>
  </property>
  <property fmtid="{D5CDD505-2E9C-101B-9397-08002B2CF9AE}" pid="4" name="ICV">
    <vt:lpwstr>76608AC11D474D8180C948A66A996C76_13</vt:lpwstr>
  </property>
</Properties>
</file>